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94920" w14:textId="77777777" w:rsidR="00AE7BCE" w:rsidRPr="00B07E40" w:rsidRDefault="001B3D3E" w:rsidP="00C87860">
      <w:pPr>
        <w:tabs>
          <w:tab w:val="left" w:pos="1620"/>
        </w:tabs>
        <w:spacing w:line="20" w:lineRule="exact"/>
      </w:pPr>
      <w:r w:rsidRPr="122372D5">
        <w:rPr>
          <w:b/>
          <w:sz w:val="2"/>
          <w:szCs w:val="2"/>
        </w:rPr>
        <w:t xml:space="preserve"> </w:t>
      </w:r>
    </w:p>
    <w:p w14:paraId="69974177" w14:textId="50522D4B" w:rsidR="00414ADC" w:rsidRDefault="00414ADC" w:rsidP="00414ADC">
      <w:pPr>
        <w:rPr>
          <w:b/>
          <w:bCs/>
          <w:sz w:val="28"/>
          <w:szCs w:val="28"/>
        </w:rPr>
      </w:pPr>
      <w:r w:rsidRPr="00C941FD">
        <w:rPr>
          <w:b/>
          <w:bCs/>
          <w:sz w:val="28"/>
          <w:szCs w:val="28"/>
        </w:rPr>
        <w:t xml:space="preserve">Annex </w:t>
      </w:r>
      <w:r>
        <w:rPr>
          <w:b/>
          <w:bCs/>
          <w:sz w:val="28"/>
          <w:szCs w:val="28"/>
        </w:rPr>
        <w:t xml:space="preserve">II </w:t>
      </w:r>
      <w:r w:rsidRPr="00DF7D39">
        <w:rPr>
          <w:b/>
          <w:bCs/>
          <w:sz w:val="28"/>
          <w:szCs w:val="28"/>
        </w:rPr>
        <w:t>to DP/202</w:t>
      </w:r>
      <w:r w:rsidR="0086120B" w:rsidRPr="00DF7D39">
        <w:rPr>
          <w:b/>
          <w:bCs/>
          <w:sz w:val="28"/>
          <w:szCs w:val="28"/>
        </w:rPr>
        <w:t>3</w:t>
      </w:r>
      <w:r w:rsidRPr="00DF7D39">
        <w:rPr>
          <w:b/>
          <w:bCs/>
          <w:sz w:val="28"/>
          <w:szCs w:val="28"/>
        </w:rPr>
        <w:t>/</w:t>
      </w:r>
      <w:r w:rsidR="00A95F27" w:rsidRPr="00DF7D39">
        <w:rPr>
          <w:b/>
          <w:bCs/>
          <w:sz w:val="28"/>
          <w:szCs w:val="28"/>
        </w:rPr>
        <w:t>2</w:t>
      </w:r>
      <w:r w:rsidR="00542F6B" w:rsidRPr="00DF7D39">
        <w:rPr>
          <w:b/>
          <w:bCs/>
          <w:sz w:val="28"/>
          <w:szCs w:val="28"/>
        </w:rPr>
        <w:t>6</w:t>
      </w:r>
    </w:p>
    <w:p w14:paraId="6AB76132" w14:textId="72CF6782" w:rsidR="00414ADC" w:rsidRDefault="00414ADC" w:rsidP="00427FFA">
      <w:pPr>
        <w:pStyle w:val="paragraph"/>
        <w:tabs>
          <w:tab w:val="left" w:pos="720"/>
          <w:tab w:val="left" w:pos="9360"/>
        </w:tabs>
        <w:spacing w:before="0" w:beforeAutospacing="0" w:after="120" w:afterAutospacing="0" w:line="240" w:lineRule="exact"/>
        <w:textAlignment w:val="baseline"/>
        <w:rPr>
          <w:b/>
          <w:bCs/>
          <w:sz w:val="28"/>
          <w:szCs w:val="28"/>
        </w:rPr>
      </w:pPr>
      <w:r>
        <w:rPr>
          <w:b/>
          <w:bCs/>
          <w:sz w:val="28"/>
          <w:szCs w:val="28"/>
        </w:rPr>
        <w:t>Progress against entity</w:t>
      </w:r>
      <w:r w:rsidR="00A95F27">
        <w:rPr>
          <w:b/>
          <w:bCs/>
          <w:sz w:val="28"/>
          <w:szCs w:val="28"/>
        </w:rPr>
        <w:t>-</w:t>
      </w:r>
      <w:r>
        <w:rPr>
          <w:b/>
          <w:bCs/>
          <w:sz w:val="28"/>
          <w:szCs w:val="28"/>
        </w:rPr>
        <w:t xml:space="preserve">specific commitments </w:t>
      </w:r>
      <w:r w:rsidR="00427FFA">
        <w:rPr>
          <w:b/>
          <w:bCs/>
          <w:sz w:val="28"/>
          <w:szCs w:val="28"/>
        </w:rPr>
        <w:t>to the funding compact</w:t>
      </w:r>
    </w:p>
    <w:p w14:paraId="1818BBBE" w14:textId="77777777" w:rsidR="00414ADC" w:rsidRDefault="00414ADC" w:rsidP="00B2377C">
      <w:pPr>
        <w:rPr>
          <w:b/>
          <w:color w:val="538135" w:themeColor="accent6" w:themeShade="BF"/>
          <w:sz w:val="18"/>
          <w:szCs w:val="18"/>
          <w:u w:val="single"/>
        </w:rPr>
      </w:pPr>
      <w:bookmarkStart w:id="0" w:name="_Hlk10817179"/>
    </w:p>
    <w:p w14:paraId="07E7362D" w14:textId="77777777" w:rsidR="00B2377C" w:rsidRPr="006C6FC8" w:rsidRDefault="00B2377C" w:rsidP="00B2377C">
      <w:pPr>
        <w:rPr>
          <w:b/>
          <w:color w:val="538135" w:themeColor="accent6" w:themeShade="BF"/>
          <w:sz w:val="18"/>
          <w:szCs w:val="18"/>
          <w:u w:val="single"/>
        </w:rPr>
      </w:pPr>
      <w:r w:rsidRPr="006C6FC8">
        <w:rPr>
          <w:b/>
          <w:color w:val="538135" w:themeColor="accent6" w:themeShade="BF"/>
          <w:sz w:val="18"/>
          <w:szCs w:val="18"/>
          <w:u w:val="single"/>
        </w:rPr>
        <w:t>MEMBER STATE COMMITMENTS</w:t>
      </w:r>
    </w:p>
    <w:tbl>
      <w:tblPr>
        <w:tblStyle w:val="PlainTable2"/>
        <w:tblW w:w="10080" w:type="dxa"/>
        <w:tblLook w:val="04A0" w:firstRow="1" w:lastRow="0" w:firstColumn="1" w:lastColumn="0" w:noHBand="0" w:noVBand="1"/>
      </w:tblPr>
      <w:tblGrid>
        <w:gridCol w:w="1705"/>
        <w:gridCol w:w="2250"/>
        <w:gridCol w:w="2070"/>
        <w:gridCol w:w="4055"/>
      </w:tblGrid>
      <w:tr w:rsidR="00B2377C" w:rsidRPr="006C6FC8" w14:paraId="45B77533" w14:textId="77777777" w:rsidTr="00B237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5" w:type="dxa"/>
          </w:tcPr>
          <w:p w14:paraId="4C162122" w14:textId="77777777" w:rsidR="00B2377C" w:rsidRPr="006C6FC8" w:rsidRDefault="00B2377C" w:rsidP="00B2377C">
            <w:pPr>
              <w:rPr>
                <w:rFonts w:cs="Times New Roman"/>
                <w:b w:val="0"/>
                <w:color w:val="538135" w:themeColor="accent6" w:themeShade="BF"/>
                <w:sz w:val="18"/>
                <w:szCs w:val="18"/>
              </w:rPr>
            </w:pPr>
            <w:bookmarkStart w:id="1" w:name="_Hlk10204146"/>
            <w:r w:rsidRPr="006C6FC8">
              <w:rPr>
                <w:rFonts w:cs="Times New Roman"/>
                <w:color w:val="538135" w:themeColor="accent6" w:themeShade="BF"/>
                <w:sz w:val="18"/>
                <w:szCs w:val="18"/>
              </w:rPr>
              <w:t>Relevant Commitment</w:t>
            </w:r>
          </w:p>
        </w:tc>
        <w:tc>
          <w:tcPr>
            <w:tcW w:w="2250" w:type="dxa"/>
          </w:tcPr>
          <w:p w14:paraId="0801E574" w14:textId="77777777" w:rsidR="00B2377C" w:rsidRPr="006C6FC8" w:rsidRDefault="00B2377C" w:rsidP="00B2377C">
            <w:pPr>
              <w:cnfStyle w:val="100000000000" w:firstRow="1" w:lastRow="0" w:firstColumn="0" w:lastColumn="0" w:oddVBand="0" w:evenVBand="0" w:oddHBand="0" w:evenHBand="0" w:firstRowFirstColumn="0" w:firstRowLastColumn="0" w:lastRowFirstColumn="0" w:lastRowLastColumn="0"/>
              <w:rPr>
                <w:rFonts w:cs="Times New Roman"/>
                <w:b w:val="0"/>
                <w:color w:val="538135" w:themeColor="accent6" w:themeShade="BF"/>
                <w:sz w:val="18"/>
                <w:szCs w:val="18"/>
              </w:rPr>
            </w:pPr>
            <w:r w:rsidRPr="006C6FC8">
              <w:rPr>
                <w:rFonts w:cs="Times New Roman"/>
                <w:color w:val="538135" w:themeColor="accent6" w:themeShade="BF"/>
                <w:sz w:val="18"/>
                <w:szCs w:val="18"/>
              </w:rPr>
              <w:t>Relevant Funding Compact Indicators</w:t>
            </w:r>
          </w:p>
        </w:tc>
        <w:tc>
          <w:tcPr>
            <w:tcW w:w="2070" w:type="dxa"/>
          </w:tcPr>
          <w:p w14:paraId="4BCC4D49" w14:textId="77777777" w:rsidR="00B2377C" w:rsidRPr="006C6FC8" w:rsidRDefault="00B2377C" w:rsidP="00B2377C">
            <w:pPr>
              <w:cnfStyle w:val="100000000000" w:firstRow="1" w:lastRow="0" w:firstColumn="0" w:lastColumn="0" w:oddVBand="0" w:evenVBand="0" w:oddHBand="0" w:evenHBand="0" w:firstRowFirstColumn="0" w:firstRowLastColumn="0" w:lastRowFirstColumn="0" w:lastRowLastColumn="0"/>
              <w:rPr>
                <w:rFonts w:cs="Times New Roman"/>
                <w:b w:val="0"/>
                <w:color w:val="538135" w:themeColor="accent6" w:themeShade="BF"/>
                <w:sz w:val="18"/>
                <w:szCs w:val="18"/>
              </w:rPr>
            </w:pPr>
            <w:r w:rsidRPr="006C6FC8">
              <w:rPr>
                <w:rFonts w:cs="Times New Roman"/>
                <w:color w:val="538135" w:themeColor="accent6" w:themeShade="BF"/>
                <w:sz w:val="18"/>
                <w:szCs w:val="18"/>
              </w:rPr>
              <w:t>System-wide Baselines &amp; Targets from Funding Compact</w:t>
            </w:r>
          </w:p>
        </w:tc>
        <w:tc>
          <w:tcPr>
            <w:tcW w:w="4055" w:type="dxa"/>
          </w:tcPr>
          <w:p w14:paraId="77BDC18F" w14:textId="175E75DD" w:rsidR="00B2377C" w:rsidRPr="006C6FC8" w:rsidRDefault="00B2377C" w:rsidP="00B2377C">
            <w:pPr>
              <w:cnfStyle w:val="100000000000" w:firstRow="1" w:lastRow="0" w:firstColumn="0" w:lastColumn="0" w:oddVBand="0" w:evenVBand="0" w:oddHBand="0" w:evenHBand="0" w:firstRowFirstColumn="0" w:firstRowLastColumn="0" w:lastRowFirstColumn="0" w:lastRowLastColumn="0"/>
              <w:rPr>
                <w:rFonts w:cs="Times New Roman"/>
                <w:b w:val="0"/>
                <w:color w:val="538135" w:themeColor="accent6" w:themeShade="BF"/>
                <w:sz w:val="18"/>
                <w:szCs w:val="18"/>
              </w:rPr>
            </w:pPr>
            <w:r w:rsidRPr="006C6FC8">
              <w:rPr>
                <w:rFonts w:cs="Times New Roman"/>
                <w:color w:val="538135" w:themeColor="accent6" w:themeShade="BF"/>
                <w:sz w:val="18"/>
                <w:szCs w:val="18"/>
              </w:rPr>
              <w:t>UN</w:t>
            </w:r>
            <w:r>
              <w:rPr>
                <w:rFonts w:cs="Times New Roman"/>
                <w:color w:val="538135" w:themeColor="accent6" w:themeShade="BF"/>
                <w:sz w:val="18"/>
                <w:szCs w:val="18"/>
              </w:rPr>
              <w:t>DP</w:t>
            </w:r>
            <w:r w:rsidRPr="006C6FC8">
              <w:rPr>
                <w:rFonts w:cs="Times New Roman"/>
                <w:color w:val="538135" w:themeColor="accent6" w:themeShade="BF"/>
                <w:sz w:val="18"/>
                <w:szCs w:val="18"/>
              </w:rPr>
              <w:t xml:space="preserve"> </w:t>
            </w:r>
            <w:r>
              <w:rPr>
                <w:rFonts w:cs="Times New Roman"/>
                <w:color w:val="538135" w:themeColor="accent6" w:themeShade="BF"/>
                <w:sz w:val="18"/>
                <w:szCs w:val="18"/>
              </w:rPr>
              <w:t>Progress</w:t>
            </w:r>
            <w:r w:rsidRPr="006C6FC8">
              <w:rPr>
                <w:rFonts w:cs="Times New Roman"/>
                <w:color w:val="538135" w:themeColor="accent6" w:themeShade="BF"/>
                <w:sz w:val="18"/>
                <w:szCs w:val="18"/>
              </w:rPr>
              <w:t xml:space="preserve"> 20</w:t>
            </w:r>
            <w:r w:rsidR="00F34ED5">
              <w:rPr>
                <w:rFonts w:cs="Times New Roman"/>
                <w:color w:val="538135" w:themeColor="accent6" w:themeShade="BF"/>
                <w:sz w:val="18"/>
                <w:szCs w:val="18"/>
              </w:rPr>
              <w:t>2</w:t>
            </w:r>
            <w:r w:rsidR="0086120B">
              <w:rPr>
                <w:rFonts w:cs="Times New Roman"/>
                <w:color w:val="538135" w:themeColor="accent6" w:themeShade="BF"/>
                <w:sz w:val="18"/>
                <w:szCs w:val="18"/>
              </w:rPr>
              <w:t>2</w:t>
            </w:r>
            <w:r w:rsidRPr="00D4539E">
              <w:rPr>
                <w:rStyle w:val="FootnoteReference"/>
                <w:color w:val="538135" w:themeColor="accent6" w:themeShade="BF"/>
                <w:sz w:val="18"/>
                <w:szCs w:val="18"/>
              </w:rPr>
              <w:footnoteReference w:id="2"/>
            </w:r>
          </w:p>
        </w:tc>
      </w:tr>
      <w:bookmarkEnd w:id="1"/>
      <w:tr w:rsidR="00B2377C" w:rsidRPr="006C6FC8" w14:paraId="73342745" w14:textId="77777777" w:rsidTr="00B2377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80" w:type="dxa"/>
            <w:gridSpan w:val="4"/>
            <w:vAlign w:val="center"/>
          </w:tcPr>
          <w:p w14:paraId="2A17EEE2" w14:textId="77777777" w:rsidR="00B2377C" w:rsidRPr="006C6FC8" w:rsidRDefault="00B2377C" w:rsidP="00B2377C">
            <w:pPr>
              <w:rPr>
                <w:rFonts w:cs="Times New Roman"/>
                <w:b w:val="0"/>
                <w:sz w:val="18"/>
                <w:szCs w:val="18"/>
              </w:rPr>
            </w:pPr>
            <w:r w:rsidRPr="006C6FC8">
              <w:rPr>
                <w:rFonts w:cs="Times New Roman"/>
                <w:sz w:val="18"/>
                <w:szCs w:val="18"/>
              </w:rPr>
              <w:t>Aligning funding to entity requirements</w:t>
            </w:r>
          </w:p>
        </w:tc>
      </w:tr>
      <w:tr w:rsidR="00B2377C" w:rsidRPr="006C6FC8" w14:paraId="77DE5E66" w14:textId="77777777" w:rsidTr="00B2377C">
        <w:tc>
          <w:tcPr>
            <w:cnfStyle w:val="001000000000" w:firstRow="0" w:lastRow="0" w:firstColumn="1" w:lastColumn="0" w:oddVBand="0" w:evenVBand="0" w:oddHBand="0" w:evenHBand="0" w:firstRowFirstColumn="0" w:firstRowLastColumn="0" w:lastRowFirstColumn="0" w:lastRowLastColumn="0"/>
            <w:tcW w:w="1705" w:type="dxa"/>
            <w:vMerge w:val="restart"/>
          </w:tcPr>
          <w:p w14:paraId="32D373BC" w14:textId="77777777" w:rsidR="00B2377C" w:rsidRPr="006C6FC8" w:rsidRDefault="00B2377C" w:rsidP="00B2377C">
            <w:pPr>
              <w:spacing w:after="120"/>
              <w:rPr>
                <w:rFonts w:cs="Times New Roman"/>
                <w:sz w:val="18"/>
                <w:szCs w:val="18"/>
              </w:rPr>
            </w:pPr>
            <w:r w:rsidRPr="006C6FC8">
              <w:rPr>
                <w:rFonts w:cs="Times New Roman"/>
                <w:sz w:val="18"/>
                <w:szCs w:val="18"/>
              </w:rPr>
              <w:t>1. Increase core resources for the UNDS</w:t>
            </w:r>
          </w:p>
        </w:tc>
        <w:tc>
          <w:tcPr>
            <w:tcW w:w="2250" w:type="dxa"/>
            <w:tcBorders>
              <w:bottom w:val="nil"/>
            </w:tcBorders>
          </w:tcPr>
          <w:p w14:paraId="750BBBE6" w14:textId="775465BA" w:rsidR="00B2377C" w:rsidRPr="006C6FC8"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6C6FC8">
              <w:rPr>
                <w:rFonts w:cs="Times New Roman"/>
                <w:sz w:val="18"/>
                <w:szCs w:val="18"/>
              </w:rPr>
              <w:t xml:space="preserve">Core resources as </w:t>
            </w:r>
            <w:r w:rsidR="00BF61EF">
              <w:rPr>
                <w:rFonts w:cs="Times New Roman"/>
                <w:sz w:val="18"/>
                <w:szCs w:val="18"/>
              </w:rPr>
              <w:t xml:space="preserve">a </w:t>
            </w:r>
            <w:r w:rsidRPr="006C6FC8">
              <w:rPr>
                <w:rFonts w:cs="Times New Roman"/>
                <w:sz w:val="18"/>
                <w:szCs w:val="18"/>
              </w:rPr>
              <w:t>share of voluntary funding for development related activities</w:t>
            </w:r>
          </w:p>
        </w:tc>
        <w:tc>
          <w:tcPr>
            <w:tcW w:w="2070" w:type="dxa"/>
            <w:tcBorders>
              <w:bottom w:val="nil"/>
            </w:tcBorders>
          </w:tcPr>
          <w:p w14:paraId="5E346721" w14:textId="77777777" w:rsidR="00B2377C" w:rsidRPr="006C6FC8"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6C6FC8">
              <w:rPr>
                <w:rFonts w:cs="Times New Roman"/>
                <w:sz w:val="18"/>
                <w:szCs w:val="18"/>
              </w:rPr>
              <w:t>Baseline (2017): 19.4%</w:t>
            </w:r>
          </w:p>
          <w:p w14:paraId="1B655181" w14:textId="77777777" w:rsidR="00B2377C" w:rsidRPr="006C6FC8"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6C6FC8">
              <w:rPr>
                <w:rFonts w:cs="Times New Roman"/>
                <w:sz w:val="18"/>
                <w:szCs w:val="18"/>
              </w:rPr>
              <w:t>Target (2023): 30%</w:t>
            </w:r>
          </w:p>
        </w:tc>
        <w:tc>
          <w:tcPr>
            <w:tcW w:w="4055" w:type="dxa"/>
            <w:tcBorders>
              <w:bottom w:val="nil"/>
            </w:tcBorders>
          </w:tcPr>
          <w:p w14:paraId="18F486A6" w14:textId="4E2170CB" w:rsidR="00B2377C" w:rsidRPr="007B7C4A"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b/>
                <w:bCs/>
                <w:sz w:val="18"/>
                <w:szCs w:val="18"/>
              </w:rPr>
            </w:pPr>
            <w:r w:rsidRPr="007B7C4A">
              <w:rPr>
                <w:rFonts w:cs="Times New Roman"/>
                <w:b/>
                <w:bCs/>
                <w:sz w:val="18"/>
                <w:szCs w:val="18"/>
              </w:rPr>
              <w:t>Baseline 20</w:t>
            </w:r>
            <w:r w:rsidR="00A93209" w:rsidRPr="007B7C4A">
              <w:rPr>
                <w:rFonts w:cs="Times New Roman"/>
                <w:b/>
                <w:bCs/>
                <w:sz w:val="18"/>
                <w:szCs w:val="18"/>
              </w:rPr>
              <w:t>2</w:t>
            </w:r>
            <w:r w:rsidR="0042146F" w:rsidRPr="007B7C4A">
              <w:rPr>
                <w:rFonts w:cs="Times New Roman"/>
                <w:b/>
                <w:bCs/>
                <w:sz w:val="18"/>
                <w:szCs w:val="18"/>
              </w:rPr>
              <w:t>1</w:t>
            </w:r>
            <w:r w:rsidRPr="007B7C4A">
              <w:rPr>
                <w:rFonts w:cs="Times New Roman"/>
                <w:b/>
                <w:bCs/>
                <w:sz w:val="18"/>
                <w:szCs w:val="18"/>
              </w:rPr>
              <w:t>: 1</w:t>
            </w:r>
            <w:r w:rsidR="001568F8" w:rsidRPr="007B7C4A">
              <w:rPr>
                <w:rFonts w:cs="Times New Roman"/>
                <w:b/>
                <w:bCs/>
                <w:sz w:val="18"/>
                <w:szCs w:val="18"/>
              </w:rPr>
              <w:t>2</w:t>
            </w:r>
            <w:r w:rsidRPr="007B7C4A">
              <w:rPr>
                <w:rFonts w:cs="Times New Roman"/>
                <w:b/>
                <w:bCs/>
                <w:sz w:val="18"/>
                <w:szCs w:val="18"/>
              </w:rPr>
              <w:t>%</w:t>
            </w:r>
            <w:r w:rsidRPr="007B7C4A">
              <w:rPr>
                <w:rFonts w:cs="Times New Roman"/>
                <w:b/>
                <w:bCs/>
                <w:sz w:val="18"/>
                <w:szCs w:val="18"/>
              </w:rPr>
              <w:br/>
              <w:t>Progress 20</w:t>
            </w:r>
            <w:r w:rsidR="00E824CE" w:rsidRPr="007B7C4A">
              <w:rPr>
                <w:rFonts w:cs="Times New Roman"/>
                <w:b/>
                <w:bCs/>
                <w:sz w:val="18"/>
                <w:szCs w:val="18"/>
              </w:rPr>
              <w:t>2</w:t>
            </w:r>
            <w:r w:rsidR="0042146F" w:rsidRPr="007B7C4A">
              <w:rPr>
                <w:rFonts w:cs="Times New Roman"/>
                <w:b/>
                <w:bCs/>
                <w:sz w:val="18"/>
                <w:szCs w:val="18"/>
              </w:rPr>
              <w:t>2</w:t>
            </w:r>
            <w:r w:rsidRPr="007B7C4A">
              <w:rPr>
                <w:rFonts w:cs="Times New Roman"/>
                <w:b/>
                <w:bCs/>
                <w:sz w:val="18"/>
                <w:szCs w:val="18"/>
              </w:rPr>
              <w:t>: 1</w:t>
            </w:r>
            <w:r w:rsidR="00E824CE" w:rsidRPr="007B7C4A">
              <w:rPr>
                <w:rFonts w:cs="Times New Roman"/>
                <w:b/>
                <w:bCs/>
                <w:sz w:val="18"/>
                <w:szCs w:val="18"/>
              </w:rPr>
              <w:t>2</w:t>
            </w:r>
            <w:r w:rsidRPr="007B7C4A">
              <w:rPr>
                <w:rFonts w:cs="Times New Roman"/>
                <w:b/>
                <w:bCs/>
                <w:sz w:val="18"/>
                <w:szCs w:val="18"/>
              </w:rPr>
              <w:t>%</w:t>
            </w:r>
            <w:r w:rsidRPr="007B7C4A">
              <w:rPr>
                <w:rFonts w:cs="Times New Roman"/>
                <w:b/>
                <w:bCs/>
                <w:sz w:val="18"/>
                <w:szCs w:val="18"/>
              </w:rPr>
              <w:br/>
            </w:r>
            <w:r w:rsidR="004335BA" w:rsidRPr="007B7C4A">
              <w:rPr>
                <w:rFonts w:cs="Times New Roman"/>
                <w:b/>
                <w:bCs/>
                <w:sz w:val="18"/>
                <w:szCs w:val="18"/>
              </w:rPr>
              <w:t xml:space="preserve">Target </w:t>
            </w:r>
            <w:r w:rsidRPr="007B7C4A">
              <w:rPr>
                <w:rFonts w:cs="Times New Roman"/>
                <w:b/>
                <w:bCs/>
                <w:sz w:val="18"/>
                <w:szCs w:val="18"/>
              </w:rPr>
              <w:t>202</w:t>
            </w:r>
            <w:r w:rsidR="0042146F" w:rsidRPr="007B7C4A">
              <w:rPr>
                <w:rFonts w:cs="Times New Roman"/>
                <w:b/>
                <w:bCs/>
                <w:sz w:val="18"/>
                <w:szCs w:val="18"/>
              </w:rPr>
              <w:t>3</w:t>
            </w:r>
            <w:r w:rsidRPr="007B7C4A">
              <w:rPr>
                <w:rFonts w:cs="Times New Roman"/>
                <w:b/>
                <w:bCs/>
                <w:sz w:val="18"/>
                <w:szCs w:val="18"/>
              </w:rPr>
              <w:t xml:space="preserve">: </w:t>
            </w:r>
            <w:r w:rsidR="0042146F" w:rsidRPr="007B7C4A">
              <w:rPr>
                <w:rFonts w:cs="Times New Roman"/>
                <w:b/>
                <w:bCs/>
                <w:sz w:val="18"/>
                <w:szCs w:val="18"/>
              </w:rPr>
              <w:t>30</w:t>
            </w:r>
            <w:r w:rsidRPr="007B7C4A">
              <w:rPr>
                <w:rFonts w:cs="Times New Roman"/>
                <w:b/>
                <w:bCs/>
                <w:sz w:val="18"/>
                <w:szCs w:val="18"/>
              </w:rPr>
              <w:t>%</w:t>
            </w:r>
          </w:p>
        </w:tc>
      </w:tr>
      <w:tr w:rsidR="00B2377C" w:rsidRPr="006C6FC8" w14:paraId="14F5916D" w14:textId="77777777" w:rsidTr="00B23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Merge/>
          </w:tcPr>
          <w:p w14:paraId="28D875ED" w14:textId="77777777" w:rsidR="00B2377C" w:rsidRPr="006C6FC8" w:rsidRDefault="00B2377C" w:rsidP="00B2377C">
            <w:pPr>
              <w:spacing w:after="120"/>
              <w:rPr>
                <w:rFonts w:cs="Times New Roman"/>
                <w:sz w:val="18"/>
                <w:szCs w:val="18"/>
              </w:rPr>
            </w:pPr>
          </w:p>
        </w:tc>
        <w:tc>
          <w:tcPr>
            <w:tcW w:w="2250" w:type="dxa"/>
            <w:tcBorders>
              <w:top w:val="nil"/>
            </w:tcBorders>
          </w:tcPr>
          <w:p w14:paraId="1330DD24" w14:textId="77777777" w:rsidR="00B2377C" w:rsidRPr="009F28CA"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9F28CA">
              <w:rPr>
                <w:rFonts w:cs="Times New Roman"/>
                <w:sz w:val="18"/>
                <w:szCs w:val="18"/>
              </w:rPr>
              <w:t xml:space="preserve">Core share of funding for development-related activities (including assessed contributions); </w:t>
            </w:r>
          </w:p>
        </w:tc>
        <w:tc>
          <w:tcPr>
            <w:tcW w:w="2070" w:type="dxa"/>
            <w:tcBorders>
              <w:top w:val="nil"/>
            </w:tcBorders>
          </w:tcPr>
          <w:p w14:paraId="54A071F6" w14:textId="77777777" w:rsidR="00B2377C" w:rsidRPr="006C6FC8"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9F28CA">
              <w:rPr>
                <w:rFonts w:cs="Times New Roman"/>
                <w:sz w:val="18"/>
                <w:szCs w:val="18"/>
              </w:rPr>
              <w:t>(2017): 27.0%</w:t>
            </w:r>
          </w:p>
        </w:tc>
        <w:tc>
          <w:tcPr>
            <w:tcW w:w="4055" w:type="dxa"/>
            <w:tcBorders>
              <w:top w:val="nil"/>
            </w:tcBorders>
          </w:tcPr>
          <w:p w14:paraId="2A40D9F0" w14:textId="2E30624F" w:rsidR="00B2377C" w:rsidRPr="00313CFA"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9F28CA">
              <w:rPr>
                <w:rFonts w:cs="Times New Roman"/>
                <w:sz w:val="18"/>
                <w:szCs w:val="18"/>
              </w:rPr>
              <w:t>UN</w:t>
            </w:r>
            <w:r>
              <w:rPr>
                <w:rFonts w:cs="Times New Roman"/>
                <w:sz w:val="18"/>
                <w:szCs w:val="18"/>
              </w:rPr>
              <w:t>DP</w:t>
            </w:r>
            <w:r w:rsidRPr="009F28CA">
              <w:rPr>
                <w:rFonts w:cs="Times New Roman"/>
                <w:sz w:val="18"/>
                <w:szCs w:val="18"/>
              </w:rPr>
              <w:t xml:space="preserve"> is entirely voluntarily funded and does not receive assessed contributions</w:t>
            </w:r>
            <w:r w:rsidR="007B7C4A">
              <w:rPr>
                <w:rFonts w:cs="Times New Roman"/>
                <w:sz w:val="18"/>
                <w:szCs w:val="18"/>
              </w:rPr>
              <w:t>.</w:t>
            </w:r>
          </w:p>
        </w:tc>
      </w:tr>
      <w:tr w:rsidR="00B2377C" w:rsidRPr="006C6FC8" w14:paraId="60FC3320" w14:textId="77777777" w:rsidTr="00B2377C">
        <w:tc>
          <w:tcPr>
            <w:cnfStyle w:val="001000000000" w:firstRow="0" w:lastRow="0" w:firstColumn="1" w:lastColumn="0" w:oddVBand="0" w:evenVBand="0" w:oddHBand="0" w:evenHBand="0" w:firstRowFirstColumn="0" w:firstRowLastColumn="0" w:lastRowFirstColumn="0" w:lastRowLastColumn="0"/>
            <w:tcW w:w="1705" w:type="dxa"/>
            <w:vMerge w:val="restart"/>
          </w:tcPr>
          <w:p w14:paraId="2BD8AFC8" w14:textId="77777777" w:rsidR="00B2377C" w:rsidRPr="006C6FC8" w:rsidRDefault="00B2377C" w:rsidP="00B2377C">
            <w:pPr>
              <w:spacing w:after="120"/>
              <w:rPr>
                <w:rFonts w:cs="Times New Roman"/>
                <w:sz w:val="18"/>
                <w:szCs w:val="18"/>
              </w:rPr>
            </w:pPr>
            <w:r w:rsidRPr="006C6FC8">
              <w:rPr>
                <w:rFonts w:cs="Times New Roman"/>
                <w:sz w:val="18"/>
                <w:szCs w:val="18"/>
              </w:rPr>
              <w:t>2. Double share of non-core contributions provided through development related pooled &amp; thematic funds</w:t>
            </w:r>
          </w:p>
        </w:tc>
        <w:tc>
          <w:tcPr>
            <w:tcW w:w="2250" w:type="dxa"/>
            <w:tcBorders>
              <w:bottom w:val="nil"/>
            </w:tcBorders>
          </w:tcPr>
          <w:p w14:paraId="32DC5370" w14:textId="77777777" w:rsidR="00B2377C" w:rsidRPr="006C6FC8"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6C6FC8">
              <w:rPr>
                <w:rFonts w:cs="Times New Roman"/>
                <w:sz w:val="18"/>
                <w:szCs w:val="18"/>
              </w:rPr>
              <w:t>% of non-core resources for development related activities channeled through inter-agency pooled funds</w:t>
            </w:r>
          </w:p>
        </w:tc>
        <w:tc>
          <w:tcPr>
            <w:tcW w:w="2070" w:type="dxa"/>
            <w:tcBorders>
              <w:bottom w:val="nil"/>
            </w:tcBorders>
          </w:tcPr>
          <w:p w14:paraId="4979C9FA" w14:textId="77777777" w:rsidR="00B2377C" w:rsidRPr="006C6FC8"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6C6FC8">
              <w:rPr>
                <w:rFonts w:cs="Times New Roman"/>
                <w:sz w:val="18"/>
                <w:szCs w:val="18"/>
              </w:rPr>
              <w:t>Baseline (2017): 5%</w:t>
            </w:r>
          </w:p>
          <w:p w14:paraId="604650F0" w14:textId="77777777" w:rsidR="00B2377C" w:rsidRPr="006C6FC8"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6C6FC8">
              <w:rPr>
                <w:rFonts w:cs="Times New Roman"/>
                <w:sz w:val="18"/>
                <w:szCs w:val="18"/>
              </w:rPr>
              <w:t>Target (2023): 10%</w:t>
            </w:r>
          </w:p>
        </w:tc>
        <w:tc>
          <w:tcPr>
            <w:tcW w:w="4055" w:type="dxa"/>
            <w:tcBorders>
              <w:bottom w:val="nil"/>
            </w:tcBorders>
          </w:tcPr>
          <w:p w14:paraId="049BEE38" w14:textId="0D433D69" w:rsidR="00B2377C" w:rsidRPr="007B7C4A" w:rsidRDefault="00B2377C" w:rsidP="00B2377C">
            <w:pPr>
              <w:cnfStyle w:val="000000000000" w:firstRow="0" w:lastRow="0" w:firstColumn="0" w:lastColumn="0" w:oddVBand="0" w:evenVBand="0" w:oddHBand="0" w:evenHBand="0" w:firstRowFirstColumn="0" w:firstRowLastColumn="0" w:lastRowFirstColumn="0" w:lastRowLastColumn="0"/>
              <w:rPr>
                <w:rFonts w:cs="Times New Roman"/>
                <w:b/>
                <w:bCs/>
                <w:sz w:val="18"/>
                <w:szCs w:val="18"/>
              </w:rPr>
            </w:pPr>
            <w:r w:rsidRPr="00D176CE">
              <w:rPr>
                <w:rFonts w:cs="Times New Roman"/>
                <w:sz w:val="18"/>
                <w:szCs w:val="18"/>
              </w:rPr>
              <w:t>Inter-agency pooled funding as a share of total non-core resources to UN</w:t>
            </w:r>
            <w:r>
              <w:rPr>
                <w:rFonts w:cs="Times New Roman"/>
                <w:sz w:val="18"/>
                <w:szCs w:val="18"/>
              </w:rPr>
              <w:t>DP:</w:t>
            </w:r>
            <w:r w:rsidRPr="00D176CE">
              <w:rPr>
                <w:rFonts w:cs="Times New Roman"/>
                <w:sz w:val="18"/>
                <w:szCs w:val="18"/>
              </w:rPr>
              <w:br/>
            </w:r>
            <w:r w:rsidRPr="007B7C4A">
              <w:rPr>
                <w:rFonts w:cs="Times New Roman"/>
                <w:b/>
                <w:bCs/>
                <w:sz w:val="18"/>
                <w:szCs w:val="18"/>
              </w:rPr>
              <w:t>Baseline 20</w:t>
            </w:r>
            <w:r w:rsidR="00A93209" w:rsidRPr="007B7C4A">
              <w:rPr>
                <w:rFonts w:cs="Times New Roman"/>
                <w:b/>
                <w:bCs/>
                <w:sz w:val="18"/>
                <w:szCs w:val="18"/>
              </w:rPr>
              <w:t>2</w:t>
            </w:r>
            <w:r w:rsidR="0042146F" w:rsidRPr="007B7C4A">
              <w:rPr>
                <w:rFonts w:cs="Times New Roman"/>
                <w:b/>
                <w:bCs/>
                <w:sz w:val="18"/>
                <w:szCs w:val="18"/>
              </w:rPr>
              <w:t>1</w:t>
            </w:r>
            <w:r w:rsidRPr="007B7C4A">
              <w:rPr>
                <w:rFonts w:cs="Times New Roman"/>
                <w:b/>
                <w:bCs/>
                <w:sz w:val="18"/>
                <w:szCs w:val="18"/>
              </w:rPr>
              <w:t xml:space="preserve">: </w:t>
            </w:r>
            <w:r w:rsidR="0042146F" w:rsidRPr="007B7C4A">
              <w:rPr>
                <w:rFonts w:cs="Times New Roman"/>
                <w:b/>
                <w:bCs/>
                <w:sz w:val="18"/>
                <w:szCs w:val="18"/>
              </w:rPr>
              <w:t>7</w:t>
            </w:r>
            <w:r w:rsidRPr="007B7C4A">
              <w:rPr>
                <w:rFonts w:cs="Times New Roman"/>
                <w:b/>
                <w:bCs/>
                <w:sz w:val="18"/>
                <w:szCs w:val="18"/>
              </w:rPr>
              <w:t xml:space="preserve">% </w:t>
            </w:r>
          </w:p>
          <w:p w14:paraId="6D0E8473" w14:textId="7DE820C6" w:rsidR="00B2377C" w:rsidRPr="00FE36E9"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b/>
                <w:bCs/>
                <w:sz w:val="18"/>
                <w:szCs w:val="18"/>
              </w:rPr>
            </w:pPr>
            <w:r w:rsidRPr="007B7C4A">
              <w:rPr>
                <w:rFonts w:cs="Times New Roman"/>
                <w:b/>
                <w:bCs/>
                <w:sz w:val="18"/>
                <w:szCs w:val="18"/>
              </w:rPr>
              <w:t>Progress 20</w:t>
            </w:r>
            <w:r w:rsidR="00E824CE" w:rsidRPr="007B7C4A">
              <w:rPr>
                <w:rFonts w:cs="Times New Roman"/>
                <w:b/>
                <w:bCs/>
                <w:sz w:val="18"/>
                <w:szCs w:val="18"/>
              </w:rPr>
              <w:t>2</w:t>
            </w:r>
            <w:r w:rsidR="0042146F" w:rsidRPr="007B7C4A">
              <w:rPr>
                <w:rFonts w:cs="Times New Roman"/>
                <w:b/>
                <w:bCs/>
                <w:sz w:val="18"/>
                <w:szCs w:val="18"/>
              </w:rPr>
              <w:t>2</w:t>
            </w:r>
            <w:r w:rsidRPr="007B7C4A">
              <w:rPr>
                <w:rFonts w:cs="Times New Roman"/>
                <w:b/>
                <w:bCs/>
                <w:sz w:val="18"/>
                <w:szCs w:val="18"/>
              </w:rPr>
              <w:t xml:space="preserve">: </w:t>
            </w:r>
            <w:r w:rsidR="0042146F" w:rsidRPr="007B7C4A">
              <w:rPr>
                <w:rFonts w:cs="Times New Roman"/>
                <w:b/>
                <w:bCs/>
                <w:sz w:val="18"/>
                <w:szCs w:val="18"/>
              </w:rPr>
              <w:t>5</w:t>
            </w:r>
            <w:r w:rsidRPr="007B7C4A">
              <w:rPr>
                <w:rFonts w:cs="Times New Roman"/>
                <w:b/>
                <w:bCs/>
                <w:sz w:val="18"/>
                <w:szCs w:val="18"/>
              </w:rPr>
              <w:t xml:space="preserve">% </w:t>
            </w:r>
            <w:r w:rsidRPr="007B7C4A">
              <w:rPr>
                <w:rFonts w:cs="Times New Roman"/>
                <w:b/>
                <w:bCs/>
                <w:sz w:val="18"/>
                <w:szCs w:val="18"/>
              </w:rPr>
              <w:br/>
            </w:r>
            <w:r w:rsidR="004335BA" w:rsidRPr="007B7C4A">
              <w:rPr>
                <w:rFonts w:cs="Times New Roman"/>
                <w:b/>
                <w:bCs/>
                <w:sz w:val="18"/>
                <w:szCs w:val="18"/>
              </w:rPr>
              <w:t xml:space="preserve">Target </w:t>
            </w:r>
            <w:r w:rsidRPr="007B7C4A">
              <w:rPr>
                <w:rFonts w:cs="Times New Roman"/>
                <w:b/>
                <w:bCs/>
                <w:sz w:val="18"/>
                <w:szCs w:val="18"/>
              </w:rPr>
              <w:t>202</w:t>
            </w:r>
            <w:r w:rsidR="0042146F" w:rsidRPr="007B7C4A">
              <w:rPr>
                <w:rFonts w:cs="Times New Roman"/>
                <w:b/>
                <w:bCs/>
                <w:sz w:val="18"/>
                <w:szCs w:val="18"/>
              </w:rPr>
              <w:t>3</w:t>
            </w:r>
            <w:r w:rsidRPr="007B7C4A">
              <w:rPr>
                <w:rFonts w:cs="Times New Roman"/>
                <w:b/>
                <w:bCs/>
                <w:sz w:val="18"/>
                <w:szCs w:val="18"/>
              </w:rPr>
              <w:t xml:space="preserve">: </w:t>
            </w:r>
            <w:r w:rsidR="0042146F" w:rsidRPr="007B7C4A">
              <w:rPr>
                <w:rFonts w:cs="Times New Roman"/>
                <w:b/>
                <w:bCs/>
                <w:sz w:val="18"/>
                <w:szCs w:val="18"/>
              </w:rPr>
              <w:t>10</w:t>
            </w:r>
            <w:r w:rsidRPr="007B7C4A">
              <w:rPr>
                <w:rFonts w:cs="Times New Roman"/>
                <w:b/>
                <w:bCs/>
                <w:sz w:val="18"/>
                <w:szCs w:val="18"/>
              </w:rPr>
              <w:t>%</w:t>
            </w:r>
            <w:r>
              <w:rPr>
                <w:rFonts w:cs="Times New Roman"/>
                <w:sz w:val="18"/>
                <w:szCs w:val="18"/>
              </w:rPr>
              <w:br/>
            </w:r>
          </w:p>
        </w:tc>
      </w:tr>
      <w:tr w:rsidR="00B2377C" w:rsidRPr="006C6FC8" w14:paraId="64EADB0A" w14:textId="77777777" w:rsidTr="00B23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Merge/>
          </w:tcPr>
          <w:p w14:paraId="46423C80" w14:textId="77777777" w:rsidR="00B2377C" w:rsidRPr="006C6FC8" w:rsidRDefault="00B2377C" w:rsidP="00B2377C">
            <w:pPr>
              <w:spacing w:after="120"/>
              <w:rPr>
                <w:rFonts w:cs="Times New Roman"/>
                <w:sz w:val="18"/>
                <w:szCs w:val="18"/>
              </w:rPr>
            </w:pPr>
          </w:p>
        </w:tc>
        <w:tc>
          <w:tcPr>
            <w:tcW w:w="2250" w:type="dxa"/>
            <w:tcBorders>
              <w:top w:val="nil"/>
            </w:tcBorders>
          </w:tcPr>
          <w:p w14:paraId="7617C739" w14:textId="77777777" w:rsidR="00B2377C" w:rsidRPr="006C6FC8"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6C6FC8">
              <w:rPr>
                <w:rFonts w:cs="Times New Roman"/>
                <w:sz w:val="18"/>
                <w:szCs w:val="18"/>
              </w:rPr>
              <w:t>% of non-core resources for development related activities channeled through single agency thematic funds</w:t>
            </w:r>
          </w:p>
        </w:tc>
        <w:tc>
          <w:tcPr>
            <w:tcW w:w="2070" w:type="dxa"/>
            <w:tcBorders>
              <w:top w:val="nil"/>
            </w:tcBorders>
          </w:tcPr>
          <w:p w14:paraId="0942D5EA" w14:textId="77777777" w:rsidR="00B2377C" w:rsidRPr="006C6FC8"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6C6FC8">
              <w:rPr>
                <w:rFonts w:cs="Times New Roman"/>
                <w:sz w:val="18"/>
                <w:szCs w:val="18"/>
              </w:rPr>
              <w:t>Baseline (2017): 3%</w:t>
            </w:r>
          </w:p>
          <w:p w14:paraId="64151D64" w14:textId="77777777" w:rsidR="00B2377C" w:rsidRPr="006C6FC8"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6C6FC8">
              <w:rPr>
                <w:rFonts w:cs="Times New Roman"/>
                <w:sz w:val="18"/>
                <w:szCs w:val="18"/>
              </w:rPr>
              <w:t>Target (2023): 6%</w:t>
            </w:r>
          </w:p>
        </w:tc>
        <w:tc>
          <w:tcPr>
            <w:tcW w:w="4055" w:type="dxa"/>
            <w:tcBorders>
              <w:top w:val="nil"/>
            </w:tcBorders>
          </w:tcPr>
          <w:p w14:paraId="191565B0" w14:textId="2B837957" w:rsidR="00B2377C" w:rsidRPr="006C6FC8"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DC060A">
              <w:rPr>
                <w:rFonts w:cs="Times New Roman"/>
                <w:sz w:val="18"/>
                <w:szCs w:val="18"/>
              </w:rPr>
              <w:t>T</w:t>
            </w:r>
            <w:r>
              <w:rPr>
                <w:rFonts w:cs="Times New Roman"/>
                <w:sz w:val="18"/>
                <w:szCs w:val="18"/>
              </w:rPr>
              <w:t>hematic F</w:t>
            </w:r>
            <w:r w:rsidRPr="00DC060A">
              <w:rPr>
                <w:rFonts w:cs="Times New Roman"/>
                <w:sz w:val="18"/>
                <w:szCs w:val="18"/>
              </w:rPr>
              <w:t xml:space="preserve">unding </w:t>
            </w:r>
            <w:r>
              <w:rPr>
                <w:rFonts w:cs="Times New Roman"/>
                <w:sz w:val="18"/>
                <w:szCs w:val="18"/>
              </w:rPr>
              <w:t xml:space="preserve">Windows </w:t>
            </w:r>
            <w:r w:rsidRPr="00DC060A">
              <w:rPr>
                <w:rFonts w:cs="Times New Roman"/>
                <w:sz w:val="18"/>
                <w:szCs w:val="18"/>
              </w:rPr>
              <w:t>as a share of total non-core resources from member states to UN</w:t>
            </w:r>
            <w:r>
              <w:rPr>
                <w:rFonts w:cs="Times New Roman"/>
                <w:sz w:val="18"/>
                <w:szCs w:val="18"/>
              </w:rPr>
              <w:t>DP</w:t>
            </w:r>
            <w:r w:rsidRPr="00DC060A">
              <w:rPr>
                <w:rFonts w:cs="Times New Roman"/>
                <w:sz w:val="18"/>
                <w:szCs w:val="18"/>
              </w:rPr>
              <w:t>:</w:t>
            </w:r>
            <w:r w:rsidRPr="00DC060A">
              <w:rPr>
                <w:rFonts w:cs="Times New Roman"/>
                <w:sz w:val="18"/>
                <w:szCs w:val="18"/>
              </w:rPr>
              <w:br/>
            </w:r>
            <w:r w:rsidRPr="007B7C4A">
              <w:rPr>
                <w:rFonts w:cs="Times New Roman"/>
                <w:b/>
                <w:bCs/>
                <w:sz w:val="18"/>
                <w:szCs w:val="18"/>
              </w:rPr>
              <w:t>Baseline 20</w:t>
            </w:r>
            <w:r w:rsidR="003B7CFA" w:rsidRPr="007B7C4A">
              <w:rPr>
                <w:rFonts w:cs="Times New Roman"/>
                <w:b/>
                <w:bCs/>
                <w:sz w:val="18"/>
                <w:szCs w:val="18"/>
              </w:rPr>
              <w:t>2</w:t>
            </w:r>
            <w:r w:rsidR="0042146F" w:rsidRPr="007B7C4A">
              <w:rPr>
                <w:rFonts w:cs="Times New Roman"/>
                <w:b/>
                <w:bCs/>
                <w:sz w:val="18"/>
                <w:szCs w:val="18"/>
              </w:rPr>
              <w:t>1</w:t>
            </w:r>
            <w:r w:rsidRPr="007B7C4A">
              <w:rPr>
                <w:rFonts w:cs="Times New Roman"/>
                <w:b/>
                <w:bCs/>
                <w:sz w:val="18"/>
                <w:szCs w:val="18"/>
              </w:rPr>
              <w:t xml:space="preserve">: </w:t>
            </w:r>
            <w:r w:rsidR="0021198F" w:rsidRPr="007B7C4A">
              <w:rPr>
                <w:rFonts w:cs="Times New Roman"/>
                <w:b/>
                <w:bCs/>
                <w:sz w:val="18"/>
                <w:szCs w:val="18"/>
              </w:rPr>
              <w:t>2</w:t>
            </w:r>
            <w:r w:rsidRPr="007B7C4A">
              <w:rPr>
                <w:rFonts w:cs="Times New Roman"/>
                <w:b/>
                <w:bCs/>
                <w:sz w:val="18"/>
                <w:szCs w:val="18"/>
              </w:rPr>
              <w:t xml:space="preserve">% </w:t>
            </w:r>
            <w:r w:rsidRPr="007B7C4A" w:rsidDel="00ED15EC">
              <w:rPr>
                <w:rFonts w:cs="Times New Roman"/>
                <w:b/>
                <w:bCs/>
                <w:sz w:val="18"/>
                <w:szCs w:val="18"/>
                <w:vertAlign w:val="superscript"/>
              </w:rPr>
              <w:t xml:space="preserve"> </w:t>
            </w:r>
            <w:r w:rsidRPr="007B7C4A">
              <w:rPr>
                <w:rFonts w:cs="Times New Roman"/>
                <w:b/>
                <w:bCs/>
                <w:sz w:val="18"/>
                <w:szCs w:val="18"/>
              </w:rPr>
              <w:br/>
              <w:t>Progress 20</w:t>
            </w:r>
            <w:r w:rsidR="004B0C18" w:rsidRPr="007B7C4A">
              <w:rPr>
                <w:rFonts w:cs="Times New Roman"/>
                <w:b/>
                <w:bCs/>
                <w:sz w:val="18"/>
                <w:szCs w:val="18"/>
              </w:rPr>
              <w:t>2</w:t>
            </w:r>
            <w:r w:rsidR="0042146F" w:rsidRPr="007B7C4A">
              <w:rPr>
                <w:rFonts w:cs="Times New Roman"/>
                <w:b/>
                <w:bCs/>
                <w:sz w:val="18"/>
                <w:szCs w:val="18"/>
              </w:rPr>
              <w:t>2</w:t>
            </w:r>
            <w:r w:rsidRPr="007B7C4A">
              <w:rPr>
                <w:rFonts w:cs="Times New Roman"/>
                <w:b/>
                <w:bCs/>
                <w:sz w:val="18"/>
                <w:szCs w:val="18"/>
              </w:rPr>
              <w:t xml:space="preserve">: </w:t>
            </w:r>
            <w:r w:rsidR="0042146F" w:rsidRPr="007B7C4A">
              <w:rPr>
                <w:rFonts w:cs="Times New Roman"/>
                <w:b/>
                <w:bCs/>
                <w:sz w:val="18"/>
                <w:szCs w:val="18"/>
              </w:rPr>
              <w:t>3</w:t>
            </w:r>
            <w:r w:rsidRPr="007B7C4A">
              <w:rPr>
                <w:rFonts w:cs="Times New Roman"/>
                <w:b/>
                <w:bCs/>
                <w:sz w:val="18"/>
                <w:szCs w:val="18"/>
              </w:rPr>
              <w:t xml:space="preserve">% </w:t>
            </w:r>
            <w:r w:rsidRPr="007B7C4A">
              <w:rPr>
                <w:rFonts w:cs="Times New Roman"/>
                <w:b/>
                <w:bCs/>
                <w:sz w:val="18"/>
                <w:szCs w:val="18"/>
              </w:rPr>
              <w:br/>
            </w:r>
            <w:r w:rsidR="004335BA" w:rsidRPr="007B7C4A">
              <w:rPr>
                <w:rFonts w:cs="Times New Roman"/>
                <w:b/>
                <w:bCs/>
                <w:sz w:val="18"/>
                <w:szCs w:val="18"/>
              </w:rPr>
              <w:t xml:space="preserve">Target </w:t>
            </w:r>
            <w:r w:rsidRPr="007B7C4A">
              <w:rPr>
                <w:rFonts w:cs="Times New Roman"/>
                <w:b/>
                <w:bCs/>
                <w:sz w:val="18"/>
                <w:szCs w:val="18"/>
              </w:rPr>
              <w:t>202</w:t>
            </w:r>
            <w:r w:rsidR="003B7CFA" w:rsidRPr="007B7C4A">
              <w:rPr>
                <w:rFonts w:cs="Times New Roman"/>
                <w:b/>
                <w:bCs/>
                <w:sz w:val="18"/>
                <w:szCs w:val="18"/>
              </w:rPr>
              <w:t>2</w:t>
            </w:r>
            <w:r w:rsidRPr="007B7C4A">
              <w:rPr>
                <w:rFonts w:cs="Times New Roman"/>
                <w:b/>
                <w:bCs/>
                <w:sz w:val="18"/>
                <w:szCs w:val="18"/>
              </w:rPr>
              <w:t xml:space="preserve">: </w:t>
            </w:r>
            <w:r w:rsidR="0042146F" w:rsidRPr="007B7C4A">
              <w:rPr>
                <w:rFonts w:cs="Times New Roman"/>
                <w:b/>
                <w:bCs/>
                <w:sz w:val="18"/>
                <w:szCs w:val="18"/>
              </w:rPr>
              <w:t>6</w:t>
            </w:r>
            <w:r w:rsidRPr="007B7C4A">
              <w:rPr>
                <w:rFonts w:cs="Times New Roman"/>
                <w:b/>
                <w:bCs/>
                <w:sz w:val="18"/>
                <w:szCs w:val="18"/>
              </w:rPr>
              <w:t>%</w:t>
            </w:r>
          </w:p>
        </w:tc>
      </w:tr>
      <w:tr w:rsidR="00B2377C" w:rsidRPr="006C6FC8" w14:paraId="1951F115" w14:textId="77777777" w:rsidTr="00B2377C">
        <w:trPr>
          <w:trHeight w:val="288"/>
        </w:trPr>
        <w:tc>
          <w:tcPr>
            <w:cnfStyle w:val="001000000000" w:firstRow="0" w:lastRow="0" w:firstColumn="1" w:lastColumn="0" w:oddVBand="0" w:evenVBand="0" w:oddHBand="0" w:evenHBand="0" w:firstRowFirstColumn="0" w:firstRowLastColumn="0" w:lastRowFirstColumn="0" w:lastRowLastColumn="0"/>
            <w:tcW w:w="10080" w:type="dxa"/>
            <w:gridSpan w:val="4"/>
            <w:vAlign w:val="center"/>
          </w:tcPr>
          <w:p w14:paraId="20E20120" w14:textId="77777777" w:rsidR="00B2377C" w:rsidRPr="00B41CE2" w:rsidRDefault="00B2377C" w:rsidP="00B2377C">
            <w:pPr>
              <w:rPr>
                <w:rFonts w:cs="Times New Roman"/>
                <w:sz w:val="18"/>
                <w:szCs w:val="18"/>
              </w:rPr>
            </w:pPr>
            <w:r w:rsidRPr="006C6FC8">
              <w:rPr>
                <w:rFonts w:cs="Times New Roman"/>
                <w:sz w:val="18"/>
                <w:szCs w:val="18"/>
              </w:rPr>
              <w:t>Providing stability</w:t>
            </w:r>
          </w:p>
        </w:tc>
      </w:tr>
      <w:tr w:rsidR="00B2377C" w:rsidRPr="006C6FC8" w14:paraId="496D8C20" w14:textId="77777777" w:rsidTr="00B23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Merge w:val="restart"/>
          </w:tcPr>
          <w:p w14:paraId="779A7EE7" w14:textId="77777777" w:rsidR="00B2377C" w:rsidRPr="006C6FC8" w:rsidRDefault="00B2377C" w:rsidP="00B2377C">
            <w:pPr>
              <w:spacing w:after="120"/>
              <w:rPr>
                <w:rFonts w:cs="Times New Roman"/>
                <w:sz w:val="18"/>
                <w:szCs w:val="18"/>
              </w:rPr>
            </w:pPr>
            <w:r w:rsidRPr="006C6FC8">
              <w:rPr>
                <w:rFonts w:cs="Times New Roman"/>
                <w:sz w:val="18"/>
                <w:szCs w:val="18"/>
              </w:rPr>
              <w:t>3. Broaden the sources of funding support to the UNDS</w:t>
            </w:r>
          </w:p>
        </w:tc>
        <w:tc>
          <w:tcPr>
            <w:tcW w:w="2250" w:type="dxa"/>
            <w:tcBorders>
              <w:bottom w:val="nil"/>
            </w:tcBorders>
          </w:tcPr>
          <w:p w14:paraId="7D0360AC" w14:textId="77777777" w:rsidR="00B2377C" w:rsidRPr="006C6FC8"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6C6FC8">
              <w:rPr>
                <w:rFonts w:cs="Times New Roman"/>
                <w:sz w:val="18"/>
                <w:szCs w:val="18"/>
              </w:rPr>
              <w:t>Number of UNSDG entities reporting an annual increase in the number of contributors of core resources</w:t>
            </w:r>
          </w:p>
        </w:tc>
        <w:tc>
          <w:tcPr>
            <w:tcW w:w="2070" w:type="dxa"/>
            <w:tcBorders>
              <w:bottom w:val="nil"/>
            </w:tcBorders>
          </w:tcPr>
          <w:p w14:paraId="05A090F6" w14:textId="77777777" w:rsidR="00B2377C" w:rsidRPr="006C6FC8"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6C6FC8">
              <w:rPr>
                <w:rFonts w:cs="Times New Roman"/>
                <w:sz w:val="18"/>
                <w:szCs w:val="18"/>
              </w:rPr>
              <w:t>Baseline (2017): 66%</w:t>
            </w:r>
          </w:p>
          <w:p w14:paraId="7BE5E52F" w14:textId="77777777" w:rsidR="00B2377C" w:rsidRPr="006C6FC8"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6C6FC8">
              <w:rPr>
                <w:rFonts w:cs="Times New Roman"/>
                <w:sz w:val="18"/>
                <w:szCs w:val="18"/>
              </w:rPr>
              <w:t>Target (2023): 100%</w:t>
            </w:r>
          </w:p>
        </w:tc>
        <w:tc>
          <w:tcPr>
            <w:tcW w:w="4055" w:type="dxa"/>
            <w:tcBorders>
              <w:bottom w:val="nil"/>
            </w:tcBorders>
          </w:tcPr>
          <w:p w14:paraId="3D9648A4" w14:textId="70168A5B" w:rsidR="00B2377C" w:rsidRPr="006C6FC8"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E97B2C">
              <w:rPr>
                <w:rFonts w:cs="Times New Roman"/>
                <w:sz w:val="18"/>
                <w:szCs w:val="18"/>
              </w:rPr>
              <w:t>Number of government partners contributing core resources to UN</w:t>
            </w:r>
            <w:r>
              <w:rPr>
                <w:rFonts w:cs="Times New Roman"/>
                <w:sz w:val="18"/>
                <w:szCs w:val="18"/>
              </w:rPr>
              <w:t>DP</w:t>
            </w:r>
            <w:r w:rsidRPr="00E97B2C">
              <w:rPr>
                <w:rFonts w:cs="Times New Roman"/>
                <w:sz w:val="18"/>
                <w:szCs w:val="18"/>
              </w:rPr>
              <w:t>:</w:t>
            </w:r>
            <w:r w:rsidRPr="00E97B2C">
              <w:rPr>
                <w:rFonts w:cs="Times New Roman"/>
                <w:sz w:val="18"/>
                <w:szCs w:val="18"/>
              </w:rPr>
              <w:br/>
            </w:r>
            <w:r w:rsidRPr="007B7C4A">
              <w:rPr>
                <w:rFonts w:cs="Times New Roman"/>
                <w:b/>
                <w:bCs/>
                <w:sz w:val="18"/>
                <w:szCs w:val="18"/>
              </w:rPr>
              <w:t>Baseline 20</w:t>
            </w:r>
            <w:r w:rsidR="008D297B" w:rsidRPr="007B7C4A">
              <w:rPr>
                <w:rFonts w:cs="Times New Roman"/>
                <w:b/>
                <w:bCs/>
                <w:sz w:val="18"/>
                <w:szCs w:val="18"/>
              </w:rPr>
              <w:t>2</w:t>
            </w:r>
            <w:r w:rsidR="00C05182" w:rsidRPr="007B7C4A">
              <w:rPr>
                <w:rFonts w:cs="Times New Roman"/>
                <w:b/>
                <w:bCs/>
                <w:sz w:val="18"/>
                <w:szCs w:val="18"/>
              </w:rPr>
              <w:t>1</w:t>
            </w:r>
            <w:r w:rsidRPr="007B7C4A">
              <w:rPr>
                <w:rFonts w:cs="Times New Roman"/>
                <w:b/>
                <w:bCs/>
                <w:sz w:val="18"/>
                <w:szCs w:val="18"/>
              </w:rPr>
              <w:t xml:space="preserve">: </w:t>
            </w:r>
            <w:r w:rsidR="00C05182" w:rsidRPr="007B7C4A">
              <w:rPr>
                <w:rFonts w:cs="Times New Roman"/>
                <w:b/>
                <w:bCs/>
                <w:sz w:val="18"/>
                <w:szCs w:val="18"/>
              </w:rPr>
              <w:t>43</w:t>
            </w:r>
            <w:r w:rsidRPr="007B7C4A">
              <w:rPr>
                <w:rFonts w:cs="Times New Roman"/>
                <w:b/>
                <w:bCs/>
                <w:sz w:val="18"/>
                <w:szCs w:val="18"/>
              </w:rPr>
              <w:br/>
              <w:t>Progress 20</w:t>
            </w:r>
            <w:r w:rsidR="004B0C18" w:rsidRPr="007B7C4A">
              <w:rPr>
                <w:rFonts w:cs="Times New Roman"/>
                <w:b/>
                <w:bCs/>
                <w:sz w:val="18"/>
                <w:szCs w:val="18"/>
              </w:rPr>
              <w:t>2</w:t>
            </w:r>
            <w:r w:rsidR="00E02F11" w:rsidRPr="007B7C4A">
              <w:rPr>
                <w:rFonts w:cs="Times New Roman"/>
                <w:b/>
                <w:bCs/>
                <w:sz w:val="18"/>
                <w:szCs w:val="18"/>
              </w:rPr>
              <w:t>2</w:t>
            </w:r>
            <w:r w:rsidRPr="007B7C4A">
              <w:rPr>
                <w:rFonts w:cs="Times New Roman"/>
                <w:b/>
                <w:bCs/>
                <w:sz w:val="18"/>
                <w:szCs w:val="18"/>
              </w:rPr>
              <w:t xml:space="preserve">: </w:t>
            </w:r>
            <w:r w:rsidR="00E02F11" w:rsidRPr="007B7C4A">
              <w:rPr>
                <w:rFonts w:cs="Times New Roman"/>
                <w:b/>
                <w:bCs/>
                <w:sz w:val="18"/>
                <w:szCs w:val="18"/>
              </w:rPr>
              <w:t>39</w:t>
            </w:r>
            <w:r w:rsidRPr="007B7C4A">
              <w:rPr>
                <w:rFonts w:cs="Times New Roman"/>
                <w:b/>
                <w:bCs/>
                <w:sz w:val="18"/>
                <w:szCs w:val="18"/>
              </w:rPr>
              <w:br/>
              <w:t>Milestone 202</w:t>
            </w:r>
            <w:r w:rsidR="008D6F6D" w:rsidRPr="007B7C4A">
              <w:rPr>
                <w:rFonts w:cs="Times New Roman"/>
                <w:b/>
                <w:bCs/>
                <w:sz w:val="18"/>
                <w:szCs w:val="18"/>
              </w:rPr>
              <w:t>3</w:t>
            </w:r>
            <w:r w:rsidRPr="007B7C4A">
              <w:rPr>
                <w:rFonts w:cs="Times New Roman"/>
                <w:b/>
                <w:bCs/>
                <w:sz w:val="18"/>
                <w:szCs w:val="18"/>
              </w:rPr>
              <w:t xml:space="preserve">: </w:t>
            </w:r>
            <w:r w:rsidR="008D6F6D" w:rsidRPr="007B7C4A">
              <w:rPr>
                <w:b/>
                <w:bCs/>
                <w:sz w:val="18"/>
                <w:szCs w:val="18"/>
              </w:rPr>
              <w:t>4</w:t>
            </w:r>
            <w:r w:rsidR="008D297B" w:rsidRPr="007B7C4A">
              <w:rPr>
                <w:b/>
                <w:bCs/>
                <w:sz w:val="18"/>
                <w:szCs w:val="18"/>
              </w:rPr>
              <w:t>3</w:t>
            </w:r>
          </w:p>
        </w:tc>
      </w:tr>
      <w:bookmarkEnd w:id="0"/>
      <w:tr w:rsidR="004A5F5C" w:rsidRPr="006C6FC8" w14:paraId="277A5C6A" w14:textId="77777777" w:rsidTr="00B2377C">
        <w:tc>
          <w:tcPr>
            <w:cnfStyle w:val="001000000000" w:firstRow="0" w:lastRow="0" w:firstColumn="1" w:lastColumn="0" w:oddVBand="0" w:evenVBand="0" w:oddHBand="0" w:evenHBand="0" w:firstRowFirstColumn="0" w:firstRowLastColumn="0" w:lastRowFirstColumn="0" w:lastRowLastColumn="0"/>
            <w:tcW w:w="1705" w:type="dxa"/>
            <w:vMerge/>
          </w:tcPr>
          <w:p w14:paraId="0AA58B95" w14:textId="77777777" w:rsidR="004A5F5C" w:rsidRPr="006C6FC8" w:rsidRDefault="004A5F5C" w:rsidP="004A5F5C">
            <w:pPr>
              <w:spacing w:after="120"/>
              <w:rPr>
                <w:rFonts w:cs="Times New Roman"/>
                <w:sz w:val="18"/>
                <w:szCs w:val="18"/>
              </w:rPr>
            </w:pPr>
          </w:p>
        </w:tc>
        <w:tc>
          <w:tcPr>
            <w:tcW w:w="2250" w:type="dxa"/>
            <w:tcBorders>
              <w:top w:val="nil"/>
              <w:bottom w:val="single" w:sz="4" w:space="0" w:color="7F7F7F" w:themeColor="text1" w:themeTint="80"/>
            </w:tcBorders>
          </w:tcPr>
          <w:p w14:paraId="0BE89272" w14:textId="77777777" w:rsidR="004A5F5C" w:rsidRPr="006C6FC8" w:rsidRDefault="004A5F5C" w:rsidP="004A5F5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6C6FC8">
              <w:rPr>
                <w:rFonts w:cs="Times New Roman"/>
                <w:sz w:val="18"/>
                <w:szCs w:val="18"/>
              </w:rPr>
              <w:t xml:space="preserve">Number of Member State contributors to development related inter-agency pooled funds and single agency thematic funds </w:t>
            </w:r>
          </w:p>
        </w:tc>
        <w:tc>
          <w:tcPr>
            <w:tcW w:w="2070" w:type="dxa"/>
            <w:tcBorders>
              <w:top w:val="nil"/>
              <w:bottom w:val="single" w:sz="4" w:space="0" w:color="7F7F7F" w:themeColor="text1" w:themeTint="80"/>
            </w:tcBorders>
          </w:tcPr>
          <w:p w14:paraId="7446E58B" w14:textId="77777777" w:rsidR="004A5F5C" w:rsidRPr="006C6FC8" w:rsidRDefault="004A5F5C" w:rsidP="004A5F5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6C6FC8">
              <w:rPr>
                <w:rFonts w:cs="Times New Roman"/>
                <w:sz w:val="18"/>
                <w:szCs w:val="18"/>
              </w:rPr>
              <w:t>Baseline (2017): 59 and 27</w:t>
            </w:r>
          </w:p>
          <w:p w14:paraId="5EE1064C" w14:textId="77777777" w:rsidR="004A5F5C" w:rsidRPr="006C6FC8" w:rsidRDefault="004A5F5C" w:rsidP="004A5F5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6C6FC8">
              <w:rPr>
                <w:rFonts w:cs="Times New Roman"/>
                <w:sz w:val="18"/>
                <w:szCs w:val="18"/>
              </w:rPr>
              <w:t>Target (2023): 100 and 50</w:t>
            </w:r>
          </w:p>
        </w:tc>
        <w:tc>
          <w:tcPr>
            <w:tcW w:w="4055" w:type="dxa"/>
            <w:tcBorders>
              <w:top w:val="nil"/>
              <w:bottom w:val="single" w:sz="4" w:space="0" w:color="7F7F7F" w:themeColor="text1" w:themeTint="80"/>
            </w:tcBorders>
          </w:tcPr>
          <w:p w14:paraId="79BB74BC" w14:textId="29736258" w:rsidR="004A5F5C" w:rsidRPr="006C6FC8" w:rsidRDefault="004A5F5C" w:rsidP="007F5455">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2B3138">
              <w:rPr>
                <w:rFonts w:cs="Times New Roman"/>
                <w:sz w:val="18"/>
                <w:szCs w:val="18"/>
              </w:rPr>
              <w:t>Number of member state partners contributing to inter-agency pooled funds</w:t>
            </w:r>
            <w:r>
              <w:rPr>
                <w:rFonts w:cs="Times New Roman"/>
                <w:sz w:val="18"/>
                <w:szCs w:val="18"/>
              </w:rPr>
              <w:t xml:space="preserve"> (managed by MPTFO</w:t>
            </w:r>
            <w:r w:rsidR="00A36C4B">
              <w:rPr>
                <w:rStyle w:val="FootnoteReference"/>
                <w:rFonts w:cs="Times New Roman"/>
                <w:sz w:val="18"/>
                <w:szCs w:val="18"/>
              </w:rPr>
              <w:footnoteReference w:id="3"/>
            </w:r>
            <w:r>
              <w:rPr>
                <w:rFonts w:cs="Times New Roman"/>
                <w:sz w:val="18"/>
                <w:szCs w:val="18"/>
              </w:rPr>
              <w:t>)</w:t>
            </w:r>
            <w:r w:rsidRPr="002B3138">
              <w:rPr>
                <w:rFonts w:cs="Times New Roman"/>
                <w:sz w:val="18"/>
                <w:szCs w:val="18"/>
              </w:rPr>
              <w:t>:</w:t>
            </w:r>
            <w:r w:rsidRPr="002B3138">
              <w:rPr>
                <w:rFonts w:cs="Times New Roman"/>
                <w:sz w:val="18"/>
                <w:szCs w:val="18"/>
              </w:rPr>
              <w:br/>
            </w:r>
            <w:r w:rsidR="00E62B44">
              <w:rPr>
                <w:b/>
                <w:bCs/>
                <w:sz w:val="18"/>
                <w:szCs w:val="18"/>
              </w:rPr>
              <w:t>Baseline 202</w:t>
            </w:r>
            <w:r w:rsidR="00B76C18">
              <w:rPr>
                <w:b/>
                <w:bCs/>
                <w:sz w:val="18"/>
                <w:szCs w:val="18"/>
              </w:rPr>
              <w:t>1</w:t>
            </w:r>
            <w:r w:rsidR="00E62B44">
              <w:rPr>
                <w:b/>
                <w:bCs/>
                <w:sz w:val="18"/>
                <w:szCs w:val="18"/>
              </w:rPr>
              <w:t>:</w:t>
            </w:r>
            <w:r w:rsidR="00E62B44">
              <w:rPr>
                <w:sz w:val="18"/>
                <w:szCs w:val="18"/>
              </w:rPr>
              <w:t xml:space="preserve"> </w:t>
            </w:r>
            <w:r w:rsidR="00B76C18" w:rsidRPr="007B7C4A">
              <w:rPr>
                <w:b/>
                <w:bCs/>
                <w:sz w:val="18"/>
                <w:szCs w:val="18"/>
              </w:rPr>
              <w:t>55</w:t>
            </w:r>
            <w:r w:rsidR="00B76C18">
              <w:rPr>
                <w:sz w:val="18"/>
                <w:szCs w:val="18"/>
              </w:rPr>
              <w:t xml:space="preserve"> </w:t>
            </w:r>
            <w:r w:rsidR="00E62B44">
              <w:rPr>
                <w:sz w:val="18"/>
                <w:szCs w:val="18"/>
              </w:rPr>
              <w:t>(</w:t>
            </w:r>
            <w:r w:rsidR="00B76C18">
              <w:rPr>
                <w:sz w:val="18"/>
                <w:szCs w:val="18"/>
              </w:rPr>
              <w:t>54 Member States plus EU</w:t>
            </w:r>
            <w:r w:rsidR="00E62B44">
              <w:rPr>
                <w:sz w:val="18"/>
                <w:szCs w:val="18"/>
              </w:rPr>
              <w:t>)</w:t>
            </w:r>
            <w:r w:rsidR="00E62B44">
              <w:rPr>
                <w:sz w:val="18"/>
                <w:szCs w:val="18"/>
              </w:rPr>
              <w:br/>
            </w:r>
            <w:r w:rsidR="00E62B44">
              <w:rPr>
                <w:b/>
                <w:bCs/>
                <w:sz w:val="18"/>
                <w:szCs w:val="18"/>
              </w:rPr>
              <w:t>Progress 202</w:t>
            </w:r>
            <w:r w:rsidR="004C6C9B">
              <w:rPr>
                <w:b/>
                <w:bCs/>
                <w:sz w:val="18"/>
                <w:szCs w:val="18"/>
              </w:rPr>
              <w:t>2</w:t>
            </w:r>
            <w:r w:rsidR="00E62B44">
              <w:rPr>
                <w:b/>
                <w:bCs/>
                <w:sz w:val="18"/>
                <w:szCs w:val="18"/>
              </w:rPr>
              <w:t>:</w:t>
            </w:r>
            <w:r w:rsidR="00E62B44">
              <w:rPr>
                <w:sz w:val="18"/>
                <w:szCs w:val="18"/>
              </w:rPr>
              <w:t xml:space="preserve"> </w:t>
            </w:r>
            <w:r w:rsidR="00B76C18" w:rsidRPr="007B7C4A">
              <w:rPr>
                <w:b/>
                <w:bCs/>
                <w:sz w:val="18"/>
                <w:szCs w:val="18"/>
              </w:rPr>
              <w:t>49</w:t>
            </w:r>
            <w:r w:rsidR="00E62B44">
              <w:rPr>
                <w:sz w:val="18"/>
                <w:szCs w:val="18"/>
              </w:rPr>
              <w:t xml:space="preserve"> (</w:t>
            </w:r>
            <w:r w:rsidR="00C844E1">
              <w:rPr>
                <w:sz w:val="18"/>
                <w:szCs w:val="18"/>
              </w:rPr>
              <w:t xml:space="preserve">48 </w:t>
            </w:r>
            <w:r w:rsidR="00E62B44">
              <w:rPr>
                <w:sz w:val="18"/>
                <w:szCs w:val="18"/>
              </w:rPr>
              <w:t>Member States plus EU)</w:t>
            </w:r>
            <w:r w:rsidR="00C02705">
              <w:rPr>
                <w:rFonts w:cs="Times New Roman"/>
                <w:sz w:val="18"/>
                <w:szCs w:val="18"/>
              </w:rPr>
              <w:br/>
            </w:r>
            <w:r w:rsidR="00A24501">
              <w:rPr>
                <w:rFonts w:cs="Times New Roman"/>
                <w:b/>
                <w:bCs/>
                <w:sz w:val="18"/>
                <w:szCs w:val="18"/>
              </w:rPr>
              <w:t>Target</w:t>
            </w:r>
            <w:r w:rsidR="00A24501" w:rsidRPr="0062320A">
              <w:rPr>
                <w:rFonts w:cs="Times New Roman"/>
                <w:b/>
                <w:bCs/>
                <w:sz w:val="18"/>
                <w:szCs w:val="18"/>
              </w:rPr>
              <w:t xml:space="preserve"> </w:t>
            </w:r>
            <w:r w:rsidRPr="0062320A">
              <w:rPr>
                <w:rFonts w:cs="Times New Roman"/>
                <w:b/>
                <w:bCs/>
                <w:sz w:val="18"/>
                <w:szCs w:val="18"/>
              </w:rPr>
              <w:t>202</w:t>
            </w:r>
            <w:r w:rsidR="00C844E1">
              <w:rPr>
                <w:rFonts w:cs="Times New Roman"/>
                <w:b/>
                <w:bCs/>
                <w:sz w:val="18"/>
                <w:szCs w:val="18"/>
              </w:rPr>
              <w:t>3</w:t>
            </w:r>
            <w:r w:rsidR="007F5455">
              <w:rPr>
                <w:rFonts w:cs="Times New Roman"/>
                <w:sz w:val="18"/>
                <w:szCs w:val="18"/>
              </w:rPr>
              <w:t xml:space="preserve">: </w:t>
            </w:r>
            <w:r w:rsidR="00C844E1" w:rsidRPr="007B7C4A">
              <w:rPr>
                <w:rFonts w:cs="Times New Roman"/>
                <w:b/>
                <w:bCs/>
                <w:sz w:val="18"/>
                <w:szCs w:val="18"/>
              </w:rPr>
              <w:t>100</w:t>
            </w:r>
            <w:r w:rsidRPr="002B3138">
              <w:rPr>
                <w:rFonts w:cs="Times New Roman"/>
                <w:sz w:val="18"/>
                <w:szCs w:val="18"/>
              </w:rPr>
              <w:br/>
            </w:r>
            <w:r w:rsidRPr="002B3138">
              <w:rPr>
                <w:rFonts w:cs="Times New Roman"/>
                <w:sz w:val="18"/>
                <w:szCs w:val="18"/>
              </w:rPr>
              <w:br/>
              <w:t>Number of member state partners contributing to UN</w:t>
            </w:r>
            <w:r>
              <w:rPr>
                <w:rFonts w:cs="Times New Roman"/>
                <w:sz w:val="18"/>
                <w:szCs w:val="18"/>
              </w:rPr>
              <w:t>DP Thematic Funding Windows</w:t>
            </w:r>
            <w:r w:rsidRPr="002B3138">
              <w:rPr>
                <w:rFonts w:cs="Times New Roman"/>
                <w:sz w:val="18"/>
                <w:szCs w:val="18"/>
              </w:rPr>
              <w:t>:</w:t>
            </w:r>
            <w:r w:rsidRPr="002B3138">
              <w:rPr>
                <w:rFonts w:cs="Times New Roman"/>
                <w:sz w:val="18"/>
                <w:szCs w:val="18"/>
              </w:rPr>
              <w:br/>
            </w:r>
            <w:r w:rsidRPr="007B7C4A">
              <w:rPr>
                <w:rFonts w:cs="Times New Roman"/>
                <w:b/>
                <w:bCs/>
                <w:sz w:val="18"/>
                <w:szCs w:val="18"/>
              </w:rPr>
              <w:t xml:space="preserve">Baseline </w:t>
            </w:r>
            <w:r w:rsidR="00B1218C" w:rsidRPr="007B7C4A">
              <w:rPr>
                <w:rFonts w:cs="Times New Roman"/>
                <w:b/>
                <w:bCs/>
                <w:sz w:val="18"/>
                <w:szCs w:val="18"/>
              </w:rPr>
              <w:t>202</w:t>
            </w:r>
            <w:r w:rsidR="00542EA6" w:rsidRPr="007B7C4A">
              <w:rPr>
                <w:rFonts w:cs="Times New Roman"/>
                <w:b/>
                <w:bCs/>
                <w:sz w:val="18"/>
                <w:szCs w:val="18"/>
              </w:rPr>
              <w:t>1</w:t>
            </w:r>
            <w:r w:rsidR="00B1218C" w:rsidRPr="007B7C4A">
              <w:rPr>
                <w:rFonts w:cs="Times New Roman"/>
                <w:b/>
                <w:bCs/>
                <w:sz w:val="18"/>
                <w:szCs w:val="18"/>
              </w:rPr>
              <w:t xml:space="preserve">: </w:t>
            </w:r>
            <w:r w:rsidR="00542EA6" w:rsidRPr="007B7C4A">
              <w:rPr>
                <w:rFonts w:cs="Times New Roman"/>
                <w:b/>
                <w:bCs/>
                <w:sz w:val="18"/>
                <w:szCs w:val="18"/>
              </w:rPr>
              <w:t>7</w:t>
            </w:r>
            <w:r w:rsidRPr="007B7C4A">
              <w:rPr>
                <w:rFonts w:cs="Times New Roman"/>
                <w:b/>
                <w:bCs/>
                <w:sz w:val="18"/>
                <w:szCs w:val="18"/>
              </w:rPr>
              <w:br/>
              <w:t>Progress 20</w:t>
            </w:r>
            <w:r w:rsidR="00D419D4" w:rsidRPr="007B7C4A">
              <w:rPr>
                <w:rFonts w:cs="Times New Roman"/>
                <w:b/>
                <w:bCs/>
                <w:sz w:val="18"/>
                <w:szCs w:val="18"/>
              </w:rPr>
              <w:t>2</w:t>
            </w:r>
            <w:r w:rsidR="00542EA6" w:rsidRPr="007B7C4A">
              <w:rPr>
                <w:rFonts w:cs="Times New Roman"/>
                <w:b/>
                <w:bCs/>
                <w:sz w:val="18"/>
                <w:szCs w:val="18"/>
              </w:rPr>
              <w:t>2</w:t>
            </w:r>
            <w:r w:rsidRPr="007B7C4A">
              <w:rPr>
                <w:rFonts w:cs="Times New Roman"/>
                <w:b/>
                <w:bCs/>
                <w:sz w:val="18"/>
                <w:szCs w:val="18"/>
              </w:rPr>
              <w:t xml:space="preserve">: </w:t>
            </w:r>
            <w:r w:rsidR="00542EA6" w:rsidRPr="007B7C4A">
              <w:rPr>
                <w:rFonts w:cs="Times New Roman"/>
                <w:b/>
                <w:bCs/>
                <w:sz w:val="18"/>
                <w:szCs w:val="18"/>
              </w:rPr>
              <w:t>9</w:t>
            </w:r>
            <w:r w:rsidRPr="007B7C4A">
              <w:rPr>
                <w:rFonts w:cs="Times New Roman"/>
                <w:b/>
                <w:bCs/>
                <w:sz w:val="18"/>
                <w:szCs w:val="18"/>
              </w:rPr>
              <w:br/>
            </w:r>
            <w:r w:rsidR="00D135F3" w:rsidRPr="007B7C4A">
              <w:rPr>
                <w:rFonts w:cs="Times New Roman"/>
                <w:b/>
                <w:bCs/>
                <w:sz w:val="18"/>
                <w:szCs w:val="18"/>
              </w:rPr>
              <w:t xml:space="preserve">Target </w:t>
            </w:r>
            <w:r w:rsidRPr="007B7C4A">
              <w:rPr>
                <w:rFonts w:cs="Times New Roman"/>
                <w:b/>
                <w:bCs/>
                <w:sz w:val="18"/>
                <w:szCs w:val="18"/>
              </w:rPr>
              <w:t>202</w:t>
            </w:r>
            <w:r w:rsidR="00D135F3" w:rsidRPr="007B7C4A">
              <w:rPr>
                <w:rFonts w:cs="Times New Roman"/>
                <w:b/>
                <w:bCs/>
                <w:sz w:val="18"/>
                <w:szCs w:val="18"/>
              </w:rPr>
              <w:t>3</w:t>
            </w:r>
            <w:r w:rsidRPr="007B7C4A">
              <w:rPr>
                <w:rFonts w:cs="Times New Roman"/>
                <w:b/>
                <w:bCs/>
                <w:sz w:val="18"/>
                <w:szCs w:val="18"/>
              </w:rPr>
              <w:t xml:space="preserve">: </w:t>
            </w:r>
            <w:r w:rsidR="00F26310" w:rsidRPr="007B7C4A">
              <w:rPr>
                <w:rFonts w:cs="Times New Roman"/>
                <w:b/>
                <w:bCs/>
                <w:sz w:val="18"/>
                <w:szCs w:val="18"/>
              </w:rPr>
              <w:t>1</w:t>
            </w:r>
            <w:r w:rsidR="00D135F3" w:rsidRPr="007B7C4A">
              <w:rPr>
                <w:rFonts w:cs="Times New Roman"/>
                <w:b/>
                <w:bCs/>
                <w:sz w:val="18"/>
                <w:szCs w:val="18"/>
              </w:rPr>
              <w:t>0</w:t>
            </w:r>
          </w:p>
        </w:tc>
      </w:tr>
      <w:tr w:rsidR="004A5F5C" w:rsidRPr="006C6FC8" w14:paraId="3CEE4225" w14:textId="77777777" w:rsidTr="00B23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Merge w:val="restart"/>
          </w:tcPr>
          <w:p w14:paraId="5BC76A2C" w14:textId="77777777" w:rsidR="003A7F00" w:rsidRDefault="004A5F5C" w:rsidP="004A5F5C">
            <w:pPr>
              <w:spacing w:after="120"/>
              <w:rPr>
                <w:rFonts w:cs="Times New Roman"/>
                <w:b w:val="0"/>
                <w:bCs w:val="0"/>
                <w:sz w:val="18"/>
                <w:szCs w:val="18"/>
              </w:rPr>
            </w:pPr>
            <w:r w:rsidRPr="006C6FC8">
              <w:rPr>
                <w:rFonts w:cs="Times New Roman"/>
                <w:sz w:val="18"/>
                <w:szCs w:val="18"/>
              </w:rPr>
              <w:t xml:space="preserve">4. Provide predictable funding to the specific requirements of UNSDG entities as articulated in their SPs and to the </w:t>
            </w:r>
          </w:p>
          <w:p w14:paraId="3693EC42" w14:textId="77777777" w:rsidR="003A7F00" w:rsidRDefault="003A7F00" w:rsidP="004A5F5C">
            <w:pPr>
              <w:spacing w:after="120"/>
              <w:rPr>
                <w:rFonts w:cs="Times New Roman"/>
                <w:b w:val="0"/>
                <w:bCs w:val="0"/>
                <w:sz w:val="18"/>
                <w:szCs w:val="18"/>
              </w:rPr>
            </w:pPr>
          </w:p>
          <w:p w14:paraId="1C381BC3" w14:textId="63DB8221" w:rsidR="004A5F5C" w:rsidRPr="006C6FC8" w:rsidRDefault="004A5F5C" w:rsidP="004A5F5C">
            <w:pPr>
              <w:spacing w:after="120"/>
              <w:rPr>
                <w:rFonts w:cs="Times New Roman"/>
                <w:sz w:val="18"/>
                <w:szCs w:val="18"/>
              </w:rPr>
            </w:pPr>
            <w:r w:rsidRPr="006C6FC8">
              <w:rPr>
                <w:rFonts w:cs="Times New Roman"/>
                <w:sz w:val="18"/>
                <w:szCs w:val="18"/>
              </w:rPr>
              <w:t>UNDAF funding needs at country level</w:t>
            </w:r>
          </w:p>
        </w:tc>
        <w:tc>
          <w:tcPr>
            <w:tcW w:w="2250" w:type="dxa"/>
            <w:tcBorders>
              <w:bottom w:val="nil"/>
            </w:tcBorders>
          </w:tcPr>
          <w:p w14:paraId="2F8DC5BB" w14:textId="77777777" w:rsidR="004A5F5C" w:rsidRPr="006C6FC8" w:rsidRDefault="004A5F5C" w:rsidP="004A5F5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6C6FC8">
              <w:rPr>
                <w:rFonts w:cs="Times New Roman"/>
                <w:sz w:val="18"/>
                <w:szCs w:val="18"/>
              </w:rPr>
              <w:lastRenderedPageBreak/>
              <w:t>Funding gaps in UNSDG strategic plan financing frameworks</w:t>
            </w:r>
          </w:p>
        </w:tc>
        <w:tc>
          <w:tcPr>
            <w:tcW w:w="2070" w:type="dxa"/>
            <w:tcBorders>
              <w:bottom w:val="nil"/>
            </w:tcBorders>
          </w:tcPr>
          <w:p w14:paraId="6CE7721E" w14:textId="200EFDFE" w:rsidR="004A5F5C" w:rsidRPr="00D56FE1" w:rsidRDefault="004A5F5C" w:rsidP="004A5F5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D56FE1">
              <w:rPr>
                <w:rFonts w:cs="Times New Roman"/>
                <w:sz w:val="18"/>
                <w:szCs w:val="18"/>
              </w:rPr>
              <w:t>Baseline (201</w:t>
            </w:r>
            <w:r w:rsidR="007404DB" w:rsidRPr="00D56FE1">
              <w:rPr>
                <w:sz w:val="18"/>
                <w:szCs w:val="18"/>
              </w:rPr>
              <w:t>8</w:t>
            </w:r>
            <w:r w:rsidRPr="00D56FE1">
              <w:rPr>
                <w:rFonts w:cs="Times New Roman"/>
                <w:sz w:val="18"/>
                <w:szCs w:val="18"/>
              </w:rPr>
              <w:t xml:space="preserve">): </w:t>
            </w:r>
            <w:proofErr w:type="spellStart"/>
            <w:r w:rsidRPr="00D56FE1">
              <w:rPr>
                <w:rFonts w:cs="Times New Roman"/>
                <w:i/>
                <w:sz w:val="18"/>
                <w:szCs w:val="18"/>
              </w:rPr>
              <w:t>tbd</w:t>
            </w:r>
            <w:proofErr w:type="spellEnd"/>
          </w:p>
          <w:p w14:paraId="0611EB47" w14:textId="77777777" w:rsidR="004A5F5C" w:rsidRPr="00400234" w:rsidRDefault="004A5F5C" w:rsidP="004A5F5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highlight w:val="yellow"/>
              </w:rPr>
            </w:pPr>
            <w:r w:rsidRPr="00D56FE1">
              <w:rPr>
                <w:rFonts w:cs="Times New Roman"/>
                <w:sz w:val="18"/>
                <w:szCs w:val="18"/>
              </w:rPr>
              <w:t xml:space="preserve">Target (2021): </w:t>
            </w:r>
            <w:r w:rsidRPr="00D56FE1">
              <w:rPr>
                <w:rFonts w:cs="Times New Roman"/>
                <w:i/>
                <w:sz w:val="18"/>
                <w:szCs w:val="18"/>
              </w:rPr>
              <w:t>tbd</w:t>
            </w:r>
          </w:p>
        </w:tc>
        <w:tc>
          <w:tcPr>
            <w:tcW w:w="4055" w:type="dxa"/>
            <w:tcBorders>
              <w:bottom w:val="nil"/>
            </w:tcBorders>
          </w:tcPr>
          <w:p w14:paraId="787BB85D" w14:textId="77777777" w:rsidR="004A5F5C" w:rsidRDefault="004A5F5C" w:rsidP="004A5F5C">
            <w:pPr>
              <w:spacing w:after="120"/>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Pr>
                <w:rFonts w:cs="Times New Roman"/>
                <w:sz w:val="18"/>
                <w:szCs w:val="18"/>
              </w:rPr>
              <w:t>P</w:t>
            </w:r>
            <w:r w:rsidRPr="00A97FC3">
              <w:rPr>
                <w:rFonts w:cs="Times New Roman"/>
                <w:sz w:val="18"/>
                <w:szCs w:val="18"/>
              </w:rPr>
              <w:t>lanned</w:t>
            </w:r>
            <w:r>
              <w:rPr>
                <w:rFonts w:cs="Times New Roman"/>
                <w:sz w:val="18"/>
                <w:szCs w:val="18"/>
              </w:rPr>
              <w:t xml:space="preserve"> Resource Plan</w:t>
            </w:r>
            <w:r w:rsidRPr="00A97FC3">
              <w:rPr>
                <w:rFonts w:cs="Times New Roman"/>
                <w:sz w:val="18"/>
                <w:szCs w:val="18"/>
              </w:rPr>
              <w:t xml:space="preserve"> versus actual expenditure by Strategic Plan outcomes: </w:t>
            </w:r>
          </w:p>
          <w:p w14:paraId="2D533307" w14:textId="77777777" w:rsidR="0064658F" w:rsidRDefault="00785A9A" w:rsidP="004A5F5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b/>
                <w:bCs/>
                <w:sz w:val="18"/>
                <w:szCs w:val="18"/>
              </w:rPr>
              <w:t>Progress</w:t>
            </w:r>
            <w:r w:rsidR="004A5F5C" w:rsidRPr="0050493E">
              <w:rPr>
                <w:rFonts w:cs="Times New Roman"/>
                <w:b/>
                <w:bCs/>
                <w:sz w:val="18"/>
                <w:szCs w:val="18"/>
              </w:rPr>
              <w:t xml:space="preserve"> 20</w:t>
            </w:r>
            <w:r w:rsidR="00607008">
              <w:rPr>
                <w:rFonts w:cs="Times New Roman"/>
                <w:b/>
                <w:bCs/>
                <w:sz w:val="18"/>
                <w:szCs w:val="18"/>
              </w:rPr>
              <w:t>2</w:t>
            </w:r>
            <w:r w:rsidR="00F55E04">
              <w:rPr>
                <w:rFonts w:cs="Times New Roman"/>
                <w:b/>
                <w:bCs/>
                <w:sz w:val="18"/>
                <w:szCs w:val="18"/>
              </w:rPr>
              <w:t>2</w:t>
            </w:r>
            <w:r w:rsidR="004A5F5C" w:rsidRPr="0050493E">
              <w:rPr>
                <w:rFonts w:cs="Times New Roman"/>
                <w:b/>
                <w:bCs/>
                <w:sz w:val="18"/>
                <w:szCs w:val="18"/>
              </w:rPr>
              <w:t>:</w:t>
            </w:r>
            <w:r w:rsidR="004A5F5C" w:rsidRPr="0050493E">
              <w:rPr>
                <w:rFonts w:cs="Times New Roman"/>
                <w:sz w:val="18"/>
                <w:szCs w:val="18"/>
              </w:rPr>
              <w:t xml:space="preserve"> </w:t>
            </w:r>
            <w:r w:rsidR="00D559D1" w:rsidRPr="007B7C4A">
              <w:rPr>
                <w:rFonts w:cs="Times New Roman"/>
                <w:sz w:val="18"/>
                <w:szCs w:val="18"/>
              </w:rPr>
              <w:t>In</w:t>
            </w:r>
            <w:r w:rsidR="00D559D1" w:rsidRPr="00D559D1">
              <w:rPr>
                <w:rFonts w:cs="Times New Roman"/>
                <w:sz w:val="18"/>
                <w:szCs w:val="18"/>
              </w:rPr>
              <w:t xml:space="preserve"> 2022, UNDP mobilized 93% of the </w:t>
            </w:r>
            <w:r w:rsidR="007B7C4A" w:rsidRPr="00CA1F8C">
              <w:rPr>
                <w:rFonts w:cs="Times New Roman"/>
                <w:sz w:val="18"/>
                <w:szCs w:val="18"/>
              </w:rPr>
              <w:t>four-year contribution</w:t>
            </w:r>
            <w:r w:rsidR="007B7C4A">
              <w:rPr>
                <w:rFonts w:cs="Times New Roman"/>
                <w:sz w:val="18"/>
                <w:szCs w:val="18"/>
              </w:rPr>
              <w:t xml:space="preserve"> estimate of </w:t>
            </w:r>
            <w:r w:rsidR="007B7C4A" w:rsidRPr="00296DC7">
              <w:rPr>
                <w:rFonts w:cs="Times New Roman"/>
                <w:sz w:val="18"/>
                <w:szCs w:val="18"/>
              </w:rPr>
              <w:t>$20.9 billion</w:t>
            </w:r>
            <w:r w:rsidR="007B7C4A">
              <w:rPr>
                <w:rFonts w:cs="Times New Roman"/>
                <w:sz w:val="18"/>
                <w:szCs w:val="18"/>
              </w:rPr>
              <w:t xml:space="preserve"> </w:t>
            </w:r>
            <w:r w:rsidR="00D559D1" w:rsidRPr="00D559D1">
              <w:rPr>
                <w:rFonts w:cs="Times New Roman"/>
                <w:sz w:val="18"/>
                <w:szCs w:val="18"/>
              </w:rPr>
              <w:t>in the I</w:t>
            </w:r>
            <w:r w:rsidR="00D559D1">
              <w:rPr>
                <w:rFonts w:cs="Times New Roman"/>
                <w:sz w:val="18"/>
                <w:szCs w:val="18"/>
              </w:rPr>
              <w:t xml:space="preserve">ntegrated </w:t>
            </w:r>
            <w:r w:rsidR="00D559D1" w:rsidRPr="00D559D1">
              <w:rPr>
                <w:rFonts w:cs="Times New Roman"/>
                <w:sz w:val="18"/>
                <w:szCs w:val="18"/>
              </w:rPr>
              <w:t>R</w:t>
            </w:r>
            <w:r w:rsidR="00D559D1">
              <w:rPr>
                <w:rFonts w:cs="Times New Roman"/>
                <w:sz w:val="18"/>
                <w:szCs w:val="18"/>
              </w:rPr>
              <w:t xml:space="preserve">esource </w:t>
            </w:r>
            <w:r w:rsidR="00D559D1" w:rsidRPr="00D559D1">
              <w:rPr>
                <w:rFonts w:cs="Times New Roman"/>
                <w:sz w:val="18"/>
                <w:szCs w:val="18"/>
              </w:rPr>
              <w:t>P</w:t>
            </w:r>
            <w:r w:rsidR="00D559D1">
              <w:rPr>
                <w:rFonts w:cs="Times New Roman"/>
                <w:sz w:val="18"/>
                <w:szCs w:val="18"/>
              </w:rPr>
              <w:t>lan</w:t>
            </w:r>
            <w:r w:rsidR="00D559D1" w:rsidRPr="00D559D1">
              <w:rPr>
                <w:rFonts w:cs="Times New Roman"/>
                <w:sz w:val="18"/>
                <w:szCs w:val="18"/>
              </w:rPr>
              <w:t xml:space="preserve">, leaving </w:t>
            </w:r>
            <w:r w:rsidR="00D559D1">
              <w:rPr>
                <w:rFonts w:cs="Times New Roman"/>
                <w:sz w:val="18"/>
                <w:szCs w:val="18"/>
              </w:rPr>
              <w:t xml:space="preserve">a </w:t>
            </w:r>
            <w:r w:rsidR="00D559D1" w:rsidRPr="007B7C4A">
              <w:rPr>
                <w:rFonts w:cs="Times New Roman"/>
                <w:b/>
                <w:bCs/>
                <w:sz w:val="18"/>
                <w:szCs w:val="18"/>
              </w:rPr>
              <w:t>$370m</w:t>
            </w:r>
            <w:r w:rsidR="00D559D1" w:rsidRPr="00D559D1">
              <w:rPr>
                <w:rFonts w:cs="Times New Roman"/>
                <w:sz w:val="18"/>
                <w:szCs w:val="18"/>
              </w:rPr>
              <w:t xml:space="preserve"> gap</w:t>
            </w:r>
            <w:r w:rsidR="00D559D1">
              <w:rPr>
                <w:rFonts w:cs="Times New Roman"/>
                <w:sz w:val="18"/>
                <w:szCs w:val="18"/>
              </w:rPr>
              <w:t>.</w:t>
            </w:r>
            <w:r w:rsidR="00905199">
              <w:rPr>
                <w:rFonts w:cs="Times New Roman"/>
                <w:sz w:val="18"/>
                <w:szCs w:val="18"/>
              </w:rPr>
              <w:t xml:space="preserve"> </w:t>
            </w:r>
          </w:p>
          <w:p w14:paraId="0F65B8DB" w14:textId="77777777" w:rsidR="007B7C4A" w:rsidRDefault="007B7C4A" w:rsidP="004A5F5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2A3B385E" w14:textId="7A62462A" w:rsidR="007B7C4A" w:rsidRPr="00336BE4" w:rsidRDefault="007B7C4A" w:rsidP="004A5F5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r>
      <w:tr w:rsidR="004A5F5C" w:rsidRPr="006C6FC8" w14:paraId="3BB413E8" w14:textId="77777777" w:rsidTr="00B2377C">
        <w:tc>
          <w:tcPr>
            <w:cnfStyle w:val="001000000000" w:firstRow="0" w:lastRow="0" w:firstColumn="1" w:lastColumn="0" w:oddVBand="0" w:evenVBand="0" w:oddHBand="0" w:evenHBand="0" w:firstRowFirstColumn="0" w:firstRowLastColumn="0" w:lastRowFirstColumn="0" w:lastRowLastColumn="0"/>
            <w:tcW w:w="1705" w:type="dxa"/>
            <w:vMerge/>
          </w:tcPr>
          <w:p w14:paraId="1B6C50AC" w14:textId="77777777" w:rsidR="004A5F5C" w:rsidRPr="006C6FC8" w:rsidRDefault="004A5F5C" w:rsidP="004A5F5C">
            <w:pPr>
              <w:spacing w:after="120"/>
              <w:rPr>
                <w:rFonts w:cs="Times New Roman"/>
                <w:sz w:val="18"/>
                <w:szCs w:val="18"/>
              </w:rPr>
            </w:pPr>
          </w:p>
        </w:tc>
        <w:tc>
          <w:tcPr>
            <w:tcW w:w="2250" w:type="dxa"/>
            <w:tcBorders>
              <w:top w:val="nil"/>
              <w:bottom w:val="nil"/>
            </w:tcBorders>
          </w:tcPr>
          <w:p w14:paraId="255F980C" w14:textId="0E8D68D7" w:rsidR="004A5F5C" w:rsidRPr="006C6FC8" w:rsidRDefault="004A5F5C" w:rsidP="004A5F5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6C6FC8">
              <w:rPr>
                <w:rFonts w:cs="Times New Roman"/>
                <w:sz w:val="18"/>
                <w:szCs w:val="18"/>
              </w:rPr>
              <w:t>Fraction of UNDS entities indicating that at least 50% of their contributions are part of multi-year commitments</w:t>
            </w:r>
          </w:p>
        </w:tc>
        <w:tc>
          <w:tcPr>
            <w:tcW w:w="2070" w:type="dxa"/>
            <w:tcBorders>
              <w:top w:val="nil"/>
              <w:bottom w:val="nil"/>
            </w:tcBorders>
          </w:tcPr>
          <w:p w14:paraId="5F58DBB9" w14:textId="0EE33B4A" w:rsidR="004A5F5C" w:rsidRPr="006C6FC8" w:rsidRDefault="004A5F5C" w:rsidP="004A5F5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6C6FC8">
              <w:rPr>
                <w:rFonts w:cs="Times New Roman"/>
                <w:sz w:val="18"/>
                <w:szCs w:val="18"/>
              </w:rPr>
              <w:t>Baseline (2017): 48%</w:t>
            </w:r>
          </w:p>
          <w:p w14:paraId="6EF24077" w14:textId="77777777" w:rsidR="004A5F5C" w:rsidRPr="006C6FC8" w:rsidRDefault="004A5F5C" w:rsidP="004A5F5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6C6FC8">
              <w:rPr>
                <w:rFonts w:cs="Times New Roman"/>
                <w:sz w:val="18"/>
                <w:szCs w:val="18"/>
              </w:rPr>
              <w:t>Target (2023): 100%</w:t>
            </w:r>
          </w:p>
        </w:tc>
        <w:tc>
          <w:tcPr>
            <w:tcW w:w="4055" w:type="dxa"/>
            <w:tcBorders>
              <w:top w:val="nil"/>
              <w:bottom w:val="nil"/>
            </w:tcBorders>
          </w:tcPr>
          <w:p w14:paraId="5EA00386" w14:textId="4EE8948F" w:rsidR="004A5F5C" w:rsidRPr="006C6FC8" w:rsidRDefault="004A5F5C" w:rsidP="004A5F5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Fraction of UNDP</w:t>
            </w:r>
            <w:r w:rsidRPr="003B0F1E">
              <w:rPr>
                <w:rFonts w:cs="Times New Roman"/>
                <w:sz w:val="18"/>
                <w:szCs w:val="18"/>
              </w:rPr>
              <w:t xml:space="preserve"> contributions that was </w:t>
            </w:r>
            <w:r w:rsidRPr="00B85ADE">
              <w:rPr>
                <w:rFonts w:cs="Times New Roman"/>
                <w:sz w:val="18"/>
                <w:szCs w:val="18"/>
              </w:rPr>
              <w:t>multiyear:</w:t>
            </w:r>
            <w:r w:rsidRPr="00B85ADE">
              <w:rPr>
                <w:rStyle w:val="FootnoteReference"/>
                <w:sz w:val="18"/>
                <w:szCs w:val="18"/>
              </w:rPr>
              <w:footnoteReference w:id="4"/>
            </w:r>
            <w:r w:rsidRPr="00B85ADE">
              <w:rPr>
                <w:rFonts w:cs="Times New Roman"/>
                <w:sz w:val="18"/>
                <w:szCs w:val="18"/>
              </w:rPr>
              <w:br/>
            </w:r>
            <w:r w:rsidR="008B3FAD" w:rsidRPr="0062320A">
              <w:rPr>
                <w:rFonts w:cs="Times New Roman"/>
                <w:b/>
                <w:bCs/>
                <w:sz w:val="18"/>
                <w:szCs w:val="18"/>
              </w:rPr>
              <w:t>Baseline 20</w:t>
            </w:r>
            <w:r w:rsidR="008B3FAD">
              <w:rPr>
                <w:rFonts w:cs="Times New Roman"/>
                <w:b/>
                <w:bCs/>
                <w:sz w:val="18"/>
                <w:szCs w:val="18"/>
              </w:rPr>
              <w:t>2</w:t>
            </w:r>
            <w:r w:rsidR="0042146F">
              <w:rPr>
                <w:rFonts w:cs="Times New Roman"/>
                <w:b/>
                <w:bCs/>
                <w:sz w:val="18"/>
                <w:szCs w:val="18"/>
              </w:rPr>
              <w:t>1</w:t>
            </w:r>
            <w:r w:rsidR="008B3FAD" w:rsidRPr="0062320A">
              <w:rPr>
                <w:rFonts w:cs="Times New Roman"/>
                <w:b/>
                <w:bCs/>
                <w:sz w:val="18"/>
                <w:szCs w:val="18"/>
              </w:rPr>
              <w:t>:</w:t>
            </w:r>
            <w:r w:rsidR="008B3FAD" w:rsidRPr="002B3138">
              <w:rPr>
                <w:rFonts w:cs="Times New Roman"/>
                <w:sz w:val="18"/>
                <w:szCs w:val="18"/>
              </w:rPr>
              <w:t xml:space="preserve"> </w:t>
            </w:r>
            <w:r w:rsidR="0042146F" w:rsidRPr="007B7C4A">
              <w:rPr>
                <w:rFonts w:cs="Times New Roman"/>
                <w:b/>
                <w:bCs/>
                <w:sz w:val="18"/>
                <w:szCs w:val="18"/>
              </w:rPr>
              <w:t>37</w:t>
            </w:r>
            <w:r w:rsidR="008B3FAD" w:rsidRPr="007B7C4A">
              <w:rPr>
                <w:rFonts w:cs="Times New Roman"/>
                <w:b/>
                <w:bCs/>
                <w:sz w:val="18"/>
                <w:szCs w:val="18"/>
              </w:rPr>
              <w:t>%</w:t>
            </w:r>
            <w:r w:rsidR="008B3FAD" w:rsidRPr="007B7C4A">
              <w:rPr>
                <w:rFonts w:cs="Times New Roman"/>
                <w:b/>
                <w:bCs/>
                <w:sz w:val="18"/>
                <w:szCs w:val="18"/>
              </w:rPr>
              <w:br/>
              <w:t>Progress 202</w:t>
            </w:r>
            <w:r w:rsidR="0042146F" w:rsidRPr="007B7C4A">
              <w:rPr>
                <w:rFonts w:cs="Times New Roman"/>
                <w:b/>
                <w:bCs/>
                <w:sz w:val="18"/>
                <w:szCs w:val="18"/>
              </w:rPr>
              <w:t>2</w:t>
            </w:r>
            <w:r w:rsidR="008B3FAD" w:rsidRPr="007B7C4A">
              <w:rPr>
                <w:rFonts w:cs="Times New Roman"/>
                <w:b/>
                <w:bCs/>
                <w:sz w:val="18"/>
                <w:szCs w:val="18"/>
              </w:rPr>
              <w:t>: 3</w:t>
            </w:r>
            <w:r w:rsidR="0042146F" w:rsidRPr="007B7C4A">
              <w:rPr>
                <w:rFonts w:cs="Times New Roman"/>
                <w:b/>
                <w:bCs/>
                <w:sz w:val="18"/>
                <w:szCs w:val="18"/>
              </w:rPr>
              <w:t>3</w:t>
            </w:r>
            <w:r w:rsidR="008B3FAD" w:rsidRPr="007B7C4A">
              <w:rPr>
                <w:rFonts w:cs="Times New Roman"/>
                <w:b/>
                <w:bCs/>
                <w:sz w:val="18"/>
                <w:szCs w:val="18"/>
              </w:rPr>
              <w:t>%</w:t>
            </w:r>
            <w:r w:rsidR="008B3FAD" w:rsidRPr="007B7C4A">
              <w:rPr>
                <w:rFonts w:cs="Times New Roman"/>
                <w:b/>
                <w:bCs/>
                <w:sz w:val="18"/>
                <w:szCs w:val="18"/>
              </w:rPr>
              <w:br/>
            </w:r>
            <w:r w:rsidR="00491FD9" w:rsidRPr="007B7C4A">
              <w:rPr>
                <w:rFonts w:cs="Times New Roman"/>
                <w:b/>
                <w:bCs/>
                <w:sz w:val="18"/>
                <w:szCs w:val="18"/>
              </w:rPr>
              <w:t xml:space="preserve">Target </w:t>
            </w:r>
            <w:r w:rsidR="008B3FAD" w:rsidRPr="007B7C4A">
              <w:rPr>
                <w:rFonts w:cs="Times New Roman"/>
                <w:b/>
                <w:bCs/>
                <w:sz w:val="18"/>
                <w:szCs w:val="18"/>
              </w:rPr>
              <w:t>202</w:t>
            </w:r>
            <w:r w:rsidR="0042146F" w:rsidRPr="007B7C4A">
              <w:rPr>
                <w:rFonts w:cs="Times New Roman"/>
                <w:b/>
                <w:bCs/>
                <w:sz w:val="18"/>
                <w:szCs w:val="18"/>
              </w:rPr>
              <w:t>3</w:t>
            </w:r>
            <w:r w:rsidR="008B3FAD" w:rsidRPr="007B7C4A">
              <w:rPr>
                <w:rFonts w:cs="Times New Roman"/>
                <w:b/>
                <w:bCs/>
                <w:sz w:val="18"/>
                <w:szCs w:val="18"/>
              </w:rPr>
              <w:t>:</w:t>
            </w:r>
            <w:r w:rsidR="00336BE4" w:rsidRPr="007B7C4A">
              <w:rPr>
                <w:rFonts w:cs="Times New Roman"/>
                <w:b/>
                <w:bCs/>
                <w:sz w:val="18"/>
                <w:szCs w:val="18"/>
              </w:rPr>
              <w:t xml:space="preserve"> 50%</w:t>
            </w:r>
          </w:p>
        </w:tc>
      </w:tr>
      <w:tr w:rsidR="004A5F5C" w:rsidRPr="006C6FC8" w14:paraId="0A4A7E4F" w14:textId="77777777" w:rsidTr="00B2377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80" w:type="dxa"/>
            <w:gridSpan w:val="4"/>
            <w:vAlign w:val="center"/>
          </w:tcPr>
          <w:p w14:paraId="066C7829" w14:textId="77777777" w:rsidR="004A5F5C" w:rsidRPr="006C6FC8" w:rsidRDefault="004A5F5C" w:rsidP="004A5F5C">
            <w:pPr>
              <w:rPr>
                <w:rFonts w:cs="Times New Roman"/>
                <w:b w:val="0"/>
                <w:sz w:val="18"/>
                <w:szCs w:val="18"/>
              </w:rPr>
            </w:pPr>
            <w:r w:rsidRPr="006C6FC8">
              <w:rPr>
                <w:rFonts w:cs="Times New Roman"/>
                <w:sz w:val="18"/>
                <w:szCs w:val="18"/>
              </w:rPr>
              <w:t>Facilitating coherence and efficiency</w:t>
            </w:r>
          </w:p>
        </w:tc>
      </w:tr>
      <w:tr w:rsidR="004A5F5C" w:rsidRPr="006C6FC8" w14:paraId="2AD3CE41" w14:textId="77777777" w:rsidTr="00B2377C">
        <w:tc>
          <w:tcPr>
            <w:cnfStyle w:val="001000000000" w:firstRow="0" w:lastRow="0" w:firstColumn="1" w:lastColumn="0" w:oddVBand="0" w:evenVBand="0" w:oddHBand="0" w:evenHBand="0" w:firstRowFirstColumn="0" w:firstRowLastColumn="0" w:lastRowFirstColumn="0" w:lastRowLastColumn="0"/>
            <w:tcW w:w="1705" w:type="dxa"/>
          </w:tcPr>
          <w:p w14:paraId="66DC6620" w14:textId="77777777" w:rsidR="004A5F5C" w:rsidRPr="006C6FC8" w:rsidRDefault="004A5F5C" w:rsidP="004A5F5C">
            <w:pPr>
              <w:spacing w:after="120"/>
              <w:rPr>
                <w:rFonts w:cs="Times New Roman"/>
                <w:sz w:val="18"/>
                <w:szCs w:val="18"/>
              </w:rPr>
            </w:pPr>
            <w:bookmarkStart w:id="2" w:name="_Hlk10203743"/>
            <w:r w:rsidRPr="006C6FC8">
              <w:rPr>
                <w:rFonts w:cs="Times New Roman"/>
                <w:sz w:val="18"/>
                <w:szCs w:val="18"/>
              </w:rPr>
              <w:t>7. Fully comply with cost recovery rates as approved by respective governing bodies</w:t>
            </w:r>
          </w:p>
        </w:tc>
        <w:tc>
          <w:tcPr>
            <w:tcW w:w="2250" w:type="dxa"/>
          </w:tcPr>
          <w:p w14:paraId="3046DA21" w14:textId="77777777" w:rsidR="004A5F5C" w:rsidRPr="006C6FC8" w:rsidRDefault="004A5F5C" w:rsidP="004A5F5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6C6FC8">
              <w:rPr>
                <w:rFonts w:cs="Times New Roman"/>
                <w:sz w:val="18"/>
                <w:szCs w:val="18"/>
              </w:rPr>
              <w:t>Average # of cost recovery support fee waivers granted per UNDS entity per year</w:t>
            </w:r>
          </w:p>
        </w:tc>
        <w:tc>
          <w:tcPr>
            <w:tcW w:w="2070" w:type="dxa"/>
          </w:tcPr>
          <w:p w14:paraId="292AEB2C" w14:textId="77777777" w:rsidR="004A5F5C" w:rsidRPr="006C6FC8" w:rsidRDefault="004A5F5C" w:rsidP="004A5F5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6C6FC8">
              <w:rPr>
                <w:rFonts w:cs="Times New Roman"/>
                <w:sz w:val="18"/>
                <w:szCs w:val="18"/>
              </w:rPr>
              <w:t xml:space="preserve">Baseline (2017): </w:t>
            </w:r>
            <w:r w:rsidRPr="006C6FC8">
              <w:rPr>
                <w:rFonts w:cs="Times New Roman"/>
                <w:i/>
                <w:sz w:val="18"/>
                <w:szCs w:val="18"/>
              </w:rPr>
              <w:t>tbc</w:t>
            </w:r>
          </w:p>
          <w:p w14:paraId="6E8CBFE3" w14:textId="77777777" w:rsidR="004A5F5C" w:rsidRPr="006C6FC8" w:rsidRDefault="004A5F5C" w:rsidP="004A5F5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6C6FC8">
              <w:rPr>
                <w:rFonts w:cs="Times New Roman"/>
                <w:sz w:val="18"/>
                <w:szCs w:val="18"/>
              </w:rPr>
              <w:t>Target (2019 onwards): 0</w:t>
            </w:r>
          </w:p>
        </w:tc>
        <w:tc>
          <w:tcPr>
            <w:tcW w:w="4055" w:type="dxa"/>
          </w:tcPr>
          <w:p w14:paraId="6C48B4A7" w14:textId="77777777" w:rsidR="007B7C4A" w:rsidRDefault="00590921" w:rsidP="006700E2">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63110">
              <w:rPr>
                <w:rFonts w:cs="Times New Roman"/>
                <w:sz w:val="18"/>
                <w:szCs w:val="18"/>
              </w:rPr>
              <w:t>Number of cost recovery waivers granted by UN</w:t>
            </w:r>
            <w:r>
              <w:rPr>
                <w:rFonts w:cs="Times New Roman"/>
                <w:sz w:val="18"/>
                <w:szCs w:val="18"/>
              </w:rPr>
              <w:t>DP</w:t>
            </w:r>
            <w:r w:rsidRPr="00863110">
              <w:rPr>
                <w:rFonts w:cs="Times New Roman"/>
                <w:sz w:val="18"/>
                <w:szCs w:val="18"/>
              </w:rPr>
              <w:t xml:space="preserve"> with approximate impact</w:t>
            </w:r>
            <w:r>
              <w:rPr>
                <w:rFonts w:cs="Times New Roman"/>
                <w:sz w:val="18"/>
                <w:szCs w:val="18"/>
              </w:rPr>
              <w:t>:</w:t>
            </w:r>
            <w:r w:rsidRPr="00863110">
              <w:rPr>
                <w:rFonts w:cs="Times New Roman"/>
                <w:sz w:val="18"/>
                <w:szCs w:val="18"/>
              </w:rPr>
              <w:br/>
            </w:r>
            <w:r w:rsidRPr="00606705">
              <w:rPr>
                <w:rFonts w:cs="Times New Roman"/>
                <w:b/>
                <w:bCs/>
                <w:sz w:val="18"/>
                <w:szCs w:val="18"/>
              </w:rPr>
              <w:t>Baseline 20</w:t>
            </w:r>
            <w:r>
              <w:rPr>
                <w:rFonts w:cs="Times New Roman"/>
                <w:b/>
                <w:bCs/>
                <w:sz w:val="18"/>
                <w:szCs w:val="18"/>
              </w:rPr>
              <w:t>2</w:t>
            </w:r>
            <w:r w:rsidR="0042146F">
              <w:rPr>
                <w:rFonts w:cs="Times New Roman"/>
                <w:b/>
                <w:bCs/>
                <w:sz w:val="18"/>
                <w:szCs w:val="18"/>
              </w:rPr>
              <w:t>1</w:t>
            </w:r>
            <w:r w:rsidRPr="00606705">
              <w:rPr>
                <w:rFonts w:cs="Times New Roman"/>
                <w:b/>
                <w:bCs/>
                <w:sz w:val="18"/>
                <w:szCs w:val="18"/>
              </w:rPr>
              <w:t>:</w:t>
            </w:r>
            <w:r>
              <w:t xml:space="preserve"> </w:t>
            </w:r>
            <w:r w:rsidR="0042146F" w:rsidRPr="0042146F">
              <w:rPr>
                <w:rFonts w:cs="Times New Roman"/>
                <w:sz w:val="18"/>
                <w:szCs w:val="18"/>
              </w:rPr>
              <w:t>I</w:t>
            </w:r>
            <w:r w:rsidR="0042146F">
              <w:rPr>
                <w:rFonts w:cs="Times New Roman"/>
                <w:sz w:val="18"/>
                <w:szCs w:val="18"/>
              </w:rPr>
              <w:t xml:space="preserve">n 2021, </w:t>
            </w:r>
            <w:r w:rsidR="0042146F" w:rsidRPr="007B7C4A">
              <w:rPr>
                <w:rFonts w:cs="Times New Roman"/>
                <w:b/>
                <w:bCs/>
                <w:sz w:val="18"/>
                <w:szCs w:val="18"/>
              </w:rPr>
              <w:t>no</w:t>
            </w:r>
            <w:r w:rsidR="0042146F">
              <w:rPr>
                <w:rFonts w:cs="Times New Roman"/>
                <w:sz w:val="18"/>
                <w:szCs w:val="18"/>
              </w:rPr>
              <w:t xml:space="preserve"> </w:t>
            </w:r>
            <w:r w:rsidR="0042146F" w:rsidRPr="007E4058">
              <w:rPr>
                <w:rFonts w:cs="Times New Roman"/>
                <w:sz w:val="18"/>
                <w:szCs w:val="18"/>
              </w:rPr>
              <w:t>new waiver</w:t>
            </w:r>
            <w:r w:rsidR="00121F08">
              <w:rPr>
                <w:rFonts w:cs="Times New Roman"/>
                <w:sz w:val="18"/>
                <w:szCs w:val="18"/>
              </w:rPr>
              <w:t xml:space="preserve"> was</w:t>
            </w:r>
            <w:r w:rsidR="0042146F" w:rsidRPr="007E4058">
              <w:rPr>
                <w:rFonts w:cs="Times New Roman"/>
                <w:sz w:val="18"/>
                <w:szCs w:val="18"/>
              </w:rPr>
              <w:t xml:space="preserve"> </w:t>
            </w:r>
            <w:r w:rsidR="0042146F">
              <w:rPr>
                <w:rFonts w:cs="Times New Roman"/>
                <w:sz w:val="18"/>
                <w:szCs w:val="18"/>
              </w:rPr>
              <w:t xml:space="preserve">authorized </w:t>
            </w:r>
            <w:r w:rsidR="0042146F" w:rsidRPr="007E4058">
              <w:rPr>
                <w:rFonts w:cs="Times New Roman"/>
                <w:sz w:val="18"/>
                <w:szCs w:val="18"/>
              </w:rPr>
              <w:t>on the general management support fee granted for new projects</w:t>
            </w:r>
            <w:r>
              <w:rPr>
                <w:rFonts w:cs="Times New Roman"/>
                <w:sz w:val="18"/>
                <w:szCs w:val="18"/>
              </w:rPr>
              <w:t>.</w:t>
            </w:r>
          </w:p>
          <w:p w14:paraId="2AFA1173" w14:textId="32F1409E" w:rsidR="006700E2" w:rsidRPr="007B7C4A" w:rsidRDefault="00590921" w:rsidP="006700E2">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6C1193">
              <w:rPr>
                <w:b/>
                <w:bCs/>
                <w:sz w:val="18"/>
                <w:szCs w:val="18"/>
              </w:rPr>
              <w:t>Progress 202</w:t>
            </w:r>
            <w:r w:rsidR="0042146F">
              <w:rPr>
                <w:b/>
                <w:bCs/>
                <w:sz w:val="18"/>
                <w:szCs w:val="18"/>
              </w:rPr>
              <w:t>2</w:t>
            </w:r>
            <w:r>
              <w:rPr>
                <w:sz w:val="18"/>
                <w:szCs w:val="18"/>
              </w:rPr>
              <w:t xml:space="preserve">: </w:t>
            </w:r>
            <w:r w:rsidR="006700E2">
              <w:rPr>
                <w:sz w:val="18"/>
                <w:szCs w:val="18"/>
              </w:rPr>
              <w:t xml:space="preserve"> In 2022,</w:t>
            </w:r>
            <w:r w:rsidR="00121F08">
              <w:rPr>
                <w:sz w:val="18"/>
                <w:szCs w:val="18"/>
              </w:rPr>
              <w:t xml:space="preserve"> </w:t>
            </w:r>
            <w:r w:rsidR="00121F08" w:rsidRPr="007B7C4A">
              <w:rPr>
                <w:b/>
                <w:bCs/>
                <w:sz w:val="18"/>
                <w:szCs w:val="18"/>
              </w:rPr>
              <w:t>3</w:t>
            </w:r>
            <w:r w:rsidR="006700E2" w:rsidRPr="006700E2">
              <w:rPr>
                <w:rFonts w:ascii="Calibri" w:hAnsi="Calibri" w:cs="Calibri"/>
                <w:i/>
                <w:iCs/>
                <w:color w:val="4472C4"/>
                <w:lang w:eastAsia="en-US"/>
              </w:rPr>
              <w:t xml:space="preserve"> </w:t>
            </w:r>
            <w:r w:rsidR="006700E2" w:rsidRPr="00121F08">
              <w:rPr>
                <w:sz w:val="18"/>
                <w:szCs w:val="18"/>
              </w:rPr>
              <w:t xml:space="preserve">new waivers on the general management support fee were granted for two new projects and one existing project’s additional funding with total financial impact of $0.29 million on 2022 delivery out of its total financial </w:t>
            </w:r>
            <w:r w:rsidR="00ED6B9F">
              <w:rPr>
                <w:sz w:val="18"/>
                <w:szCs w:val="18"/>
              </w:rPr>
              <w:t>volume</w:t>
            </w:r>
            <w:r w:rsidR="006700E2" w:rsidRPr="00121F08">
              <w:rPr>
                <w:sz w:val="18"/>
                <w:szCs w:val="18"/>
              </w:rPr>
              <w:t xml:space="preserve"> of $5.47 million.</w:t>
            </w:r>
          </w:p>
          <w:p w14:paraId="28AA5D8E" w14:textId="31A4A31E" w:rsidR="004A5F5C" w:rsidRPr="006C6FC8" w:rsidRDefault="00491FD9" w:rsidP="00590921">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b/>
                <w:bCs/>
                <w:sz w:val="18"/>
                <w:szCs w:val="18"/>
              </w:rPr>
              <w:t>Target</w:t>
            </w:r>
            <w:r w:rsidRPr="00606705">
              <w:rPr>
                <w:rFonts w:cs="Times New Roman"/>
                <w:b/>
                <w:bCs/>
                <w:sz w:val="18"/>
                <w:szCs w:val="18"/>
              </w:rPr>
              <w:t xml:space="preserve"> </w:t>
            </w:r>
            <w:r w:rsidR="00590921" w:rsidRPr="00606705">
              <w:rPr>
                <w:rFonts w:cs="Times New Roman"/>
                <w:b/>
                <w:bCs/>
                <w:sz w:val="18"/>
                <w:szCs w:val="18"/>
              </w:rPr>
              <w:t>202</w:t>
            </w:r>
            <w:r w:rsidR="0042146F">
              <w:rPr>
                <w:rFonts w:cs="Times New Roman"/>
                <w:b/>
                <w:bCs/>
                <w:sz w:val="18"/>
                <w:szCs w:val="18"/>
              </w:rPr>
              <w:t>3</w:t>
            </w:r>
            <w:r w:rsidR="00590921" w:rsidRPr="00606705">
              <w:rPr>
                <w:rFonts w:cs="Times New Roman"/>
                <w:b/>
                <w:bCs/>
                <w:sz w:val="18"/>
                <w:szCs w:val="18"/>
              </w:rPr>
              <w:t>:</w:t>
            </w:r>
            <w:r w:rsidR="00590921" w:rsidRPr="00863110">
              <w:rPr>
                <w:rFonts w:cs="Times New Roman"/>
                <w:sz w:val="18"/>
                <w:szCs w:val="18"/>
              </w:rPr>
              <w:t xml:space="preserve"> </w:t>
            </w:r>
            <w:r w:rsidR="00590921" w:rsidRPr="007B7C4A">
              <w:rPr>
                <w:rFonts w:cs="Times New Roman"/>
                <w:b/>
                <w:bCs/>
                <w:sz w:val="18"/>
                <w:szCs w:val="18"/>
              </w:rPr>
              <w:t>0</w:t>
            </w:r>
          </w:p>
        </w:tc>
      </w:tr>
      <w:bookmarkEnd w:id="2"/>
    </w:tbl>
    <w:p w14:paraId="1A9C59E6" w14:textId="77777777" w:rsidR="00B2377C" w:rsidRPr="006C6FC8" w:rsidRDefault="00B2377C" w:rsidP="00B2377C">
      <w:pPr>
        <w:rPr>
          <w:sz w:val="18"/>
          <w:szCs w:val="18"/>
        </w:rPr>
      </w:pPr>
    </w:p>
    <w:p w14:paraId="7B318E90" w14:textId="77777777" w:rsidR="00B2377C" w:rsidRPr="006C6FC8" w:rsidRDefault="00B2377C" w:rsidP="00B2377C">
      <w:pPr>
        <w:rPr>
          <w:b/>
          <w:color w:val="5B9BD5" w:themeColor="accent1"/>
          <w:sz w:val="18"/>
          <w:szCs w:val="18"/>
          <w:u w:val="single"/>
        </w:rPr>
      </w:pPr>
      <w:r w:rsidRPr="006C6FC8">
        <w:rPr>
          <w:b/>
          <w:color w:val="5B9BD5" w:themeColor="accent1"/>
          <w:sz w:val="18"/>
          <w:szCs w:val="18"/>
          <w:u w:val="single"/>
        </w:rPr>
        <w:t>UN DEVELOPMENT SYSTEM COMMITMENTS</w:t>
      </w:r>
    </w:p>
    <w:tbl>
      <w:tblPr>
        <w:tblStyle w:val="PlainTable2"/>
        <w:tblW w:w="10080" w:type="dxa"/>
        <w:tblLook w:val="04A0" w:firstRow="1" w:lastRow="0" w:firstColumn="1" w:lastColumn="0" w:noHBand="0" w:noVBand="1"/>
      </w:tblPr>
      <w:tblGrid>
        <w:gridCol w:w="1705"/>
        <w:gridCol w:w="2250"/>
        <w:gridCol w:w="2070"/>
        <w:gridCol w:w="4055"/>
      </w:tblGrid>
      <w:tr w:rsidR="00B2377C" w:rsidRPr="00B85ADE" w14:paraId="2F241043" w14:textId="77777777" w:rsidTr="00E95C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37372B7D" w14:textId="77777777" w:rsidR="00B2377C" w:rsidRPr="00B85ADE" w:rsidRDefault="00B2377C" w:rsidP="00B2377C">
            <w:pPr>
              <w:rPr>
                <w:rFonts w:cs="Times New Roman"/>
                <w:b w:val="0"/>
                <w:color w:val="5B9BD5" w:themeColor="accent1"/>
                <w:sz w:val="18"/>
                <w:szCs w:val="18"/>
              </w:rPr>
            </w:pPr>
            <w:r w:rsidRPr="00B85ADE">
              <w:rPr>
                <w:rFonts w:cs="Times New Roman"/>
                <w:color w:val="5B9BD5" w:themeColor="accent1"/>
                <w:sz w:val="18"/>
                <w:szCs w:val="18"/>
              </w:rPr>
              <w:t>Relevant Commitment</w:t>
            </w:r>
          </w:p>
        </w:tc>
        <w:tc>
          <w:tcPr>
            <w:tcW w:w="2250" w:type="dxa"/>
          </w:tcPr>
          <w:p w14:paraId="5A8C39F1" w14:textId="77777777" w:rsidR="00B2377C" w:rsidRPr="00B85ADE" w:rsidRDefault="00B2377C" w:rsidP="00B2377C">
            <w:pPr>
              <w:cnfStyle w:val="100000000000" w:firstRow="1" w:lastRow="0" w:firstColumn="0" w:lastColumn="0" w:oddVBand="0" w:evenVBand="0" w:oddHBand="0" w:evenHBand="0" w:firstRowFirstColumn="0" w:firstRowLastColumn="0" w:lastRowFirstColumn="0" w:lastRowLastColumn="0"/>
              <w:rPr>
                <w:rFonts w:cs="Times New Roman"/>
                <w:b w:val="0"/>
                <w:color w:val="5B9BD5" w:themeColor="accent1"/>
                <w:sz w:val="18"/>
                <w:szCs w:val="18"/>
              </w:rPr>
            </w:pPr>
            <w:r w:rsidRPr="00B85ADE">
              <w:rPr>
                <w:rFonts w:cs="Times New Roman"/>
                <w:color w:val="5B9BD5" w:themeColor="accent1"/>
                <w:sz w:val="18"/>
                <w:szCs w:val="18"/>
              </w:rPr>
              <w:t>Relevant Funding Compact Indicators</w:t>
            </w:r>
          </w:p>
        </w:tc>
        <w:tc>
          <w:tcPr>
            <w:tcW w:w="2070" w:type="dxa"/>
          </w:tcPr>
          <w:p w14:paraId="5097C318" w14:textId="77777777" w:rsidR="00B2377C" w:rsidRPr="00B85ADE" w:rsidRDefault="00B2377C" w:rsidP="00B2377C">
            <w:pPr>
              <w:cnfStyle w:val="100000000000" w:firstRow="1" w:lastRow="0" w:firstColumn="0" w:lastColumn="0" w:oddVBand="0" w:evenVBand="0" w:oddHBand="0" w:evenHBand="0" w:firstRowFirstColumn="0" w:firstRowLastColumn="0" w:lastRowFirstColumn="0" w:lastRowLastColumn="0"/>
              <w:rPr>
                <w:rFonts w:cs="Times New Roman"/>
                <w:b w:val="0"/>
                <w:color w:val="5B9BD5" w:themeColor="accent1"/>
                <w:sz w:val="18"/>
                <w:szCs w:val="18"/>
              </w:rPr>
            </w:pPr>
            <w:r w:rsidRPr="00B85ADE">
              <w:rPr>
                <w:rFonts w:cs="Times New Roman"/>
                <w:color w:val="5B9BD5" w:themeColor="accent1"/>
                <w:sz w:val="18"/>
                <w:szCs w:val="18"/>
              </w:rPr>
              <w:t>System-wide Baselines &amp; Targets from Funding Compact</w:t>
            </w:r>
          </w:p>
        </w:tc>
        <w:tc>
          <w:tcPr>
            <w:tcW w:w="4055" w:type="dxa"/>
          </w:tcPr>
          <w:p w14:paraId="692442D0" w14:textId="69599BF2" w:rsidR="00B2377C" w:rsidRPr="00B85ADE" w:rsidRDefault="007B197C" w:rsidP="00B2377C">
            <w:pPr>
              <w:cnfStyle w:val="100000000000" w:firstRow="1" w:lastRow="0" w:firstColumn="0" w:lastColumn="0" w:oddVBand="0" w:evenVBand="0" w:oddHBand="0" w:evenHBand="0" w:firstRowFirstColumn="0" w:firstRowLastColumn="0" w:lastRowFirstColumn="0" w:lastRowLastColumn="0"/>
              <w:rPr>
                <w:rFonts w:cs="Times New Roman"/>
                <w:b w:val="0"/>
                <w:color w:val="5B9BD5" w:themeColor="accent1"/>
                <w:sz w:val="18"/>
                <w:szCs w:val="18"/>
              </w:rPr>
            </w:pPr>
            <w:r>
              <w:rPr>
                <w:rFonts w:cs="Times New Roman"/>
                <w:color w:val="5B9BD5" w:themeColor="accent1"/>
                <w:sz w:val="18"/>
                <w:szCs w:val="18"/>
              </w:rPr>
              <w:t>UNDP</w:t>
            </w:r>
            <w:r w:rsidRPr="00B85ADE">
              <w:rPr>
                <w:rFonts w:cs="Times New Roman"/>
                <w:color w:val="5B9BD5" w:themeColor="accent1"/>
                <w:sz w:val="18"/>
                <w:szCs w:val="18"/>
              </w:rPr>
              <w:t xml:space="preserve"> </w:t>
            </w:r>
            <w:r w:rsidR="00B2377C" w:rsidRPr="00B85ADE">
              <w:rPr>
                <w:rFonts w:cs="Times New Roman"/>
                <w:color w:val="5B9BD5" w:themeColor="accent1"/>
                <w:sz w:val="18"/>
                <w:szCs w:val="18"/>
              </w:rPr>
              <w:t>Baselines (2019)</w:t>
            </w:r>
          </w:p>
        </w:tc>
      </w:tr>
      <w:tr w:rsidR="00B2377C" w:rsidRPr="00B85ADE" w14:paraId="69633124" w14:textId="77777777" w:rsidTr="00E95C5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80" w:type="dxa"/>
            <w:gridSpan w:val="4"/>
            <w:vAlign w:val="center"/>
          </w:tcPr>
          <w:p w14:paraId="1590A6FF" w14:textId="77777777" w:rsidR="00B2377C" w:rsidRPr="00B85ADE" w:rsidRDefault="00B2377C" w:rsidP="00B2377C">
            <w:pPr>
              <w:spacing w:after="120"/>
              <w:contextualSpacing/>
              <w:rPr>
                <w:rFonts w:cs="Times New Roman"/>
                <w:b w:val="0"/>
                <w:sz w:val="18"/>
                <w:szCs w:val="18"/>
              </w:rPr>
            </w:pPr>
            <w:r w:rsidRPr="00B85ADE">
              <w:rPr>
                <w:rFonts w:cs="Times New Roman"/>
                <w:sz w:val="18"/>
                <w:szCs w:val="18"/>
              </w:rPr>
              <w:t>Accelerating results on the ground</w:t>
            </w:r>
          </w:p>
        </w:tc>
      </w:tr>
      <w:tr w:rsidR="00491E2B" w:rsidRPr="00B85ADE" w14:paraId="0C35C8E3" w14:textId="77777777" w:rsidTr="00491E2B">
        <w:tc>
          <w:tcPr>
            <w:cnfStyle w:val="001000000000" w:firstRow="0" w:lastRow="0" w:firstColumn="1" w:lastColumn="0" w:oddVBand="0" w:evenVBand="0" w:oddHBand="0" w:evenHBand="0" w:firstRowFirstColumn="0" w:firstRowLastColumn="0" w:lastRowFirstColumn="0" w:lastRowLastColumn="0"/>
            <w:tcW w:w="1705" w:type="dxa"/>
            <w:vMerge w:val="restart"/>
          </w:tcPr>
          <w:p w14:paraId="1D612E3D" w14:textId="77777777" w:rsidR="00491E2B" w:rsidRPr="00B85ADE" w:rsidRDefault="00491E2B" w:rsidP="00B2377C">
            <w:pPr>
              <w:spacing w:after="120"/>
              <w:rPr>
                <w:rFonts w:cs="Times New Roman"/>
                <w:sz w:val="18"/>
                <w:szCs w:val="18"/>
              </w:rPr>
            </w:pPr>
            <w:r w:rsidRPr="00B85ADE">
              <w:rPr>
                <w:rFonts w:cs="Times New Roman"/>
                <w:sz w:val="18"/>
                <w:szCs w:val="18"/>
              </w:rPr>
              <w:t>1. Enhance cooperation for results at country level</w:t>
            </w:r>
          </w:p>
        </w:tc>
        <w:tc>
          <w:tcPr>
            <w:tcW w:w="2250" w:type="dxa"/>
            <w:tcBorders>
              <w:bottom w:val="nil"/>
            </w:tcBorders>
          </w:tcPr>
          <w:p w14:paraId="34378CD0" w14:textId="2E9FB042" w:rsidR="00491E2B" w:rsidRPr="00B85ADE" w:rsidRDefault="00491E2B"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 xml:space="preserve">Fraction of UNSDG entities reporting at least 15% of </w:t>
            </w:r>
            <w:r w:rsidR="00CB2341">
              <w:rPr>
                <w:rFonts w:cs="Times New Roman"/>
                <w:sz w:val="18"/>
                <w:szCs w:val="18"/>
              </w:rPr>
              <w:t>development-related</w:t>
            </w:r>
            <w:r w:rsidRPr="00B85ADE">
              <w:rPr>
                <w:rFonts w:cs="Times New Roman"/>
                <w:sz w:val="18"/>
                <w:szCs w:val="18"/>
              </w:rPr>
              <w:t xml:space="preserve"> expenditures on joint activities</w:t>
            </w:r>
            <w:r w:rsidRPr="00B85ADE">
              <w:rPr>
                <w:rFonts w:cs="Times New Roman"/>
                <w:sz w:val="18"/>
                <w:szCs w:val="18"/>
              </w:rPr>
              <w:br/>
            </w:r>
          </w:p>
        </w:tc>
        <w:tc>
          <w:tcPr>
            <w:tcW w:w="2070" w:type="dxa"/>
            <w:tcBorders>
              <w:bottom w:val="nil"/>
            </w:tcBorders>
          </w:tcPr>
          <w:p w14:paraId="5221D94F" w14:textId="620F49A4" w:rsidR="00491E2B" w:rsidRPr="00B85ADE" w:rsidRDefault="00491E2B"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 xml:space="preserve">(2017) 9 entities on a total of 29 or 31% reporting at least 15% of </w:t>
            </w:r>
            <w:r w:rsidR="00CB2341">
              <w:rPr>
                <w:rFonts w:cs="Times New Roman"/>
                <w:sz w:val="18"/>
                <w:szCs w:val="18"/>
              </w:rPr>
              <w:t>development-related</w:t>
            </w:r>
            <w:r w:rsidRPr="00B85ADE">
              <w:rPr>
                <w:rFonts w:cs="Times New Roman"/>
                <w:sz w:val="18"/>
                <w:szCs w:val="18"/>
              </w:rPr>
              <w:t xml:space="preserve"> expenditures on joint activities</w:t>
            </w:r>
          </w:p>
        </w:tc>
        <w:tc>
          <w:tcPr>
            <w:tcW w:w="4055" w:type="dxa"/>
            <w:tcBorders>
              <w:bottom w:val="nil"/>
            </w:tcBorders>
          </w:tcPr>
          <w:p w14:paraId="66AE9549" w14:textId="1D85B9AA" w:rsidR="00DF4282" w:rsidRPr="00CB2341" w:rsidRDefault="00DF4282" w:rsidP="00DF4282">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D4539E">
              <w:rPr>
                <w:rFonts w:cs="Times New Roman"/>
                <w:b/>
                <w:bCs/>
                <w:sz w:val="18"/>
                <w:szCs w:val="18"/>
              </w:rPr>
              <w:t xml:space="preserve">Baseline </w:t>
            </w:r>
            <w:r w:rsidRPr="00D8547C">
              <w:rPr>
                <w:rFonts w:cs="Times New Roman"/>
                <w:b/>
                <w:sz w:val="18"/>
                <w:szCs w:val="18"/>
              </w:rPr>
              <w:t>20</w:t>
            </w:r>
            <w:r>
              <w:rPr>
                <w:rFonts w:cs="Times New Roman"/>
                <w:b/>
                <w:sz w:val="18"/>
                <w:szCs w:val="18"/>
              </w:rPr>
              <w:t>2</w:t>
            </w:r>
            <w:r w:rsidR="00A93E4E">
              <w:rPr>
                <w:rFonts w:cs="Times New Roman"/>
                <w:b/>
                <w:sz w:val="18"/>
                <w:szCs w:val="18"/>
              </w:rPr>
              <w:t>1</w:t>
            </w:r>
            <w:r>
              <w:rPr>
                <w:rFonts w:cs="Times New Roman"/>
                <w:sz w:val="18"/>
                <w:szCs w:val="18"/>
              </w:rPr>
              <w:t xml:space="preserve">: </w:t>
            </w:r>
            <w:r w:rsidRPr="007B7C4A">
              <w:rPr>
                <w:rFonts w:cs="Times New Roman"/>
                <w:b/>
                <w:bCs/>
                <w:sz w:val="18"/>
                <w:szCs w:val="18"/>
              </w:rPr>
              <w:t>10%</w:t>
            </w:r>
            <w:r>
              <w:rPr>
                <w:rFonts w:cs="Times New Roman"/>
                <w:sz w:val="18"/>
                <w:szCs w:val="18"/>
              </w:rPr>
              <w:t xml:space="preserve"> of non-core expenditure was spent on joint programmes, which do not fully capture the full gamut of joint a</w:t>
            </w:r>
            <w:r w:rsidRPr="00CB2341">
              <w:rPr>
                <w:rFonts w:cs="Times New Roman"/>
                <w:sz w:val="18"/>
                <w:szCs w:val="18"/>
              </w:rPr>
              <w:t xml:space="preserve">ctivities. </w:t>
            </w:r>
          </w:p>
          <w:p w14:paraId="52A1ED75" w14:textId="258D8395" w:rsidR="00DF4282" w:rsidRPr="00A673A9" w:rsidRDefault="00DF4282" w:rsidP="00DF4282">
            <w:pPr>
              <w:pStyle w:val="NormalWeb"/>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US"/>
              </w:rPr>
            </w:pPr>
            <w:r w:rsidRPr="00CB2341">
              <w:rPr>
                <w:rFonts w:ascii="Times New Roman" w:hAnsi="Times New Roman" w:cs="Times New Roman"/>
                <w:b/>
                <w:sz w:val="18"/>
                <w:szCs w:val="18"/>
              </w:rPr>
              <w:t>Progress 202</w:t>
            </w:r>
            <w:r w:rsidR="001D5E31" w:rsidRPr="00CB2341">
              <w:rPr>
                <w:rFonts w:ascii="Times New Roman" w:hAnsi="Times New Roman" w:cs="Times New Roman"/>
                <w:b/>
                <w:sz w:val="18"/>
                <w:szCs w:val="18"/>
              </w:rPr>
              <w:t>2</w:t>
            </w:r>
            <w:r w:rsidRPr="00CB2341">
              <w:rPr>
                <w:rFonts w:ascii="Times New Roman" w:hAnsi="Times New Roman" w:cs="Times New Roman"/>
                <w:b/>
                <w:sz w:val="18"/>
                <w:szCs w:val="18"/>
              </w:rPr>
              <w:t>:</w:t>
            </w:r>
            <w:r w:rsidR="00615ADF" w:rsidRPr="00CB2341">
              <w:rPr>
                <w:rFonts w:ascii="Times New Roman" w:hAnsi="Times New Roman" w:cs="Times New Roman"/>
                <w:b/>
                <w:sz w:val="18"/>
                <w:szCs w:val="18"/>
              </w:rPr>
              <w:t xml:space="preserve"> </w:t>
            </w:r>
            <w:r w:rsidR="00615ADF" w:rsidRPr="007B7C4A">
              <w:rPr>
                <w:rFonts w:ascii="Times New Roman" w:hAnsi="Times New Roman" w:cs="Times New Roman"/>
                <w:b/>
                <w:sz w:val="18"/>
                <w:szCs w:val="18"/>
              </w:rPr>
              <w:t>1</w:t>
            </w:r>
            <w:r w:rsidR="001D5E31" w:rsidRPr="007B7C4A">
              <w:rPr>
                <w:rFonts w:ascii="Times New Roman" w:hAnsi="Times New Roman" w:cs="Times New Roman"/>
                <w:b/>
                <w:sz w:val="18"/>
                <w:szCs w:val="18"/>
              </w:rPr>
              <w:t>1</w:t>
            </w:r>
            <w:r w:rsidR="00615ADF" w:rsidRPr="007B7C4A">
              <w:rPr>
                <w:rFonts w:ascii="Times New Roman" w:hAnsi="Times New Roman" w:cs="Times New Roman"/>
                <w:b/>
                <w:sz w:val="18"/>
                <w:szCs w:val="18"/>
              </w:rPr>
              <w:t>%</w:t>
            </w:r>
          </w:p>
          <w:p w14:paraId="20A244CA" w14:textId="1F5317E6" w:rsidR="00491E2B" w:rsidRPr="002A5AA4" w:rsidRDefault="000E329D" w:rsidP="00DF4282">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b/>
                <w:sz w:val="18"/>
                <w:szCs w:val="18"/>
              </w:rPr>
              <w:t>Target</w:t>
            </w:r>
            <w:r w:rsidR="00DF4282" w:rsidRPr="00D8547C">
              <w:rPr>
                <w:rFonts w:cs="Times New Roman"/>
                <w:b/>
                <w:sz w:val="18"/>
                <w:szCs w:val="18"/>
              </w:rPr>
              <w:t xml:space="preserve"> 202</w:t>
            </w:r>
            <w:r>
              <w:rPr>
                <w:rFonts w:cs="Times New Roman"/>
                <w:b/>
                <w:sz w:val="18"/>
                <w:szCs w:val="18"/>
              </w:rPr>
              <w:t>3</w:t>
            </w:r>
            <w:r w:rsidR="00DF4282">
              <w:rPr>
                <w:rFonts w:cs="Times New Roman"/>
                <w:sz w:val="18"/>
                <w:szCs w:val="18"/>
              </w:rPr>
              <w:t>:</w:t>
            </w:r>
            <w:r w:rsidR="0054759E">
              <w:rPr>
                <w:rFonts w:cs="Times New Roman"/>
                <w:sz w:val="18"/>
                <w:szCs w:val="18"/>
              </w:rPr>
              <w:t xml:space="preserve"> </w:t>
            </w:r>
            <w:r w:rsidR="0054759E" w:rsidRPr="007B7C4A">
              <w:rPr>
                <w:rFonts w:cs="Times New Roman"/>
                <w:b/>
                <w:bCs/>
                <w:sz w:val="18"/>
                <w:szCs w:val="18"/>
              </w:rPr>
              <w:t>1</w:t>
            </w:r>
            <w:r w:rsidR="00F411B5" w:rsidRPr="007B7C4A">
              <w:rPr>
                <w:rFonts w:cs="Times New Roman"/>
                <w:b/>
                <w:bCs/>
                <w:sz w:val="18"/>
                <w:szCs w:val="18"/>
              </w:rPr>
              <w:t>3</w:t>
            </w:r>
            <w:r w:rsidR="0054759E" w:rsidRPr="007B7C4A">
              <w:rPr>
                <w:rFonts w:cs="Times New Roman"/>
                <w:b/>
                <w:bCs/>
                <w:sz w:val="18"/>
                <w:szCs w:val="18"/>
              </w:rPr>
              <w:t>%</w:t>
            </w:r>
          </w:p>
        </w:tc>
      </w:tr>
      <w:tr w:rsidR="00491E2B" w:rsidRPr="00B85ADE" w14:paraId="05539BB8" w14:textId="77777777" w:rsidTr="00491E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Merge/>
          </w:tcPr>
          <w:p w14:paraId="0668553B" w14:textId="77777777" w:rsidR="00491E2B" w:rsidRPr="00B85ADE" w:rsidRDefault="00491E2B" w:rsidP="00B2377C">
            <w:pPr>
              <w:spacing w:after="120"/>
              <w:rPr>
                <w:sz w:val="18"/>
                <w:szCs w:val="18"/>
              </w:rPr>
            </w:pPr>
          </w:p>
        </w:tc>
        <w:tc>
          <w:tcPr>
            <w:tcW w:w="2250" w:type="dxa"/>
            <w:tcBorders>
              <w:top w:val="nil"/>
              <w:bottom w:val="single" w:sz="4" w:space="0" w:color="auto"/>
            </w:tcBorders>
          </w:tcPr>
          <w:p w14:paraId="6B9A64B7" w14:textId="77777777" w:rsidR="00491E2B" w:rsidRPr="00B85ADE" w:rsidRDefault="00AA0F3D" w:rsidP="00B2377C">
            <w:pPr>
              <w:spacing w:after="120"/>
              <w:cnfStyle w:val="000000100000" w:firstRow="0" w:lastRow="0" w:firstColumn="0" w:lastColumn="0" w:oddVBand="0" w:evenVBand="0" w:oddHBand="1" w:evenHBand="0" w:firstRowFirstColumn="0" w:firstRowLastColumn="0" w:lastRowFirstColumn="0" w:lastRowLastColumn="0"/>
              <w:rPr>
                <w:sz w:val="18"/>
                <w:szCs w:val="18"/>
              </w:rPr>
            </w:pPr>
            <w:r w:rsidRPr="00AA0F3D">
              <w:rPr>
                <w:sz w:val="18"/>
                <w:szCs w:val="18"/>
              </w:rPr>
              <w:t>% of RCs that state that at least 75% of CPDs are aligned to the UNDAF in their country</w:t>
            </w:r>
          </w:p>
        </w:tc>
        <w:tc>
          <w:tcPr>
            <w:tcW w:w="2070" w:type="dxa"/>
            <w:tcBorders>
              <w:top w:val="nil"/>
              <w:bottom w:val="single" w:sz="4" w:space="0" w:color="auto"/>
            </w:tcBorders>
          </w:tcPr>
          <w:p w14:paraId="1D16A7BC" w14:textId="77777777" w:rsidR="00AA0F3D" w:rsidRPr="00AA0F3D" w:rsidRDefault="00AA0F3D" w:rsidP="00AA0F3D">
            <w:pPr>
              <w:spacing w:after="120"/>
              <w:cnfStyle w:val="000000100000" w:firstRow="0" w:lastRow="0" w:firstColumn="0" w:lastColumn="0" w:oddVBand="0" w:evenVBand="0" w:oddHBand="1" w:evenHBand="0" w:firstRowFirstColumn="0" w:firstRowLastColumn="0" w:lastRowFirstColumn="0" w:lastRowLastColumn="0"/>
              <w:rPr>
                <w:sz w:val="18"/>
                <w:szCs w:val="18"/>
              </w:rPr>
            </w:pPr>
            <w:r w:rsidRPr="00AA0F3D">
              <w:rPr>
                <w:sz w:val="18"/>
                <w:szCs w:val="18"/>
              </w:rPr>
              <w:t>Baseline (2017): tbd</w:t>
            </w:r>
          </w:p>
          <w:p w14:paraId="092D9677" w14:textId="77777777" w:rsidR="00491E2B" w:rsidRPr="00B85ADE" w:rsidRDefault="00AA0F3D" w:rsidP="00AA0F3D">
            <w:pPr>
              <w:spacing w:after="120"/>
              <w:cnfStyle w:val="000000100000" w:firstRow="0" w:lastRow="0" w:firstColumn="0" w:lastColumn="0" w:oddVBand="0" w:evenVBand="0" w:oddHBand="1" w:evenHBand="0" w:firstRowFirstColumn="0" w:firstRowLastColumn="0" w:lastRowFirstColumn="0" w:lastRowLastColumn="0"/>
              <w:rPr>
                <w:sz w:val="18"/>
                <w:szCs w:val="18"/>
              </w:rPr>
            </w:pPr>
            <w:r w:rsidRPr="00AA0F3D">
              <w:rPr>
                <w:sz w:val="18"/>
                <w:szCs w:val="18"/>
              </w:rPr>
              <w:t>Target (2023): 100%</w:t>
            </w:r>
          </w:p>
        </w:tc>
        <w:tc>
          <w:tcPr>
            <w:tcW w:w="4055" w:type="dxa"/>
            <w:tcBorders>
              <w:top w:val="nil"/>
              <w:bottom w:val="single" w:sz="4" w:space="0" w:color="auto"/>
            </w:tcBorders>
          </w:tcPr>
          <w:p w14:paraId="34F20B6D" w14:textId="671D21BC" w:rsidR="005141DF" w:rsidRPr="005141DF" w:rsidRDefault="005141DF" w:rsidP="005141DF">
            <w:pPr>
              <w:spacing w:after="120"/>
              <w:cnfStyle w:val="000000100000" w:firstRow="0" w:lastRow="0" w:firstColumn="0" w:lastColumn="0" w:oddVBand="0" w:evenVBand="0" w:oddHBand="1" w:evenHBand="0" w:firstRowFirstColumn="0" w:firstRowLastColumn="0" w:lastRowFirstColumn="0" w:lastRowLastColumn="0"/>
              <w:rPr>
                <w:b/>
                <w:bCs/>
                <w:sz w:val="18"/>
                <w:szCs w:val="18"/>
                <w:lang w:eastAsia="en-US"/>
              </w:rPr>
            </w:pPr>
            <w:r w:rsidRPr="005141DF">
              <w:rPr>
                <w:b/>
                <w:bCs/>
                <w:sz w:val="18"/>
                <w:szCs w:val="18"/>
              </w:rPr>
              <w:t>Baseline 20</w:t>
            </w:r>
            <w:r w:rsidR="00527EEB">
              <w:rPr>
                <w:b/>
                <w:bCs/>
                <w:sz w:val="18"/>
                <w:szCs w:val="18"/>
              </w:rPr>
              <w:t>2</w:t>
            </w:r>
            <w:r w:rsidR="008E48BD">
              <w:rPr>
                <w:b/>
                <w:bCs/>
                <w:sz w:val="18"/>
                <w:szCs w:val="18"/>
              </w:rPr>
              <w:t>1</w:t>
            </w:r>
            <w:r w:rsidRPr="005141DF">
              <w:rPr>
                <w:b/>
                <w:bCs/>
                <w:sz w:val="18"/>
                <w:szCs w:val="18"/>
              </w:rPr>
              <w:t>:</w:t>
            </w:r>
            <w:r w:rsidRPr="005141DF">
              <w:t xml:space="preserve"> </w:t>
            </w:r>
            <w:r w:rsidRPr="007B7C4A">
              <w:rPr>
                <w:b/>
                <w:bCs/>
                <w:sz w:val="18"/>
                <w:szCs w:val="18"/>
              </w:rPr>
              <w:t>100%</w:t>
            </w:r>
            <w:r w:rsidRPr="005141DF">
              <w:rPr>
                <w:sz w:val="18"/>
                <w:szCs w:val="18"/>
              </w:rPr>
              <w:t xml:space="preserve"> of UNDP’s CPD outcomes are aligned with UNDAF </w:t>
            </w:r>
            <w:proofErr w:type="gramStart"/>
            <w:r w:rsidRPr="005141DF">
              <w:rPr>
                <w:sz w:val="18"/>
                <w:szCs w:val="18"/>
              </w:rPr>
              <w:t>outcomes</w:t>
            </w:r>
            <w:proofErr w:type="gramEnd"/>
          </w:p>
          <w:p w14:paraId="471B81E9" w14:textId="63A4297F" w:rsidR="005141DF" w:rsidRPr="007711C9" w:rsidRDefault="005141DF" w:rsidP="007711C9">
            <w:pPr>
              <w:spacing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5141DF">
              <w:rPr>
                <w:b/>
                <w:bCs/>
                <w:sz w:val="18"/>
                <w:szCs w:val="18"/>
              </w:rPr>
              <w:t>Progress 20</w:t>
            </w:r>
            <w:r w:rsidR="008B5852">
              <w:rPr>
                <w:b/>
                <w:bCs/>
                <w:sz w:val="18"/>
                <w:szCs w:val="18"/>
              </w:rPr>
              <w:t>2</w:t>
            </w:r>
            <w:r w:rsidR="008E48BD">
              <w:rPr>
                <w:b/>
                <w:bCs/>
                <w:sz w:val="18"/>
                <w:szCs w:val="18"/>
              </w:rPr>
              <w:t>2</w:t>
            </w:r>
            <w:r w:rsidRPr="005141DF">
              <w:rPr>
                <w:b/>
                <w:bCs/>
                <w:sz w:val="18"/>
                <w:szCs w:val="18"/>
              </w:rPr>
              <w:t xml:space="preserve">:  </w:t>
            </w:r>
            <w:r w:rsidRPr="007B7C4A">
              <w:rPr>
                <w:b/>
                <w:bCs/>
                <w:sz w:val="18"/>
                <w:szCs w:val="18"/>
              </w:rPr>
              <w:t>100%</w:t>
            </w:r>
            <w:r w:rsidRPr="005141DF">
              <w:rPr>
                <w:sz w:val="18"/>
                <w:szCs w:val="18"/>
              </w:rPr>
              <w:t xml:space="preserve"> of UNDP’s CPD outcomes are aligned with UNDAF/Cooperation Framework outcomes</w:t>
            </w:r>
          </w:p>
        </w:tc>
      </w:tr>
      <w:tr w:rsidR="00B2377C" w:rsidRPr="00B85ADE" w14:paraId="2236FDB4" w14:textId="77777777" w:rsidTr="00491E2B">
        <w:trPr>
          <w:trHeight w:val="2240"/>
        </w:trPr>
        <w:tc>
          <w:tcPr>
            <w:cnfStyle w:val="001000000000" w:firstRow="0" w:lastRow="0" w:firstColumn="1" w:lastColumn="0" w:oddVBand="0" w:evenVBand="0" w:oddHBand="0" w:evenHBand="0" w:firstRowFirstColumn="0" w:firstRowLastColumn="0" w:lastRowFirstColumn="0" w:lastRowLastColumn="0"/>
            <w:tcW w:w="1705" w:type="dxa"/>
          </w:tcPr>
          <w:p w14:paraId="73898DAD" w14:textId="77777777" w:rsidR="00B2377C" w:rsidRPr="00B85ADE" w:rsidRDefault="00B2377C" w:rsidP="00B2377C">
            <w:pPr>
              <w:spacing w:after="120"/>
              <w:rPr>
                <w:rFonts w:cs="Times New Roman"/>
                <w:sz w:val="18"/>
                <w:szCs w:val="18"/>
              </w:rPr>
            </w:pPr>
            <w:r w:rsidRPr="00B85ADE">
              <w:rPr>
                <w:rFonts w:cs="Times New Roman"/>
                <w:sz w:val="18"/>
                <w:szCs w:val="18"/>
              </w:rPr>
              <w:t>2. Increase collaboration on joint and independent system-wide evaluation products to improve UN support on the ground</w:t>
            </w:r>
          </w:p>
        </w:tc>
        <w:tc>
          <w:tcPr>
            <w:tcW w:w="2250" w:type="dxa"/>
            <w:tcBorders>
              <w:top w:val="single" w:sz="4" w:space="0" w:color="auto"/>
            </w:tcBorders>
          </w:tcPr>
          <w:p w14:paraId="7F0D09A6"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 of UNSDG Evaluation Offices engaging in joint or Independent System Wide Evaluations (ISWE)</w:t>
            </w:r>
          </w:p>
        </w:tc>
        <w:tc>
          <w:tcPr>
            <w:tcW w:w="2070" w:type="dxa"/>
            <w:tcBorders>
              <w:top w:val="single" w:sz="4" w:space="0" w:color="auto"/>
            </w:tcBorders>
          </w:tcPr>
          <w:p w14:paraId="32382369"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Baseline (2018): 29% (joint eval), 20% (ISWE)</w:t>
            </w:r>
          </w:p>
          <w:p w14:paraId="2EB34199"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Target (2021): 75% (joint eval), 50% (ISWE)</w:t>
            </w:r>
          </w:p>
        </w:tc>
        <w:tc>
          <w:tcPr>
            <w:tcW w:w="4055" w:type="dxa"/>
            <w:tcBorders>
              <w:top w:val="single" w:sz="4" w:space="0" w:color="auto"/>
            </w:tcBorders>
          </w:tcPr>
          <w:p w14:paraId="2AD2A792" w14:textId="3ADCA260" w:rsidR="00666B23" w:rsidRDefault="00F23005" w:rsidP="00666B23">
            <w:pPr>
              <w:spacing w:after="12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Pr>
                <w:rFonts w:cs="Times New Roman"/>
                <w:b/>
                <w:bCs/>
                <w:color w:val="000000" w:themeColor="text1"/>
                <w:sz w:val="18"/>
                <w:szCs w:val="18"/>
              </w:rPr>
              <w:t>Baseline</w:t>
            </w:r>
            <w:r w:rsidRPr="00A60227">
              <w:rPr>
                <w:rFonts w:cs="Times New Roman"/>
                <w:b/>
                <w:bCs/>
                <w:color w:val="000000" w:themeColor="text1"/>
                <w:sz w:val="18"/>
                <w:szCs w:val="18"/>
              </w:rPr>
              <w:t xml:space="preserve"> 20</w:t>
            </w:r>
            <w:r>
              <w:rPr>
                <w:rFonts w:cs="Times New Roman"/>
                <w:b/>
                <w:bCs/>
                <w:color w:val="000000" w:themeColor="text1"/>
                <w:sz w:val="18"/>
                <w:szCs w:val="18"/>
              </w:rPr>
              <w:t>2</w:t>
            </w:r>
            <w:r w:rsidR="002A242E">
              <w:rPr>
                <w:rFonts w:cs="Times New Roman"/>
                <w:b/>
                <w:bCs/>
                <w:color w:val="000000" w:themeColor="text1"/>
                <w:sz w:val="18"/>
                <w:szCs w:val="18"/>
              </w:rPr>
              <w:t>1</w:t>
            </w:r>
            <w:r w:rsidRPr="00A60227">
              <w:rPr>
                <w:rFonts w:cs="Times New Roman"/>
                <w:color w:val="000000" w:themeColor="text1"/>
                <w:sz w:val="18"/>
                <w:szCs w:val="18"/>
              </w:rPr>
              <w:t xml:space="preserve">: </w:t>
            </w:r>
            <w:r w:rsidRPr="007B7C4A">
              <w:rPr>
                <w:rFonts w:cs="Times New Roman"/>
                <w:b/>
                <w:bCs/>
                <w:color w:val="000000" w:themeColor="text1"/>
                <w:sz w:val="18"/>
                <w:szCs w:val="18"/>
              </w:rPr>
              <w:t>Yes</w:t>
            </w:r>
            <w:r w:rsidRPr="006B02CE">
              <w:rPr>
                <w:rFonts w:cs="Times New Roman"/>
                <w:color w:val="000000" w:themeColor="text1"/>
                <w:sz w:val="18"/>
                <w:szCs w:val="18"/>
              </w:rPr>
              <w:t xml:space="preserve"> </w:t>
            </w:r>
            <w:r w:rsidR="00666B23">
              <w:rPr>
                <w:rFonts w:cs="Times New Roman"/>
                <w:color w:val="000000" w:themeColor="text1"/>
                <w:sz w:val="18"/>
                <w:szCs w:val="18"/>
              </w:rPr>
              <w:t>–</w:t>
            </w:r>
            <w:r>
              <w:rPr>
                <w:rFonts w:cs="Times New Roman"/>
                <w:color w:val="000000" w:themeColor="text1"/>
                <w:sz w:val="18"/>
                <w:szCs w:val="18"/>
              </w:rPr>
              <w:t xml:space="preserve"> </w:t>
            </w:r>
            <w:r w:rsidR="00666B23">
              <w:rPr>
                <w:rFonts w:cs="Times New Roman"/>
                <w:color w:val="000000" w:themeColor="text1"/>
                <w:sz w:val="18"/>
                <w:szCs w:val="18"/>
              </w:rPr>
              <w:t xml:space="preserve">In 2021, </w:t>
            </w:r>
            <w:r w:rsidR="00666B23" w:rsidRPr="003D53D0">
              <w:rPr>
                <w:rFonts w:cs="Times New Roman"/>
                <w:color w:val="000000" w:themeColor="text1"/>
                <w:sz w:val="18"/>
                <w:szCs w:val="18"/>
              </w:rPr>
              <w:t xml:space="preserve">IEO presented the results of a joint evaluation of GEF/UNDP Small grants </w:t>
            </w:r>
            <w:proofErr w:type="spellStart"/>
            <w:r w:rsidR="00666B23" w:rsidRPr="003D53D0">
              <w:rPr>
                <w:rFonts w:cs="Times New Roman"/>
                <w:color w:val="000000" w:themeColor="text1"/>
                <w:sz w:val="18"/>
                <w:szCs w:val="18"/>
              </w:rPr>
              <w:t>programme</w:t>
            </w:r>
            <w:proofErr w:type="spellEnd"/>
            <w:r w:rsidR="00666B23" w:rsidRPr="003D53D0">
              <w:rPr>
                <w:rFonts w:cs="Times New Roman"/>
                <w:color w:val="000000" w:themeColor="text1"/>
                <w:sz w:val="18"/>
                <w:szCs w:val="18"/>
              </w:rPr>
              <w:t xml:space="preserve"> to UNDP and GEF Executive Board.</w:t>
            </w:r>
            <w:r w:rsidR="00666B23">
              <w:rPr>
                <w:rFonts w:cs="Times New Roman"/>
                <w:color w:val="000000" w:themeColor="text1"/>
                <w:sz w:val="18"/>
                <w:szCs w:val="18"/>
              </w:rPr>
              <w:t xml:space="preserve"> </w:t>
            </w:r>
            <w:r w:rsidR="00666B23" w:rsidRPr="003D53D0">
              <w:rPr>
                <w:rFonts w:cs="Times New Roman"/>
                <w:color w:val="000000" w:themeColor="text1"/>
                <w:sz w:val="18"/>
                <w:szCs w:val="18"/>
              </w:rPr>
              <w:t xml:space="preserve">IEO </w:t>
            </w:r>
            <w:r w:rsidR="00666B23">
              <w:rPr>
                <w:rFonts w:cs="Times New Roman"/>
                <w:color w:val="000000" w:themeColor="text1"/>
                <w:sz w:val="18"/>
                <w:szCs w:val="18"/>
              </w:rPr>
              <w:t xml:space="preserve">together </w:t>
            </w:r>
            <w:r w:rsidR="00666B23" w:rsidRPr="003D53D0">
              <w:rPr>
                <w:rFonts w:cs="Times New Roman"/>
                <w:color w:val="000000" w:themeColor="text1"/>
                <w:sz w:val="18"/>
                <w:szCs w:val="18"/>
              </w:rPr>
              <w:t xml:space="preserve">with the evaluation offices of UNICEF, UNFPA, conducted a joint country </w:t>
            </w:r>
            <w:proofErr w:type="spellStart"/>
            <w:r w:rsidR="00666B23" w:rsidRPr="003D53D0">
              <w:rPr>
                <w:rFonts w:cs="Times New Roman"/>
                <w:color w:val="000000" w:themeColor="text1"/>
                <w:sz w:val="18"/>
                <w:szCs w:val="18"/>
              </w:rPr>
              <w:t>programme</w:t>
            </w:r>
            <w:proofErr w:type="spellEnd"/>
            <w:r w:rsidR="00666B23" w:rsidRPr="003D53D0">
              <w:rPr>
                <w:rFonts w:cs="Times New Roman"/>
                <w:color w:val="000000" w:themeColor="text1"/>
                <w:sz w:val="18"/>
                <w:szCs w:val="18"/>
              </w:rPr>
              <w:t xml:space="preserve"> evaluation of the entities’ work in Cape Verde.</w:t>
            </w:r>
          </w:p>
          <w:p w14:paraId="6E7367AD" w14:textId="2DAECD4B" w:rsidR="00666B23" w:rsidRPr="003D53D0" w:rsidRDefault="00666B23" w:rsidP="00666B23">
            <w:pPr>
              <w:spacing w:after="12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2C6642">
              <w:rPr>
                <w:rFonts w:cs="Times New Roman"/>
                <w:color w:val="000000" w:themeColor="text1"/>
                <w:sz w:val="18"/>
                <w:szCs w:val="18"/>
              </w:rPr>
              <w:t xml:space="preserve">In 2021, IEO participated in the conduct of a </w:t>
            </w:r>
            <w:r w:rsidR="00BC50B0">
              <w:rPr>
                <w:rFonts w:cs="Times New Roman"/>
                <w:color w:val="000000" w:themeColor="text1"/>
                <w:sz w:val="18"/>
                <w:szCs w:val="18"/>
              </w:rPr>
              <w:t>system-wide</w:t>
            </w:r>
            <w:r w:rsidRPr="002C6642">
              <w:rPr>
                <w:rFonts w:cs="Times New Roman"/>
                <w:color w:val="000000" w:themeColor="text1"/>
                <w:sz w:val="18"/>
                <w:szCs w:val="18"/>
              </w:rPr>
              <w:t xml:space="preserve"> evaluation synthesis on SDG 6 focusing on the water sector. IEO actively participated and supported the efforts of the </w:t>
            </w:r>
            <w:r w:rsidR="00BC50B0">
              <w:rPr>
                <w:rFonts w:cs="Times New Roman"/>
                <w:color w:val="000000" w:themeColor="text1"/>
                <w:sz w:val="18"/>
                <w:szCs w:val="18"/>
              </w:rPr>
              <w:t>system-wide</w:t>
            </w:r>
            <w:r w:rsidRPr="002C6642">
              <w:rPr>
                <w:rFonts w:cs="Times New Roman"/>
                <w:color w:val="000000" w:themeColor="text1"/>
                <w:sz w:val="18"/>
                <w:szCs w:val="18"/>
              </w:rPr>
              <w:t xml:space="preserve"> evaluation office for the conduct of an evaluability study of the UN’s response to the </w:t>
            </w:r>
            <w:r w:rsidR="00136045">
              <w:rPr>
                <w:rFonts w:cs="Times New Roman"/>
                <w:color w:val="000000" w:themeColor="text1"/>
                <w:sz w:val="18"/>
                <w:szCs w:val="18"/>
              </w:rPr>
              <w:t>COVID-19</w:t>
            </w:r>
            <w:r w:rsidRPr="002C6642">
              <w:rPr>
                <w:rFonts w:cs="Times New Roman"/>
                <w:color w:val="000000" w:themeColor="text1"/>
                <w:sz w:val="18"/>
                <w:szCs w:val="18"/>
              </w:rPr>
              <w:t xml:space="preserve"> pandemic.</w:t>
            </w:r>
          </w:p>
          <w:p w14:paraId="67D59BF8" w14:textId="328E5749" w:rsidR="001B5EEB" w:rsidRDefault="00F23005" w:rsidP="00666B23">
            <w:pPr>
              <w:spacing w:after="12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2840BF">
              <w:rPr>
                <w:rFonts w:cs="Times New Roman"/>
                <w:b/>
                <w:bCs/>
                <w:color w:val="000000" w:themeColor="text1"/>
                <w:sz w:val="18"/>
                <w:szCs w:val="18"/>
              </w:rPr>
              <w:lastRenderedPageBreak/>
              <w:t>Progress 202</w:t>
            </w:r>
            <w:r w:rsidR="002A242E">
              <w:rPr>
                <w:rFonts w:cs="Times New Roman"/>
                <w:b/>
                <w:bCs/>
                <w:color w:val="000000" w:themeColor="text1"/>
                <w:sz w:val="18"/>
                <w:szCs w:val="18"/>
              </w:rPr>
              <w:t>2</w:t>
            </w:r>
            <w:r w:rsidRPr="002840BF">
              <w:rPr>
                <w:rFonts w:cs="Times New Roman"/>
                <w:b/>
                <w:bCs/>
                <w:color w:val="000000" w:themeColor="text1"/>
                <w:sz w:val="18"/>
                <w:szCs w:val="18"/>
              </w:rPr>
              <w:t>:</w:t>
            </w:r>
            <w:r w:rsidR="003D53D0">
              <w:rPr>
                <w:rFonts w:cs="Times New Roman"/>
                <w:b/>
                <w:bCs/>
                <w:color w:val="000000" w:themeColor="text1"/>
                <w:sz w:val="18"/>
                <w:szCs w:val="18"/>
              </w:rPr>
              <w:t xml:space="preserve"> Yes </w:t>
            </w:r>
            <w:r w:rsidR="003D53D0" w:rsidRPr="003D53D0">
              <w:rPr>
                <w:rFonts w:cs="Times New Roman"/>
                <w:color w:val="000000" w:themeColor="text1"/>
                <w:sz w:val="18"/>
                <w:szCs w:val="18"/>
              </w:rPr>
              <w:t>- In 202</w:t>
            </w:r>
            <w:r w:rsidR="002A242E">
              <w:rPr>
                <w:rFonts w:cs="Times New Roman"/>
                <w:color w:val="000000" w:themeColor="text1"/>
                <w:sz w:val="18"/>
                <w:szCs w:val="18"/>
              </w:rPr>
              <w:t>2</w:t>
            </w:r>
            <w:r w:rsidR="003D53D0" w:rsidRPr="003D53D0">
              <w:rPr>
                <w:rFonts w:cs="Times New Roman"/>
                <w:color w:val="000000" w:themeColor="text1"/>
                <w:sz w:val="18"/>
                <w:szCs w:val="18"/>
              </w:rPr>
              <w:t xml:space="preserve">, </w:t>
            </w:r>
            <w:r w:rsidR="001B5EEB">
              <w:rPr>
                <w:rFonts w:cs="Times New Roman"/>
                <w:color w:val="000000" w:themeColor="text1"/>
                <w:sz w:val="18"/>
                <w:szCs w:val="18"/>
              </w:rPr>
              <w:t xml:space="preserve">the </w:t>
            </w:r>
            <w:r w:rsidR="001B5EEB" w:rsidRPr="001E2310">
              <w:rPr>
                <w:rFonts w:cs="Times New Roman"/>
                <w:bCs/>
                <w:color w:val="000000" w:themeColor="text1"/>
                <w:sz w:val="18"/>
                <w:szCs w:val="18"/>
              </w:rPr>
              <w:t xml:space="preserve">UNDP Independent Evaluation Office collaborated with other United Nations entities in conducting </w:t>
            </w:r>
            <w:r w:rsidR="001B5EEB" w:rsidRPr="007B7C4A">
              <w:rPr>
                <w:rFonts w:cs="Times New Roman"/>
                <w:b/>
                <w:color w:val="000000" w:themeColor="text1"/>
                <w:sz w:val="18"/>
                <w:szCs w:val="18"/>
              </w:rPr>
              <w:t>60</w:t>
            </w:r>
            <w:r w:rsidR="001B5EEB" w:rsidRPr="001E2310">
              <w:rPr>
                <w:rFonts w:cs="Times New Roman"/>
                <w:bCs/>
                <w:color w:val="000000" w:themeColor="text1"/>
                <w:sz w:val="18"/>
                <w:szCs w:val="18"/>
              </w:rPr>
              <w:t xml:space="preserve"> </w:t>
            </w:r>
            <w:r w:rsidR="001B5EEB" w:rsidRPr="007B7C4A">
              <w:rPr>
                <w:rFonts w:cs="Times New Roman"/>
                <w:b/>
                <w:color w:val="000000" w:themeColor="text1"/>
                <w:sz w:val="18"/>
                <w:szCs w:val="18"/>
              </w:rPr>
              <w:t>joint evaluations</w:t>
            </w:r>
            <w:r w:rsidR="00DD68E9">
              <w:rPr>
                <w:rFonts w:cs="Times New Roman"/>
                <w:color w:val="000000" w:themeColor="text1"/>
                <w:sz w:val="18"/>
                <w:szCs w:val="18"/>
              </w:rPr>
              <w:t xml:space="preserve">, </w:t>
            </w:r>
            <w:r w:rsidR="00D55B9E">
              <w:rPr>
                <w:rFonts w:cs="Times New Roman"/>
                <w:color w:val="000000" w:themeColor="text1"/>
                <w:sz w:val="18"/>
                <w:szCs w:val="18"/>
              </w:rPr>
              <w:t>2 more than the milestone of 58.</w:t>
            </w:r>
            <w:r w:rsidR="001E2310">
              <w:rPr>
                <w:rFonts w:cs="Times New Roman"/>
                <w:color w:val="000000" w:themeColor="text1"/>
                <w:sz w:val="18"/>
                <w:szCs w:val="18"/>
              </w:rPr>
              <w:t xml:space="preserve"> </w:t>
            </w:r>
          </w:p>
          <w:p w14:paraId="42A72B5A" w14:textId="39AF5749" w:rsidR="00B2377C" w:rsidRPr="00DE727D" w:rsidRDefault="001E2310" w:rsidP="00666B23">
            <w:pPr>
              <w:spacing w:after="12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1E2310">
              <w:rPr>
                <w:rFonts w:cs="Times New Roman"/>
                <w:bCs/>
                <w:color w:val="000000" w:themeColor="text1"/>
                <w:sz w:val="18"/>
                <w:szCs w:val="18"/>
              </w:rPr>
              <w:t xml:space="preserve">The office partnered with the UN-Women Independent Evaluation Service in producing a </w:t>
            </w:r>
            <w:r w:rsidR="00BC50B0">
              <w:rPr>
                <w:rFonts w:cs="Times New Roman"/>
                <w:bCs/>
                <w:i/>
                <w:iCs/>
                <w:color w:val="000000" w:themeColor="text1"/>
                <w:sz w:val="18"/>
                <w:szCs w:val="18"/>
              </w:rPr>
              <w:t>Reflection</w:t>
            </w:r>
            <w:r w:rsidRPr="001E2310">
              <w:rPr>
                <w:rFonts w:cs="Times New Roman"/>
                <w:bCs/>
                <w:color w:val="000000" w:themeColor="text1"/>
                <w:sz w:val="18"/>
                <w:szCs w:val="18"/>
              </w:rPr>
              <w:t xml:space="preserve"> paper on boosting women’s political participation. At the global level, UNDP together with UN DPPA and UNEP evaluated the Climate Security Mechanism. At country level, UNDP collaborated with UNICEF, UNFPA and the Office of the Resident Coordinator in evaluating the Costa Rica UNDAF. The office engaged in </w:t>
            </w:r>
            <w:r w:rsidRPr="007B7C4A">
              <w:rPr>
                <w:rFonts w:cs="Times New Roman"/>
                <w:b/>
                <w:color w:val="000000" w:themeColor="text1"/>
                <w:sz w:val="18"/>
                <w:szCs w:val="18"/>
              </w:rPr>
              <w:t>2 independent system-wide evaluations</w:t>
            </w:r>
            <w:r w:rsidRPr="001E2310">
              <w:rPr>
                <w:rFonts w:cs="Times New Roman"/>
                <w:bCs/>
                <w:color w:val="000000" w:themeColor="text1"/>
                <w:sz w:val="18"/>
                <w:szCs w:val="18"/>
              </w:rPr>
              <w:t>, 1 more than the milestone.</w:t>
            </w:r>
          </w:p>
        </w:tc>
      </w:tr>
      <w:tr w:rsidR="00B2377C" w:rsidRPr="00B85ADE" w14:paraId="18739086" w14:textId="77777777" w:rsidTr="00E95C5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80" w:type="dxa"/>
            <w:gridSpan w:val="4"/>
            <w:vAlign w:val="center"/>
          </w:tcPr>
          <w:p w14:paraId="32AFAC59" w14:textId="77777777" w:rsidR="00B2377C" w:rsidRPr="00B85ADE" w:rsidRDefault="00B2377C" w:rsidP="00B2377C">
            <w:pPr>
              <w:rPr>
                <w:rFonts w:cs="Times New Roman"/>
                <w:b w:val="0"/>
                <w:sz w:val="18"/>
                <w:szCs w:val="18"/>
              </w:rPr>
            </w:pPr>
            <w:r w:rsidRPr="00B85ADE">
              <w:rPr>
                <w:rFonts w:cs="Times New Roman"/>
                <w:sz w:val="18"/>
                <w:szCs w:val="18"/>
              </w:rPr>
              <w:lastRenderedPageBreak/>
              <w:t>Improving transparency and accountability</w:t>
            </w:r>
          </w:p>
        </w:tc>
      </w:tr>
      <w:tr w:rsidR="00B2377C" w:rsidRPr="00B85ADE" w14:paraId="24F59F8D" w14:textId="77777777" w:rsidTr="00E95C50">
        <w:tc>
          <w:tcPr>
            <w:cnfStyle w:val="001000000000" w:firstRow="0" w:lastRow="0" w:firstColumn="1" w:lastColumn="0" w:oddVBand="0" w:evenVBand="0" w:oddHBand="0" w:evenHBand="0" w:firstRowFirstColumn="0" w:firstRowLastColumn="0" w:lastRowFirstColumn="0" w:lastRowLastColumn="0"/>
            <w:tcW w:w="1705" w:type="dxa"/>
          </w:tcPr>
          <w:p w14:paraId="247C3561" w14:textId="0A077FB8" w:rsidR="00B2377C" w:rsidRPr="00B85ADE" w:rsidRDefault="00B2377C" w:rsidP="00B2377C">
            <w:pPr>
              <w:spacing w:after="120"/>
              <w:rPr>
                <w:rFonts w:cs="Times New Roman"/>
                <w:sz w:val="18"/>
                <w:szCs w:val="18"/>
              </w:rPr>
            </w:pPr>
            <w:r w:rsidRPr="00B85ADE">
              <w:rPr>
                <w:rFonts w:cs="Times New Roman"/>
                <w:sz w:val="18"/>
                <w:szCs w:val="18"/>
              </w:rPr>
              <w:t xml:space="preserve">6. Strengthen the clarity of </w:t>
            </w:r>
            <w:r w:rsidR="00136045">
              <w:rPr>
                <w:rFonts w:cs="Times New Roman"/>
                <w:sz w:val="18"/>
                <w:szCs w:val="18"/>
              </w:rPr>
              <w:t>entity-specific</w:t>
            </w:r>
            <w:r w:rsidRPr="00B85ADE">
              <w:rPr>
                <w:rFonts w:cs="Times New Roman"/>
                <w:sz w:val="18"/>
                <w:szCs w:val="18"/>
              </w:rPr>
              <w:t xml:space="preserve"> SPs and IRRFs and their annual reporting on results against expenditures</w:t>
            </w:r>
          </w:p>
        </w:tc>
        <w:tc>
          <w:tcPr>
            <w:tcW w:w="2250" w:type="dxa"/>
          </w:tcPr>
          <w:p w14:paraId="4C1895C4"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 of UNSDG entities that in their respective governing bodies held structured dialogues in the past year on how to finance the development results agreed in the new SP cycle</w:t>
            </w:r>
          </w:p>
        </w:tc>
        <w:tc>
          <w:tcPr>
            <w:tcW w:w="2070" w:type="dxa"/>
          </w:tcPr>
          <w:p w14:paraId="66365DA3"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Baseline (2017): 62%</w:t>
            </w:r>
          </w:p>
          <w:p w14:paraId="4EB32376"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Target (2021): 100%</w:t>
            </w:r>
          </w:p>
        </w:tc>
        <w:tc>
          <w:tcPr>
            <w:tcW w:w="4055" w:type="dxa"/>
          </w:tcPr>
          <w:p w14:paraId="49643943" w14:textId="59594F3D" w:rsidR="00815058" w:rsidRPr="00B85ADE" w:rsidRDefault="00815058" w:rsidP="00815058">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120FFE">
              <w:rPr>
                <w:rFonts w:cs="Times New Roman"/>
                <w:b/>
                <w:bCs/>
                <w:sz w:val="18"/>
                <w:szCs w:val="18"/>
              </w:rPr>
              <w:t>Progress 202</w:t>
            </w:r>
            <w:r w:rsidR="00FA21FF">
              <w:rPr>
                <w:rFonts w:cs="Times New Roman"/>
                <w:b/>
                <w:bCs/>
                <w:sz w:val="18"/>
                <w:szCs w:val="18"/>
              </w:rPr>
              <w:t>2</w:t>
            </w:r>
            <w:r w:rsidRPr="00120FFE">
              <w:rPr>
                <w:rFonts w:cs="Times New Roman"/>
                <w:b/>
                <w:bCs/>
                <w:sz w:val="18"/>
                <w:szCs w:val="18"/>
              </w:rPr>
              <w:t>:</w:t>
            </w:r>
            <w:r w:rsidR="00CD4756">
              <w:rPr>
                <w:rFonts w:cs="Times New Roman"/>
                <w:b/>
                <w:bCs/>
                <w:sz w:val="18"/>
                <w:szCs w:val="18"/>
              </w:rPr>
              <w:t xml:space="preserve"> </w:t>
            </w:r>
            <w:r w:rsidR="00CD4756" w:rsidRPr="007B7C4A">
              <w:rPr>
                <w:rFonts w:cs="Times New Roman"/>
                <w:b/>
                <w:bCs/>
                <w:sz w:val="18"/>
                <w:szCs w:val="18"/>
              </w:rPr>
              <w:t>Yes</w:t>
            </w:r>
            <w:r w:rsidR="00CD4756">
              <w:rPr>
                <w:rFonts w:cs="Times New Roman"/>
                <w:b/>
                <w:bCs/>
                <w:sz w:val="18"/>
                <w:szCs w:val="18"/>
              </w:rPr>
              <w:t xml:space="preserve"> </w:t>
            </w:r>
            <w:r w:rsidR="00CD4756" w:rsidRPr="00CD4756">
              <w:rPr>
                <w:rFonts w:cs="Times New Roman"/>
                <w:sz w:val="18"/>
                <w:szCs w:val="18"/>
              </w:rPr>
              <w:t xml:space="preserve">– </w:t>
            </w:r>
            <w:r w:rsidR="00CD6295" w:rsidRPr="00CD6295">
              <w:rPr>
                <w:rFonts w:cs="Times New Roman"/>
                <w:sz w:val="18"/>
                <w:szCs w:val="18"/>
              </w:rPr>
              <w:t xml:space="preserve">UNDP has deepened its collaboration with UNFPA, UNICEF and UN-Women, carrying out joint analyses, sharing experiences and holding </w:t>
            </w:r>
            <w:r w:rsidR="00CD6295">
              <w:rPr>
                <w:rFonts w:cs="Times New Roman"/>
                <w:sz w:val="18"/>
                <w:szCs w:val="18"/>
              </w:rPr>
              <w:t xml:space="preserve">formal and </w:t>
            </w:r>
            <w:r w:rsidR="00CD6295" w:rsidRPr="00CD6295">
              <w:rPr>
                <w:rFonts w:cs="Times New Roman"/>
                <w:sz w:val="18"/>
                <w:szCs w:val="18"/>
              </w:rPr>
              <w:t>informal dialogues with Member States on a regular basis.</w:t>
            </w:r>
            <w:r w:rsidR="00FF3C87">
              <w:rPr>
                <w:rFonts w:cs="Times New Roman"/>
                <w:sz w:val="18"/>
                <w:szCs w:val="18"/>
              </w:rPr>
              <w:t xml:space="preserve"> </w:t>
            </w:r>
            <w:r w:rsidR="00CD6295" w:rsidRPr="00CD6295">
              <w:rPr>
                <w:rFonts w:cs="Times New Roman"/>
                <w:sz w:val="18"/>
                <w:szCs w:val="18"/>
              </w:rPr>
              <w:t>The la</w:t>
            </w:r>
            <w:r w:rsidR="00FF3C87">
              <w:rPr>
                <w:rFonts w:cs="Times New Roman"/>
                <w:sz w:val="18"/>
                <w:szCs w:val="18"/>
              </w:rPr>
              <w:t>s</w:t>
            </w:r>
            <w:r w:rsidR="00CD6295" w:rsidRPr="00CD6295">
              <w:rPr>
                <w:rFonts w:cs="Times New Roman"/>
                <w:sz w:val="18"/>
                <w:szCs w:val="18"/>
              </w:rPr>
              <w:t xml:space="preserve">t joint </w:t>
            </w:r>
            <w:r w:rsidR="00CD6295" w:rsidRPr="00CD6295">
              <w:rPr>
                <w:rFonts w:cs="Times New Roman"/>
                <w:sz w:val="18"/>
                <w:szCs w:val="18"/>
                <w:lang w:val="en-GB"/>
              </w:rPr>
              <w:t>structured funding dialogue</w:t>
            </w:r>
            <w:r w:rsidR="00FF3C87">
              <w:rPr>
                <w:rFonts w:cs="Times New Roman"/>
                <w:sz w:val="18"/>
                <w:szCs w:val="18"/>
                <w:lang w:val="en-GB"/>
              </w:rPr>
              <w:t xml:space="preserve"> was</w:t>
            </w:r>
            <w:r w:rsidR="00CD6295" w:rsidRPr="00CD6295">
              <w:rPr>
                <w:rFonts w:cs="Times New Roman"/>
                <w:sz w:val="18"/>
                <w:szCs w:val="18"/>
                <w:lang w:val="en-GB"/>
              </w:rPr>
              <w:t xml:space="preserve"> held in May 2023</w:t>
            </w:r>
            <w:r w:rsidR="00FF3C87">
              <w:rPr>
                <w:rFonts w:cs="Times New Roman"/>
                <w:sz w:val="18"/>
                <w:szCs w:val="18"/>
                <w:lang w:val="en-GB"/>
              </w:rPr>
              <w:t>.</w:t>
            </w:r>
            <w:r w:rsidR="00CD4756" w:rsidRPr="00CD4756">
              <w:rPr>
                <w:rFonts w:cs="Times New Roman"/>
                <w:sz w:val="18"/>
                <w:szCs w:val="18"/>
              </w:rPr>
              <w:t xml:space="preserve"> </w:t>
            </w:r>
          </w:p>
        </w:tc>
      </w:tr>
      <w:tr w:rsidR="00B2377C" w:rsidRPr="00B85ADE" w14:paraId="63F01508" w14:textId="77777777" w:rsidTr="00E95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Merge w:val="restart"/>
          </w:tcPr>
          <w:p w14:paraId="7DF6A063" w14:textId="77777777" w:rsidR="00B2377C" w:rsidRPr="00B85ADE" w:rsidRDefault="00B2377C" w:rsidP="00B2377C">
            <w:pPr>
              <w:spacing w:after="120"/>
              <w:rPr>
                <w:rFonts w:cs="Times New Roman"/>
                <w:sz w:val="18"/>
                <w:szCs w:val="18"/>
              </w:rPr>
            </w:pPr>
            <w:r w:rsidRPr="00B85ADE">
              <w:rPr>
                <w:rFonts w:cs="Times New Roman"/>
                <w:sz w:val="18"/>
                <w:szCs w:val="18"/>
              </w:rPr>
              <w:t>7. Strengthen entity &amp; system-wide transparency &amp; reporting, linking resources to SDG results</w:t>
            </w:r>
          </w:p>
        </w:tc>
        <w:tc>
          <w:tcPr>
            <w:tcW w:w="2250" w:type="dxa"/>
            <w:tcBorders>
              <w:bottom w:val="nil"/>
            </w:tcBorders>
          </w:tcPr>
          <w:p w14:paraId="7973F0B2" w14:textId="77777777" w:rsidR="00B2377C" w:rsidRPr="00B85AD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 of UNDS entities individually submitting financial data to CEB</w:t>
            </w:r>
          </w:p>
        </w:tc>
        <w:tc>
          <w:tcPr>
            <w:tcW w:w="2070" w:type="dxa"/>
            <w:tcBorders>
              <w:bottom w:val="nil"/>
            </w:tcBorders>
          </w:tcPr>
          <w:p w14:paraId="6FE5CAE2" w14:textId="77777777" w:rsidR="00B2377C" w:rsidRPr="00B85AD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Baseline (2017): 69%</w:t>
            </w:r>
          </w:p>
          <w:p w14:paraId="5DA5216F" w14:textId="77777777" w:rsidR="00B2377C" w:rsidRPr="00B85AD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Target (2021): 100%</w:t>
            </w:r>
          </w:p>
        </w:tc>
        <w:tc>
          <w:tcPr>
            <w:tcW w:w="4055" w:type="dxa"/>
            <w:tcBorders>
              <w:bottom w:val="nil"/>
            </w:tcBorders>
          </w:tcPr>
          <w:p w14:paraId="2300775E" w14:textId="77777777" w:rsidR="00B2377C" w:rsidRPr="00B85AD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b/>
                <w:sz w:val="18"/>
                <w:szCs w:val="18"/>
              </w:rPr>
              <w:t>Yes</w:t>
            </w:r>
            <w:r w:rsidRPr="00B85ADE">
              <w:rPr>
                <w:rFonts w:cs="Times New Roman"/>
                <w:sz w:val="18"/>
                <w:szCs w:val="18"/>
              </w:rPr>
              <w:t xml:space="preserve"> – UN</w:t>
            </w:r>
            <w:r>
              <w:rPr>
                <w:rFonts w:cs="Times New Roman"/>
                <w:sz w:val="18"/>
                <w:szCs w:val="18"/>
              </w:rPr>
              <w:t>DP</w:t>
            </w:r>
            <w:r w:rsidRPr="00B85ADE">
              <w:rPr>
                <w:rFonts w:cs="Times New Roman"/>
                <w:sz w:val="18"/>
                <w:szCs w:val="18"/>
              </w:rPr>
              <w:t xml:space="preserve"> submits its financial data to CEB annually.</w:t>
            </w:r>
          </w:p>
        </w:tc>
      </w:tr>
      <w:tr w:rsidR="00B2377C" w:rsidRPr="00B85ADE" w14:paraId="23EB9D71" w14:textId="77777777" w:rsidTr="00E95C50">
        <w:tc>
          <w:tcPr>
            <w:cnfStyle w:val="001000000000" w:firstRow="0" w:lastRow="0" w:firstColumn="1" w:lastColumn="0" w:oddVBand="0" w:evenVBand="0" w:oddHBand="0" w:evenHBand="0" w:firstRowFirstColumn="0" w:firstRowLastColumn="0" w:lastRowFirstColumn="0" w:lastRowLastColumn="0"/>
            <w:tcW w:w="1705" w:type="dxa"/>
            <w:vMerge/>
          </w:tcPr>
          <w:p w14:paraId="0C63C37A" w14:textId="77777777" w:rsidR="00B2377C" w:rsidRPr="00B85ADE" w:rsidRDefault="00B2377C" w:rsidP="00B2377C">
            <w:pPr>
              <w:spacing w:after="120"/>
              <w:rPr>
                <w:rFonts w:cs="Times New Roman"/>
                <w:sz w:val="18"/>
                <w:szCs w:val="18"/>
              </w:rPr>
            </w:pPr>
          </w:p>
        </w:tc>
        <w:tc>
          <w:tcPr>
            <w:tcW w:w="2250" w:type="dxa"/>
            <w:tcBorders>
              <w:top w:val="nil"/>
              <w:bottom w:val="nil"/>
            </w:tcBorders>
          </w:tcPr>
          <w:p w14:paraId="6A4EE48D"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 of UNDS entities publishing data as per the highest international transparency standards</w:t>
            </w:r>
          </w:p>
        </w:tc>
        <w:tc>
          <w:tcPr>
            <w:tcW w:w="2070" w:type="dxa"/>
            <w:tcBorders>
              <w:top w:val="nil"/>
              <w:bottom w:val="nil"/>
            </w:tcBorders>
          </w:tcPr>
          <w:p w14:paraId="6FA2EF21"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Baseline (2017): 36%</w:t>
            </w:r>
          </w:p>
          <w:p w14:paraId="58BCB322"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Target (2021): 100%</w:t>
            </w:r>
          </w:p>
        </w:tc>
        <w:tc>
          <w:tcPr>
            <w:tcW w:w="4055" w:type="dxa"/>
            <w:tcBorders>
              <w:top w:val="nil"/>
              <w:bottom w:val="nil"/>
            </w:tcBorders>
          </w:tcPr>
          <w:p w14:paraId="5A30F9CA"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b/>
                <w:sz w:val="18"/>
                <w:szCs w:val="18"/>
              </w:rPr>
              <w:t>Yes</w:t>
            </w:r>
            <w:r w:rsidRPr="00B85ADE">
              <w:rPr>
                <w:rFonts w:cs="Times New Roman"/>
                <w:sz w:val="18"/>
                <w:szCs w:val="18"/>
              </w:rPr>
              <w:t xml:space="preserve"> – UN</w:t>
            </w:r>
            <w:r>
              <w:rPr>
                <w:rFonts w:cs="Times New Roman"/>
                <w:sz w:val="18"/>
                <w:szCs w:val="18"/>
              </w:rPr>
              <w:t>DP</w:t>
            </w:r>
            <w:r w:rsidRPr="00B85ADE">
              <w:rPr>
                <w:rFonts w:cs="Times New Roman"/>
                <w:sz w:val="18"/>
                <w:szCs w:val="18"/>
              </w:rPr>
              <w:t xml:space="preserve"> data is published in line with IATI standards.</w:t>
            </w:r>
          </w:p>
        </w:tc>
      </w:tr>
      <w:tr w:rsidR="00B2377C" w:rsidRPr="00B85ADE" w14:paraId="26D83BD1" w14:textId="77777777" w:rsidTr="00E95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Merge/>
          </w:tcPr>
          <w:p w14:paraId="2103B079" w14:textId="77777777" w:rsidR="00B2377C" w:rsidRPr="00B85ADE" w:rsidRDefault="00B2377C" w:rsidP="00B2377C">
            <w:pPr>
              <w:spacing w:after="120"/>
              <w:rPr>
                <w:rFonts w:cs="Times New Roman"/>
                <w:sz w:val="18"/>
                <w:szCs w:val="18"/>
              </w:rPr>
            </w:pPr>
          </w:p>
        </w:tc>
        <w:tc>
          <w:tcPr>
            <w:tcW w:w="2250" w:type="dxa"/>
            <w:tcBorders>
              <w:top w:val="nil"/>
              <w:bottom w:val="nil"/>
            </w:tcBorders>
          </w:tcPr>
          <w:p w14:paraId="2595E32E" w14:textId="77777777" w:rsidR="00B2377C" w:rsidRPr="00B85AD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 of UNDS entities with ongoing activities at country level that report expenditures disaggregated by country to the CEB baseline</w:t>
            </w:r>
          </w:p>
        </w:tc>
        <w:tc>
          <w:tcPr>
            <w:tcW w:w="2070" w:type="dxa"/>
            <w:tcBorders>
              <w:top w:val="nil"/>
              <w:bottom w:val="nil"/>
            </w:tcBorders>
          </w:tcPr>
          <w:p w14:paraId="023931A8" w14:textId="77777777" w:rsidR="00B2377C" w:rsidRPr="00B85AD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Baseline (2017): 46%</w:t>
            </w:r>
          </w:p>
          <w:p w14:paraId="6732BA9E" w14:textId="77777777" w:rsidR="00B2377C" w:rsidRPr="00B85AD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Target (2021): 100%</w:t>
            </w:r>
          </w:p>
        </w:tc>
        <w:tc>
          <w:tcPr>
            <w:tcW w:w="4055" w:type="dxa"/>
            <w:tcBorders>
              <w:top w:val="nil"/>
              <w:bottom w:val="nil"/>
            </w:tcBorders>
          </w:tcPr>
          <w:p w14:paraId="202E2F45" w14:textId="77777777" w:rsidR="00B2377C" w:rsidRPr="00B85AD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b/>
                <w:sz w:val="18"/>
                <w:szCs w:val="18"/>
              </w:rPr>
              <w:t>Yes</w:t>
            </w:r>
            <w:r w:rsidRPr="00B85ADE">
              <w:rPr>
                <w:rFonts w:cs="Times New Roman"/>
                <w:sz w:val="18"/>
                <w:szCs w:val="18"/>
              </w:rPr>
              <w:t xml:space="preserve"> – UN</w:t>
            </w:r>
            <w:r>
              <w:rPr>
                <w:rFonts w:cs="Times New Roman"/>
                <w:sz w:val="18"/>
                <w:szCs w:val="18"/>
              </w:rPr>
              <w:t>DP</w:t>
            </w:r>
            <w:r w:rsidRPr="00B85ADE">
              <w:rPr>
                <w:rFonts w:cs="Times New Roman"/>
                <w:sz w:val="18"/>
                <w:szCs w:val="18"/>
              </w:rPr>
              <w:t xml:space="preserve"> reports expenditures to CEB disaggregated by country.</w:t>
            </w:r>
          </w:p>
        </w:tc>
      </w:tr>
      <w:tr w:rsidR="00B2377C" w:rsidRPr="00B85ADE" w14:paraId="68E524AF" w14:textId="77777777" w:rsidTr="00E95C50">
        <w:tc>
          <w:tcPr>
            <w:cnfStyle w:val="001000000000" w:firstRow="0" w:lastRow="0" w:firstColumn="1" w:lastColumn="0" w:oddVBand="0" w:evenVBand="0" w:oddHBand="0" w:evenHBand="0" w:firstRowFirstColumn="0" w:firstRowLastColumn="0" w:lastRowFirstColumn="0" w:lastRowLastColumn="0"/>
            <w:tcW w:w="1705" w:type="dxa"/>
            <w:vMerge/>
          </w:tcPr>
          <w:p w14:paraId="507B7AEB" w14:textId="77777777" w:rsidR="00B2377C" w:rsidRPr="00B85ADE" w:rsidRDefault="00B2377C" w:rsidP="00B2377C">
            <w:pPr>
              <w:spacing w:after="120"/>
              <w:rPr>
                <w:rFonts w:cs="Times New Roman"/>
                <w:sz w:val="18"/>
                <w:szCs w:val="18"/>
              </w:rPr>
            </w:pPr>
          </w:p>
        </w:tc>
        <w:tc>
          <w:tcPr>
            <w:tcW w:w="2250" w:type="dxa"/>
            <w:tcBorders>
              <w:top w:val="nil"/>
            </w:tcBorders>
          </w:tcPr>
          <w:p w14:paraId="2C2779D7"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 of UNDS entities that report on expenditures disaggregated by SDG</w:t>
            </w:r>
          </w:p>
        </w:tc>
        <w:tc>
          <w:tcPr>
            <w:tcW w:w="2070" w:type="dxa"/>
            <w:tcBorders>
              <w:top w:val="nil"/>
            </w:tcBorders>
          </w:tcPr>
          <w:p w14:paraId="0179F93D"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Baseline (2017): 20%</w:t>
            </w:r>
          </w:p>
          <w:p w14:paraId="3F5B3B41"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Target (2021): 100%</w:t>
            </w:r>
          </w:p>
        </w:tc>
        <w:tc>
          <w:tcPr>
            <w:tcW w:w="4055" w:type="dxa"/>
            <w:tcBorders>
              <w:top w:val="nil"/>
            </w:tcBorders>
          </w:tcPr>
          <w:p w14:paraId="29FCF8E5"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b/>
                <w:sz w:val="18"/>
                <w:szCs w:val="18"/>
              </w:rPr>
              <w:t>Yes</w:t>
            </w:r>
            <w:r w:rsidRPr="00B85ADE">
              <w:rPr>
                <w:rFonts w:cs="Times New Roman"/>
                <w:sz w:val="18"/>
                <w:szCs w:val="18"/>
              </w:rPr>
              <w:t xml:space="preserve"> – UN</w:t>
            </w:r>
            <w:r>
              <w:rPr>
                <w:rFonts w:cs="Times New Roman"/>
                <w:sz w:val="18"/>
                <w:szCs w:val="18"/>
              </w:rPr>
              <w:t xml:space="preserve">DP </w:t>
            </w:r>
            <w:r w:rsidRPr="00B85ADE">
              <w:rPr>
                <w:rFonts w:cs="Times New Roman"/>
                <w:sz w:val="18"/>
                <w:szCs w:val="18"/>
              </w:rPr>
              <w:t>financial data published is in line with the IATI standard and is disaggregated by S</w:t>
            </w:r>
            <w:r>
              <w:rPr>
                <w:rFonts w:cs="Times New Roman"/>
                <w:sz w:val="18"/>
                <w:szCs w:val="18"/>
              </w:rPr>
              <w:t>DGs</w:t>
            </w:r>
            <w:r w:rsidRPr="00B85ADE">
              <w:rPr>
                <w:rFonts w:cs="Times New Roman"/>
                <w:sz w:val="18"/>
                <w:szCs w:val="18"/>
              </w:rPr>
              <w:t>.</w:t>
            </w:r>
          </w:p>
        </w:tc>
      </w:tr>
      <w:tr w:rsidR="00B2377C" w:rsidRPr="00B85ADE" w14:paraId="2C011579" w14:textId="77777777" w:rsidTr="00E95C50">
        <w:trPr>
          <w:cnfStyle w:val="000000100000" w:firstRow="0" w:lastRow="0" w:firstColumn="0" w:lastColumn="0" w:oddVBand="0" w:evenVBand="0" w:oddHBand="1" w:evenHBand="0" w:firstRowFirstColumn="0" w:firstRowLastColumn="0" w:lastRowFirstColumn="0" w:lastRowLastColumn="0"/>
          <w:trHeight w:val="1394"/>
        </w:trPr>
        <w:tc>
          <w:tcPr>
            <w:cnfStyle w:val="001000000000" w:firstRow="0" w:lastRow="0" w:firstColumn="1" w:lastColumn="0" w:oddVBand="0" w:evenVBand="0" w:oddHBand="0" w:evenHBand="0" w:firstRowFirstColumn="0" w:firstRowLastColumn="0" w:lastRowFirstColumn="0" w:lastRowLastColumn="0"/>
            <w:tcW w:w="1705" w:type="dxa"/>
            <w:vMerge w:val="restart"/>
          </w:tcPr>
          <w:p w14:paraId="39BD2FF5" w14:textId="77777777" w:rsidR="00B2377C" w:rsidRPr="00B85ADE" w:rsidRDefault="00B2377C" w:rsidP="00B2377C">
            <w:pPr>
              <w:spacing w:after="120"/>
              <w:rPr>
                <w:rFonts w:cs="Times New Roman"/>
                <w:sz w:val="18"/>
                <w:szCs w:val="18"/>
              </w:rPr>
            </w:pPr>
            <w:r w:rsidRPr="00B85ADE">
              <w:rPr>
                <w:rFonts w:cs="Times New Roman"/>
                <w:sz w:val="18"/>
                <w:szCs w:val="18"/>
              </w:rPr>
              <w:t>9. Increase accessibility of corporate evaluations and internal audit reports within the disclosure provisions and policies set by governing bodies at the time of report issuance</w:t>
            </w:r>
          </w:p>
        </w:tc>
        <w:tc>
          <w:tcPr>
            <w:tcW w:w="2250" w:type="dxa"/>
            <w:tcBorders>
              <w:bottom w:val="nil"/>
            </w:tcBorders>
          </w:tcPr>
          <w:p w14:paraId="29E59070" w14:textId="77777777" w:rsidR="00B2377C" w:rsidRPr="00B85AD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 of UNDS entities authorized within disclosure provisions and policies who have made their corporate evaluations available on the UNEG website</w:t>
            </w:r>
          </w:p>
        </w:tc>
        <w:tc>
          <w:tcPr>
            <w:tcW w:w="2070" w:type="dxa"/>
            <w:tcBorders>
              <w:bottom w:val="nil"/>
            </w:tcBorders>
          </w:tcPr>
          <w:p w14:paraId="66E2E8A2" w14:textId="77777777" w:rsidR="00B2377C" w:rsidRPr="00B85AD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Baseline (2018): 21%</w:t>
            </w:r>
          </w:p>
          <w:p w14:paraId="2A0387CA" w14:textId="77777777" w:rsidR="00B2377C" w:rsidRPr="00B85AD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Target (2021): 100%</w:t>
            </w:r>
          </w:p>
        </w:tc>
        <w:tc>
          <w:tcPr>
            <w:tcW w:w="4055" w:type="dxa"/>
            <w:tcBorders>
              <w:bottom w:val="nil"/>
            </w:tcBorders>
          </w:tcPr>
          <w:p w14:paraId="647D0A4D" w14:textId="13F740C6" w:rsidR="00B2377C" w:rsidRPr="00225AC8"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b/>
                <w:sz w:val="18"/>
                <w:szCs w:val="18"/>
              </w:rPr>
              <w:t xml:space="preserve">Yes – </w:t>
            </w:r>
            <w:r w:rsidRPr="00225AC8">
              <w:rPr>
                <w:rFonts w:cs="Times New Roman"/>
                <w:sz w:val="18"/>
                <w:szCs w:val="18"/>
              </w:rPr>
              <w:t>UN</w:t>
            </w:r>
            <w:r>
              <w:rPr>
                <w:rFonts w:cs="Times New Roman"/>
                <w:sz w:val="18"/>
                <w:szCs w:val="18"/>
              </w:rPr>
              <w:t>DP</w:t>
            </w:r>
            <w:r w:rsidRPr="00225AC8">
              <w:rPr>
                <w:rFonts w:cs="Times New Roman"/>
                <w:sz w:val="18"/>
                <w:szCs w:val="18"/>
              </w:rPr>
              <w:t xml:space="preserve"> evaluations related management responses are made public and</w:t>
            </w:r>
            <w:r>
              <w:rPr>
                <w:rFonts w:cs="Times New Roman"/>
                <w:sz w:val="18"/>
                <w:szCs w:val="18"/>
              </w:rPr>
              <w:t xml:space="preserve"> published on the</w:t>
            </w:r>
            <w:r w:rsidRPr="00225AC8">
              <w:rPr>
                <w:rFonts w:cs="Times New Roman"/>
                <w:sz w:val="18"/>
                <w:szCs w:val="18"/>
              </w:rPr>
              <w:t xml:space="preserve"> </w:t>
            </w:r>
            <w:r>
              <w:rPr>
                <w:rFonts w:cs="Times New Roman"/>
                <w:sz w:val="18"/>
                <w:szCs w:val="18"/>
              </w:rPr>
              <w:t>IEO website</w:t>
            </w:r>
            <w:r w:rsidRPr="00944F40">
              <w:rPr>
                <w:rFonts w:cs="Times New Roman"/>
                <w:sz w:val="18"/>
                <w:szCs w:val="18"/>
              </w:rPr>
              <w:t xml:space="preserve">. UNEG has indeed started to gather all evaluations publish on its members’ </w:t>
            </w:r>
            <w:r w:rsidR="00136045">
              <w:rPr>
                <w:rFonts w:cs="Times New Roman"/>
                <w:sz w:val="18"/>
                <w:szCs w:val="18"/>
              </w:rPr>
              <w:t>websites</w:t>
            </w:r>
            <w:r w:rsidRPr="00944F40">
              <w:rPr>
                <w:rFonts w:cs="Times New Roman"/>
                <w:sz w:val="18"/>
                <w:szCs w:val="18"/>
              </w:rPr>
              <w:t xml:space="preserve"> to a common database: </w:t>
            </w:r>
            <w:hyperlink r:id="rId11" w:history="1">
              <w:r w:rsidRPr="00A868A3">
                <w:rPr>
                  <w:rStyle w:val="Hyperlink"/>
                  <w:rFonts w:cs="Times New Roman"/>
                  <w:sz w:val="18"/>
                  <w:szCs w:val="18"/>
                </w:rPr>
                <w:t>http://www.uneval.org/evaluation/reports</w:t>
              </w:r>
            </w:hyperlink>
            <w:r>
              <w:rPr>
                <w:rFonts w:cs="Times New Roman"/>
                <w:sz w:val="18"/>
                <w:szCs w:val="18"/>
              </w:rPr>
              <w:t xml:space="preserve"> </w:t>
            </w:r>
          </w:p>
        </w:tc>
      </w:tr>
      <w:tr w:rsidR="00B2377C" w:rsidRPr="00B85ADE" w14:paraId="0DA679D8" w14:textId="77777777" w:rsidTr="00E95C50">
        <w:tc>
          <w:tcPr>
            <w:cnfStyle w:val="001000000000" w:firstRow="0" w:lastRow="0" w:firstColumn="1" w:lastColumn="0" w:oddVBand="0" w:evenVBand="0" w:oddHBand="0" w:evenHBand="0" w:firstRowFirstColumn="0" w:firstRowLastColumn="0" w:lastRowFirstColumn="0" w:lastRowLastColumn="0"/>
            <w:tcW w:w="1705" w:type="dxa"/>
            <w:vMerge/>
          </w:tcPr>
          <w:p w14:paraId="40A19335" w14:textId="77777777" w:rsidR="00B2377C" w:rsidRPr="00B85ADE" w:rsidRDefault="00B2377C" w:rsidP="00B2377C">
            <w:pPr>
              <w:spacing w:after="120"/>
              <w:rPr>
                <w:rFonts w:cs="Times New Roman"/>
                <w:sz w:val="18"/>
                <w:szCs w:val="18"/>
              </w:rPr>
            </w:pPr>
          </w:p>
        </w:tc>
        <w:tc>
          <w:tcPr>
            <w:tcW w:w="2250" w:type="dxa"/>
            <w:tcBorders>
              <w:top w:val="nil"/>
              <w:bottom w:val="nil"/>
            </w:tcBorders>
          </w:tcPr>
          <w:p w14:paraId="11992057" w14:textId="4470E6D6"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 xml:space="preserve">% of internal audit reports issued in line with the disclosure provisions and policies set by the relevant governing bodies, which are available on a dedicated searchable UN-RIAS </w:t>
            </w:r>
            <w:r w:rsidRPr="00B85ADE">
              <w:rPr>
                <w:rFonts w:cs="Times New Roman"/>
                <w:sz w:val="18"/>
                <w:szCs w:val="18"/>
              </w:rPr>
              <w:lastRenderedPageBreak/>
              <w:t xml:space="preserve">platform/ website, pending availability of resources; </w:t>
            </w:r>
          </w:p>
        </w:tc>
        <w:tc>
          <w:tcPr>
            <w:tcW w:w="2070" w:type="dxa"/>
            <w:tcBorders>
              <w:top w:val="nil"/>
              <w:bottom w:val="nil"/>
            </w:tcBorders>
          </w:tcPr>
          <w:p w14:paraId="3A7A530B"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lastRenderedPageBreak/>
              <w:t xml:space="preserve">Baseline (2018): 0 </w:t>
            </w:r>
          </w:p>
          <w:p w14:paraId="01D091A2" w14:textId="3D557CFE"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Target</w:t>
            </w:r>
            <w:r w:rsidR="00672B95">
              <w:rPr>
                <w:rFonts w:cs="Times New Roman"/>
                <w:sz w:val="18"/>
                <w:szCs w:val="18"/>
              </w:rPr>
              <w:t xml:space="preserve"> (2021)</w:t>
            </w:r>
            <w:r w:rsidRPr="00B85ADE">
              <w:rPr>
                <w:rFonts w:cs="Times New Roman"/>
                <w:sz w:val="18"/>
                <w:szCs w:val="18"/>
              </w:rPr>
              <w:t xml:space="preserve">: </w:t>
            </w:r>
            <w:r w:rsidR="00CE6B69">
              <w:rPr>
                <w:rFonts w:cs="Times New Roman"/>
                <w:sz w:val="18"/>
                <w:szCs w:val="18"/>
              </w:rPr>
              <w:t>100%</w:t>
            </w:r>
          </w:p>
        </w:tc>
        <w:tc>
          <w:tcPr>
            <w:tcW w:w="4055" w:type="dxa"/>
            <w:tcBorders>
              <w:top w:val="nil"/>
              <w:bottom w:val="nil"/>
            </w:tcBorders>
          </w:tcPr>
          <w:p w14:paraId="396FB604" w14:textId="77777777" w:rsidR="00B2377C" w:rsidRPr="00BE0ABB" w:rsidRDefault="00553783" w:rsidP="00553783">
            <w:pPr>
              <w:spacing w:after="120"/>
              <w:cnfStyle w:val="000000000000" w:firstRow="0" w:lastRow="0" w:firstColumn="0" w:lastColumn="0" w:oddVBand="0" w:evenVBand="0" w:oddHBand="0" w:evenHBand="0" w:firstRowFirstColumn="0" w:firstRowLastColumn="0" w:lastRowFirstColumn="0" w:lastRowLastColumn="0"/>
              <w:rPr>
                <w:rFonts w:cs="Times New Roman"/>
                <w:bCs/>
                <w:sz w:val="18"/>
                <w:szCs w:val="18"/>
              </w:rPr>
            </w:pPr>
            <w:r>
              <w:rPr>
                <w:rFonts w:cs="Times New Roman"/>
                <w:b/>
                <w:sz w:val="18"/>
                <w:szCs w:val="18"/>
              </w:rPr>
              <w:t>Yes -</w:t>
            </w:r>
            <w:r w:rsidR="00B2377C">
              <w:rPr>
                <w:rFonts w:cs="Times New Roman"/>
                <w:bCs/>
                <w:sz w:val="18"/>
                <w:szCs w:val="18"/>
              </w:rPr>
              <w:t xml:space="preserve"> </w:t>
            </w:r>
            <w:r w:rsidR="00B2377C" w:rsidRPr="00F033D9">
              <w:rPr>
                <w:rFonts w:cs="Times New Roman"/>
                <w:bCs/>
                <w:sz w:val="18"/>
                <w:szCs w:val="18"/>
              </w:rPr>
              <w:t>A</w:t>
            </w:r>
            <w:r w:rsidR="00B2377C">
              <w:rPr>
                <w:rFonts w:cs="Times New Roman"/>
                <w:bCs/>
                <w:sz w:val="18"/>
                <w:szCs w:val="18"/>
              </w:rPr>
              <w:t>ll UNDP</w:t>
            </w:r>
            <w:r w:rsidR="00B2377C" w:rsidRPr="00F033D9">
              <w:rPr>
                <w:rFonts w:cs="Times New Roman"/>
                <w:bCs/>
                <w:sz w:val="18"/>
                <w:szCs w:val="18"/>
              </w:rPr>
              <w:t xml:space="preserve"> audit reports are available</w:t>
            </w:r>
            <w:r w:rsidR="00377744">
              <w:rPr>
                <w:rStyle w:val="FootnoteReference"/>
                <w:rFonts w:cs="Times New Roman"/>
                <w:bCs/>
                <w:sz w:val="18"/>
                <w:szCs w:val="18"/>
              </w:rPr>
              <w:footnoteReference w:id="5"/>
            </w:r>
            <w:r w:rsidR="00B2377C" w:rsidRPr="00F033D9">
              <w:rPr>
                <w:rFonts w:cs="Times New Roman"/>
                <w:bCs/>
                <w:sz w:val="18"/>
                <w:szCs w:val="18"/>
              </w:rPr>
              <w:t xml:space="preserve"> </w:t>
            </w:r>
            <w:r w:rsidR="00B2377C">
              <w:rPr>
                <w:rFonts w:cs="Times New Roman"/>
                <w:bCs/>
                <w:sz w:val="18"/>
                <w:szCs w:val="18"/>
              </w:rPr>
              <w:t>at</w:t>
            </w:r>
            <w:r w:rsidR="00B2377C" w:rsidRPr="00F033D9">
              <w:rPr>
                <w:rFonts w:cs="Times New Roman"/>
                <w:bCs/>
                <w:sz w:val="18"/>
                <w:szCs w:val="18"/>
              </w:rPr>
              <w:t xml:space="preserve"> </w:t>
            </w:r>
            <w:hyperlink r:id="rId12" w:history="1">
              <w:r w:rsidR="00B2377C" w:rsidRPr="00A868A3">
                <w:rPr>
                  <w:rStyle w:val="Hyperlink"/>
                  <w:rFonts w:cs="Times New Roman"/>
                  <w:bCs/>
                  <w:sz w:val="18"/>
                  <w:szCs w:val="18"/>
                </w:rPr>
                <w:t>https://audit-public-disclosure.undp.org/</w:t>
              </w:r>
            </w:hyperlink>
            <w:r w:rsidR="00B2377C">
              <w:rPr>
                <w:rFonts w:cs="Times New Roman"/>
                <w:bCs/>
                <w:sz w:val="18"/>
                <w:szCs w:val="18"/>
              </w:rPr>
              <w:t xml:space="preserve"> </w:t>
            </w:r>
          </w:p>
        </w:tc>
      </w:tr>
      <w:tr w:rsidR="00B2377C" w:rsidRPr="00B85ADE" w14:paraId="6D5E7480" w14:textId="77777777" w:rsidTr="00E95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Merge/>
          </w:tcPr>
          <w:p w14:paraId="469D1B66" w14:textId="77777777" w:rsidR="00B2377C" w:rsidRPr="00B85ADE" w:rsidRDefault="00B2377C" w:rsidP="00B2377C">
            <w:pPr>
              <w:spacing w:after="120"/>
              <w:rPr>
                <w:rFonts w:cs="Times New Roman"/>
                <w:sz w:val="18"/>
                <w:szCs w:val="18"/>
              </w:rPr>
            </w:pPr>
          </w:p>
        </w:tc>
        <w:tc>
          <w:tcPr>
            <w:tcW w:w="2250" w:type="dxa"/>
            <w:tcBorders>
              <w:top w:val="nil"/>
            </w:tcBorders>
          </w:tcPr>
          <w:p w14:paraId="14310048" w14:textId="77777777" w:rsidR="00B2377C" w:rsidRPr="00B85AD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 of inter-agency pooled funds posting evaluation reports on the UNEG website</w:t>
            </w:r>
          </w:p>
        </w:tc>
        <w:tc>
          <w:tcPr>
            <w:tcW w:w="2070" w:type="dxa"/>
            <w:tcBorders>
              <w:top w:val="nil"/>
            </w:tcBorders>
          </w:tcPr>
          <w:p w14:paraId="36E49709" w14:textId="77777777" w:rsidR="00B2377C" w:rsidRPr="00B85AD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Baseline (2018): 0%</w:t>
            </w:r>
          </w:p>
          <w:p w14:paraId="7A82F5AE" w14:textId="77777777" w:rsidR="00B2377C" w:rsidRPr="00B85AD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Target (2019): 100%</w:t>
            </w:r>
          </w:p>
        </w:tc>
        <w:tc>
          <w:tcPr>
            <w:tcW w:w="4055" w:type="dxa"/>
            <w:tcBorders>
              <w:top w:val="nil"/>
            </w:tcBorders>
          </w:tcPr>
          <w:p w14:paraId="0D180402" w14:textId="48866633" w:rsidR="00B2377C" w:rsidRPr="00B85ADE" w:rsidRDefault="00553783"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b/>
                <w:bCs/>
                <w:color w:val="000000"/>
                <w:sz w:val="18"/>
                <w:szCs w:val="18"/>
              </w:rPr>
              <w:t xml:space="preserve">Yes – </w:t>
            </w:r>
            <w:r>
              <w:rPr>
                <w:rFonts w:cs="Times New Roman"/>
                <w:bCs/>
                <w:color w:val="000000"/>
                <w:sz w:val="18"/>
                <w:szCs w:val="18"/>
              </w:rPr>
              <w:t>T</w:t>
            </w:r>
            <w:r w:rsidRPr="00553783">
              <w:rPr>
                <w:rFonts w:cs="Times New Roman"/>
                <w:bCs/>
                <w:color w:val="000000"/>
                <w:sz w:val="18"/>
                <w:szCs w:val="18"/>
              </w:rPr>
              <w:t xml:space="preserve">he MPTF Office collaborated closely with the UN Evaluation Group (UNEG), and since </w:t>
            </w:r>
            <w:r w:rsidR="00136045">
              <w:rPr>
                <w:rFonts w:cs="Times New Roman"/>
                <w:bCs/>
                <w:color w:val="000000"/>
                <w:sz w:val="18"/>
                <w:szCs w:val="18"/>
              </w:rPr>
              <w:t xml:space="preserve">the </w:t>
            </w:r>
            <w:r w:rsidRPr="00553783">
              <w:rPr>
                <w:rFonts w:cs="Times New Roman"/>
                <w:bCs/>
                <w:color w:val="000000"/>
                <w:sz w:val="18"/>
                <w:szCs w:val="18"/>
              </w:rPr>
              <w:t>fall 2019, UNEG allowed pooled funding evaluations to be tracked and marked in the UNEG evaluation reports database</w:t>
            </w:r>
          </w:p>
        </w:tc>
      </w:tr>
      <w:tr w:rsidR="00B2377C" w:rsidRPr="00B85ADE" w14:paraId="610F50AE" w14:textId="77777777" w:rsidTr="00E95C50">
        <w:tc>
          <w:tcPr>
            <w:cnfStyle w:val="001000000000" w:firstRow="0" w:lastRow="0" w:firstColumn="1" w:lastColumn="0" w:oddVBand="0" w:evenVBand="0" w:oddHBand="0" w:evenHBand="0" w:firstRowFirstColumn="0" w:firstRowLastColumn="0" w:lastRowFirstColumn="0" w:lastRowLastColumn="0"/>
            <w:tcW w:w="1705" w:type="dxa"/>
            <w:vMerge w:val="restart"/>
          </w:tcPr>
          <w:p w14:paraId="5BA8400B" w14:textId="77777777" w:rsidR="00B2377C" w:rsidRPr="00B85ADE" w:rsidRDefault="00B2377C" w:rsidP="00B2377C">
            <w:pPr>
              <w:spacing w:after="120"/>
              <w:rPr>
                <w:rFonts w:cs="Times New Roman"/>
                <w:sz w:val="18"/>
                <w:szCs w:val="18"/>
              </w:rPr>
            </w:pPr>
            <w:r w:rsidRPr="00B85ADE">
              <w:rPr>
                <w:rFonts w:cs="Times New Roman"/>
                <w:sz w:val="18"/>
                <w:szCs w:val="18"/>
              </w:rPr>
              <w:t>10. Increase visibility of results from contributors of voluntary core resources, pooled &amp; thematic funds and for program country contributions</w:t>
            </w:r>
          </w:p>
        </w:tc>
        <w:tc>
          <w:tcPr>
            <w:tcW w:w="2250" w:type="dxa"/>
            <w:tcBorders>
              <w:bottom w:val="nil"/>
            </w:tcBorders>
          </w:tcPr>
          <w:p w14:paraId="60ADD56A"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Specific mention of voluntary core, pooled and thematic fund contributors, and program country contributions in UNCT annual results reporting and entity specific country and global reporting</w:t>
            </w:r>
          </w:p>
        </w:tc>
        <w:tc>
          <w:tcPr>
            <w:tcW w:w="2070" w:type="dxa"/>
            <w:tcBorders>
              <w:bottom w:val="nil"/>
            </w:tcBorders>
          </w:tcPr>
          <w:p w14:paraId="07E1212C"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 xml:space="preserve">Baseline (2018): </w:t>
            </w:r>
            <w:r w:rsidRPr="00B85ADE">
              <w:rPr>
                <w:rFonts w:cs="Times New Roman"/>
                <w:i/>
                <w:sz w:val="18"/>
                <w:szCs w:val="18"/>
              </w:rPr>
              <w:t>n/a</w:t>
            </w:r>
          </w:p>
          <w:p w14:paraId="62C24A68"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Target (2020): Yes</w:t>
            </w:r>
          </w:p>
        </w:tc>
        <w:tc>
          <w:tcPr>
            <w:tcW w:w="4055" w:type="dxa"/>
            <w:tcBorders>
              <w:bottom w:val="nil"/>
            </w:tcBorders>
          </w:tcPr>
          <w:p w14:paraId="52AD652D" w14:textId="167219CE" w:rsidR="00B2377C" w:rsidRPr="00B85ADE" w:rsidRDefault="00B2377C" w:rsidP="00B2377C">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b/>
                <w:bCs/>
                <w:color w:val="000000"/>
                <w:sz w:val="18"/>
                <w:szCs w:val="18"/>
              </w:rPr>
              <w:t>Yes</w:t>
            </w:r>
            <w:r w:rsidRPr="00B85ADE">
              <w:rPr>
                <w:rFonts w:cs="Times New Roman"/>
                <w:color w:val="000000"/>
                <w:sz w:val="18"/>
                <w:szCs w:val="18"/>
              </w:rPr>
              <w:t xml:space="preserve"> </w:t>
            </w:r>
            <w:r>
              <w:rPr>
                <w:rFonts w:cs="Times New Roman"/>
                <w:color w:val="000000"/>
                <w:sz w:val="18"/>
                <w:szCs w:val="18"/>
              </w:rPr>
              <w:t>–</w:t>
            </w:r>
            <w:r w:rsidRPr="00B85ADE">
              <w:rPr>
                <w:rFonts w:cs="Times New Roman"/>
                <w:color w:val="000000"/>
                <w:sz w:val="18"/>
                <w:szCs w:val="18"/>
              </w:rPr>
              <w:t xml:space="preserve"> </w:t>
            </w:r>
            <w:r>
              <w:rPr>
                <w:rFonts w:cs="Times New Roman"/>
                <w:color w:val="000000"/>
                <w:sz w:val="18"/>
                <w:szCs w:val="18"/>
              </w:rPr>
              <w:t>UNDP recognizes</w:t>
            </w:r>
            <w:r w:rsidRPr="00B85ADE">
              <w:rPr>
                <w:rFonts w:cs="Times New Roman"/>
                <w:color w:val="000000"/>
                <w:sz w:val="18"/>
                <w:szCs w:val="18"/>
              </w:rPr>
              <w:t xml:space="preserve"> </w:t>
            </w:r>
            <w:r>
              <w:rPr>
                <w:rFonts w:cs="Times New Roman"/>
                <w:color w:val="000000"/>
                <w:sz w:val="18"/>
                <w:szCs w:val="18"/>
              </w:rPr>
              <w:t xml:space="preserve">partners contributing </w:t>
            </w:r>
            <w:r w:rsidRPr="00B85ADE">
              <w:rPr>
                <w:rFonts w:cs="Times New Roman"/>
                <w:color w:val="000000"/>
                <w:sz w:val="18"/>
                <w:szCs w:val="18"/>
              </w:rPr>
              <w:t>core, pooled</w:t>
            </w:r>
            <w:r w:rsidR="00136045">
              <w:rPr>
                <w:rFonts w:cs="Times New Roman"/>
                <w:color w:val="000000"/>
                <w:sz w:val="18"/>
                <w:szCs w:val="18"/>
              </w:rPr>
              <w:t>,</w:t>
            </w:r>
            <w:r w:rsidRPr="00B85ADE">
              <w:rPr>
                <w:rFonts w:cs="Times New Roman"/>
                <w:color w:val="000000"/>
                <w:sz w:val="18"/>
                <w:szCs w:val="18"/>
              </w:rPr>
              <w:t xml:space="preserve"> and thematic funds </w:t>
            </w:r>
            <w:r>
              <w:rPr>
                <w:rFonts w:cs="Times New Roman"/>
                <w:color w:val="000000"/>
                <w:sz w:val="18"/>
                <w:szCs w:val="18"/>
              </w:rPr>
              <w:t>in</w:t>
            </w:r>
            <w:r w:rsidRPr="00B85ADE">
              <w:rPr>
                <w:rFonts w:cs="Times New Roman"/>
                <w:color w:val="000000"/>
                <w:sz w:val="18"/>
                <w:szCs w:val="18"/>
              </w:rPr>
              <w:t xml:space="preserve"> </w:t>
            </w:r>
            <w:r w:rsidR="00CE136E">
              <w:rPr>
                <w:rFonts w:cs="Times New Roman"/>
                <w:color w:val="000000"/>
                <w:sz w:val="18"/>
                <w:szCs w:val="18"/>
              </w:rPr>
              <w:t xml:space="preserve">the </w:t>
            </w:r>
            <w:r w:rsidRPr="00B85ADE">
              <w:rPr>
                <w:rFonts w:cs="Times New Roman"/>
                <w:color w:val="000000"/>
                <w:sz w:val="18"/>
                <w:szCs w:val="18"/>
              </w:rPr>
              <w:t>Annual Report, Annual Results Reports, Funding Compendium,</w:t>
            </w:r>
            <w:r w:rsidR="0077095D">
              <w:rPr>
                <w:rFonts w:cs="Times New Roman"/>
                <w:color w:val="000000"/>
                <w:sz w:val="18"/>
                <w:szCs w:val="18"/>
              </w:rPr>
              <w:t xml:space="preserve"> a</w:t>
            </w:r>
            <w:r w:rsidR="0016361D">
              <w:rPr>
                <w:rFonts w:cs="Times New Roman"/>
                <w:color w:val="000000"/>
                <w:sz w:val="18"/>
                <w:szCs w:val="18"/>
              </w:rPr>
              <w:t>nd the #PartnersAtCore campaign. I</w:t>
            </w:r>
            <w:r w:rsidRPr="00003C04">
              <w:rPr>
                <w:rFonts w:cs="Times New Roman"/>
                <w:color w:val="000000"/>
                <w:sz w:val="18"/>
                <w:szCs w:val="18"/>
              </w:rPr>
              <w:t xml:space="preserve">ndividual donor brochures also provide visibility to </w:t>
            </w:r>
            <w:r>
              <w:rPr>
                <w:rFonts w:cs="Times New Roman"/>
                <w:color w:val="000000"/>
                <w:sz w:val="18"/>
                <w:szCs w:val="18"/>
              </w:rPr>
              <w:t>core and pooled funding partners</w:t>
            </w:r>
            <w:r w:rsidRPr="00B85ADE">
              <w:rPr>
                <w:rFonts w:cs="Times New Roman"/>
                <w:color w:val="000000"/>
                <w:sz w:val="18"/>
                <w:szCs w:val="18"/>
              </w:rPr>
              <w:t>.</w:t>
            </w:r>
          </w:p>
        </w:tc>
      </w:tr>
      <w:tr w:rsidR="00B2377C" w:rsidRPr="00B85ADE" w14:paraId="6BD33D60" w14:textId="77777777" w:rsidTr="00E95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Merge/>
          </w:tcPr>
          <w:p w14:paraId="2396FB2E" w14:textId="77777777" w:rsidR="00B2377C" w:rsidRPr="00B85ADE" w:rsidRDefault="00B2377C" w:rsidP="00B2377C">
            <w:pPr>
              <w:spacing w:after="120"/>
              <w:rPr>
                <w:rFonts w:cs="Times New Roman"/>
                <w:sz w:val="18"/>
                <w:szCs w:val="18"/>
              </w:rPr>
            </w:pPr>
          </w:p>
        </w:tc>
        <w:tc>
          <w:tcPr>
            <w:tcW w:w="2250" w:type="dxa"/>
            <w:tcBorders>
              <w:top w:val="nil"/>
            </w:tcBorders>
          </w:tcPr>
          <w:p w14:paraId="722ED0A0" w14:textId="77777777" w:rsidR="00B2377C" w:rsidRPr="00B85AD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Specific mention of individual contributors in all results reporting by pooled fund and thematic fund administrators and UNSDG recipients</w:t>
            </w:r>
          </w:p>
        </w:tc>
        <w:tc>
          <w:tcPr>
            <w:tcW w:w="2070" w:type="dxa"/>
            <w:tcBorders>
              <w:top w:val="nil"/>
            </w:tcBorders>
          </w:tcPr>
          <w:p w14:paraId="09067DD1" w14:textId="77777777" w:rsidR="00B2377C" w:rsidRPr="00B85AD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 xml:space="preserve">Baseline (2018): </w:t>
            </w:r>
            <w:r w:rsidRPr="00B85ADE">
              <w:rPr>
                <w:rFonts w:cs="Times New Roman"/>
                <w:i/>
                <w:sz w:val="18"/>
                <w:szCs w:val="18"/>
              </w:rPr>
              <w:t>n/a</w:t>
            </w:r>
          </w:p>
          <w:p w14:paraId="59157FC9" w14:textId="77777777" w:rsidR="00B2377C" w:rsidRPr="00B85AD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Target (2020): Yes</w:t>
            </w:r>
          </w:p>
        </w:tc>
        <w:tc>
          <w:tcPr>
            <w:tcW w:w="4055" w:type="dxa"/>
            <w:tcBorders>
              <w:top w:val="nil"/>
            </w:tcBorders>
          </w:tcPr>
          <w:p w14:paraId="28D41917" w14:textId="7616490C" w:rsidR="00B2377C" w:rsidRPr="00D6624B" w:rsidRDefault="005644E2" w:rsidP="003C7865">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highlight w:val="yellow"/>
              </w:rPr>
            </w:pPr>
            <w:r w:rsidRPr="005706E5">
              <w:rPr>
                <w:rFonts w:cs="Times New Roman"/>
                <w:b/>
                <w:bCs/>
                <w:sz w:val="18"/>
                <w:szCs w:val="18"/>
              </w:rPr>
              <w:t>Yes</w:t>
            </w:r>
            <w:r w:rsidR="00B2377C" w:rsidRPr="005706E5">
              <w:rPr>
                <w:rFonts w:cs="Times New Roman"/>
                <w:sz w:val="18"/>
                <w:szCs w:val="18"/>
              </w:rPr>
              <w:t xml:space="preserve">: </w:t>
            </w:r>
            <w:r w:rsidR="005706E5" w:rsidRPr="005706E5">
              <w:rPr>
                <w:rFonts w:cs="Times New Roman"/>
                <w:sz w:val="18"/>
                <w:szCs w:val="18"/>
              </w:rPr>
              <w:t xml:space="preserve">Yes, the </w:t>
            </w:r>
            <w:r w:rsidR="00400BE3">
              <w:rPr>
                <w:rFonts w:cs="Times New Roman"/>
                <w:sz w:val="18"/>
                <w:szCs w:val="18"/>
              </w:rPr>
              <w:t xml:space="preserve">annual reports </w:t>
            </w:r>
            <w:r w:rsidR="005706E5" w:rsidRPr="005706E5">
              <w:rPr>
                <w:rFonts w:cs="Times New Roman"/>
                <w:sz w:val="18"/>
                <w:szCs w:val="18"/>
              </w:rPr>
              <w:t>of UN Multi-Partner Trust Fund Office</w:t>
            </w:r>
            <w:r w:rsidR="00A30E68">
              <w:rPr>
                <w:rFonts w:cs="Times New Roman"/>
                <w:sz w:val="18"/>
                <w:szCs w:val="18"/>
              </w:rPr>
              <w:t>,</w:t>
            </w:r>
            <w:r w:rsidR="005706E5" w:rsidRPr="005706E5">
              <w:rPr>
                <w:rFonts w:cs="Times New Roman"/>
                <w:sz w:val="18"/>
                <w:szCs w:val="18"/>
              </w:rPr>
              <w:t xml:space="preserve"> </w:t>
            </w:r>
            <w:r w:rsidR="00400BE3">
              <w:rPr>
                <w:rFonts w:cs="Times New Roman"/>
                <w:sz w:val="18"/>
                <w:szCs w:val="18"/>
              </w:rPr>
              <w:t xml:space="preserve">UNDP’s </w:t>
            </w:r>
            <w:r w:rsidR="00A30E68">
              <w:rPr>
                <w:rFonts w:cs="Times New Roman"/>
                <w:sz w:val="18"/>
                <w:szCs w:val="18"/>
              </w:rPr>
              <w:t>F</w:t>
            </w:r>
            <w:r w:rsidR="005706E5" w:rsidRPr="005706E5">
              <w:rPr>
                <w:rFonts w:cs="Times New Roman"/>
                <w:sz w:val="18"/>
                <w:szCs w:val="18"/>
              </w:rPr>
              <w:t xml:space="preserve">unding </w:t>
            </w:r>
            <w:r w:rsidR="00A30E68">
              <w:rPr>
                <w:rFonts w:cs="Times New Roman"/>
                <w:sz w:val="18"/>
                <w:szCs w:val="18"/>
              </w:rPr>
              <w:t>Window</w:t>
            </w:r>
            <w:r w:rsidR="00400BE3">
              <w:rPr>
                <w:rFonts w:cs="Times New Roman"/>
                <w:sz w:val="18"/>
                <w:szCs w:val="18"/>
              </w:rPr>
              <w:t xml:space="preserve">, </w:t>
            </w:r>
            <w:r w:rsidR="0087704C">
              <w:rPr>
                <w:rFonts w:cs="Times New Roman"/>
                <w:sz w:val="18"/>
                <w:szCs w:val="18"/>
              </w:rPr>
              <w:t>t</w:t>
            </w:r>
            <w:r w:rsidR="00400BE3">
              <w:rPr>
                <w:rFonts w:cs="Times New Roman"/>
                <w:sz w:val="18"/>
                <w:szCs w:val="18"/>
              </w:rPr>
              <w:t>he UNDP F</w:t>
            </w:r>
            <w:r w:rsidR="005706E5">
              <w:rPr>
                <w:rFonts w:cs="Times New Roman"/>
                <w:sz w:val="18"/>
                <w:szCs w:val="18"/>
              </w:rPr>
              <w:t xml:space="preserve">unding </w:t>
            </w:r>
            <w:r w:rsidR="00CE136E">
              <w:rPr>
                <w:rFonts w:cs="Times New Roman"/>
                <w:sz w:val="18"/>
                <w:szCs w:val="18"/>
              </w:rPr>
              <w:t>C</w:t>
            </w:r>
            <w:r w:rsidR="005706E5">
              <w:rPr>
                <w:rFonts w:cs="Times New Roman"/>
                <w:sz w:val="18"/>
                <w:szCs w:val="18"/>
              </w:rPr>
              <w:t>ompendium</w:t>
            </w:r>
            <w:r w:rsidR="005706E5" w:rsidRPr="005706E5">
              <w:rPr>
                <w:rFonts w:cs="Times New Roman"/>
                <w:sz w:val="18"/>
                <w:szCs w:val="18"/>
              </w:rPr>
              <w:t xml:space="preserve"> specifically recognizes and lists all funding partners</w:t>
            </w:r>
            <w:r w:rsidR="00F77E2E">
              <w:rPr>
                <w:rFonts w:cs="Times New Roman"/>
                <w:sz w:val="18"/>
                <w:szCs w:val="18"/>
              </w:rPr>
              <w:t xml:space="preserve"> </w:t>
            </w:r>
            <w:r w:rsidR="005706E5" w:rsidRPr="005706E5">
              <w:rPr>
                <w:rFonts w:cs="Times New Roman"/>
                <w:sz w:val="18"/>
                <w:szCs w:val="18"/>
              </w:rPr>
              <w:t>and associated results and impa</w:t>
            </w:r>
            <w:r w:rsidR="005706E5">
              <w:rPr>
                <w:rFonts w:cs="Times New Roman"/>
                <w:sz w:val="18"/>
                <w:szCs w:val="18"/>
              </w:rPr>
              <w:t>c</w:t>
            </w:r>
            <w:r w:rsidR="005706E5" w:rsidRPr="005706E5">
              <w:rPr>
                <w:rFonts w:cs="Times New Roman"/>
                <w:sz w:val="18"/>
                <w:szCs w:val="18"/>
              </w:rPr>
              <w:t>t</w:t>
            </w:r>
            <w:r w:rsidR="00FF2C0D" w:rsidRPr="005706E5">
              <w:rPr>
                <w:rFonts w:cs="Times New Roman"/>
                <w:sz w:val="18"/>
                <w:szCs w:val="18"/>
              </w:rPr>
              <w:t xml:space="preserve">. </w:t>
            </w:r>
          </w:p>
        </w:tc>
      </w:tr>
      <w:tr w:rsidR="00B2377C" w:rsidRPr="00B85ADE" w14:paraId="24620F66" w14:textId="77777777" w:rsidTr="00E95C50">
        <w:trPr>
          <w:trHeight w:val="288"/>
        </w:trPr>
        <w:tc>
          <w:tcPr>
            <w:cnfStyle w:val="001000000000" w:firstRow="0" w:lastRow="0" w:firstColumn="1" w:lastColumn="0" w:oddVBand="0" w:evenVBand="0" w:oddHBand="0" w:evenHBand="0" w:firstRowFirstColumn="0" w:firstRowLastColumn="0" w:lastRowFirstColumn="0" w:lastRowLastColumn="0"/>
            <w:tcW w:w="10080" w:type="dxa"/>
            <w:gridSpan w:val="4"/>
            <w:vAlign w:val="center"/>
          </w:tcPr>
          <w:p w14:paraId="21E68AA8" w14:textId="77777777" w:rsidR="00B2377C" w:rsidRPr="00B85ADE" w:rsidRDefault="00B2377C" w:rsidP="00B2377C">
            <w:pPr>
              <w:rPr>
                <w:rFonts w:cs="Times New Roman"/>
                <w:b w:val="0"/>
                <w:sz w:val="18"/>
                <w:szCs w:val="18"/>
              </w:rPr>
            </w:pPr>
            <w:r w:rsidRPr="00B85ADE">
              <w:rPr>
                <w:rFonts w:cs="Times New Roman"/>
                <w:sz w:val="18"/>
                <w:szCs w:val="18"/>
              </w:rPr>
              <w:t>Increasing efficiencies</w:t>
            </w:r>
          </w:p>
        </w:tc>
      </w:tr>
      <w:tr w:rsidR="00B2377C" w:rsidRPr="00B85ADE" w14:paraId="6EFB27A6" w14:textId="77777777" w:rsidTr="00E95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Merge w:val="restart"/>
          </w:tcPr>
          <w:p w14:paraId="60F570A7" w14:textId="77777777" w:rsidR="00B2377C" w:rsidRPr="00B85ADE" w:rsidRDefault="00B2377C" w:rsidP="00B2377C">
            <w:pPr>
              <w:spacing w:after="120"/>
              <w:rPr>
                <w:rFonts w:cs="Times New Roman"/>
                <w:sz w:val="18"/>
                <w:szCs w:val="18"/>
              </w:rPr>
            </w:pPr>
            <w:r w:rsidRPr="00B85ADE">
              <w:rPr>
                <w:rFonts w:cs="Times New Roman"/>
                <w:sz w:val="18"/>
                <w:szCs w:val="18"/>
              </w:rPr>
              <w:t>11. Implement the SG’s goals on operational consolidation for efficiency gains</w:t>
            </w:r>
          </w:p>
        </w:tc>
        <w:tc>
          <w:tcPr>
            <w:tcW w:w="2250" w:type="dxa"/>
            <w:tcBorders>
              <w:top w:val="nil"/>
              <w:bottom w:val="nil"/>
            </w:tcBorders>
          </w:tcPr>
          <w:p w14:paraId="42EFA423" w14:textId="77777777" w:rsidR="00B2377C" w:rsidRPr="00B85ADE" w:rsidRDefault="00AA45E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A45EC">
              <w:rPr>
                <w:rFonts w:cs="Times New Roman"/>
                <w:sz w:val="18"/>
                <w:szCs w:val="18"/>
              </w:rPr>
              <w:t>Consolidation of common premises (%)</w:t>
            </w:r>
          </w:p>
        </w:tc>
        <w:tc>
          <w:tcPr>
            <w:tcW w:w="2070" w:type="dxa"/>
            <w:tcBorders>
              <w:top w:val="nil"/>
              <w:bottom w:val="nil"/>
            </w:tcBorders>
          </w:tcPr>
          <w:p w14:paraId="7E78BB03" w14:textId="77777777" w:rsidR="007E5F8D" w:rsidRPr="007E5F8D" w:rsidRDefault="007E5F8D" w:rsidP="007E5F8D">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7E5F8D">
              <w:rPr>
                <w:rFonts w:cs="Times New Roman"/>
                <w:sz w:val="18"/>
                <w:szCs w:val="18"/>
              </w:rPr>
              <w:t>Baseline (2017): 17%</w:t>
            </w:r>
          </w:p>
          <w:p w14:paraId="78AB5C4B" w14:textId="77777777" w:rsidR="00B2377C" w:rsidRPr="00B85ADE" w:rsidRDefault="007E5F8D" w:rsidP="007E5F8D">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7E5F8D">
              <w:rPr>
                <w:rFonts w:cs="Times New Roman"/>
                <w:sz w:val="18"/>
                <w:szCs w:val="18"/>
              </w:rPr>
              <w:t>Target (2021): 50%</w:t>
            </w:r>
          </w:p>
        </w:tc>
        <w:tc>
          <w:tcPr>
            <w:tcW w:w="4055" w:type="dxa"/>
            <w:tcBorders>
              <w:top w:val="nil"/>
              <w:bottom w:val="nil"/>
            </w:tcBorders>
          </w:tcPr>
          <w:p w14:paraId="72ECE173" w14:textId="16A5D364" w:rsidR="00F36563" w:rsidRPr="00545F00" w:rsidRDefault="00F36563" w:rsidP="00D06429">
            <w:pPr>
              <w:spacing w:after="120"/>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Pr>
                <w:rFonts w:cs="Times New Roman"/>
                <w:b/>
                <w:sz w:val="18"/>
                <w:szCs w:val="18"/>
              </w:rPr>
              <w:t xml:space="preserve">Baseline </w:t>
            </w:r>
            <w:r w:rsidRPr="00F36563">
              <w:rPr>
                <w:rFonts w:cs="Times New Roman"/>
                <w:b/>
                <w:sz w:val="18"/>
                <w:szCs w:val="18"/>
              </w:rPr>
              <w:t>20</w:t>
            </w:r>
            <w:r w:rsidR="007B0428">
              <w:rPr>
                <w:rFonts w:cs="Times New Roman"/>
                <w:b/>
                <w:sz w:val="18"/>
                <w:szCs w:val="18"/>
              </w:rPr>
              <w:t>2</w:t>
            </w:r>
            <w:r w:rsidR="000E31E7">
              <w:rPr>
                <w:rFonts w:cs="Times New Roman"/>
                <w:b/>
                <w:sz w:val="18"/>
                <w:szCs w:val="18"/>
              </w:rPr>
              <w:t>1</w:t>
            </w:r>
            <w:r w:rsidRPr="00F36563">
              <w:rPr>
                <w:rFonts w:cs="Times New Roman"/>
                <w:b/>
                <w:sz w:val="18"/>
                <w:szCs w:val="18"/>
              </w:rPr>
              <w:t>:</w:t>
            </w:r>
            <w:r w:rsidR="005B70CC">
              <w:rPr>
                <w:rFonts w:cs="Times New Roman"/>
                <w:b/>
                <w:sz w:val="18"/>
                <w:szCs w:val="18"/>
              </w:rPr>
              <w:t xml:space="preserve"> </w:t>
            </w:r>
            <w:r w:rsidR="00B20E31" w:rsidRPr="00CE136E">
              <w:rPr>
                <w:rFonts w:cs="Times New Roman"/>
                <w:b/>
                <w:bCs/>
                <w:sz w:val="18"/>
                <w:szCs w:val="18"/>
              </w:rPr>
              <w:t>79%</w:t>
            </w:r>
            <w:r w:rsidR="00B20E31" w:rsidRPr="00B20E31">
              <w:rPr>
                <w:rFonts w:cs="Times New Roman"/>
                <w:sz w:val="18"/>
                <w:szCs w:val="18"/>
              </w:rPr>
              <w:t xml:space="preserve"> of premises occupied by UNDP w</w:t>
            </w:r>
            <w:r w:rsidR="00CE136E">
              <w:rPr>
                <w:rFonts w:cs="Times New Roman"/>
                <w:sz w:val="18"/>
                <w:szCs w:val="18"/>
              </w:rPr>
              <w:t xml:space="preserve">ere </w:t>
            </w:r>
            <w:r w:rsidR="00B20E31" w:rsidRPr="00B20E31">
              <w:rPr>
                <w:rFonts w:cs="Times New Roman"/>
                <w:sz w:val="18"/>
                <w:szCs w:val="18"/>
              </w:rPr>
              <w:t xml:space="preserve">shared with other </w:t>
            </w:r>
            <w:proofErr w:type="gramStart"/>
            <w:r w:rsidR="00B20E31" w:rsidRPr="00B20E31">
              <w:rPr>
                <w:rFonts w:cs="Times New Roman"/>
                <w:sz w:val="18"/>
                <w:szCs w:val="18"/>
              </w:rPr>
              <w:t>agencies</w:t>
            </w:r>
            <w:proofErr w:type="gramEnd"/>
            <w:r w:rsidR="000E31E7">
              <w:rPr>
                <w:rFonts w:cs="Times New Roman"/>
                <w:sz w:val="18"/>
                <w:szCs w:val="18"/>
              </w:rPr>
              <w:t xml:space="preserve"> </w:t>
            </w:r>
          </w:p>
          <w:p w14:paraId="0491F89C" w14:textId="666EC9F2" w:rsidR="00AD04A4" w:rsidRPr="00F36563" w:rsidRDefault="00545F00" w:rsidP="00D06429">
            <w:pPr>
              <w:spacing w:after="120"/>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Pr>
                <w:rFonts w:cs="Times New Roman"/>
                <w:b/>
                <w:sz w:val="18"/>
                <w:szCs w:val="18"/>
              </w:rPr>
              <w:t>Progress 202</w:t>
            </w:r>
            <w:r w:rsidR="006B3F17">
              <w:rPr>
                <w:rFonts w:cs="Times New Roman"/>
                <w:b/>
                <w:sz w:val="18"/>
                <w:szCs w:val="18"/>
              </w:rPr>
              <w:t>2</w:t>
            </w:r>
            <w:r>
              <w:rPr>
                <w:rFonts w:cs="Times New Roman"/>
                <w:b/>
                <w:sz w:val="18"/>
                <w:szCs w:val="18"/>
              </w:rPr>
              <w:t xml:space="preserve">: </w:t>
            </w:r>
            <w:r w:rsidR="00B20E31" w:rsidRPr="00CE136E">
              <w:rPr>
                <w:rFonts w:cs="Times New Roman"/>
                <w:b/>
                <w:bCs/>
                <w:sz w:val="18"/>
                <w:szCs w:val="18"/>
              </w:rPr>
              <w:t>79%</w:t>
            </w:r>
            <w:r w:rsidR="00B20E31" w:rsidRPr="00B20E31">
              <w:rPr>
                <w:rFonts w:cs="Times New Roman"/>
                <w:sz w:val="18"/>
                <w:szCs w:val="18"/>
              </w:rPr>
              <w:t xml:space="preserve"> (198 out of 251) of all</w:t>
            </w:r>
            <w:r w:rsidR="00B20E31">
              <w:rPr>
                <w:rFonts w:cs="Times New Roman"/>
                <w:sz w:val="18"/>
                <w:szCs w:val="18"/>
              </w:rPr>
              <w:t xml:space="preserve"> UNDP’s</w:t>
            </w:r>
            <w:r w:rsidR="00B20E31" w:rsidRPr="00B20E31">
              <w:rPr>
                <w:rFonts w:cs="Times New Roman"/>
                <w:sz w:val="18"/>
                <w:szCs w:val="18"/>
              </w:rPr>
              <w:t xml:space="preserve"> premises that are feasible to be shared </w:t>
            </w:r>
            <w:r w:rsidR="00CE136E">
              <w:rPr>
                <w:rFonts w:cs="Times New Roman"/>
                <w:sz w:val="18"/>
                <w:szCs w:val="18"/>
              </w:rPr>
              <w:t xml:space="preserve">are shared </w:t>
            </w:r>
            <w:r w:rsidR="00B20E31" w:rsidRPr="00B20E31">
              <w:rPr>
                <w:rFonts w:cs="Times New Roman"/>
                <w:sz w:val="18"/>
                <w:szCs w:val="18"/>
              </w:rPr>
              <w:t>with other UN agencies</w:t>
            </w:r>
          </w:p>
        </w:tc>
      </w:tr>
      <w:tr w:rsidR="00D9194F" w:rsidRPr="00B85ADE" w14:paraId="5ADB3CC3" w14:textId="77777777" w:rsidTr="00E95C50">
        <w:tc>
          <w:tcPr>
            <w:cnfStyle w:val="001000000000" w:firstRow="0" w:lastRow="0" w:firstColumn="1" w:lastColumn="0" w:oddVBand="0" w:evenVBand="0" w:oddHBand="0" w:evenHBand="0" w:firstRowFirstColumn="0" w:firstRowLastColumn="0" w:lastRowFirstColumn="0" w:lastRowLastColumn="0"/>
            <w:tcW w:w="1705" w:type="dxa"/>
            <w:vMerge/>
          </w:tcPr>
          <w:p w14:paraId="342D073D" w14:textId="77777777" w:rsidR="00D9194F" w:rsidRPr="00B85ADE" w:rsidRDefault="00D9194F" w:rsidP="00D9194F">
            <w:pPr>
              <w:spacing w:after="120"/>
              <w:rPr>
                <w:sz w:val="18"/>
                <w:szCs w:val="18"/>
              </w:rPr>
            </w:pPr>
          </w:p>
        </w:tc>
        <w:tc>
          <w:tcPr>
            <w:tcW w:w="2250" w:type="dxa"/>
            <w:tcBorders>
              <w:top w:val="nil"/>
              <w:bottom w:val="nil"/>
            </w:tcBorders>
          </w:tcPr>
          <w:p w14:paraId="3E7B736C" w14:textId="77777777" w:rsidR="00D9194F" w:rsidRPr="00B85ADE" w:rsidRDefault="00D9194F" w:rsidP="00D9194F">
            <w:pPr>
              <w:spacing w:after="120"/>
              <w:cnfStyle w:val="000000000000" w:firstRow="0" w:lastRow="0" w:firstColumn="0" w:lastColumn="0" w:oddVBand="0" w:evenVBand="0" w:oddHBand="0" w:evenHBand="0" w:firstRowFirstColumn="0" w:firstRowLastColumn="0" w:lastRowFirstColumn="0" w:lastRowLastColumn="0"/>
              <w:rPr>
                <w:sz w:val="18"/>
                <w:szCs w:val="18"/>
              </w:rPr>
            </w:pPr>
            <w:r w:rsidRPr="00AA45EC">
              <w:rPr>
                <w:sz w:val="18"/>
                <w:szCs w:val="18"/>
              </w:rPr>
              <w:t>% of UNCTs that have</w:t>
            </w:r>
            <w:r>
              <w:rPr>
                <w:sz w:val="18"/>
                <w:szCs w:val="18"/>
              </w:rPr>
              <w:t xml:space="preserve"> </w:t>
            </w:r>
            <w:r w:rsidRPr="00AA45EC">
              <w:rPr>
                <w:sz w:val="18"/>
                <w:szCs w:val="18"/>
              </w:rPr>
              <w:t>an approved BOS in</w:t>
            </w:r>
            <w:r>
              <w:rPr>
                <w:sz w:val="18"/>
                <w:szCs w:val="18"/>
              </w:rPr>
              <w:t xml:space="preserve"> </w:t>
            </w:r>
            <w:r w:rsidRPr="00AA45EC">
              <w:rPr>
                <w:sz w:val="18"/>
                <w:szCs w:val="18"/>
              </w:rPr>
              <w:t>place, to enable common</w:t>
            </w:r>
            <w:r>
              <w:rPr>
                <w:sz w:val="18"/>
                <w:szCs w:val="18"/>
              </w:rPr>
              <w:t xml:space="preserve"> </w:t>
            </w:r>
            <w:r w:rsidRPr="00AA45EC">
              <w:rPr>
                <w:sz w:val="18"/>
                <w:szCs w:val="18"/>
              </w:rPr>
              <w:t>back offices where</w:t>
            </w:r>
            <w:r>
              <w:rPr>
                <w:sz w:val="18"/>
                <w:szCs w:val="18"/>
              </w:rPr>
              <w:t xml:space="preserve"> </w:t>
            </w:r>
            <w:r w:rsidRPr="00AA45EC">
              <w:rPr>
                <w:sz w:val="18"/>
                <w:szCs w:val="18"/>
              </w:rPr>
              <w:t>appropriate</w:t>
            </w:r>
          </w:p>
        </w:tc>
        <w:tc>
          <w:tcPr>
            <w:tcW w:w="2070" w:type="dxa"/>
            <w:tcBorders>
              <w:top w:val="nil"/>
              <w:bottom w:val="nil"/>
            </w:tcBorders>
          </w:tcPr>
          <w:p w14:paraId="2107BBEB" w14:textId="77777777" w:rsidR="00D9194F" w:rsidRDefault="00D9194F" w:rsidP="00D9194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NewRomanPSMT" w:hAnsi="TimesNewRomanPSMT" w:cs="TimesNewRomanPSMT"/>
                <w:sz w:val="20"/>
                <w:szCs w:val="20"/>
                <w:lang w:eastAsia="ja-JP"/>
              </w:rPr>
            </w:pPr>
            <w:r>
              <w:rPr>
                <w:rFonts w:ascii="TimesNewRomanPSMT" w:hAnsi="TimesNewRomanPSMT" w:cs="TimesNewRomanPSMT"/>
                <w:sz w:val="20"/>
                <w:szCs w:val="20"/>
                <w:lang w:eastAsia="ja-JP"/>
              </w:rPr>
              <w:t>Baseline (2017): 20%</w:t>
            </w:r>
          </w:p>
          <w:p w14:paraId="40C0FD5D" w14:textId="77777777" w:rsidR="00D9194F" w:rsidRPr="00B85ADE" w:rsidRDefault="00D9194F" w:rsidP="00D9194F">
            <w:pPr>
              <w:spacing w:after="120"/>
              <w:cnfStyle w:val="000000000000" w:firstRow="0" w:lastRow="0" w:firstColumn="0" w:lastColumn="0" w:oddVBand="0" w:evenVBand="0" w:oddHBand="0" w:evenHBand="0" w:firstRowFirstColumn="0" w:firstRowLastColumn="0" w:lastRowFirstColumn="0" w:lastRowLastColumn="0"/>
              <w:rPr>
                <w:sz w:val="18"/>
                <w:szCs w:val="18"/>
              </w:rPr>
            </w:pPr>
            <w:r>
              <w:rPr>
                <w:rFonts w:ascii="TimesNewRomanPSMT" w:hAnsi="TimesNewRomanPSMT" w:cs="TimesNewRomanPSMT"/>
                <w:sz w:val="20"/>
                <w:szCs w:val="20"/>
                <w:lang w:eastAsia="ja-JP"/>
              </w:rPr>
              <w:t>Target (2021): 100%</w:t>
            </w:r>
          </w:p>
        </w:tc>
        <w:tc>
          <w:tcPr>
            <w:tcW w:w="4055" w:type="dxa"/>
            <w:tcBorders>
              <w:top w:val="nil"/>
              <w:bottom w:val="nil"/>
            </w:tcBorders>
          </w:tcPr>
          <w:p w14:paraId="0A515EA5" w14:textId="73A5CA4B" w:rsidR="00D9194F" w:rsidRDefault="00D9194F" w:rsidP="00D9194F">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b/>
                <w:sz w:val="18"/>
                <w:szCs w:val="18"/>
              </w:rPr>
              <w:t xml:space="preserve">Baseline </w:t>
            </w:r>
            <w:r w:rsidRPr="00F36563">
              <w:rPr>
                <w:rFonts w:cs="Times New Roman"/>
                <w:b/>
                <w:sz w:val="18"/>
                <w:szCs w:val="18"/>
              </w:rPr>
              <w:t>20</w:t>
            </w:r>
            <w:r>
              <w:rPr>
                <w:rFonts w:cs="Times New Roman"/>
                <w:b/>
                <w:sz w:val="18"/>
                <w:szCs w:val="18"/>
              </w:rPr>
              <w:t>2</w:t>
            </w:r>
            <w:r w:rsidR="007B07C3">
              <w:rPr>
                <w:rFonts w:cs="Times New Roman"/>
                <w:b/>
                <w:sz w:val="18"/>
                <w:szCs w:val="18"/>
              </w:rPr>
              <w:t>1</w:t>
            </w:r>
            <w:r w:rsidRPr="00F36563">
              <w:rPr>
                <w:rFonts w:cs="Times New Roman"/>
                <w:b/>
                <w:sz w:val="18"/>
                <w:szCs w:val="18"/>
              </w:rPr>
              <w:t>:</w:t>
            </w:r>
            <w:r>
              <w:rPr>
                <w:rFonts w:cs="Times New Roman"/>
                <w:b/>
                <w:sz w:val="18"/>
                <w:szCs w:val="18"/>
              </w:rPr>
              <w:t xml:space="preserve"> </w:t>
            </w:r>
            <w:r w:rsidR="007B07C3" w:rsidRPr="00CE136E">
              <w:rPr>
                <w:rFonts w:cs="Times New Roman"/>
                <w:b/>
                <w:sz w:val="18"/>
                <w:szCs w:val="18"/>
              </w:rPr>
              <w:t>128</w:t>
            </w:r>
            <w:r w:rsidR="007B07C3" w:rsidRPr="009E1554">
              <w:rPr>
                <w:rFonts w:cs="Times New Roman"/>
                <w:bCs/>
                <w:sz w:val="18"/>
                <w:szCs w:val="18"/>
              </w:rPr>
              <w:t xml:space="preserve"> out of 129 offices implemented at least seven SOP (99%) elements.</w:t>
            </w:r>
          </w:p>
          <w:p w14:paraId="194A84F4" w14:textId="7C015E69" w:rsidR="00D9194F" w:rsidRPr="00922215" w:rsidRDefault="00D9194F" w:rsidP="00D9194F">
            <w:pPr>
              <w:spacing w:after="120"/>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sz w:val="18"/>
                <w:szCs w:val="18"/>
              </w:rPr>
              <w:t>Progress 202</w:t>
            </w:r>
            <w:r w:rsidR="007B07C3">
              <w:rPr>
                <w:rFonts w:cs="Times New Roman"/>
                <w:b/>
                <w:sz w:val="18"/>
                <w:szCs w:val="18"/>
              </w:rPr>
              <w:t>2</w:t>
            </w:r>
            <w:r>
              <w:rPr>
                <w:rFonts w:cs="Times New Roman"/>
                <w:b/>
                <w:sz w:val="18"/>
                <w:szCs w:val="18"/>
              </w:rPr>
              <w:t xml:space="preserve">: </w:t>
            </w:r>
            <w:r w:rsidR="007B07C3" w:rsidRPr="00CE136E">
              <w:rPr>
                <w:rFonts w:cs="Times New Roman"/>
                <w:b/>
                <w:sz w:val="18"/>
                <w:szCs w:val="18"/>
              </w:rPr>
              <w:t>129</w:t>
            </w:r>
            <w:r w:rsidR="007B07C3" w:rsidRPr="007B07C3">
              <w:rPr>
                <w:rFonts w:cs="Times New Roman"/>
                <w:bCs/>
                <w:sz w:val="18"/>
                <w:szCs w:val="18"/>
              </w:rPr>
              <w:t xml:space="preserve"> country offices participate in the BOS. Additionally, UNDP led the development and now implementation of BOS in 59 countries.</w:t>
            </w:r>
          </w:p>
        </w:tc>
      </w:tr>
      <w:tr w:rsidR="00D9194F" w:rsidRPr="00B85ADE" w14:paraId="5A12A91A" w14:textId="77777777" w:rsidTr="00E95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Merge/>
          </w:tcPr>
          <w:p w14:paraId="27B6F78F" w14:textId="77777777" w:rsidR="00D9194F" w:rsidRPr="00B85ADE" w:rsidRDefault="00D9194F" w:rsidP="00D9194F">
            <w:pPr>
              <w:spacing w:after="120"/>
              <w:rPr>
                <w:sz w:val="18"/>
                <w:szCs w:val="18"/>
              </w:rPr>
            </w:pPr>
          </w:p>
        </w:tc>
        <w:tc>
          <w:tcPr>
            <w:tcW w:w="2250" w:type="dxa"/>
            <w:tcBorders>
              <w:top w:val="nil"/>
              <w:bottom w:val="nil"/>
            </w:tcBorders>
          </w:tcPr>
          <w:p w14:paraId="3143DFF3" w14:textId="77777777" w:rsidR="00D9194F" w:rsidRPr="00B85ADE" w:rsidRDefault="00D9194F" w:rsidP="00D9194F">
            <w:pPr>
              <w:spacing w:after="120"/>
              <w:cnfStyle w:val="000000100000" w:firstRow="0" w:lastRow="0" w:firstColumn="0" w:lastColumn="0" w:oddVBand="0" w:evenVBand="0" w:oddHBand="1" w:evenHBand="0" w:firstRowFirstColumn="0" w:firstRowLastColumn="0" w:lastRowFirstColumn="0" w:lastRowLastColumn="0"/>
              <w:rPr>
                <w:sz w:val="18"/>
                <w:szCs w:val="18"/>
              </w:rPr>
            </w:pPr>
            <w:r w:rsidRPr="00B85ADE">
              <w:rPr>
                <w:rFonts w:cs="Times New Roman"/>
                <w:sz w:val="18"/>
                <w:szCs w:val="18"/>
              </w:rPr>
              <w:t>% of UNSDG entities that report to their governing bodies on efficiency gains</w:t>
            </w:r>
          </w:p>
        </w:tc>
        <w:tc>
          <w:tcPr>
            <w:tcW w:w="2070" w:type="dxa"/>
            <w:tcBorders>
              <w:top w:val="nil"/>
              <w:bottom w:val="nil"/>
            </w:tcBorders>
          </w:tcPr>
          <w:p w14:paraId="13F32D32" w14:textId="77777777" w:rsidR="00D9194F" w:rsidRPr="00B85ADE" w:rsidRDefault="00D9194F" w:rsidP="00D9194F">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Baseline (2017): 41%</w:t>
            </w:r>
          </w:p>
          <w:p w14:paraId="73198850" w14:textId="77777777" w:rsidR="00D9194F" w:rsidRPr="00B85ADE" w:rsidRDefault="00D9194F" w:rsidP="00D9194F">
            <w:pPr>
              <w:spacing w:after="120"/>
              <w:cnfStyle w:val="000000100000" w:firstRow="0" w:lastRow="0" w:firstColumn="0" w:lastColumn="0" w:oddVBand="0" w:evenVBand="0" w:oddHBand="1" w:evenHBand="0" w:firstRowFirstColumn="0" w:firstRowLastColumn="0" w:lastRowFirstColumn="0" w:lastRowLastColumn="0"/>
              <w:rPr>
                <w:sz w:val="18"/>
                <w:szCs w:val="18"/>
              </w:rPr>
            </w:pPr>
            <w:r w:rsidRPr="00B85ADE">
              <w:rPr>
                <w:rFonts w:cs="Times New Roman"/>
                <w:sz w:val="18"/>
                <w:szCs w:val="18"/>
              </w:rPr>
              <w:t>Target (2021): 100%</w:t>
            </w:r>
          </w:p>
        </w:tc>
        <w:tc>
          <w:tcPr>
            <w:tcW w:w="4055" w:type="dxa"/>
            <w:tcBorders>
              <w:top w:val="nil"/>
              <w:bottom w:val="nil"/>
            </w:tcBorders>
          </w:tcPr>
          <w:p w14:paraId="358F6B43" w14:textId="25D640DF" w:rsidR="00D9194F" w:rsidRPr="00DE5374" w:rsidRDefault="005F5D0F" w:rsidP="00D9194F">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b/>
                <w:sz w:val="18"/>
                <w:szCs w:val="18"/>
              </w:rPr>
              <w:t>Yes</w:t>
            </w:r>
            <w:r>
              <w:rPr>
                <w:rFonts w:cs="Times New Roman"/>
                <w:sz w:val="18"/>
                <w:szCs w:val="18"/>
              </w:rPr>
              <w:t xml:space="preserve"> –</w:t>
            </w:r>
            <w:r w:rsidRPr="004A789F">
              <w:rPr>
                <w:rFonts w:cs="Times New Roman"/>
                <w:sz w:val="18"/>
                <w:szCs w:val="18"/>
              </w:rPr>
              <w:t xml:space="preserve"> UNDP measures and reports annually to its Executive Board on its organizational performance,</w:t>
            </w:r>
            <w:r w:rsidR="00B443B8">
              <w:rPr>
                <w:rFonts w:cs="Times New Roman"/>
                <w:sz w:val="18"/>
                <w:szCs w:val="18"/>
              </w:rPr>
              <w:t xml:space="preserve"> including</w:t>
            </w:r>
            <w:r w:rsidRPr="004A789F">
              <w:rPr>
                <w:rFonts w:cs="Times New Roman"/>
                <w:sz w:val="18"/>
                <w:szCs w:val="18"/>
              </w:rPr>
              <w:t xml:space="preserve"> the organizational efficiency and effectiveness fo</w:t>
            </w:r>
            <w:r>
              <w:rPr>
                <w:rFonts w:cs="Times New Roman"/>
                <w:sz w:val="18"/>
                <w:szCs w:val="18"/>
              </w:rPr>
              <w:t>r programme delivery.</w:t>
            </w:r>
            <w:r w:rsidR="0094366E">
              <w:t xml:space="preserve"> </w:t>
            </w:r>
            <w:r w:rsidR="0094366E" w:rsidRPr="0094366E">
              <w:rPr>
                <w:rFonts w:cs="Times New Roman"/>
                <w:sz w:val="18"/>
                <w:szCs w:val="18"/>
              </w:rPr>
              <w:t>UNDP's reported efficiency gains for 2022 were U$ 24.4 million, mainly comprising U$ 7.1 million of entity-specific efficiency gains and $17.1 million of efficiencies achieved through the UNSDG Business Operations Strategy (BOS) implementation.</w:t>
            </w:r>
            <w:r w:rsidR="00DE5374">
              <w:t xml:space="preserve"> </w:t>
            </w:r>
          </w:p>
        </w:tc>
      </w:tr>
      <w:tr w:rsidR="00D9194F" w:rsidRPr="00B85ADE" w14:paraId="74EE41FC" w14:textId="77777777" w:rsidTr="00E95C50">
        <w:tc>
          <w:tcPr>
            <w:cnfStyle w:val="001000000000" w:firstRow="0" w:lastRow="0" w:firstColumn="1" w:lastColumn="0" w:oddVBand="0" w:evenVBand="0" w:oddHBand="0" w:evenHBand="0" w:firstRowFirstColumn="0" w:firstRowLastColumn="0" w:lastRowFirstColumn="0" w:lastRowLastColumn="0"/>
            <w:tcW w:w="1705" w:type="dxa"/>
            <w:vMerge/>
          </w:tcPr>
          <w:p w14:paraId="18EE3A64" w14:textId="77777777" w:rsidR="00D9194F" w:rsidRPr="00B85ADE" w:rsidRDefault="00D9194F" w:rsidP="00D9194F">
            <w:pPr>
              <w:spacing w:after="120"/>
              <w:rPr>
                <w:rFonts w:cs="Times New Roman"/>
                <w:sz w:val="18"/>
                <w:szCs w:val="18"/>
              </w:rPr>
            </w:pPr>
          </w:p>
        </w:tc>
        <w:tc>
          <w:tcPr>
            <w:tcW w:w="2250" w:type="dxa"/>
            <w:tcBorders>
              <w:top w:val="nil"/>
            </w:tcBorders>
          </w:tcPr>
          <w:p w14:paraId="0642D00B" w14:textId="77777777" w:rsidR="00D9194F" w:rsidRPr="00B85ADE" w:rsidRDefault="00D9194F" w:rsidP="00D9194F">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 of UNSDG entities that have signed the High-Level Framework on Mutual Recognition</w:t>
            </w:r>
          </w:p>
        </w:tc>
        <w:tc>
          <w:tcPr>
            <w:tcW w:w="2070" w:type="dxa"/>
            <w:tcBorders>
              <w:top w:val="nil"/>
            </w:tcBorders>
          </w:tcPr>
          <w:p w14:paraId="4C33F4EF" w14:textId="77777777" w:rsidR="00D9194F" w:rsidRPr="00B85ADE" w:rsidRDefault="00D9194F" w:rsidP="00D9194F">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Baseline (2018): 28%</w:t>
            </w:r>
          </w:p>
          <w:p w14:paraId="004864D9" w14:textId="77777777" w:rsidR="00D9194F" w:rsidRPr="00B85ADE" w:rsidRDefault="00D9194F" w:rsidP="00D9194F">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Target (2021): 100%</w:t>
            </w:r>
          </w:p>
        </w:tc>
        <w:tc>
          <w:tcPr>
            <w:tcW w:w="4055" w:type="dxa"/>
            <w:tcBorders>
              <w:top w:val="nil"/>
            </w:tcBorders>
          </w:tcPr>
          <w:p w14:paraId="74517B25" w14:textId="3B62C025" w:rsidR="00D9194F" w:rsidRPr="00CD4F2C" w:rsidRDefault="00D9194F" w:rsidP="00D9194F">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CD4F2C">
              <w:rPr>
                <w:rFonts w:cs="Times New Roman"/>
                <w:b/>
                <w:sz w:val="18"/>
                <w:szCs w:val="18"/>
              </w:rPr>
              <w:t>Yes</w:t>
            </w:r>
            <w:r w:rsidRPr="00CD4F2C">
              <w:rPr>
                <w:rFonts w:cs="Times New Roman"/>
                <w:sz w:val="18"/>
                <w:szCs w:val="18"/>
              </w:rPr>
              <w:t xml:space="preserve"> – UNDP has signed and is compliant under the High-Level Framework on Mutual Recognition. </w:t>
            </w:r>
          </w:p>
        </w:tc>
      </w:tr>
      <w:tr w:rsidR="00D9194F" w:rsidRPr="00B85ADE" w14:paraId="576CFA02" w14:textId="77777777" w:rsidTr="00E95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73665F66" w14:textId="77777777" w:rsidR="00D9194F" w:rsidRPr="00B85ADE" w:rsidRDefault="00D9194F" w:rsidP="00D9194F">
            <w:pPr>
              <w:spacing w:after="120"/>
              <w:rPr>
                <w:rFonts w:cs="Times New Roman"/>
                <w:sz w:val="18"/>
                <w:szCs w:val="18"/>
              </w:rPr>
            </w:pPr>
            <w:r w:rsidRPr="00B85ADE">
              <w:rPr>
                <w:rFonts w:cs="Times New Roman"/>
                <w:sz w:val="18"/>
                <w:szCs w:val="18"/>
              </w:rPr>
              <w:t>12. Fully implement &amp; report on approved cost-recovery policies and rates</w:t>
            </w:r>
          </w:p>
        </w:tc>
        <w:tc>
          <w:tcPr>
            <w:tcW w:w="2250" w:type="dxa"/>
          </w:tcPr>
          <w:p w14:paraId="3966B9D3" w14:textId="77777777" w:rsidR="00D9194F" w:rsidRPr="00B85ADE" w:rsidRDefault="00D9194F" w:rsidP="00D9194F">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 of UNSDG entities that report annually on the implementation of their approved cost recovery policies and rates to their respective governing body</w:t>
            </w:r>
          </w:p>
        </w:tc>
        <w:tc>
          <w:tcPr>
            <w:tcW w:w="2070" w:type="dxa"/>
          </w:tcPr>
          <w:p w14:paraId="34F3B18A" w14:textId="77777777" w:rsidR="00D9194F" w:rsidRPr="00B85ADE" w:rsidRDefault="00D9194F" w:rsidP="00D9194F">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Baseline (2017): 51%</w:t>
            </w:r>
          </w:p>
          <w:p w14:paraId="03EEC577" w14:textId="77777777" w:rsidR="00D9194F" w:rsidRPr="00B85ADE" w:rsidRDefault="00D9194F" w:rsidP="00D9194F">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Target (2021): 100%</w:t>
            </w:r>
          </w:p>
        </w:tc>
        <w:tc>
          <w:tcPr>
            <w:tcW w:w="4055" w:type="dxa"/>
          </w:tcPr>
          <w:p w14:paraId="7A1A20E5" w14:textId="278381A1" w:rsidR="00D9194F" w:rsidRPr="00B85ADE" w:rsidRDefault="00D9194F" w:rsidP="00D9194F">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b/>
                <w:sz w:val="18"/>
                <w:szCs w:val="18"/>
              </w:rPr>
              <w:t>Yes</w:t>
            </w:r>
            <w:r>
              <w:rPr>
                <w:rFonts w:cs="Times New Roman"/>
                <w:sz w:val="18"/>
                <w:szCs w:val="18"/>
              </w:rPr>
              <w:t xml:space="preserve"> –</w:t>
            </w:r>
            <w:r w:rsidRPr="00ED7AA5">
              <w:rPr>
                <w:rFonts w:cs="Times New Roman"/>
                <w:sz w:val="18"/>
                <w:szCs w:val="18"/>
              </w:rPr>
              <w:t xml:space="preserve"> UNDP's current cost recovery policy was articulated in 16 January 2013 (ref DP/FPA/2013/1). This was endorsed by the Executive Board in decision 2013/9, and this was reiterated recently in the joint paper on cost recovery during the EB's second regular session in 2018 (ref DP/FPA-ICEF-UNW/2018/1) and reaffirmed in decision 2018/21.</w:t>
            </w:r>
            <w:r w:rsidRPr="00B85ADE">
              <w:rPr>
                <w:rFonts w:cs="Times New Roman"/>
                <w:sz w:val="18"/>
                <w:szCs w:val="18"/>
              </w:rPr>
              <w:t xml:space="preserve">   </w:t>
            </w:r>
          </w:p>
        </w:tc>
      </w:tr>
    </w:tbl>
    <w:p w14:paraId="0AC012A5" w14:textId="2BEEBD04" w:rsidR="00B2377C" w:rsidRDefault="00B2377C" w:rsidP="00B2377C"/>
    <w:p w14:paraId="0597F759" w14:textId="77777777" w:rsidR="00B2377C" w:rsidRPr="00BE432C" w:rsidRDefault="00B2377C" w:rsidP="00B2377C">
      <w:pPr>
        <w:pStyle w:val="paragraph"/>
        <w:tabs>
          <w:tab w:val="left" w:pos="720"/>
          <w:tab w:val="left" w:pos="9360"/>
        </w:tabs>
        <w:spacing w:before="0" w:beforeAutospacing="0" w:after="120" w:afterAutospacing="0" w:line="240" w:lineRule="exact"/>
        <w:textAlignment w:val="baseline"/>
        <w:rPr>
          <w:rStyle w:val="normaltextrun"/>
          <w:b/>
          <w:bCs/>
          <w:sz w:val="28"/>
          <w:szCs w:val="28"/>
        </w:rPr>
      </w:pPr>
      <w:r w:rsidRPr="00BE432C">
        <w:rPr>
          <w:rStyle w:val="normaltextrun"/>
          <w:sz w:val="28"/>
          <w:szCs w:val="28"/>
        </w:rPr>
        <w:t xml:space="preserve"> </w:t>
      </w:r>
      <w:r w:rsidRPr="00D4539E">
        <w:rPr>
          <w:rFonts w:eastAsiaTheme="minorHAnsi"/>
          <w:b/>
          <w:bCs/>
          <w:sz w:val="18"/>
          <w:szCs w:val="18"/>
          <w:u w:val="single"/>
        </w:rPr>
        <w:t>EXPLANATION OF METHODOLOGY/APPROACH PER INDICATOR</w:t>
      </w:r>
    </w:p>
    <w:p w14:paraId="31F8B5AC" w14:textId="77777777" w:rsidR="00B2377C" w:rsidRPr="006C6FC8" w:rsidRDefault="00B2377C" w:rsidP="00B2377C">
      <w:pPr>
        <w:rPr>
          <w:b/>
          <w:color w:val="538135" w:themeColor="accent6" w:themeShade="BF"/>
          <w:sz w:val="18"/>
          <w:szCs w:val="18"/>
          <w:u w:val="single"/>
        </w:rPr>
      </w:pPr>
      <w:r w:rsidRPr="006C6FC8">
        <w:rPr>
          <w:b/>
          <w:color w:val="538135" w:themeColor="accent6" w:themeShade="BF"/>
          <w:sz w:val="18"/>
          <w:szCs w:val="18"/>
          <w:u w:val="single"/>
        </w:rPr>
        <w:lastRenderedPageBreak/>
        <w:t>MEMBER STATE COMMITMENTS</w:t>
      </w:r>
    </w:p>
    <w:tbl>
      <w:tblPr>
        <w:tblStyle w:val="PlainTable2"/>
        <w:tblW w:w="5000" w:type="pct"/>
        <w:tblLook w:val="04A0" w:firstRow="1" w:lastRow="0" w:firstColumn="1" w:lastColumn="0" w:noHBand="0" w:noVBand="1"/>
      </w:tblPr>
      <w:tblGrid>
        <w:gridCol w:w="1740"/>
        <w:gridCol w:w="2709"/>
        <w:gridCol w:w="5613"/>
      </w:tblGrid>
      <w:tr w:rsidR="00B2377C" w:rsidRPr="006C6FC8" w14:paraId="32125428" w14:textId="77777777" w:rsidTr="00B237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65" w:type="pct"/>
          </w:tcPr>
          <w:p w14:paraId="2D5E64FF" w14:textId="77777777" w:rsidR="00B2377C" w:rsidRPr="006C6FC8" w:rsidRDefault="00B2377C" w:rsidP="00B2377C">
            <w:pPr>
              <w:rPr>
                <w:rFonts w:cs="Times New Roman"/>
                <w:b w:val="0"/>
                <w:color w:val="538135" w:themeColor="accent6" w:themeShade="BF"/>
                <w:sz w:val="18"/>
                <w:szCs w:val="18"/>
              </w:rPr>
            </w:pPr>
            <w:r w:rsidRPr="006C6FC8">
              <w:rPr>
                <w:rFonts w:cs="Times New Roman"/>
                <w:color w:val="538135" w:themeColor="accent6" w:themeShade="BF"/>
                <w:sz w:val="18"/>
                <w:szCs w:val="18"/>
              </w:rPr>
              <w:t>Relevant Commitment</w:t>
            </w:r>
          </w:p>
        </w:tc>
        <w:tc>
          <w:tcPr>
            <w:tcW w:w="1346" w:type="pct"/>
          </w:tcPr>
          <w:p w14:paraId="1955587D" w14:textId="77777777" w:rsidR="00B2377C" w:rsidRPr="006C6FC8" w:rsidRDefault="00B2377C" w:rsidP="00B2377C">
            <w:pPr>
              <w:cnfStyle w:val="100000000000" w:firstRow="1" w:lastRow="0" w:firstColumn="0" w:lastColumn="0" w:oddVBand="0" w:evenVBand="0" w:oddHBand="0" w:evenHBand="0" w:firstRowFirstColumn="0" w:firstRowLastColumn="0" w:lastRowFirstColumn="0" w:lastRowLastColumn="0"/>
              <w:rPr>
                <w:rFonts w:cs="Times New Roman"/>
                <w:b w:val="0"/>
                <w:color w:val="538135" w:themeColor="accent6" w:themeShade="BF"/>
                <w:sz w:val="18"/>
                <w:szCs w:val="18"/>
              </w:rPr>
            </w:pPr>
            <w:r w:rsidRPr="006C6FC8">
              <w:rPr>
                <w:rFonts w:cs="Times New Roman"/>
                <w:color w:val="538135" w:themeColor="accent6" w:themeShade="BF"/>
                <w:sz w:val="18"/>
                <w:szCs w:val="18"/>
              </w:rPr>
              <w:t>Relevant Funding Compact Indicators</w:t>
            </w:r>
          </w:p>
        </w:tc>
        <w:tc>
          <w:tcPr>
            <w:tcW w:w="2788" w:type="pct"/>
          </w:tcPr>
          <w:p w14:paraId="7A3082AE" w14:textId="77777777" w:rsidR="00B2377C" w:rsidRPr="00BE432C" w:rsidRDefault="00B2377C" w:rsidP="00B2377C">
            <w:pPr>
              <w:cnfStyle w:val="100000000000" w:firstRow="1" w:lastRow="0" w:firstColumn="0" w:lastColumn="0" w:oddVBand="0" w:evenVBand="0" w:oddHBand="0" w:evenHBand="0" w:firstRowFirstColumn="0" w:firstRowLastColumn="0" w:lastRowFirstColumn="0" w:lastRowLastColumn="0"/>
              <w:rPr>
                <w:rFonts w:cs="Times New Roman"/>
                <w:bCs w:val="0"/>
                <w:color w:val="538135" w:themeColor="accent6" w:themeShade="BF"/>
                <w:sz w:val="18"/>
                <w:szCs w:val="18"/>
              </w:rPr>
            </w:pPr>
            <w:r w:rsidRPr="00BE432C">
              <w:rPr>
                <w:rFonts w:cs="Times New Roman"/>
                <w:bCs w:val="0"/>
                <w:color w:val="538135" w:themeColor="accent6" w:themeShade="BF"/>
                <w:sz w:val="18"/>
                <w:szCs w:val="18"/>
              </w:rPr>
              <w:t>Methodology / Approach</w:t>
            </w:r>
            <w:r w:rsidRPr="00BE432C">
              <w:rPr>
                <w:rStyle w:val="FootnoteReference"/>
                <w:bCs w:val="0"/>
                <w:color w:val="538135" w:themeColor="accent6" w:themeShade="BF"/>
                <w:sz w:val="18"/>
                <w:szCs w:val="18"/>
              </w:rPr>
              <w:footnoteReference w:id="6"/>
            </w:r>
          </w:p>
        </w:tc>
      </w:tr>
      <w:tr w:rsidR="00B2377C" w:rsidRPr="006C6FC8" w14:paraId="4234B122" w14:textId="77777777" w:rsidTr="00B2377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0433619F" w14:textId="77777777" w:rsidR="00B2377C" w:rsidRPr="006C6FC8" w:rsidRDefault="00B2377C" w:rsidP="00B2377C">
            <w:pPr>
              <w:rPr>
                <w:rFonts w:cs="Times New Roman"/>
                <w:bCs w:val="0"/>
                <w:sz w:val="18"/>
                <w:szCs w:val="18"/>
              </w:rPr>
            </w:pPr>
            <w:r w:rsidRPr="006C6FC8">
              <w:rPr>
                <w:rFonts w:cs="Times New Roman"/>
                <w:sz w:val="18"/>
                <w:szCs w:val="18"/>
              </w:rPr>
              <w:t>Aligning funding to entity requirements</w:t>
            </w:r>
          </w:p>
        </w:tc>
      </w:tr>
      <w:tr w:rsidR="00B2377C" w:rsidRPr="006C6FC8" w14:paraId="2C4C4826" w14:textId="77777777" w:rsidTr="00B2377C">
        <w:tc>
          <w:tcPr>
            <w:cnfStyle w:val="001000000000" w:firstRow="0" w:lastRow="0" w:firstColumn="1" w:lastColumn="0" w:oddVBand="0" w:evenVBand="0" w:oddHBand="0" w:evenHBand="0" w:firstRowFirstColumn="0" w:firstRowLastColumn="0" w:lastRowFirstColumn="0" w:lastRowLastColumn="0"/>
            <w:tcW w:w="865" w:type="pct"/>
            <w:vMerge w:val="restart"/>
          </w:tcPr>
          <w:p w14:paraId="7A7C2ACF" w14:textId="77777777" w:rsidR="00B2377C" w:rsidRPr="006C6FC8" w:rsidRDefault="00B2377C" w:rsidP="00B2377C">
            <w:pPr>
              <w:spacing w:after="120"/>
              <w:rPr>
                <w:rFonts w:cs="Times New Roman"/>
                <w:sz w:val="18"/>
                <w:szCs w:val="18"/>
              </w:rPr>
            </w:pPr>
            <w:r w:rsidRPr="006C6FC8">
              <w:rPr>
                <w:rFonts w:cs="Times New Roman"/>
                <w:sz w:val="18"/>
                <w:szCs w:val="18"/>
              </w:rPr>
              <w:t>1. Increase core resources for the UNDS</w:t>
            </w:r>
          </w:p>
        </w:tc>
        <w:tc>
          <w:tcPr>
            <w:tcW w:w="1346" w:type="pct"/>
            <w:tcBorders>
              <w:bottom w:val="nil"/>
            </w:tcBorders>
          </w:tcPr>
          <w:p w14:paraId="08832FA7" w14:textId="77777777" w:rsidR="00B2377C" w:rsidRPr="006C6FC8"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6C6FC8">
              <w:rPr>
                <w:rFonts w:cs="Times New Roman"/>
                <w:sz w:val="18"/>
                <w:szCs w:val="18"/>
              </w:rPr>
              <w:t>Core resources as share of voluntary funding for development related activities</w:t>
            </w:r>
          </w:p>
        </w:tc>
        <w:tc>
          <w:tcPr>
            <w:tcW w:w="2788" w:type="pct"/>
            <w:tcBorders>
              <w:bottom w:val="nil"/>
            </w:tcBorders>
          </w:tcPr>
          <w:p w14:paraId="2BC7D53D" w14:textId="77777777" w:rsidR="00B2377C" w:rsidRPr="003236A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3236AE">
              <w:rPr>
                <w:rFonts w:cs="Times New Roman"/>
                <w:color w:val="000000"/>
                <w:sz w:val="18"/>
                <w:szCs w:val="18"/>
              </w:rPr>
              <w:t xml:space="preserve">Use DESA methodology for 19.4% baseline. Baseline is calculated by dividing core DEV voluntary contributions by total DEV voluntary contributions [i.e. Column C/(column </w:t>
            </w:r>
            <w:r w:rsidR="00B60CDA" w:rsidRPr="003236AE">
              <w:rPr>
                <w:rFonts w:cs="Times New Roman"/>
                <w:color w:val="000000"/>
                <w:sz w:val="18"/>
                <w:szCs w:val="18"/>
              </w:rPr>
              <w:t>Column</w:t>
            </w:r>
            <w:r w:rsidRPr="003236AE">
              <w:rPr>
                <w:rFonts w:cs="Times New Roman"/>
                <w:color w:val="000000"/>
                <w:sz w:val="18"/>
                <w:szCs w:val="18"/>
              </w:rPr>
              <w:t xml:space="preserve"> D) in Table A-3a of </w:t>
            </w:r>
            <w:r w:rsidR="00B60CDA" w:rsidRPr="003236AE">
              <w:rPr>
                <w:rFonts w:cs="Times New Roman"/>
                <w:color w:val="000000"/>
                <w:sz w:val="18"/>
                <w:szCs w:val="18"/>
              </w:rPr>
              <w:t>statistical</w:t>
            </w:r>
            <w:r w:rsidRPr="003236AE">
              <w:rPr>
                <w:rFonts w:cs="Times New Roman"/>
                <w:color w:val="000000"/>
                <w:sz w:val="18"/>
                <w:szCs w:val="18"/>
              </w:rPr>
              <w:t xml:space="preserve"> annex to QCPR report]. Core funding income should be expressed as a share of deve</w:t>
            </w:r>
            <w:r>
              <w:rPr>
                <w:rFonts w:cs="Times New Roman"/>
                <w:color w:val="000000"/>
                <w:sz w:val="18"/>
                <w:szCs w:val="18"/>
              </w:rPr>
              <w:t xml:space="preserve">lopment-related contribution - </w:t>
            </w:r>
            <w:r w:rsidRPr="003236AE">
              <w:rPr>
                <w:rFonts w:cs="Times New Roman"/>
                <w:color w:val="000000"/>
                <w:sz w:val="18"/>
                <w:szCs w:val="18"/>
              </w:rPr>
              <w:t xml:space="preserve">As this is a Member State commitment, the figures should be limited to contributions from member states. </w:t>
            </w:r>
          </w:p>
        </w:tc>
      </w:tr>
      <w:tr w:rsidR="00B2377C" w:rsidRPr="006C6FC8" w14:paraId="7F46463A" w14:textId="77777777" w:rsidTr="00B23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pct"/>
            <w:vMerge/>
          </w:tcPr>
          <w:p w14:paraId="05789C1F" w14:textId="77777777" w:rsidR="00B2377C" w:rsidRPr="006C6FC8" w:rsidRDefault="00B2377C" w:rsidP="00B2377C">
            <w:pPr>
              <w:spacing w:after="120"/>
              <w:rPr>
                <w:rFonts w:cs="Times New Roman"/>
                <w:sz w:val="18"/>
                <w:szCs w:val="18"/>
              </w:rPr>
            </w:pPr>
          </w:p>
        </w:tc>
        <w:tc>
          <w:tcPr>
            <w:tcW w:w="1346" w:type="pct"/>
            <w:tcBorders>
              <w:top w:val="nil"/>
            </w:tcBorders>
          </w:tcPr>
          <w:p w14:paraId="7F09FB38" w14:textId="77777777" w:rsidR="00B2377C" w:rsidRPr="009F28CA"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9F28CA">
              <w:rPr>
                <w:rFonts w:cs="Times New Roman"/>
                <w:sz w:val="18"/>
                <w:szCs w:val="18"/>
              </w:rPr>
              <w:t xml:space="preserve">Core share of funding for development-related activities (including assessed contributions); </w:t>
            </w:r>
          </w:p>
        </w:tc>
        <w:tc>
          <w:tcPr>
            <w:tcW w:w="2788" w:type="pct"/>
            <w:tcBorders>
              <w:top w:val="nil"/>
            </w:tcBorders>
          </w:tcPr>
          <w:p w14:paraId="3CF788C2" w14:textId="77777777" w:rsidR="00B2377C" w:rsidRPr="003236A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3236AE">
              <w:rPr>
                <w:rFonts w:cs="Times New Roman"/>
                <w:color w:val="000000"/>
                <w:sz w:val="18"/>
                <w:szCs w:val="18"/>
              </w:rPr>
              <w:t>Use DESA methodology for 27.0 % baseline. Baseline is calculated by dividing:</w:t>
            </w:r>
            <w:r>
              <w:rPr>
                <w:rFonts w:cs="Times New Roman"/>
                <w:color w:val="000000"/>
                <w:sz w:val="18"/>
                <w:szCs w:val="18"/>
              </w:rPr>
              <w:t xml:space="preserve"> </w:t>
            </w:r>
            <w:r w:rsidRPr="003236AE">
              <w:rPr>
                <w:rFonts w:cs="Times New Roman"/>
                <w:color w:val="000000"/>
                <w:sz w:val="18"/>
                <w:szCs w:val="18"/>
              </w:rPr>
              <w:t xml:space="preserve">core &amp; assessed DEV contributions by total DEV voluntary contributions [i.e. (Column B+ Column C)/column E) in Table A-3a of </w:t>
            </w:r>
            <w:r w:rsidR="00B60CDA" w:rsidRPr="003236AE">
              <w:rPr>
                <w:rFonts w:cs="Times New Roman"/>
                <w:color w:val="000000"/>
                <w:sz w:val="18"/>
                <w:szCs w:val="18"/>
              </w:rPr>
              <w:t>statistical</w:t>
            </w:r>
            <w:r w:rsidRPr="003236AE">
              <w:rPr>
                <w:rFonts w:cs="Times New Roman"/>
                <w:color w:val="000000"/>
                <w:sz w:val="18"/>
                <w:szCs w:val="18"/>
              </w:rPr>
              <w:t xml:space="preserve"> annex to QCPR report]. Core funding income should be expressed as a share of development-related contribution. As this is a Member State commitment, the figures should be limited to contributions from member states. </w:t>
            </w:r>
          </w:p>
        </w:tc>
      </w:tr>
      <w:tr w:rsidR="00B2377C" w:rsidRPr="006C6FC8" w14:paraId="1DBA663D" w14:textId="77777777" w:rsidTr="00B2377C">
        <w:tc>
          <w:tcPr>
            <w:cnfStyle w:val="001000000000" w:firstRow="0" w:lastRow="0" w:firstColumn="1" w:lastColumn="0" w:oddVBand="0" w:evenVBand="0" w:oddHBand="0" w:evenHBand="0" w:firstRowFirstColumn="0" w:firstRowLastColumn="0" w:lastRowFirstColumn="0" w:lastRowLastColumn="0"/>
            <w:tcW w:w="865" w:type="pct"/>
            <w:vMerge w:val="restart"/>
          </w:tcPr>
          <w:p w14:paraId="46011169" w14:textId="77777777" w:rsidR="00B2377C" w:rsidRPr="006C6FC8" w:rsidRDefault="00B2377C" w:rsidP="00B2377C">
            <w:pPr>
              <w:spacing w:after="120"/>
              <w:rPr>
                <w:rFonts w:cs="Times New Roman"/>
                <w:sz w:val="18"/>
                <w:szCs w:val="18"/>
              </w:rPr>
            </w:pPr>
            <w:r w:rsidRPr="006C6FC8">
              <w:rPr>
                <w:rFonts w:cs="Times New Roman"/>
                <w:sz w:val="18"/>
                <w:szCs w:val="18"/>
              </w:rPr>
              <w:t>2. Double share of non-core contributions provided through development related pooled &amp; thematic funds</w:t>
            </w:r>
          </w:p>
        </w:tc>
        <w:tc>
          <w:tcPr>
            <w:tcW w:w="1346" w:type="pct"/>
            <w:tcBorders>
              <w:bottom w:val="nil"/>
            </w:tcBorders>
          </w:tcPr>
          <w:p w14:paraId="3205CA2E" w14:textId="77777777" w:rsidR="00B2377C" w:rsidRPr="006C6FC8"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6C6FC8">
              <w:rPr>
                <w:rFonts w:cs="Times New Roman"/>
                <w:sz w:val="18"/>
                <w:szCs w:val="18"/>
              </w:rPr>
              <w:t>% of non-core resources for development related activities channeled through inter-agency pooled funds</w:t>
            </w:r>
          </w:p>
        </w:tc>
        <w:tc>
          <w:tcPr>
            <w:tcW w:w="2788" w:type="pct"/>
            <w:tcBorders>
              <w:bottom w:val="nil"/>
            </w:tcBorders>
          </w:tcPr>
          <w:p w14:paraId="232A02CE" w14:textId="77777777" w:rsidR="00B2377C" w:rsidRPr="003236A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3236AE">
              <w:rPr>
                <w:rFonts w:cs="Times New Roman"/>
                <w:color w:val="000000"/>
                <w:sz w:val="18"/>
                <w:szCs w:val="18"/>
              </w:rPr>
              <w:t>Use of DESA methodology for 5% baseline:</w:t>
            </w:r>
            <w:r>
              <w:rPr>
                <w:rFonts w:cs="Times New Roman"/>
                <w:color w:val="000000"/>
                <w:sz w:val="18"/>
                <w:szCs w:val="18"/>
              </w:rPr>
              <w:t xml:space="preserve"> </w:t>
            </w:r>
            <w:r w:rsidRPr="003236AE">
              <w:rPr>
                <w:rFonts w:cs="Times New Roman"/>
                <w:color w:val="000000"/>
                <w:sz w:val="18"/>
                <w:szCs w:val="18"/>
              </w:rPr>
              <w:t>Using the inter-agency pooled fund database to obtain the total contributions made to development, transition and climate inter-agency pooled funds ($706 million in 2017), divide this by total non-core contributions to development-related activities (column D in Table A-3a of statistical annex).</w:t>
            </w:r>
          </w:p>
        </w:tc>
      </w:tr>
      <w:tr w:rsidR="00B2377C" w:rsidRPr="006C6FC8" w14:paraId="0183E1B0" w14:textId="77777777" w:rsidTr="00B23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pct"/>
            <w:vMerge/>
          </w:tcPr>
          <w:p w14:paraId="12F0FDFE" w14:textId="77777777" w:rsidR="00B2377C" w:rsidRPr="006C6FC8" w:rsidRDefault="00B2377C" w:rsidP="00B2377C">
            <w:pPr>
              <w:spacing w:after="120"/>
              <w:rPr>
                <w:rFonts w:cs="Times New Roman"/>
                <w:sz w:val="18"/>
                <w:szCs w:val="18"/>
              </w:rPr>
            </w:pPr>
          </w:p>
        </w:tc>
        <w:tc>
          <w:tcPr>
            <w:tcW w:w="1346" w:type="pct"/>
            <w:tcBorders>
              <w:top w:val="nil"/>
            </w:tcBorders>
          </w:tcPr>
          <w:p w14:paraId="424CA5DB" w14:textId="77777777" w:rsidR="00B2377C" w:rsidRPr="006C6FC8"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6C6FC8">
              <w:rPr>
                <w:rFonts w:cs="Times New Roman"/>
                <w:sz w:val="18"/>
                <w:szCs w:val="18"/>
              </w:rPr>
              <w:t>% of non-core resources for development related activities channeled through single agency thematic funds</w:t>
            </w:r>
          </w:p>
        </w:tc>
        <w:tc>
          <w:tcPr>
            <w:tcW w:w="2788" w:type="pct"/>
            <w:tcBorders>
              <w:top w:val="nil"/>
            </w:tcBorders>
          </w:tcPr>
          <w:p w14:paraId="11839F53" w14:textId="77777777" w:rsidR="00B2377C" w:rsidRPr="003236A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3236AE">
              <w:rPr>
                <w:rFonts w:cs="Times New Roman"/>
                <w:color w:val="000000"/>
                <w:sz w:val="18"/>
                <w:szCs w:val="18"/>
              </w:rPr>
              <w:t>Use of DESA methodology for 3% baseline</w:t>
            </w:r>
            <w:r>
              <w:rPr>
                <w:rFonts w:cs="Times New Roman"/>
                <w:color w:val="000000"/>
                <w:sz w:val="18"/>
                <w:szCs w:val="18"/>
              </w:rPr>
              <w:t xml:space="preserve">. </w:t>
            </w:r>
            <w:r w:rsidRPr="003236AE">
              <w:rPr>
                <w:rFonts w:cs="Times New Roman"/>
                <w:color w:val="000000"/>
                <w:sz w:val="18"/>
                <w:szCs w:val="18"/>
              </w:rPr>
              <w:t>Total contributions to development-related thematic funds, divided by total non-core funding to development-related activities (column D in Table A-3a of statistical annex).</w:t>
            </w:r>
          </w:p>
        </w:tc>
      </w:tr>
      <w:tr w:rsidR="00B2377C" w:rsidRPr="006C6FC8" w14:paraId="77AEA4FF" w14:textId="77777777" w:rsidTr="00B2377C">
        <w:tc>
          <w:tcPr>
            <w:cnfStyle w:val="001000000000" w:firstRow="0" w:lastRow="0" w:firstColumn="1" w:lastColumn="0" w:oddVBand="0" w:evenVBand="0" w:oddHBand="0" w:evenHBand="0" w:firstRowFirstColumn="0" w:firstRowLastColumn="0" w:lastRowFirstColumn="0" w:lastRowLastColumn="0"/>
            <w:tcW w:w="865" w:type="pct"/>
            <w:vMerge w:val="restart"/>
          </w:tcPr>
          <w:p w14:paraId="3B75C8B2" w14:textId="77777777" w:rsidR="00B2377C" w:rsidRPr="006C6FC8" w:rsidRDefault="00B2377C" w:rsidP="00B2377C">
            <w:pPr>
              <w:spacing w:after="120"/>
              <w:rPr>
                <w:rFonts w:cs="Times New Roman"/>
                <w:sz w:val="18"/>
                <w:szCs w:val="18"/>
              </w:rPr>
            </w:pPr>
            <w:r w:rsidRPr="006C6FC8">
              <w:rPr>
                <w:rFonts w:cs="Times New Roman"/>
                <w:sz w:val="18"/>
                <w:szCs w:val="18"/>
              </w:rPr>
              <w:t>3. Broaden the sources of funding support to the UNDS</w:t>
            </w:r>
          </w:p>
        </w:tc>
        <w:tc>
          <w:tcPr>
            <w:tcW w:w="1346" w:type="pct"/>
            <w:tcBorders>
              <w:bottom w:val="nil"/>
            </w:tcBorders>
          </w:tcPr>
          <w:p w14:paraId="30A13181" w14:textId="77777777" w:rsidR="00B2377C" w:rsidRPr="006C6FC8"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6C6FC8">
              <w:rPr>
                <w:rFonts w:cs="Times New Roman"/>
                <w:sz w:val="18"/>
                <w:szCs w:val="18"/>
              </w:rPr>
              <w:t>Number of UNSDG entities reporting an annual increase in the number of contributors of core resources</w:t>
            </w:r>
          </w:p>
        </w:tc>
        <w:tc>
          <w:tcPr>
            <w:tcW w:w="2788" w:type="pct"/>
            <w:tcBorders>
              <w:bottom w:val="nil"/>
            </w:tcBorders>
          </w:tcPr>
          <w:p w14:paraId="32F4E2D4" w14:textId="77777777" w:rsidR="00B2377C" w:rsidRPr="00252B7B" w:rsidRDefault="00B2377C" w:rsidP="00B2377C">
            <w:pPr>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3236AE">
              <w:rPr>
                <w:rFonts w:cs="Times New Roman"/>
                <w:color w:val="000000"/>
                <w:sz w:val="18"/>
                <w:szCs w:val="18"/>
              </w:rPr>
              <w:t>Number of Member States contributing to core and increase/decrease from previous year &amp; from 2017 baseline (in percentage and number)</w:t>
            </w:r>
            <w:r>
              <w:rPr>
                <w:rFonts w:cs="Times New Roman"/>
                <w:color w:val="000000"/>
                <w:sz w:val="18"/>
                <w:szCs w:val="18"/>
              </w:rPr>
              <w:t>.</w:t>
            </w:r>
          </w:p>
        </w:tc>
      </w:tr>
      <w:tr w:rsidR="00B2377C" w:rsidRPr="006C6FC8" w14:paraId="4500E69A" w14:textId="77777777" w:rsidTr="00B23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pct"/>
            <w:vMerge/>
          </w:tcPr>
          <w:p w14:paraId="01FCBD82" w14:textId="77777777" w:rsidR="00B2377C" w:rsidRPr="006C6FC8" w:rsidRDefault="00B2377C" w:rsidP="00B2377C">
            <w:pPr>
              <w:spacing w:after="120"/>
              <w:rPr>
                <w:rFonts w:cs="Times New Roman"/>
                <w:sz w:val="18"/>
                <w:szCs w:val="18"/>
              </w:rPr>
            </w:pPr>
          </w:p>
        </w:tc>
        <w:tc>
          <w:tcPr>
            <w:tcW w:w="1346" w:type="pct"/>
            <w:tcBorders>
              <w:top w:val="nil"/>
            </w:tcBorders>
          </w:tcPr>
          <w:p w14:paraId="57FEC2DF" w14:textId="77777777" w:rsidR="00B2377C" w:rsidRPr="006C6FC8"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6C6FC8">
              <w:rPr>
                <w:rFonts w:cs="Times New Roman"/>
                <w:sz w:val="18"/>
                <w:szCs w:val="18"/>
              </w:rPr>
              <w:t xml:space="preserve">Number of Member State contributors to development related inter-agency pooled funds and single agency thematic funds </w:t>
            </w:r>
          </w:p>
        </w:tc>
        <w:tc>
          <w:tcPr>
            <w:tcW w:w="2788" w:type="pct"/>
            <w:tcBorders>
              <w:top w:val="nil"/>
            </w:tcBorders>
          </w:tcPr>
          <w:p w14:paraId="6386CA04" w14:textId="77777777" w:rsidR="00B2377C" w:rsidRPr="003236AE" w:rsidRDefault="00B2377C" w:rsidP="00B2377C">
            <w:pPr>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3236AE">
              <w:rPr>
                <w:rFonts w:cs="Times New Roman"/>
                <w:color w:val="000000"/>
                <w:sz w:val="18"/>
                <w:szCs w:val="18"/>
              </w:rPr>
              <w:t>Number of Member States contributing to entity administered pooled funds (breakdown per fund) and to agency managed thematic funds (breakdown per fund) and annual increase/decrease (in percentage and number). A single agency thematic fund is a single-entity funding mechanism designed to support high-level outcomes within the strategic plan; it is established by one UN entity, receiving contribution from several donors. The entity assumes full accountability for the funds received and is the sole direct recipient of the funding. A single agency can be Global (multi country) and Outcome or Thematic specific.</w:t>
            </w:r>
          </w:p>
        </w:tc>
      </w:tr>
      <w:tr w:rsidR="00B2377C" w:rsidRPr="006C6FC8" w14:paraId="1DD5F42B" w14:textId="77777777" w:rsidTr="00B2377C">
        <w:tc>
          <w:tcPr>
            <w:cnfStyle w:val="001000000000" w:firstRow="0" w:lastRow="0" w:firstColumn="1" w:lastColumn="0" w:oddVBand="0" w:evenVBand="0" w:oddHBand="0" w:evenHBand="0" w:firstRowFirstColumn="0" w:firstRowLastColumn="0" w:lastRowFirstColumn="0" w:lastRowLastColumn="0"/>
            <w:tcW w:w="865" w:type="pct"/>
            <w:vMerge w:val="restart"/>
          </w:tcPr>
          <w:p w14:paraId="4E9B720B" w14:textId="77777777" w:rsidR="00B2377C" w:rsidRPr="006C6FC8" w:rsidRDefault="00B2377C" w:rsidP="00B2377C">
            <w:pPr>
              <w:spacing w:after="120"/>
              <w:rPr>
                <w:rFonts w:cs="Times New Roman"/>
                <w:sz w:val="18"/>
                <w:szCs w:val="18"/>
              </w:rPr>
            </w:pPr>
            <w:r w:rsidRPr="006C6FC8">
              <w:rPr>
                <w:rFonts w:cs="Times New Roman"/>
                <w:sz w:val="18"/>
                <w:szCs w:val="18"/>
              </w:rPr>
              <w:t>4. Provide predictable funding to the specific requirements of UNSDG entities as articulated in their SPs and to the UNDAF funding needs at country level</w:t>
            </w:r>
          </w:p>
        </w:tc>
        <w:tc>
          <w:tcPr>
            <w:tcW w:w="1346" w:type="pct"/>
            <w:tcBorders>
              <w:bottom w:val="nil"/>
            </w:tcBorders>
          </w:tcPr>
          <w:p w14:paraId="3C72F081" w14:textId="77777777" w:rsidR="00B2377C" w:rsidRPr="006C6FC8"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6C6FC8">
              <w:rPr>
                <w:rFonts w:cs="Times New Roman"/>
                <w:sz w:val="18"/>
                <w:szCs w:val="18"/>
              </w:rPr>
              <w:t>Funding gaps in UNSDG strategic plan financing frameworks</w:t>
            </w:r>
          </w:p>
        </w:tc>
        <w:tc>
          <w:tcPr>
            <w:tcW w:w="2788" w:type="pct"/>
            <w:tcBorders>
              <w:bottom w:val="nil"/>
            </w:tcBorders>
          </w:tcPr>
          <w:p w14:paraId="20815CE8" w14:textId="77777777" w:rsidR="00B2377C" w:rsidRPr="00930448"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930448">
              <w:rPr>
                <w:rFonts w:cs="Times New Roman"/>
                <w:color w:val="000000"/>
                <w:sz w:val="18"/>
                <w:szCs w:val="18"/>
              </w:rPr>
              <w:t xml:space="preserve">Percentage of funding received versus overall budget (per year and cumulative) - where possible and relevant, indicate funding gap per strategic plan outcome [and other relevant criteria, as appropriate]. Two proxies that assess funding gap against the Strategic Plan:                                             a) Percentage of resource planned versus actual expenditure by Strategic Plan outcomes: Total programme expenditure for 2018-2019 against the 2018-2021 resource plan or X% of the mid-point target. b) Percentage of estimated contributions versus actual contribution received: In 2019, X received XX million, X% less/more than estimated [leaving a funding gap, of XX million / generating a surplus of XX million]. In 2018, X received $X X% higher/lower than the estimate. </w:t>
            </w:r>
          </w:p>
        </w:tc>
      </w:tr>
      <w:tr w:rsidR="00B2377C" w:rsidRPr="006C6FC8" w14:paraId="3F6E8BE4" w14:textId="77777777" w:rsidTr="00B23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pct"/>
            <w:vMerge/>
            <w:tcBorders>
              <w:bottom w:val="single" w:sz="2" w:space="0" w:color="auto"/>
            </w:tcBorders>
          </w:tcPr>
          <w:p w14:paraId="3404DED4" w14:textId="77777777" w:rsidR="00B2377C" w:rsidRPr="006C6FC8" w:rsidRDefault="00B2377C" w:rsidP="00B2377C">
            <w:pPr>
              <w:spacing w:after="120"/>
              <w:rPr>
                <w:rFonts w:cs="Times New Roman"/>
                <w:sz w:val="18"/>
                <w:szCs w:val="18"/>
              </w:rPr>
            </w:pPr>
          </w:p>
        </w:tc>
        <w:tc>
          <w:tcPr>
            <w:tcW w:w="1346" w:type="pct"/>
            <w:tcBorders>
              <w:top w:val="nil"/>
              <w:bottom w:val="single" w:sz="2" w:space="0" w:color="auto"/>
            </w:tcBorders>
          </w:tcPr>
          <w:p w14:paraId="39E53040" w14:textId="77777777" w:rsidR="00B2377C" w:rsidRPr="006C6FC8"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6C6FC8">
              <w:rPr>
                <w:rFonts w:cs="Times New Roman"/>
                <w:sz w:val="18"/>
                <w:szCs w:val="18"/>
              </w:rPr>
              <w:t>Fraction of UNDS entities indicating that at least 50% of their contributions are part of multi-year commitments</w:t>
            </w:r>
          </w:p>
        </w:tc>
        <w:tc>
          <w:tcPr>
            <w:tcW w:w="2788" w:type="pct"/>
            <w:tcBorders>
              <w:top w:val="nil"/>
              <w:bottom w:val="single" w:sz="2" w:space="0" w:color="auto"/>
            </w:tcBorders>
          </w:tcPr>
          <w:p w14:paraId="2878DACC" w14:textId="77777777" w:rsidR="00B2377C" w:rsidRPr="00930448"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930448">
              <w:rPr>
                <w:rFonts w:cs="Times New Roman"/>
                <w:color w:val="000000"/>
                <w:sz w:val="18"/>
                <w:szCs w:val="18"/>
              </w:rPr>
              <w:t>Y/N (with exact figure reported), based on the following definitio</w:t>
            </w:r>
            <w:r>
              <w:rPr>
                <w:rFonts w:cs="Times New Roman"/>
                <w:color w:val="000000"/>
                <w:sz w:val="18"/>
                <w:szCs w:val="18"/>
              </w:rPr>
              <w:t>n</w:t>
            </w:r>
            <w:r w:rsidRPr="00930448">
              <w:rPr>
                <w:rFonts w:cs="Times New Roman"/>
                <w:color w:val="000000"/>
                <w:sz w:val="18"/>
                <w:szCs w:val="18"/>
              </w:rPr>
              <w:t>: "share of total contributions received in a given year that is part of a financial commitment that covers multiple years." (DESA survey)</w:t>
            </w:r>
          </w:p>
        </w:tc>
      </w:tr>
      <w:tr w:rsidR="00B2377C" w:rsidRPr="006C6FC8" w14:paraId="38A7A6AB" w14:textId="77777777" w:rsidTr="00B2377C">
        <w:tc>
          <w:tcPr>
            <w:cnfStyle w:val="001000000000" w:firstRow="0" w:lastRow="0" w:firstColumn="1" w:lastColumn="0" w:oddVBand="0" w:evenVBand="0" w:oddHBand="0" w:evenHBand="0" w:firstRowFirstColumn="0" w:firstRowLastColumn="0" w:lastRowFirstColumn="0" w:lastRowLastColumn="0"/>
            <w:tcW w:w="865" w:type="pct"/>
            <w:tcBorders>
              <w:top w:val="single" w:sz="2" w:space="0" w:color="auto"/>
              <w:bottom w:val="single" w:sz="4" w:space="0" w:color="7F7F7F" w:themeColor="text1" w:themeTint="80"/>
            </w:tcBorders>
          </w:tcPr>
          <w:p w14:paraId="0EF9841F" w14:textId="77777777" w:rsidR="00B2377C" w:rsidRPr="006C6FC8" w:rsidRDefault="00B2377C" w:rsidP="00B2377C">
            <w:pPr>
              <w:spacing w:after="120"/>
              <w:rPr>
                <w:rFonts w:cs="Times New Roman"/>
                <w:sz w:val="18"/>
                <w:szCs w:val="18"/>
              </w:rPr>
            </w:pPr>
            <w:r w:rsidRPr="006C6FC8">
              <w:rPr>
                <w:rFonts w:cs="Times New Roman"/>
                <w:sz w:val="18"/>
                <w:szCs w:val="18"/>
              </w:rPr>
              <w:t>7. Fully comply with cost recovery rates as approved by respective governing bodies</w:t>
            </w:r>
          </w:p>
        </w:tc>
        <w:tc>
          <w:tcPr>
            <w:tcW w:w="1346" w:type="pct"/>
            <w:tcBorders>
              <w:top w:val="single" w:sz="2" w:space="0" w:color="auto"/>
              <w:bottom w:val="single" w:sz="4" w:space="0" w:color="7F7F7F" w:themeColor="text1" w:themeTint="80"/>
            </w:tcBorders>
          </w:tcPr>
          <w:p w14:paraId="154E4805" w14:textId="77777777" w:rsidR="00B2377C" w:rsidRPr="006C6FC8"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6C6FC8">
              <w:rPr>
                <w:rFonts w:cs="Times New Roman"/>
                <w:sz w:val="18"/>
                <w:szCs w:val="18"/>
              </w:rPr>
              <w:t>Average # of cost recovery support fee waivers granted per UNDS entity per year</w:t>
            </w:r>
          </w:p>
        </w:tc>
        <w:tc>
          <w:tcPr>
            <w:tcW w:w="2788" w:type="pct"/>
            <w:tcBorders>
              <w:top w:val="single" w:sz="2" w:space="0" w:color="auto"/>
              <w:bottom w:val="single" w:sz="4" w:space="0" w:color="7F7F7F" w:themeColor="text1" w:themeTint="80"/>
            </w:tcBorders>
          </w:tcPr>
          <w:p w14:paraId="772DA87A" w14:textId="77777777" w:rsidR="00B2377C" w:rsidRPr="00930448"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Pr>
                <w:rFonts w:cs="Times New Roman"/>
                <w:color w:val="000000"/>
                <w:sz w:val="18"/>
                <w:szCs w:val="18"/>
              </w:rPr>
              <w:t xml:space="preserve">Number </w:t>
            </w:r>
            <w:r w:rsidRPr="00930448">
              <w:rPr>
                <w:rFonts w:cs="Times New Roman"/>
                <w:color w:val="000000"/>
                <w:sz w:val="18"/>
                <w:szCs w:val="18"/>
              </w:rPr>
              <w:t>of cost recovery waivers granted during the year (with $ value of waivers combined). Note additional elemen</w:t>
            </w:r>
            <w:r>
              <w:rPr>
                <w:rFonts w:cs="Times New Roman"/>
                <w:color w:val="000000"/>
                <w:sz w:val="18"/>
                <w:szCs w:val="18"/>
              </w:rPr>
              <w:t xml:space="preserve">t </w:t>
            </w:r>
            <w:r w:rsidRPr="00930448">
              <w:rPr>
                <w:rFonts w:cs="Times New Roman"/>
                <w:color w:val="000000"/>
                <w:sz w:val="18"/>
                <w:szCs w:val="18"/>
              </w:rPr>
              <w:t>of reporting ($ value) compared to indicator</w:t>
            </w:r>
          </w:p>
          <w:p w14:paraId="2DA54728" w14:textId="77777777" w:rsidR="00B2377C" w:rsidRPr="00930448"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r>
    </w:tbl>
    <w:p w14:paraId="12B1BF7F" w14:textId="77777777" w:rsidR="00B2377C" w:rsidRDefault="00B2377C" w:rsidP="00B2377C">
      <w:pPr>
        <w:rPr>
          <w:b/>
          <w:color w:val="5B9BD5" w:themeColor="accent1"/>
          <w:sz w:val="18"/>
          <w:szCs w:val="18"/>
          <w:u w:val="single"/>
        </w:rPr>
      </w:pPr>
    </w:p>
    <w:p w14:paraId="480C28A7" w14:textId="77777777" w:rsidR="00B2377C" w:rsidRPr="006C6FC8" w:rsidRDefault="00B2377C" w:rsidP="00B2377C">
      <w:pPr>
        <w:rPr>
          <w:b/>
          <w:color w:val="5B9BD5" w:themeColor="accent1"/>
          <w:sz w:val="18"/>
          <w:szCs w:val="18"/>
          <w:u w:val="single"/>
        </w:rPr>
      </w:pPr>
      <w:r w:rsidRPr="006C6FC8">
        <w:rPr>
          <w:b/>
          <w:color w:val="5B9BD5" w:themeColor="accent1"/>
          <w:sz w:val="18"/>
          <w:szCs w:val="18"/>
          <w:u w:val="single"/>
        </w:rPr>
        <w:t>UN DEVELOPMENT SYSTEM COMMITMENTS</w:t>
      </w:r>
    </w:p>
    <w:tbl>
      <w:tblPr>
        <w:tblStyle w:val="PlainTable2"/>
        <w:tblW w:w="5000" w:type="pct"/>
        <w:tblLook w:val="04A0" w:firstRow="1" w:lastRow="0" w:firstColumn="1" w:lastColumn="0" w:noHBand="0" w:noVBand="1"/>
      </w:tblPr>
      <w:tblGrid>
        <w:gridCol w:w="1741"/>
        <w:gridCol w:w="2805"/>
        <w:gridCol w:w="5516"/>
      </w:tblGrid>
      <w:tr w:rsidR="00B2377C" w:rsidRPr="00B85ADE" w14:paraId="24DB3379" w14:textId="77777777" w:rsidTr="00B2377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865" w:type="pct"/>
          </w:tcPr>
          <w:p w14:paraId="15806D61" w14:textId="77777777" w:rsidR="00B2377C" w:rsidRPr="00B85ADE" w:rsidRDefault="00B2377C" w:rsidP="00B2377C">
            <w:pPr>
              <w:rPr>
                <w:rFonts w:cs="Times New Roman"/>
                <w:b w:val="0"/>
                <w:color w:val="5B9BD5" w:themeColor="accent1"/>
                <w:sz w:val="18"/>
                <w:szCs w:val="18"/>
              </w:rPr>
            </w:pPr>
            <w:r w:rsidRPr="00B85ADE">
              <w:rPr>
                <w:rFonts w:cs="Times New Roman"/>
                <w:color w:val="5B9BD5" w:themeColor="accent1"/>
                <w:sz w:val="18"/>
                <w:szCs w:val="18"/>
              </w:rPr>
              <w:t>Relevant Commitment</w:t>
            </w:r>
          </w:p>
        </w:tc>
        <w:tc>
          <w:tcPr>
            <w:tcW w:w="1394" w:type="pct"/>
          </w:tcPr>
          <w:p w14:paraId="7AF0EC7D" w14:textId="77777777" w:rsidR="00B2377C" w:rsidRPr="00B85ADE" w:rsidRDefault="00B2377C" w:rsidP="00B2377C">
            <w:pPr>
              <w:cnfStyle w:val="100000000000" w:firstRow="1" w:lastRow="0" w:firstColumn="0" w:lastColumn="0" w:oddVBand="0" w:evenVBand="0" w:oddHBand="0" w:evenHBand="0" w:firstRowFirstColumn="0" w:firstRowLastColumn="0" w:lastRowFirstColumn="0" w:lastRowLastColumn="0"/>
              <w:rPr>
                <w:rFonts w:cs="Times New Roman"/>
                <w:b w:val="0"/>
                <w:color w:val="5B9BD5" w:themeColor="accent1"/>
                <w:sz w:val="18"/>
                <w:szCs w:val="18"/>
              </w:rPr>
            </w:pPr>
            <w:r w:rsidRPr="00B85ADE">
              <w:rPr>
                <w:rFonts w:cs="Times New Roman"/>
                <w:color w:val="5B9BD5" w:themeColor="accent1"/>
                <w:sz w:val="18"/>
                <w:szCs w:val="18"/>
              </w:rPr>
              <w:t>Relevant Funding Compact Indicators</w:t>
            </w:r>
          </w:p>
        </w:tc>
        <w:tc>
          <w:tcPr>
            <w:tcW w:w="2741" w:type="pct"/>
          </w:tcPr>
          <w:p w14:paraId="07AD77D7" w14:textId="77777777" w:rsidR="00B2377C" w:rsidRPr="00B85ADE" w:rsidRDefault="00B2377C" w:rsidP="00B2377C">
            <w:pPr>
              <w:cnfStyle w:val="100000000000" w:firstRow="1" w:lastRow="0" w:firstColumn="0" w:lastColumn="0" w:oddVBand="0" w:evenVBand="0" w:oddHBand="0" w:evenHBand="0" w:firstRowFirstColumn="0" w:firstRowLastColumn="0" w:lastRowFirstColumn="0" w:lastRowLastColumn="0"/>
              <w:rPr>
                <w:rFonts w:cs="Times New Roman"/>
                <w:color w:val="5B9BD5" w:themeColor="accent1"/>
                <w:sz w:val="18"/>
                <w:szCs w:val="18"/>
              </w:rPr>
            </w:pPr>
            <w:r w:rsidRPr="00930448">
              <w:rPr>
                <w:rFonts w:cs="Times New Roman"/>
                <w:color w:val="5B9BD5" w:themeColor="accent1"/>
                <w:sz w:val="18"/>
                <w:szCs w:val="18"/>
              </w:rPr>
              <w:t>Methodology / Approach</w:t>
            </w:r>
            <w:r w:rsidRPr="00930448">
              <w:rPr>
                <w:b w:val="0"/>
                <w:bCs w:val="0"/>
                <w:color w:val="5B9BD5" w:themeColor="accent1"/>
                <w:vertAlign w:val="superscript"/>
              </w:rPr>
              <w:footnoteReference w:id="7"/>
            </w:r>
          </w:p>
        </w:tc>
      </w:tr>
      <w:tr w:rsidR="00B2377C" w:rsidRPr="00B85ADE" w14:paraId="6CF574CF" w14:textId="77777777" w:rsidTr="00B23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pct"/>
          </w:tcPr>
          <w:p w14:paraId="08525D8F" w14:textId="77777777" w:rsidR="00B2377C" w:rsidRPr="00B85ADE" w:rsidRDefault="00B2377C" w:rsidP="00B2377C">
            <w:pPr>
              <w:spacing w:after="120"/>
              <w:rPr>
                <w:rFonts w:cs="Times New Roman"/>
                <w:sz w:val="18"/>
                <w:szCs w:val="18"/>
              </w:rPr>
            </w:pPr>
            <w:r w:rsidRPr="00B85ADE">
              <w:rPr>
                <w:rFonts w:cs="Times New Roman"/>
                <w:sz w:val="18"/>
                <w:szCs w:val="18"/>
              </w:rPr>
              <w:t>1. Enhance cooperation for results at country level</w:t>
            </w:r>
          </w:p>
        </w:tc>
        <w:tc>
          <w:tcPr>
            <w:tcW w:w="1394" w:type="pct"/>
            <w:tcBorders>
              <w:bottom w:val="nil"/>
            </w:tcBorders>
          </w:tcPr>
          <w:p w14:paraId="5ADBFE0E" w14:textId="77777777" w:rsidR="00B2377C" w:rsidRPr="00B85AD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Fraction of UNSDG entities reporting at least 15% of development related expenditures on joint activities</w:t>
            </w:r>
          </w:p>
        </w:tc>
        <w:tc>
          <w:tcPr>
            <w:tcW w:w="2741" w:type="pct"/>
            <w:tcBorders>
              <w:bottom w:val="nil"/>
            </w:tcBorders>
          </w:tcPr>
          <w:p w14:paraId="44AE4763" w14:textId="77777777" w:rsidR="00B2377C" w:rsidRPr="0034790A"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34790A">
              <w:rPr>
                <w:rFonts w:cs="Times New Roman"/>
                <w:color w:val="000000"/>
                <w:sz w:val="18"/>
                <w:szCs w:val="18"/>
              </w:rPr>
              <w:t>DCO to use UNINFO tool to track and report - joint activities are implemented by two or more UN agencies, including Joint Programmes as well as communication, advocacy, analysis etc. DCO to track the number of joint activities compared with the total number of activities (per CF and for the total CF currently in UNINFO); The total budget share of joint activities versus the total budget of the CF split between total planned and total expenditures. The question is asked in DESA survey of UN entity headquarters. For the purpose of the Compact reporting however, it is more appropriate and less transaction cost heavy to track the commitment at the RCO/UNCT level (rather than agency HQ level) through UNINFO</w:t>
            </w:r>
            <w:r>
              <w:rPr>
                <w:rFonts w:cs="Times New Roman"/>
                <w:color w:val="000000"/>
                <w:sz w:val="18"/>
                <w:szCs w:val="18"/>
              </w:rPr>
              <w:t>.</w:t>
            </w:r>
          </w:p>
        </w:tc>
      </w:tr>
      <w:tr w:rsidR="00B2377C" w:rsidRPr="00B85ADE" w14:paraId="342FF924" w14:textId="77777777" w:rsidTr="00B2377C">
        <w:trPr>
          <w:trHeight w:val="2060"/>
        </w:trPr>
        <w:tc>
          <w:tcPr>
            <w:cnfStyle w:val="001000000000" w:firstRow="0" w:lastRow="0" w:firstColumn="1" w:lastColumn="0" w:oddVBand="0" w:evenVBand="0" w:oddHBand="0" w:evenHBand="0" w:firstRowFirstColumn="0" w:firstRowLastColumn="0" w:lastRowFirstColumn="0" w:lastRowLastColumn="0"/>
            <w:tcW w:w="865" w:type="pct"/>
            <w:tcBorders>
              <w:top w:val="single" w:sz="4" w:space="0" w:color="auto"/>
            </w:tcBorders>
          </w:tcPr>
          <w:p w14:paraId="1F8F0CDB" w14:textId="77777777" w:rsidR="00B2377C" w:rsidRPr="00B85ADE" w:rsidRDefault="00B2377C" w:rsidP="00B2377C">
            <w:pPr>
              <w:spacing w:after="120"/>
              <w:rPr>
                <w:rFonts w:cs="Times New Roman"/>
                <w:sz w:val="18"/>
                <w:szCs w:val="18"/>
              </w:rPr>
            </w:pPr>
            <w:r w:rsidRPr="00B85ADE">
              <w:rPr>
                <w:rFonts w:cs="Times New Roman"/>
                <w:sz w:val="18"/>
                <w:szCs w:val="18"/>
              </w:rPr>
              <w:t>2. Increase collaboration on joint and independent system-wide evaluation products to improve UN support on the ground</w:t>
            </w:r>
          </w:p>
        </w:tc>
        <w:tc>
          <w:tcPr>
            <w:tcW w:w="1394" w:type="pct"/>
            <w:tcBorders>
              <w:top w:val="single" w:sz="4" w:space="0" w:color="auto"/>
            </w:tcBorders>
          </w:tcPr>
          <w:p w14:paraId="4DECF783"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 of UNSDG Evaluation Offices engaging in joint or Independent System Wide Evaluations (ISWE)</w:t>
            </w:r>
          </w:p>
        </w:tc>
        <w:tc>
          <w:tcPr>
            <w:tcW w:w="2741" w:type="pct"/>
            <w:tcBorders>
              <w:top w:val="single" w:sz="4" w:space="0" w:color="auto"/>
            </w:tcBorders>
          </w:tcPr>
          <w:p w14:paraId="16E04125" w14:textId="77777777" w:rsidR="00B2377C" w:rsidRPr="0034790A"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34790A">
              <w:rPr>
                <w:rFonts w:cs="Times New Roman"/>
                <w:color w:val="000000"/>
                <w:sz w:val="18"/>
                <w:szCs w:val="18"/>
              </w:rPr>
              <w:t>Y/N with number of joint evaluations and/or ISWE underway and specific example(s); Use the following definition of ISWE: "a systematic and impartial assessment of the relevance, coherence, efficiency, effectiveness, results, and sustainability of the combined contributions of United Nations entities, to achieve the goals and targets set out in the 2030 Agenda for Sustainable Development". A joint evaluation implies the participation of at least 2 UN entities; an ISWE implies the participation of a majority of UN entities with a mandate related to the evaluation topic".</w:t>
            </w:r>
          </w:p>
        </w:tc>
      </w:tr>
      <w:tr w:rsidR="00B2377C" w:rsidRPr="00B85ADE" w14:paraId="43AF0F13" w14:textId="77777777" w:rsidTr="00B23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pct"/>
          </w:tcPr>
          <w:p w14:paraId="2F75A59B" w14:textId="77777777" w:rsidR="00B2377C" w:rsidRPr="00B85ADE" w:rsidRDefault="00B2377C" w:rsidP="00B2377C">
            <w:pPr>
              <w:spacing w:after="120"/>
              <w:rPr>
                <w:rFonts w:cs="Times New Roman"/>
                <w:sz w:val="18"/>
                <w:szCs w:val="18"/>
              </w:rPr>
            </w:pPr>
            <w:r w:rsidRPr="00B85ADE">
              <w:rPr>
                <w:rFonts w:cs="Times New Roman"/>
                <w:sz w:val="18"/>
                <w:szCs w:val="18"/>
              </w:rPr>
              <w:t>6. Strengthen the clarity of entity specific SPs and IRRFs and their annual reporting on results against expenditures</w:t>
            </w:r>
          </w:p>
        </w:tc>
        <w:tc>
          <w:tcPr>
            <w:tcW w:w="1394" w:type="pct"/>
          </w:tcPr>
          <w:p w14:paraId="4F5F08BE" w14:textId="77777777" w:rsidR="00B2377C" w:rsidRPr="00B85AD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 of UNSDG entities that in their respective governing bodies held structured dialogues in the past year on how to finance the development results agreed in the new SP cycle</w:t>
            </w:r>
          </w:p>
        </w:tc>
        <w:tc>
          <w:tcPr>
            <w:tcW w:w="2741" w:type="pct"/>
          </w:tcPr>
          <w:p w14:paraId="0BDF4E46" w14:textId="77777777" w:rsidR="00B2377C" w:rsidRPr="0034790A"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34790A">
              <w:rPr>
                <w:rFonts w:cs="Times New Roman"/>
                <w:color w:val="000000"/>
                <w:sz w:val="18"/>
                <w:szCs w:val="18"/>
              </w:rPr>
              <w:t>Y/N with entity specific narrative on content of the dialogue, e.g: issues raised / future agenda / alignment with Funding Compact</w:t>
            </w:r>
          </w:p>
          <w:p w14:paraId="10CA8077" w14:textId="77777777" w:rsidR="00B2377C" w:rsidRPr="0034790A"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r>
      <w:tr w:rsidR="00B2377C" w:rsidRPr="00B85ADE" w14:paraId="6B42BFD4" w14:textId="77777777" w:rsidTr="00B2377C">
        <w:tc>
          <w:tcPr>
            <w:cnfStyle w:val="001000000000" w:firstRow="0" w:lastRow="0" w:firstColumn="1" w:lastColumn="0" w:oddVBand="0" w:evenVBand="0" w:oddHBand="0" w:evenHBand="0" w:firstRowFirstColumn="0" w:firstRowLastColumn="0" w:lastRowFirstColumn="0" w:lastRowLastColumn="0"/>
            <w:tcW w:w="865" w:type="pct"/>
            <w:vMerge w:val="restart"/>
          </w:tcPr>
          <w:p w14:paraId="2DE22E6F" w14:textId="77777777" w:rsidR="00B2377C" w:rsidRPr="00B85ADE" w:rsidRDefault="00B2377C" w:rsidP="00B2377C">
            <w:pPr>
              <w:spacing w:after="120"/>
              <w:rPr>
                <w:rFonts w:cs="Times New Roman"/>
                <w:sz w:val="18"/>
                <w:szCs w:val="18"/>
              </w:rPr>
            </w:pPr>
            <w:r w:rsidRPr="00B85ADE">
              <w:rPr>
                <w:rFonts w:cs="Times New Roman"/>
                <w:sz w:val="18"/>
                <w:szCs w:val="18"/>
              </w:rPr>
              <w:t>7. Strengthen entity &amp; system-wide transparency &amp; reporting, linking resources to SDG results</w:t>
            </w:r>
          </w:p>
        </w:tc>
        <w:tc>
          <w:tcPr>
            <w:tcW w:w="1394" w:type="pct"/>
            <w:tcBorders>
              <w:bottom w:val="nil"/>
            </w:tcBorders>
          </w:tcPr>
          <w:p w14:paraId="591C2CB1"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 of UNDS entities individually submitting financial data to CEB</w:t>
            </w:r>
          </w:p>
        </w:tc>
        <w:tc>
          <w:tcPr>
            <w:tcW w:w="2741" w:type="pct"/>
            <w:tcBorders>
              <w:bottom w:val="nil"/>
            </w:tcBorders>
          </w:tcPr>
          <w:p w14:paraId="28EB705F" w14:textId="77777777" w:rsidR="00B2377C" w:rsidRPr="0034790A"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34790A">
              <w:rPr>
                <w:rFonts w:cs="Times New Roman"/>
                <w:color w:val="000000"/>
                <w:sz w:val="18"/>
                <w:szCs w:val="18"/>
              </w:rPr>
              <w:t>Y/N (with date of first report)</w:t>
            </w:r>
          </w:p>
        </w:tc>
      </w:tr>
      <w:tr w:rsidR="00B2377C" w:rsidRPr="00B85ADE" w14:paraId="25868CD6" w14:textId="77777777" w:rsidTr="00B23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pct"/>
            <w:vMerge/>
          </w:tcPr>
          <w:p w14:paraId="7AC6279E" w14:textId="77777777" w:rsidR="00B2377C" w:rsidRPr="00B85ADE" w:rsidRDefault="00B2377C" w:rsidP="00B2377C">
            <w:pPr>
              <w:spacing w:after="120"/>
              <w:rPr>
                <w:rFonts w:cs="Times New Roman"/>
                <w:sz w:val="18"/>
                <w:szCs w:val="18"/>
              </w:rPr>
            </w:pPr>
          </w:p>
        </w:tc>
        <w:tc>
          <w:tcPr>
            <w:tcW w:w="1394" w:type="pct"/>
            <w:tcBorders>
              <w:top w:val="nil"/>
              <w:bottom w:val="nil"/>
            </w:tcBorders>
          </w:tcPr>
          <w:p w14:paraId="1EEABF21" w14:textId="77777777" w:rsidR="00B2377C" w:rsidRPr="00B85AD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 of UNDS entities publishing data as per the highest international transparency standards</w:t>
            </w:r>
          </w:p>
        </w:tc>
        <w:tc>
          <w:tcPr>
            <w:tcW w:w="2741" w:type="pct"/>
            <w:tcBorders>
              <w:top w:val="nil"/>
              <w:bottom w:val="nil"/>
            </w:tcBorders>
          </w:tcPr>
          <w:p w14:paraId="2EB309AA" w14:textId="77777777" w:rsidR="00B2377C" w:rsidRPr="0034790A"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34790A">
              <w:rPr>
                <w:rFonts w:cs="Times New Roman"/>
                <w:color w:val="000000"/>
                <w:sz w:val="18"/>
                <w:szCs w:val="18"/>
              </w:rPr>
              <w:t xml:space="preserve">Y/N on reporting to IATI (with date of first report). DESA survey to mention IATI specifically. </w:t>
            </w:r>
          </w:p>
        </w:tc>
      </w:tr>
      <w:tr w:rsidR="00B2377C" w:rsidRPr="00B85ADE" w14:paraId="11985DAE" w14:textId="77777777" w:rsidTr="00B2377C">
        <w:tc>
          <w:tcPr>
            <w:cnfStyle w:val="001000000000" w:firstRow="0" w:lastRow="0" w:firstColumn="1" w:lastColumn="0" w:oddVBand="0" w:evenVBand="0" w:oddHBand="0" w:evenHBand="0" w:firstRowFirstColumn="0" w:firstRowLastColumn="0" w:lastRowFirstColumn="0" w:lastRowLastColumn="0"/>
            <w:tcW w:w="865" w:type="pct"/>
            <w:vMerge/>
          </w:tcPr>
          <w:p w14:paraId="35D5AB8F" w14:textId="77777777" w:rsidR="00B2377C" w:rsidRPr="00B85ADE" w:rsidRDefault="00B2377C" w:rsidP="00B2377C">
            <w:pPr>
              <w:spacing w:after="120"/>
              <w:rPr>
                <w:rFonts w:cs="Times New Roman"/>
                <w:sz w:val="18"/>
                <w:szCs w:val="18"/>
              </w:rPr>
            </w:pPr>
          </w:p>
        </w:tc>
        <w:tc>
          <w:tcPr>
            <w:tcW w:w="1394" w:type="pct"/>
            <w:tcBorders>
              <w:top w:val="nil"/>
              <w:bottom w:val="nil"/>
            </w:tcBorders>
          </w:tcPr>
          <w:p w14:paraId="6123612B"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 of UNDS entities with ongoing activities at country level that report expenditures disaggregated by country to the CEB baseline</w:t>
            </w:r>
          </w:p>
        </w:tc>
        <w:tc>
          <w:tcPr>
            <w:tcW w:w="2741" w:type="pct"/>
            <w:tcBorders>
              <w:top w:val="nil"/>
              <w:bottom w:val="nil"/>
            </w:tcBorders>
          </w:tcPr>
          <w:p w14:paraId="25538EC2" w14:textId="77777777" w:rsidR="00B2377C" w:rsidRPr="0034790A"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34790A">
              <w:rPr>
                <w:rFonts w:cs="Times New Roman"/>
                <w:color w:val="000000"/>
                <w:sz w:val="18"/>
                <w:szCs w:val="18"/>
              </w:rPr>
              <w:t>Y/N (with date of first report)</w:t>
            </w:r>
          </w:p>
        </w:tc>
      </w:tr>
      <w:tr w:rsidR="00B2377C" w:rsidRPr="00B85ADE" w14:paraId="3BA9E663" w14:textId="77777777" w:rsidTr="00B23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pct"/>
            <w:vMerge/>
          </w:tcPr>
          <w:p w14:paraId="1D4E8E57" w14:textId="77777777" w:rsidR="00B2377C" w:rsidRPr="00B85ADE" w:rsidRDefault="00B2377C" w:rsidP="00B2377C">
            <w:pPr>
              <w:spacing w:after="120"/>
              <w:rPr>
                <w:rFonts w:cs="Times New Roman"/>
                <w:sz w:val="18"/>
                <w:szCs w:val="18"/>
              </w:rPr>
            </w:pPr>
          </w:p>
        </w:tc>
        <w:tc>
          <w:tcPr>
            <w:tcW w:w="1394" w:type="pct"/>
            <w:tcBorders>
              <w:top w:val="nil"/>
            </w:tcBorders>
          </w:tcPr>
          <w:p w14:paraId="69B766EF" w14:textId="77777777" w:rsidR="00B2377C" w:rsidRPr="00B85AD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 of UNDS entities that report on expenditures disaggregated by SDG</w:t>
            </w:r>
          </w:p>
        </w:tc>
        <w:tc>
          <w:tcPr>
            <w:tcW w:w="2741" w:type="pct"/>
            <w:tcBorders>
              <w:top w:val="nil"/>
            </w:tcBorders>
          </w:tcPr>
          <w:p w14:paraId="3BF4DC08" w14:textId="77777777" w:rsidR="00B2377C" w:rsidRPr="0034790A"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34790A">
              <w:rPr>
                <w:rFonts w:cs="Times New Roman"/>
                <w:color w:val="000000"/>
                <w:sz w:val="18"/>
                <w:szCs w:val="18"/>
              </w:rPr>
              <w:t>Y/N (with date of first report)</w:t>
            </w:r>
          </w:p>
        </w:tc>
      </w:tr>
      <w:tr w:rsidR="00B2377C" w:rsidRPr="00B85ADE" w14:paraId="409F1E4D" w14:textId="77777777" w:rsidTr="00B2377C">
        <w:trPr>
          <w:trHeight w:val="1160"/>
        </w:trPr>
        <w:tc>
          <w:tcPr>
            <w:cnfStyle w:val="001000000000" w:firstRow="0" w:lastRow="0" w:firstColumn="1" w:lastColumn="0" w:oddVBand="0" w:evenVBand="0" w:oddHBand="0" w:evenHBand="0" w:firstRowFirstColumn="0" w:firstRowLastColumn="0" w:lastRowFirstColumn="0" w:lastRowLastColumn="0"/>
            <w:tcW w:w="865" w:type="pct"/>
            <w:vMerge w:val="restart"/>
          </w:tcPr>
          <w:p w14:paraId="7FF848BD" w14:textId="77777777" w:rsidR="00B2377C" w:rsidRPr="00B85ADE" w:rsidRDefault="00B2377C" w:rsidP="00B2377C">
            <w:pPr>
              <w:spacing w:after="120"/>
              <w:rPr>
                <w:rFonts w:cs="Times New Roman"/>
                <w:sz w:val="18"/>
                <w:szCs w:val="18"/>
              </w:rPr>
            </w:pPr>
            <w:r w:rsidRPr="00B85ADE">
              <w:rPr>
                <w:rFonts w:cs="Times New Roman"/>
                <w:sz w:val="18"/>
                <w:szCs w:val="18"/>
              </w:rPr>
              <w:t>9. Increase accessibility of corporate evaluations and internal audit reports within the disclosure provisions and policies set by governing bodies at the time of report issuance</w:t>
            </w:r>
          </w:p>
        </w:tc>
        <w:tc>
          <w:tcPr>
            <w:tcW w:w="1394" w:type="pct"/>
            <w:tcBorders>
              <w:bottom w:val="nil"/>
            </w:tcBorders>
          </w:tcPr>
          <w:p w14:paraId="730B86A0"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 of UNDS entities authorized within disclosure provisions and policies who have made their corporate evaluations available on the UNEG website</w:t>
            </w:r>
          </w:p>
        </w:tc>
        <w:tc>
          <w:tcPr>
            <w:tcW w:w="2741" w:type="pct"/>
            <w:tcBorders>
              <w:bottom w:val="nil"/>
            </w:tcBorders>
          </w:tcPr>
          <w:p w14:paraId="1C388DA8" w14:textId="77777777" w:rsidR="00B2377C" w:rsidRPr="006B2087"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6B2087">
              <w:rPr>
                <w:rFonts w:cs="Times New Roman"/>
                <w:color w:val="000000"/>
                <w:sz w:val="18"/>
                <w:szCs w:val="18"/>
              </w:rPr>
              <w:t>Y/N with specific example(s) - add narrative related to disclosure provisions and policies</w:t>
            </w:r>
          </w:p>
        </w:tc>
      </w:tr>
      <w:tr w:rsidR="00B2377C" w:rsidRPr="00B85ADE" w14:paraId="2EF14773" w14:textId="77777777" w:rsidTr="00B23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pct"/>
            <w:vMerge/>
          </w:tcPr>
          <w:p w14:paraId="335A599F" w14:textId="77777777" w:rsidR="00B2377C" w:rsidRPr="00B85ADE" w:rsidRDefault="00B2377C" w:rsidP="00B2377C">
            <w:pPr>
              <w:spacing w:after="120"/>
              <w:rPr>
                <w:rFonts w:cs="Times New Roman"/>
                <w:sz w:val="18"/>
                <w:szCs w:val="18"/>
              </w:rPr>
            </w:pPr>
          </w:p>
        </w:tc>
        <w:tc>
          <w:tcPr>
            <w:tcW w:w="1394" w:type="pct"/>
            <w:tcBorders>
              <w:top w:val="nil"/>
              <w:bottom w:val="nil"/>
            </w:tcBorders>
          </w:tcPr>
          <w:p w14:paraId="2C2D06F3" w14:textId="77777777" w:rsidR="00B2377C" w:rsidRPr="00B85AD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 of internal audit reports issued in line with the disclosure provisions and policies set by the relevant governing bodies, which are available on a dedicated searchable UN-RIAS platform/ website, pending a</w:t>
            </w:r>
            <w:r>
              <w:rPr>
                <w:rFonts w:cs="Times New Roman"/>
                <w:sz w:val="18"/>
                <w:szCs w:val="18"/>
              </w:rPr>
              <w:t xml:space="preserve">vailability of resources; </w:t>
            </w:r>
          </w:p>
        </w:tc>
        <w:tc>
          <w:tcPr>
            <w:tcW w:w="2741" w:type="pct"/>
            <w:tcBorders>
              <w:top w:val="nil"/>
              <w:bottom w:val="nil"/>
            </w:tcBorders>
          </w:tcPr>
          <w:p w14:paraId="5670581D" w14:textId="77777777" w:rsidR="00B2377C" w:rsidRPr="006B2087"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6B2087">
              <w:rPr>
                <w:rFonts w:cs="Times New Roman"/>
                <w:color w:val="000000"/>
                <w:sz w:val="18"/>
                <w:szCs w:val="18"/>
              </w:rPr>
              <w:t>% of entity specific internal audits available on UN RIAS platform - add narrative related to disclosure provisions and policies</w:t>
            </w:r>
          </w:p>
        </w:tc>
      </w:tr>
      <w:tr w:rsidR="00B2377C" w:rsidRPr="00B85ADE" w14:paraId="030DD21E" w14:textId="77777777" w:rsidTr="00B2377C">
        <w:tc>
          <w:tcPr>
            <w:cnfStyle w:val="001000000000" w:firstRow="0" w:lastRow="0" w:firstColumn="1" w:lastColumn="0" w:oddVBand="0" w:evenVBand="0" w:oddHBand="0" w:evenHBand="0" w:firstRowFirstColumn="0" w:firstRowLastColumn="0" w:lastRowFirstColumn="0" w:lastRowLastColumn="0"/>
            <w:tcW w:w="865" w:type="pct"/>
            <w:vMerge/>
          </w:tcPr>
          <w:p w14:paraId="794EC45D" w14:textId="77777777" w:rsidR="00B2377C" w:rsidRPr="00B85ADE" w:rsidRDefault="00B2377C" w:rsidP="00B2377C">
            <w:pPr>
              <w:spacing w:after="120"/>
              <w:rPr>
                <w:rFonts w:cs="Times New Roman"/>
                <w:sz w:val="18"/>
                <w:szCs w:val="18"/>
              </w:rPr>
            </w:pPr>
          </w:p>
        </w:tc>
        <w:tc>
          <w:tcPr>
            <w:tcW w:w="1394" w:type="pct"/>
            <w:tcBorders>
              <w:top w:val="nil"/>
            </w:tcBorders>
          </w:tcPr>
          <w:p w14:paraId="5DD02FD3"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 of inter-agency pooled funds posting evaluation reports on the UNEG website</w:t>
            </w:r>
          </w:p>
        </w:tc>
        <w:tc>
          <w:tcPr>
            <w:tcW w:w="2741" w:type="pct"/>
            <w:tcBorders>
              <w:top w:val="nil"/>
            </w:tcBorders>
          </w:tcPr>
          <w:p w14:paraId="16C79E3A" w14:textId="77777777" w:rsidR="00B2377C" w:rsidRPr="006B2087"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6B2087">
              <w:rPr>
                <w:rFonts w:cs="Times New Roman"/>
                <w:color w:val="000000"/>
                <w:sz w:val="18"/>
                <w:szCs w:val="18"/>
              </w:rPr>
              <w:t xml:space="preserve">Number of inter-agency pooled funds evaluation reports available on UNEG website divided by total inter agency pooled funds evaluations. </w:t>
            </w:r>
          </w:p>
        </w:tc>
      </w:tr>
      <w:tr w:rsidR="00B2377C" w:rsidRPr="00B85ADE" w14:paraId="037C6F90" w14:textId="77777777" w:rsidTr="00B23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pct"/>
            <w:vMerge w:val="restart"/>
            <w:tcBorders>
              <w:bottom w:val="nil"/>
            </w:tcBorders>
          </w:tcPr>
          <w:p w14:paraId="44428178" w14:textId="77777777" w:rsidR="00B2377C" w:rsidRPr="00B85ADE" w:rsidRDefault="00B2377C" w:rsidP="00B2377C">
            <w:pPr>
              <w:spacing w:after="120"/>
              <w:rPr>
                <w:rFonts w:cs="Times New Roman"/>
                <w:sz w:val="18"/>
                <w:szCs w:val="18"/>
              </w:rPr>
            </w:pPr>
            <w:r w:rsidRPr="00B85ADE">
              <w:rPr>
                <w:rFonts w:cs="Times New Roman"/>
                <w:sz w:val="18"/>
                <w:szCs w:val="18"/>
              </w:rPr>
              <w:t>10. Increase visibility of results from contributors of voluntary core resources, pooled &amp; thematic funds and for program country contributions</w:t>
            </w:r>
          </w:p>
        </w:tc>
        <w:tc>
          <w:tcPr>
            <w:tcW w:w="1394" w:type="pct"/>
            <w:tcBorders>
              <w:bottom w:val="nil"/>
            </w:tcBorders>
          </w:tcPr>
          <w:p w14:paraId="466DB7C1" w14:textId="77777777" w:rsidR="00B2377C" w:rsidRPr="00B85AD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Specific mention of voluntary core, pooled and thematic fund contributors, and program country contributions in UNCT annual results reporting and entity specific country and global reporting</w:t>
            </w:r>
          </w:p>
        </w:tc>
        <w:tc>
          <w:tcPr>
            <w:tcW w:w="2741" w:type="pct"/>
            <w:tcBorders>
              <w:bottom w:val="nil"/>
            </w:tcBorders>
          </w:tcPr>
          <w:p w14:paraId="7A2F4BD0" w14:textId="77777777" w:rsidR="00B2377C" w:rsidRPr="006B2087"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6B2087">
              <w:rPr>
                <w:rFonts w:cs="Times New Roman"/>
                <w:color w:val="000000"/>
                <w:sz w:val="18"/>
                <w:szCs w:val="18"/>
              </w:rPr>
              <w:t>Y/N for pooled funds if entity is a fund administrative agent or AA and entity specific thematic funds; with specific example(s) / evidence and steps taken or to be taken to meet commitment</w:t>
            </w:r>
          </w:p>
        </w:tc>
      </w:tr>
      <w:tr w:rsidR="00B2377C" w:rsidRPr="00B85ADE" w14:paraId="4DDE7C9B" w14:textId="77777777" w:rsidTr="00B2377C">
        <w:tc>
          <w:tcPr>
            <w:cnfStyle w:val="001000000000" w:firstRow="0" w:lastRow="0" w:firstColumn="1" w:lastColumn="0" w:oddVBand="0" w:evenVBand="0" w:oddHBand="0" w:evenHBand="0" w:firstRowFirstColumn="0" w:firstRowLastColumn="0" w:lastRowFirstColumn="0" w:lastRowLastColumn="0"/>
            <w:tcW w:w="865" w:type="pct"/>
            <w:vMerge/>
            <w:tcBorders>
              <w:top w:val="nil"/>
            </w:tcBorders>
          </w:tcPr>
          <w:p w14:paraId="57D0AAAC" w14:textId="77777777" w:rsidR="00B2377C" w:rsidRPr="00B85ADE" w:rsidRDefault="00B2377C" w:rsidP="00B2377C">
            <w:pPr>
              <w:spacing w:after="120"/>
              <w:rPr>
                <w:rFonts w:cs="Times New Roman"/>
                <w:sz w:val="18"/>
                <w:szCs w:val="18"/>
              </w:rPr>
            </w:pPr>
          </w:p>
        </w:tc>
        <w:tc>
          <w:tcPr>
            <w:tcW w:w="1394" w:type="pct"/>
            <w:tcBorders>
              <w:top w:val="nil"/>
            </w:tcBorders>
          </w:tcPr>
          <w:p w14:paraId="7B306DA2"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Specific mention of individual contributors in all results reporting by pooled fund and thematic fund administrators and UNSDG recipients</w:t>
            </w:r>
          </w:p>
        </w:tc>
        <w:tc>
          <w:tcPr>
            <w:tcW w:w="2741" w:type="pct"/>
            <w:tcBorders>
              <w:top w:val="nil"/>
            </w:tcBorders>
          </w:tcPr>
          <w:p w14:paraId="0BEAE84D" w14:textId="77777777" w:rsidR="00B2377C" w:rsidRPr="006B2087"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6B2087">
              <w:rPr>
                <w:rFonts w:cs="Times New Roman"/>
                <w:color w:val="000000"/>
                <w:sz w:val="18"/>
                <w:szCs w:val="18"/>
              </w:rPr>
              <w:t>Y/N or N/A (if entity is not a fund administrative agent or AA) and for entity specific thematic funds; with specific example(s) / evidence and steps taken or to be taken to meet commitment</w:t>
            </w:r>
          </w:p>
        </w:tc>
      </w:tr>
      <w:tr w:rsidR="00B2377C" w:rsidRPr="00B85ADE" w14:paraId="5C7020EA" w14:textId="77777777" w:rsidTr="00B23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pct"/>
            <w:vMerge w:val="restart"/>
          </w:tcPr>
          <w:p w14:paraId="6B5F2DB5" w14:textId="77777777" w:rsidR="00B2377C" w:rsidRPr="00B85ADE" w:rsidRDefault="00B2377C" w:rsidP="00B2377C">
            <w:pPr>
              <w:spacing w:after="120"/>
              <w:rPr>
                <w:rFonts w:cs="Times New Roman"/>
                <w:sz w:val="18"/>
                <w:szCs w:val="18"/>
              </w:rPr>
            </w:pPr>
            <w:r w:rsidRPr="00B85ADE">
              <w:rPr>
                <w:rFonts w:cs="Times New Roman"/>
                <w:sz w:val="18"/>
                <w:szCs w:val="18"/>
              </w:rPr>
              <w:t>11. Implement the SG’s goals on operational consolidation for efficiency gains</w:t>
            </w:r>
          </w:p>
        </w:tc>
        <w:tc>
          <w:tcPr>
            <w:tcW w:w="1394" w:type="pct"/>
            <w:tcBorders>
              <w:bottom w:val="nil"/>
            </w:tcBorders>
          </w:tcPr>
          <w:p w14:paraId="3D696C12" w14:textId="77777777" w:rsidR="00B2377C" w:rsidRPr="00B85AD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 of UNSDG entities that report to their governing bodies on efficiency gains</w:t>
            </w:r>
          </w:p>
        </w:tc>
        <w:tc>
          <w:tcPr>
            <w:tcW w:w="2741" w:type="pct"/>
            <w:tcBorders>
              <w:bottom w:val="nil"/>
            </w:tcBorders>
          </w:tcPr>
          <w:p w14:paraId="1063B6FF" w14:textId="79E5F9AA" w:rsidR="00B2377C" w:rsidRPr="006B2087"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6B2087">
              <w:rPr>
                <w:rFonts w:cs="Times New Roman"/>
                <w:color w:val="000000"/>
                <w:sz w:val="18"/>
                <w:szCs w:val="18"/>
              </w:rPr>
              <w:t>Y/N with entity specific narrative</w:t>
            </w:r>
          </w:p>
        </w:tc>
      </w:tr>
      <w:tr w:rsidR="00B2377C" w:rsidRPr="00B85ADE" w14:paraId="07251084" w14:textId="77777777" w:rsidTr="00B2377C">
        <w:tc>
          <w:tcPr>
            <w:cnfStyle w:val="001000000000" w:firstRow="0" w:lastRow="0" w:firstColumn="1" w:lastColumn="0" w:oddVBand="0" w:evenVBand="0" w:oddHBand="0" w:evenHBand="0" w:firstRowFirstColumn="0" w:firstRowLastColumn="0" w:lastRowFirstColumn="0" w:lastRowLastColumn="0"/>
            <w:tcW w:w="865" w:type="pct"/>
            <w:vMerge/>
          </w:tcPr>
          <w:p w14:paraId="54AB8766" w14:textId="77777777" w:rsidR="00B2377C" w:rsidRPr="00B85ADE" w:rsidRDefault="00B2377C" w:rsidP="00B2377C">
            <w:pPr>
              <w:spacing w:after="120"/>
              <w:rPr>
                <w:rFonts w:cs="Times New Roman"/>
                <w:sz w:val="18"/>
                <w:szCs w:val="18"/>
              </w:rPr>
            </w:pPr>
          </w:p>
        </w:tc>
        <w:tc>
          <w:tcPr>
            <w:tcW w:w="1394" w:type="pct"/>
            <w:tcBorders>
              <w:top w:val="nil"/>
              <w:bottom w:val="nil"/>
            </w:tcBorders>
          </w:tcPr>
          <w:p w14:paraId="53763E74"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 of UNSDG entities that have signed the High-Level Framework on Mutual Recognition</w:t>
            </w:r>
          </w:p>
        </w:tc>
        <w:tc>
          <w:tcPr>
            <w:tcW w:w="2741" w:type="pct"/>
            <w:tcBorders>
              <w:top w:val="nil"/>
              <w:bottom w:val="nil"/>
            </w:tcBorders>
          </w:tcPr>
          <w:p w14:paraId="7A46BF47" w14:textId="77777777" w:rsidR="00B2377C" w:rsidRPr="006B2087"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6B2087">
              <w:rPr>
                <w:rFonts w:cs="Times New Roman"/>
                <w:color w:val="000000"/>
                <w:sz w:val="18"/>
                <w:szCs w:val="18"/>
              </w:rPr>
              <w:t>Y/N with year of signature and entity specific narrative</w:t>
            </w:r>
          </w:p>
        </w:tc>
      </w:tr>
      <w:tr w:rsidR="00B2377C" w:rsidRPr="00B85ADE" w14:paraId="241592F0" w14:textId="77777777" w:rsidTr="00B23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pct"/>
          </w:tcPr>
          <w:p w14:paraId="33F74609" w14:textId="77777777" w:rsidR="00B2377C" w:rsidRPr="00B85ADE" w:rsidRDefault="00B2377C" w:rsidP="00B2377C">
            <w:pPr>
              <w:spacing w:after="120"/>
              <w:rPr>
                <w:rFonts w:cs="Times New Roman"/>
                <w:sz w:val="18"/>
                <w:szCs w:val="18"/>
              </w:rPr>
            </w:pPr>
            <w:r w:rsidRPr="00B85ADE">
              <w:rPr>
                <w:rFonts w:cs="Times New Roman"/>
                <w:sz w:val="18"/>
                <w:szCs w:val="18"/>
              </w:rPr>
              <w:t>12. Fully implement &amp; report on approved cost-recovery policies and rates</w:t>
            </w:r>
          </w:p>
        </w:tc>
        <w:tc>
          <w:tcPr>
            <w:tcW w:w="1394" w:type="pct"/>
          </w:tcPr>
          <w:p w14:paraId="304695F2" w14:textId="77777777" w:rsidR="00B2377C" w:rsidRPr="00B85AD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 of UNSDG entities that report annually on the implementation of their approved cost recovery policies and rates to their respective governing body</w:t>
            </w:r>
          </w:p>
        </w:tc>
        <w:tc>
          <w:tcPr>
            <w:tcW w:w="2741" w:type="pct"/>
          </w:tcPr>
          <w:p w14:paraId="1EF3341E" w14:textId="77777777" w:rsidR="00B2377C" w:rsidRPr="006B2087" w:rsidRDefault="00B2377C" w:rsidP="00B2377C">
            <w:pPr>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6B2087">
              <w:rPr>
                <w:rFonts w:cs="Times New Roman"/>
                <w:color w:val="000000"/>
                <w:sz w:val="18"/>
                <w:szCs w:val="18"/>
              </w:rPr>
              <w:t>Y/N (with date of first report)</w:t>
            </w:r>
          </w:p>
          <w:p w14:paraId="73231626" w14:textId="77777777" w:rsidR="00B2377C" w:rsidRPr="006B2087"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r>
    </w:tbl>
    <w:p w14:paraId="6AB2C0A6" w14:textId="77777777" w:rsidR="004736AF" w:rsidRPr="00B07E40" w:rsidRDefault="004736AF" w:rsidP="00A924C8">
      <w:pPr>
        <w:pStyle w:val="SingleTxt"/>
        <w:tabs>
          <w:tab w:val="left" w:pos="1620"/>
        </w:tabs>
        <w:spacing w:line="240" w:lineRule="auto"/>
      </w:pPr>
    </w:p>
    <w:sectPr w:rsidR="004736AF" w:rsidRPr="00B07E40" w:rsidSect="003B60A1">
      <w:headerReference w:type="even" r:id="rId13"/>
      <w:headerReference w:type="default" r:id="rId14"/>
      <w:footerReference w:type="even" r:id="rId15"/>
      <w:footerReference w:type="default" r:id="rId16"/>
      <w:footerReference w:type="first" r:id="rId17"/>
      <w:type w:val="continuous"/>
      <w:pgSz w:w="12240" w:h="15840" w:code="1"/>
      <w:pgMar w:top="1276" w:right="1170" w:bottom="1296" w:left="1008" w:header="108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51B0" w14:textId="77777777" w:rsidR="008E0324" w:rsidRDefault="008E0324" w:rsidP="00F4772E">
      <w:r>
        <w:separator/>
      </w:r>
    </w:p>
  </w:endnote>
  <w:endnote w:type="continuationSeparator" w:id="0">
    <w:p w14:paraId="49B15355" w14:textId="77777777" w:rsidR="008E0324" w:rsidRDefault="008E0324" w:rsidP="00F4772E">
      <w:r>
        <w:continuationSeparator/>
      </w:r>
    </w:p>
  </w:endnote>
  <w:endnote w:type="continuationNotice" w:id="1">
    <w:p w14:paraId="7184212C" w14:textId="77777777" w:rsidR="008E0324" w:rsidRDefault="008E0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158944"/>
      <w:docPartObj>
        <w:docPartGallery w:val="Page Numbers (Bottom of Page)"/>
        <w:docPartUnique/>
      </w:docPartObj>
    </w:sdtPr>
    <w:sdtEndPr>
      <w:rPr>
        <w:b/>
        <w:noProof/>
        <w:sz w:val="17"/>
        <w:szCs w:val="17"/>
      </w:rPr>
    </w:sdtEndPr>
    <w:sdtContent>
      <w:p w14:paraId="7CE9B500" w14:textId="77777777" w:rsidR="00DE25E4" w:rsidRPr="00FF3411" w:rsidRDefault="00DE25E4" w:rsidP="00E81831">
        <w:pPr>
          <w:pStyle w:val="Footer"/>
          <w:ind w:firstLine="540"/>
          <w:rPr>
            <w:b/>
            <w:sz w:val="17"/>
            <w:szCs w:val="17"/>
          </w:rPr>
        </w:pPr>
        <w:r w:rsidRPr="00FF3411">
          <w:rPr>
            <w:b/>
            <w:sz w:val="17"/>
            <w:szCs w:val="17"/>
          </w:rPr>
          <w:fldChar w:fldCharType="begin"/>
        </w:r>
        <w:r w:rsidRPr="00FF3411">
          <w:rPr>
            <w:b/>
            <w:sz w:val="17"/>
            <w:szCs w:val="17"/>
          </w:rPr>
          <w:instrText xml:space="preserve"> PAGE   \* MERGEFORMAT </w:instrText>
        </w:r>
        <w:r w:rsidRPr="00FF3411">
          <w:rPr>
            <w:b/>
            <w:sz w:val="17"/>
            <w:szCs w:val="17"/>
          </w:rPr>
          <w:fldChar w:fldCharType="separate"/>
        </w:r>
        <w:r w:rsidR="00427FFA">
          <w:rPr>
            <w:b/>
            <w:noProof/>
            <w:sz w:val="17"/>
            <w:szCs w:val="17"/>
          </w:rPr>
          <w:t>2</w:t>
        </w:r>
        <w:r w:rsidRPr="00FF3411">
          <w:rPr>
            <w:b/>
            <w:noProof/>
            <w:sz w:val="17"/>
            <w:szCs w:val="17"/>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953752"/>
      <w:docPartObj>
        <w:docPartGallery w:val="Page Numbers (Bottom of Page)"/>
        <w:docPartUnique/>
      </w:docPartObj>
    </w:sdtPr>
    <w:sdtEndPr>
      <w:rPr>
        <w:b/>
        <w:noProof/>
        <w:sz w:val="17"/>
        <w:szCs w:val="17"/>
      </w:rPr>
    </w:sdtEndPr>
    <w:sdtContent>
      <w:p w14:paraId="052A426F" w14:textId="77777777" w:rsidR="00DE25E4" w:rsidRPr="004D46A1" w:rsidRDefault="00DE25E4" w:rsidP="00FF3411">
        <w:pPr>
          <w:pStyle w:val="Footer"/>
          <w:jc w:val="right"/>
          <w:rPr>
            <w:b/>
            <w:sz w:val="17"/>
            <w:szCs w:val="17"/>
          </w:rPr>
        </w:pPr>
        <w:r w:rsidRPr="004D46A1">
          <w:rPr>
            <w:b/>
            <w:sz w:val="17"/>
            <w:szCs w:val="17"/>
          </w:rPr>
          <w:fldChar w:fldCharType="begin"/>
        </w:r>
        <w:r w:rsidRPr="004D46A1">
          <w:rPr>
            <w:b/>
            <w:sz w:val="17"/>
            <w:szCs w:val="17"/>
          </w:rPr>
          <w:instrText xml:space="preserve"> PAGE   \* MERGEFORMAT </w:instrText>
        </w:r>
        <w:r w:rsidRPr="004D46A1">
          <w:rPr>
            <w:b/>
            <w:sz w:val="17"/>
            <w:szCs w:val="17"/>
          </w:rPr>
          <w:fldChar w:fldCharType="separate"/>
        </w:r>
        <w:r w:rsidR="00427FFA">
          <w:rPr>
            <w:b/>
            <w:noProof/>
            <w:sz w:val="17"/>
            <w:szCs w:val="17"/>
          </w:rPr>
          <w:t>3</w:t>
        </w:r>
        <w:r w:rsidRPr="004D46A1">
          <w:rPr>
            <w:b/>
            <w:noProof/>
            <w:sz w:val="17"/>
            <w:szCs w:val="17"/>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BDB8" w14:textId="77777777" w:rsidR="00DE25E4" w:rsidRPr="00790643" w:rsidRDefault="00DE25E4">
    <w:pPr>
      <w:pStyle w:val="Footer"/>
      <w:jc w:val="right"/>
      <w:rPr>
        <w:sz w:val="17"/>
        <w:szCs w:val="17"/>
      </w:rPr>
    </w:pPr>
  </w:p>
  <w:p w14:paraId="7D621142" w14:textId="77777777" w:rsidR="00DE25E4" w:rsidRDefault="00DE2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56752" w14:textId="77777777" w:rsidR="008E0324" w:rsidRDefault="008E0324" w:rsidP="00F4772E">
      <w:r>
        <w:separator/>
      </w:r>
    </w:p>
  </w:footnote>
  <w:footnote w:type="continuationSeparator" w:id="0">
    <w:p w14:paraId="2B6AA65A" w14:textId="77777777" w:rsidR="008E0324" w:rsidRDefault="008E0324" w:rsidP="00F4772E">
      <w:r>
        <w:continuationSeparator/>
      </w:r>
    </w:p>
  </w:footnote>
  <w:footnote w:type="continuationNotice" w:id="1">
    <w:p w14:paraId="05BBDBBE" w14:textId="77777777" w:rsidR="008E0324" w:rsidRDefault="008E0324"/>
  </w:footnote>
  <w:footnote w:id="2">
    <w:p w14:paraId="3AB1C3ED" w14:textId="77777777" w:rsidR="00DE25E4" w:rsidRDefault="00DE25E4" w:rsidP="00B2377C">
      <w:pPr>
        <w:pStyle w:val="FootnoteText"/>
      </w:pPr>
      <w:r>
        <w:rPr>
          <w:rStyle w:val="FootnoteReference"/>
        </w:rPr>
        <w:footnoteRef/>
      </w:r>
      <w:r>
        <w:t xml:space="preserve"> </w:t>
      </w:r>
      <w:r w:rsidRPr="00D4539E">
        <w:rPr>
          <w:sz w:val="18"/>
          <w:szCs w:val="18"/>
        </w:rPr>
        <w:t>Milestones may not be applicable to all indicators (eg. ‘yes/no’ indicators will not have a milestone).</w:t>
      </w:r>
      <w:r>
        <w:t xml:space="preserve"> </w:t>
      </w:r>
    </w:p>
  </w:footnote>
  <w:footnote w:id="3">
    <w:p w14:paraId="221A0CC1" w14:textId="54DD500C" w:rsidR="00A36C4B" w:rsidRDefault="00A36C4B">
      <w:pPr>
        <w:pStyle w:val="FootnoteText"/>
      </w:pPr>
      <w:r w:rsidRPr="0086120B">
        <w:rPr>
          <w:rStyle w:val="FootnoteReference"/>
          <w:sz w:val="18"/>
          <w:szCs w:val="22"/>
        </w:rPr>
        <w:footnoteRef/>
      </w:r>
      <w:r w:rsidRPr="0086120B">
        <w:rPr>
          <w:sz w:val="18"/>
          <w:szCs w:val="22"/>
        </w:rPr>
        <w:t xml:space="preserve"> </w:t>
      </w:r>
      <w:r w:rsidR="00E86097" w:rsidRPr="0086120B">
        <w:rPr>
          <w:sz w:val="18"/>
          <w:szCs w:val="22"/>
        </w:rPr>
        <w:t>Although the reported number of contributor</w:t>
      </w:r>
      <w:r w:rsidR="00904645" w:rsidRPr="0086120B">
        <w:rPr>
          <w:sz w:val="18"/>
          <w:szCs w:val="22"/>
        </w:rPr>
        <w:t>s</w:t>
      </w:r>
      <w:r w:rsidR="00E86097" w:rsidRPr="0086120B">
        <w:rPr>
          <w:sz w:val="18"/>
          <w:szCs w:val="22"/>
        </w:rPr>
        <w:t xml:space="preserve"> only refer to the 50 Member States, the total number of contributors are 64 including the private sector, corporations, NGOs</w:t>
      </w:r>
      <w:r w:rsidR="00BA113E" w:rsidRPr="0086120B">
        <w:rPr>
          <w:sz w:val="16"/>
          <w:szCs w:val="20"/>
        </w:rPr>
        <w:t xml:space="preserve">. </w:t>
      </w:r>
    </w:p>
  </w:footnote>
  <w:footnote w:id="4">
    <w:p w14:paraId="50B632B0" w14:textId="77777777" w:rsidR="004A5F5C" w:rsidRPr="005B6E1C" w:rsidRDefault="004A5F5C" w:rsidP="00B2377C">
      <w:pPr>
        <w:pStyle w:val="FootnoteText"/>
        <w:rPr>
          <w:sz w:val="18"/>
          <w:szCs w:val="18"/>
        </w:rPr>
      </w:pPr>
      <w:r w:rsidRPr="005B6E1C">
        <w:rPr>
          <w:rStyle w:val="FootnoteReference"/>
          <w:sz w:val="18"/>
          <w:szCs w:val="18"/>
        </w:rPr>
        <w:footnoteRef/>
      </w:r>
      <w:r w:rsidRPr="005B6E1C">
        <w:rPr>
          <w:sz w:val="18"/>
          <w:szCs w:val="18"/>
        </w:rPr>
        <w:t xml:space="preserve"> Multi-year agreements are those with a lifetime of two years or more. These do not include any amendments.</w:t>
      </w:r>
    </w:p>
  </w:footnote>
  <w:footnote w:id="5">
    <w:p w14:paraId="7CC8E497" w14:textId="19E422C6" w:rsidR="00377744" w:rsidRDefault="00377744" w:rsidP="00377744">
      <w:pPr>
        <w:pStyle w:val="FootnoteText"/>
      </w:pPr>
      <w:r w:rsidRPr="008D43EB">
        <w:rPr>
          <w:rStyle w:val="FootnoteReference"/>
          <w:sz w:val="18"/>
        </w:rPr>
        <w:footnoteRef/>
      </w:r>
      <w:r w:rsidRPr="008D43EB">
        <w:rPr>
          <w:sz w:val="18"/>
        </w:rPr>
        <w:t xml:space="preserve"> UN-RIAS is working on putting together a proposal for an "oversight trust fund" with UNEG, and UN-RIAS </w:t>
      </w:r>
      <w:proofErr w:type="gramStart"/>
      <w:r w:rsidRPr="008D43EB">
        <w:rPr>
          <w:sz w:val="18"/>
        </w:rPr>
        <w:t>in order to</w:t>
      </w:r>
      <w:proofErr w:type="gramEnd"/>
      <w:r w:rsidRPr="008D43EB">
        <w:rPr>
          <w:sz w:val="18"/>
        </w:rPr>
        <w:t xml:space="preserve"> be able to receive funding to finance, inter alia, the development and maintenance of a</w:t>
      </w:r>
      <w:r w:rsidR="00CE136E">
        <w:rPr>
          <w:sz w:val="18"/>
        </w:rPr>
        <w:t>n</w:t>
      </w:r>
      <w:r w:rsidRPr="008D43EB">
        <w:rPr>
          <w:sz w:val="18"/>
        </w:rPr>
        <w:t xml:space="preserve"> UN-RIAS platform.</w:t>
      </w:r>
    </w:p>
  </w:footnote>
  <w:footnote w:id="6">
    <w:p w14:paraId="41F65E48" w14:textId="77777777" w:rsidR="00DE25E4" w:rsidRPr="00930448" w:rsidRDefault="00DE25E4" w:rsidP="00B2377C">
      <w:pPr>
        <w:pStyle w:val="FootnoteText"/>
        <w:rPr>
          <w:sz w:val="18"/>
          <w:szCs w:val="18"/>
        </w:rPr>
      </w:pPr>
      <w:r w:rsidRPr="00930448">
        <w:rPr>
          <w:rStyle w:val="FootnoteReference"/>
          <w:sz w:val="18"/>
          <w:szCs w:val="18"/>
        </w:rPr>
        <w:footnoteRef/>
      </w:r>
      <w:r w:rsidRPr="00930448">
        <w:rPr>
          <w:sz w:val="18"/>
          <w:szCs w:val="18"/>
        </w:rPr>
        <w:t xml:space="preserve"> Methodology/approach is</w:t>
      </w:r>
      <w:r>
        <w:rPr>
          <w:sz w:val="18"/>
          <w:szCs w:val="18"/>
        </w:rPr>
        <w:t xml:space="preserve"> provided by </w:t>
      </w:r>
      <w:r w:rsidRPr="00930448">
        <w:rPr>
          <w:sz w:val="18"/>
          <w:szCs w:val="18"/>
        </w:rPr>
        <w:t xml:space="preserve">UN Development Coordination Office (DCO) for overall reporting on the Funding Compact and QCPR. </w:t>
      </w:r>
    </w:p>
  </w:footnote>
  <w:footnote w:id="7">
    <w:p w14:paraId="238BB983" w14:textId="77777777" w:rsidR="00DE25E4" w:rsidRPr="00930448" w:rsidRDefault="00DE25E4" w:rsidP="00B2377C">
      <w:pPr>
        <w:pStyle w:val="FootnoteText"/>
        <w:rPr>
          <w:sz w:val="18"/>
          <w:szCs w:val="18"/>
        </w:rPr>
      </w:pPr>
      <w:r w:rsidRPr="00930448">
        <w:rPr>
          <w:rStyle w:val="FootnoteReference"/>
          <w:sz w:val="18"/>
          <w:szCs w:val="18"/>
        </w:rPr>
        <w:footnoteRef/>
      </w:r>
      <w:r w:rsidRPr="00930448">
        <w:rPr>
          <w:sz w:val="18"/>
          <w:szCs w:val="18"/>
        </w:rPr>
        <w:t xml:space="preserve"> Methodology/approach is</w:t>
      </w:r>
      <w:r>
        <w:rPr>
          <w:sz w:val="18"/>
          <w:szCs w:val="18"/>
        </w:rPr>
        <w:t xml:space="preserve"> provided by </w:t>
      </w:r>
      <w:r w:rsidRPr="00930448">
        <w:rPr>
          <w:sz w:val="18"/>
          <w:szCs w:val="18"/>
        </w:rPr>
        <w:t xml:space="preserve">UN Development Coordination Office (DCO) for overall reporting on the Funding Compact and QCPR.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2"/>
      <w:gridCol w:w="5020"/>
    </w:tblGrid>
    <w:tr w:rsidR="00DE25E4" w:rsidRPr="009137B4" w14:paraId="678B9E92" w14:textId="77777777" w:rsidTr="007C4F19">
      <w:trPr>
        <w:trHeight w:val="135"/>
      </w:trPr>
      <w:tc>
        <w:tcPr>
          <w:tcW w:w="5148" w:type="dxa"/>
          <w:tcBorders>
            <w:top w:val="nil"/>
            <w:left w:val="nil"/>
            <w:bottom w:val="single" w:sz="4" w:space="0" w:color="auto"/>
            <w:right w:val="nil"/>
          </w:tcBorders>
        </w:tcPr>
        <w:p w14:paraId="7E4E1F72" w14:textId="77863AF6" w:rsidR="00DE25E4" w:rsidRPr="009137B4" w:rsidRDefault="00DE25E4" w:rsidP="007C4F19">
          <w:pPr>
            <w:pStyle w:val="Header"/>
            <w:rPr>
              <w:b/>
              <w:bCs/>
              <w:sz w:val="17"/>
              <w:szCs w:val="17"/>
            </w:rPr>
          </w:pPr>
          <w:r>
            <w:rPr>
              <w:b/>
              <w:bCs/>
              <w:sz w:val="17"/>
              <w:szCs w:val="17"/>
            </w:rPr>
            <w:t>DP/202</w:t>
          </w:r>
          <w:r w:rsidR="00DB6F89">
            <w:rPr>
              <w:b/>
              <w:bCs/>
              <w:sz w:val="17"/>
              <w:szCs w:val="17"/>
            </w:rPr>
            <w:t>3</w:t>
          </w:r>
          <w:r>
            <w:rPr>
              <w:b/>
              <w:bCs/>
              <w:sz w:val="17"/>
              <w:szCs w:val="17"/>
            </w:rPr>
            <w:t>/2</w:t>
          </w:r>
          <w:r w:rsidR="00DB6F89">
            <w:rPr>
              <w:b/>
              <w:bCs/>
              <w:sz w:val="17"/>
              <w:szCs w:val="17"/>
            </w:rPr>
            <w:t>6</w:t>
          </w:r>
        </w:p>
      </w:tc>
      <w:tc>
        <w:tcPr>
          <w:tcW w:w="5148" w:type="dxa"/>
          <w:tcBorders>
            <w:top w:val="nil"/>
            <w:left w:val="nil"/>
            <w:bottom w:val="single" w:sz="4" w:space="0" w:color="auto"/>
            <w:right w:val="nil"/>
          </w:tcBorders>
        </w:tcPr>
        <w:p w14:paraId="161966DB" w14:textId="77777777" w:rsidR="00DE25E4" w:rsidRPr="009137B4" w:rsidRDefault="00DE25E4" w:rsidP="00FC6FEC">
          <w:pPr>
            <w:pStyle w:val="Header"/>
            <w:rPr>
              <w:sz w:val="17"/>
              <w:szCs w:val="17"/>
            </w:rPr>
          </w:pPr>
        </w:p>
      </w:tc>
    </w:tr>
  </w:tbl>
  <w:p w14:paraId="724F3E06" w14:textId="77777777" w:rsidR="00DE25E4" w:rsidRDefault="00DE25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0"/>
      <w:gridCol w:w="5042"/>
    </w:tblGrid>
    <w:tr w:rsidR="00DE25E4" w:rsidRPr="009137B4" w14:paraId="6E7659F7" w14:textId="77777777" w:rsidTr="007C4F19">
      <w:trPr>
        <w:trHeight w:val="162"/>
      </w:trPr>
      <w:tc>
        <w:tcPr>
          <w:tcW w:w="5148" w:type="dxa"/>
          <w:tcBorders>
            <w:top w:val="nil"/>
            <w:left w:val="nil"/>
            <w:bottom w:val="single" w:sz="4" w:space="0" w:color="auto"/>
            <w:right w:val="nil"/>
          </w:tcBorders>
        </w:tcPr>
        <w:p w14:paraId="7F196213" w14:textId="77777777" w:rsidR="00DE25E4" w:rsidRPr="009137B4" w:rsidRDefault="00DE25E4" w:rsidP="00FC6FEC">
          <w:pPr>
            <w:pStyle w:val="Header"/>
            <w:rPr>
              <w:b/>
              <w:bCs/>
              <w:sz w:val="17"/>
              <w:szCs w:val="17"/>
            </w:rPr>
          </w:pPr>
        </w:p>
      </w:tc>
      <w:tc>
        <w:tcPr>
          <w:tcW w:w="5148" w:type="dxa"/>
          <w:tcBorders>
            <w:top w:val="nil"/>
            <w:left w:val="nil"/>
            <w:bottom w:val="single" w:sz="4" w:space="0" w:color="auto"/>
            <w:right w:val="nil"/>
          </w:tcBorders>
        </w:tcPr>
        <w:p w14:paraId="0BD466BF" w14:textId="77777777" w:rsidR="00DE25E4" w:rsidRPr="0017174A" w:rsidRDefault="00DE25E4" w:rsidP="007C4F19">
          <w:pPr>
            <w:pStyle w:val="Header"/>
            <w:jc w:val="right"/>
            <w:rPr>
              <w:b/>
              <w:sz w:val="17"/>
              <w:szCs w:val="17"/>
            </w:rPr>
          </w:pPr>
          <w:r w:rsidRPr="0017174A">
            <w:rPr>
              <w:b/>
              <w:sz w:val="17"/>
              <w:szCs w:val="17"/>
            </w:rPr>
            <w:t>DP/20</w:t>
          </w:r>
          <w:r>
            <w:rPr>
              <w:b/>
              <w:sz w:val="17"/>
              <w:szCs w:val="17"/>
            </w:rPr>
            <w:t>20/21</w:t>
          </w:r>
        </w:p>
      </w:tc>
    </w:tr>
  </w:tbl>
  <w:p w14:paraId="4D665BDB" w14:textId="77777777" w:rsidR="00DE25E4" w:rsidRDefault="00DE2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42F820"/>
    <w:lvl w:ilvl="0">
      <w:start w:val="1"/>
      <w:numFmt w:val="bullet"/>
      <w:lvlText w:val=""/>
      <w:lvlJc w:val="left"/>
      <w:pPr>
        <w:tabs>
          <w:tab w:val="num" w:pos="4950"/>
        </w:tabs>
        <w:ind w:left="4950" w:firstLine="0"/>
      </w:pPr>
      <w:rPr>
        <w:rFonts w:ascii="Symbol" w:hAnsi="Symbol" w:hint="default"/>
      </w:rPr>
    </w:lvl>
    <w:lvl w:ilvl="1">
      <w:start w:val="1"/>
      <w:numFmt w:val="bullet"/>
      <w:lvlText w:val=""/>
      <w:lvlJc w:val="left"/>
      <w:pPr>
        <w:tabs>
          <w:tab w:val="num" w:pos="5670"/>
        </w:tabs>
        <w:ind w:left="6030" w:hanging="360"/>
      </w:pPr>
      <w:rPr>
        <w:rFonts w:ascii="Symbol" w:hAnsi="Symbol" w:hint="default"/>
      </w:rPr>
    </w:lvl>
    <w:lvl w:ilvl="2">
      <w:start w:val="1"/>
      <w:numFmt w:val="bullet"/>
      <w:lvlText w:val="o"/>
      <w:lvlJc w:val="left"/>
      <w:pPr>
        <w:tabs>
          <w:tab w:val="num" w:pos="6390"/>
        </w:tabs>
        <w:ind w:left="6750" w:hanging="360"/>
      </w:pPr>
      <w:rPr>
        <w:rFonts w:ascii="Courier New" w:hAnsi="Courier New" w:cs="Courier New" w:hint="default"/>
      </w:rPr>
    </w:lvl>
    <w:lvl w:ilvl="3">
      <w:start w:val="1"/>
      <w:numFmt w:val="bullet"/>
      <w:lvlText w:val=""/>
      <w:lvlJc w:val="left"/>
      <w:pPr>
        <w:tabs>
          <w:tab w:val="num" w:pos="7110"/>
        </w:tabs>
        <w:ind w:left="7470" w:hanging="360"/>
      </w:pPr>
      <w:rPr>
        <w:rFonts w:ascii="Wingdings" w:hAnsi="Wingdings" w:hint="default"/>
      </w:rPr>
    </w:lvl>
    <w:lvl w:ilvl="4">
      <w:start w:val="1"/>
      <w:numFmt w:val="bullet"/>
      <w:lvlText w:val=""/>
      <w:lvlJc w:val="left"/>
      <w:pPr>
        <w:tabs>
          <w:tab w:val="num" w:pos="7830"/>
        </w:tabs>
        <w:ind w:left="8190" w:hanging="360"/>
      </w:pPr>
      <w:rPr>
        <w:rFonts w:ascii="Wingdings" w:hAnsi="Wingdings" w:hint="default"/>
      </w:rPr>
    </w:lvl>
    <w:lvl w:ilvl="5">
      <w:start w:val="1"/>
      <w:numFmt w:val="bullet"/>
      <w:lvlText w:val=""/>
      <w:lvlJc w:val="left"/>
      <w:pPr>
        <w:tabs>
          <w:tab w:val="num" w:pos="8550"/>
        </w:tabs>
        <w:ind w:left="8910" w:hanging="360"/>
      </w:pPr>
      <w:rPr>
        <w:rFonts w:ascii="Symbol" w:hAnsi="Symbol" w:hint="default"/>
      </w:rPr>
    </w:lvl>
    <w:lvl w:ilvl="6">
      <w:start w:val="1"/>
      <w:numFmt w:val="bullet"/>
      <w:lvlText w:val="o"/>
      <w:lvlJc w:val="left"/>
      <w:pPr>
        <w:tabs>
          <w:tab w:val="num" w:pos="9270"/>
        </w:tabs>
        <w:ind w:left="9630" w:hanging="360"/>
      </w:pPr>
      <w:rPr>
        <w:rFonts w:ascii="Courier New" w:hAnsi="Courier New" w:cs="Courier New" w:hint="default"/>
      </w:rPr>
    </w:lvl>
    <w:lvl w:ilvl="7">
      <w:start w:val="1"/>
      <w:numFmt w:val="bullet"/>
      <w:lvlText w:val=""/>
      <w:lvlJc w:val="left"/>
      <w:pPr>
        <w:tabs>
          <w:tab w:val="num" w:pos="9990"/>
        </w:tabs>
        <w:ind w:left="10350" w:hanging="360"/>
      </w:pPr>
      <w:rPr>
        <w:rFonts w:ascii="Wingdings" w:hAnsi="Wingdings" w:hint="default"/>
      </w:rPr>
    </w:lvl>
    <w:lvl w:ilvl="8">
      <w:start w:val="1"/>
      <w:numFmt w:val="bullet"/>
      <w:lvlText w:val=""/>
      <w:lvlJc w:val="left"/>
      <w:pPr>
        <w:tabs>
          <w:tab w:val="num" w:pos="10710"/>
        </w:tabs>
        <w:ind w:left="1107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BC5131"/>
    <w:multiLevelType w:val="hybridMultilevel"/>
    <w:tmpl w:val="12827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1C11D8"/>
    <w:multiLevelType w:val="hybridMultilevel"/>
    <w:tmpl w:val="5E20840E"/>
    <w:lvl w:ilvl="0" w:tplc="0409000F">
      <w:start w:val="1"/>
      <w:numFmt w:val="decimal"/>
      <w:lvlText w:val="%1."/>
      <w:lvlJc w:val="left"/>
      <w:pPr>
        <w:ind w:left="1620"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4" w15:restartNumberingAfterBreak="0">
    <w:nsid w:val="024A77FF"/>
    <w:multiLevelType w:val="hybridMultilevel"/>
    <w:tmpl w:val="9B80FAB4"/>
    <w:lvl w:ilvl="0" w:tplc="D1BE273C">
      <w:start w:val="1"/>
      <w:numFmt w:val="upp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5" w15:restartNumberingAfterBreak="0">
    <w:nsid w:val="03771DBF"/>
    <w:multiLevelType w:val="hybridMultilevel"/>
    <w:tmpl w:val="1CF89D40"/>
    <w:lvl w:ilvl="0" w:tplc="2A068ED2">
      <w:start w:val="1"/>
      <w:numFmt w:val="decimal"/>
      <w:lvlText w:val="%1."/>
      <w:lvlJc w:val="left"/>
      <w:pPr>
        <w:ind w:left="1800" w:hanging="360"/>
      </w:pPr>
      <w:rPr>
        <w:b w:val="0"/>
        <w:bCs w:val="0"/>
        <w:sz w:val="20"/>
        <w:szCs w:val="20"/>
      </w:rPr>
    </w:lvl>
    <w:lvl w:ilvl="1" w:tplc="E4BA2FB6">
      <w:start w:val="1"/>
      <w:numFmt w:val="lowerLetter"/>
      <w:lvlText w:val="%2."/>
      <w:lvlJc w:val="left"/>
      <w:pPr>
        <w:ind w:left="1260" w:hanging="360"/>
      </w:pPr>
    </w:lvl>
    <w:lvl w:ilvl="2" w:tplc="AA3C6F4E">
      <w:start w:val="1"/>
      <w:numFmt w:val="lowerRoman"/>
      <w:lvlText w:val="%3."/>
      <w:lvlJc w:val="right"/>
      <w:pPr>
        <w:ind w:left="1980" w:hanging="180"/>
      </w:pPr>
    </w:lvl>
    <w:lvl w:ilvl="3" w:tplc="A41072D0">
      <w:start w:val="1"/>
      <w:numFmt w:val="decimal"/>
      <w:lvlText w:val="%4."/>
      <w:lvlJc w:val="left"/>
      <w:pPr>
        <w:ind w:left="2700" w:hanging="360"/>
      </w:pPr>
    </w:lvl>
    <w:lvl w:ilvl="4" w:tplc="F00223C8">
      <w:start w:val="1"/>
      <w:numFmt w:val="lowerLetter"/>
      <w:lvlText w:val="%5."/>
      <w:lvlJc w:val="left"/>
      <w:pPr>
        <w:ind w:left="3420" w:hanging="360"/>
      </w:pPr>
    </w:lvl>
    <w:lvl w:ilvl="5" w:tplc="F84AF54C">
      <w:start w:val="1"/>
      <w:numFmt w:val="lowerRoman"/>
      <w:lvlText w:val="%6."/>
      <w:lvlJc w:val="right"/>
      <w:pPr>
        <w:ind w:left="4140" w:hanging="180"/>
      </w:pPr>
    </w:lvl>
    <w:lvl w:ilvl="6" w:tplc="FEDCDF6C">
      <w:start w:val="1"/>
      <w:numFmt w:val="decimal"/>
      <w:lvlText w:val="%7."/>
      <w:lvlJc w:val="left"/>
      <w:pPr>
        <w:ind w:left="4860" w:hanging="360"/>
      </w:pPr>
    </w:lvl>
    <w:lvl w:ilvl="7" w:tplc="C1904ED8">
      <w:start w:val="1"/>
      <w:numFmt w:val="lowerLetter"/>
      <w:lvlText w:val="%8."/>
      <w:lvlJc w:val="left"/>
      <w:pPr>
        <w:ind w:left="5580" w:hanging="360"/>
      </w:pPr>
    </w:lvl>
    <w:lvl w:ilvl="8" w:tplc="4628F70E">
      <w:start w:val="1"/>
      <w:numFmt w:val="lowerRoman"/>
      <w:lvlText w:val="%9."/>
      <w:lvlJc w:val="right"/>
      <w:pPr>
        <w:ind w:left="6300" w:hanging="180"/>
      </w:pPr>
    </w:lvl>
  </w:abstractNum>
  <w:abstractNum w:abstractNumId="6" w15:restartNumberingAfterBreak="0">
    <w:nsid w:val="0464162B"/>
    <w:multiLevelType w:val="hybridMultilevel"/>
    <w:tmpl w:val="7D2EDA6C"/>
    <w:lvl w:ilvl="0" w:tplc="9D6CE83A">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7" w15:restartNumberingAfterBreak="0">
    <w:nsid w:val="096F0E63"/>
    <w:multiLevelType w:val="hybridMultilevel"/>
    <w:tmpl w:val="6FEC4C60"/>
    <w:lvl w:ilvl="0" w:tplc="E154EE38">
      <w:start w:val="1"/>
      <w:numFmt w:val="upp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8" w15:restartNumberingAfterBreak="0">
    <w:nsid w:val="0A242698"/>
    <w:multiLevelType w:val="multilevel"/>
    <w:tmpl w:val="09486D62"/>
    <w:lvl w:ilvl="0">
      <w:start w:val="43"/>
      <w:numFmt w:val="decimal"/>
      <w:lvlText w:val="%1."/>
      <w:lvlJc w:val="left"/>
      <w:pPr>
        <w:ind w:left="-187" w:hanging="360"/>
      </w:pPr>
      <w:rPr>
        <w:rFonts w:cs="Calibri" w:hint="default"/>
      </w:rPr>
    </w:lvl>
    <w:lvl w:ilvl="1">
      <w:start w:val="1"/>
      <w:numFmt w:val="lowerLetter"/>
      <w:lvlText w:val="%2."/>
      <w:lvlJc w:val="left"/>
      <w:pPr>
        <w:ind w:left="533" w:hanging="360"/>
      </w:pPr>
    </w:lvl>
    <w:lvl w:ilvl="2">
      <w:start w:val="1"/>
      <w:numFmt w:val="lowerRoman"/>
      <w:lvlText w:val="%3."/>
      <w:lvlJc w:val="right"/>
      <w:pPr>
        <w:ind w:left="1253" w:hanging="180"/>
      </w:pPr>
    </w:lvl>
    <w:lvl w:ilvl="3">
      <w:start w:val="1"/>
      <w:numFmt w:val="decimal"/>
      <w:lvlText w:val="%4."/>
      <w:lvlJc w:val="left"/>
      <w:pPr>
        <w:ind w:left="1973" w:hanging="360"/>
      </w:pPr>
    </w:lvl>
    <w:lvl w:ilvl="4">
      <w:start w:val="1"/>
      <w:numFmt w:val="lowerLetter"/>
      <w:lvlText w:val="%5."/>
      <w:lvlJc w:val="left"/>
      <w:pPr>
        <w:ind w:left="2693" w:hanging="360"/>
      </w:pPr>
    </w:lvl>
    <w:lvl w:ilvl="5">
      <w:start w:val="1"/>
      <w:numFmt w:val="lowerRoman"/>
      <w:lvlText w:val="%6."/>
      <w:lvlJc w:val="right"/>
      <w:pPr>
        <w:ind w:left="3413" w:hanging="180"/>
      </w:pPr>
    </w:lvl>
    <w:lvl w:ilvl="6">
      <w:start w:val="1"/>
      <w:numFmt w:val="decimal"/>
      <w:lvlText w:val="%7."/>
      <w:lvlJc w:val="left"/>
      <w:pPr>
        <w:ind w:left="4133" w:hanging="360"/>
      </w:pPr>
    </w:lvl>
    <w:lvl w:ilvl="7">
      <w:start w:val="1"/>
      <w:numFmt w:val="lowerLetter"/>
      <w:lvlText w:val="%8."/>
      <w:lvlJc w:val="left"/>
      <w:pPr>
        <w:ind w:left="4853" w:hanging="360"/>
      </w:pPr>
    </w:lvl>
    <w:lvl w:ilvl="8">
      <w:start w:val="1"/>
      <w:numFmt w:val="lowerRoman"/>
      <w:lvlText w:val="%9."/>
      <w:lvlJc w:val="right"/>
      <w:pPr>
        <w:ind w:left="5573" w:hanging="180"/>
      </w:pPr>
    </w:lvl>
  </w:abstractNum>
  <w:abstractNum w:abstractNumId="9" w15:restartNumberingAfterBreak="0">
    <w:nsid w:val="0A7B49FD"/>
    <w:multiLevelType w:val="hybridMultilevel"/>
    <w:tmpl w:val="77DE1802"/>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460E50"/>
    <w:multiLevelType w:val="hybridMultilevel"/>
    <w:tmpl w:val="7B947E4E"/>
    <w:lvl w:ilvl="0" w:tplc="32AC74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2120B0"/>
    <w:multiLevelType w:val="hybridMultilevel"/>
    <w:tmpl w:val="4C8E35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186DEF"/>
    <w:multiLevelType w:val="hybridMultilevel"/>
    <w:tmpl w:val="5DACF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D9688C"/>
    <w:multiLevelType w:val="hybridMultilevel"/>
    <w:tmpl w:val="5A24AB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B275552"/>
    <w:multiLevelType w:val="hybridMultilevel"/>
    <w:tmpl w:val="3384BA8E"/>
    <w:lvl w:ilvl="0" w:tplc="04090005">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EB95826"/>
    <w:multiLevelType w:val="hybridMultilevel"/>
    <w:tmpl w:val="9740DD12"/>
    <w:lvl w:ilvl="0" w:tplc="5AF614C2">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CB50A9"/>
    <w:multiLevelType w:val="hybridMultilevel"/>
    <w:tmpl w:val="5066C534"/>
    <w:lvl w:ilvl="0" w:tplc="CBF04CD0">
      <w:start w:val="1"/>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225720DF"/>
    <w:multiLevelType w:val="hybridMultilevel"/>
    <w:tmpl w:val="9572AD60"/>
    <w:lvl w:ilvl="0" w:tplc="F36884B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26F77C1D"/>
    <w:multiLevelType w:val="hybridMultilevel"/>
    <w:tmpl w:val="771E16F8"/>
    <w:lvl w:ilvl="0" w:tplc="32AC74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4F162A"/>
    <w:multiLevelType w:val="hybridMultilevel"/>
    <w:tmpl w:val="71809BB0"/>
    <w:lvl w:ilvl="0" w:tplc="69F0AB5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2BC97D88"/>
    <w:multiLevelType w:val="hybridMultilevel"/>
    <w:tmpl w:val="34922502"/>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2EAC4618"/>
    <w:multiLevelType w:val="hybridMultilevel"/>
    <w:tmpl w:val="6EB80B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F6A3370"/>
    <w:multiLevelType w:val="multilevel"/>
    <w:tmpl w:val="09486D62"/>
    <w:lvl w:ilvl="0">
      <w:start w:val="43"/>
      <w:numFmt w:val="decimal"/>
      <w:lvlText w:val="%1."/>
      <w:lvlJc w:val="left"/>
      <w:pPr>
        <w:ind w:left="-187" w:hanging="360"/>
      </w:pPr>
      <w:rPr>
        <w:rFonts w:cs="Calibri" w:hint="default"/>
      </w:rPr>
    </w:lvl>
    <w:lvl w:ilvl="1">
      <w:start w:val="1"/>
      <w:numFmt w:val="lowerLetter"/>
      <w:lvlText w:val="%2."/>
      <w:lvlJc w:val="left"/>
      <w:pPr>
        <w:ind w:left="533" w:hanging="360"/>
      </w:pPr>
    </w:lvl>
    <w:lvl w:ilvl="2">
      <w:start w:val="1"/>
      <w:numFmt w:val="lowerRoman"/>
      <w:lvlText w:val="%3."/>
      <w:lvlJc w:val="right"/>
      <w:pPr>
        <w:ind w:left="1253" w:hanging="180"/>
      </w:pPr>
    </w:lvl>
    <w:lvl w:ilvl="3">
      <w:start w:val="1"/>
      <w:numFmt w:val="decimal"/>
      <w:lvlText w:val="%4."/>
      <w:lvlJc w:val="left"/>
      <w:pPr>
        <w:ind w:left="1973" w:hanging="360"/>
      </w:pPr>
    </w:lvl>
    <w:lvl w:ilvl="4">
      <w:start w:val="1"/>
      <w:numFmt w:val="lowerLetter"/>
      <w:lvlText w:val="%5."/>
      <w:lvlJc w:val="left"/>
      <w:pPr>
        <w:ind w:left="2693" w:hanging="360"/>
      </w:pPr>
    </w:lvl>
    <w:lvl w:ilvl="5">
      <w:start w:val="1"/>
      <w:numFmt w:val="lowerRoman"/>
      <w:lvlText w:val="%6."/>
      <w:lvlJc w:val="right"/>
      <w:pPr>
        <w:ind w:left="3413" w:hanging="180"/>
      </w:pPr>
    </w:lvl>
    <w:lvl w:ilvl="6">
      <w:start w:val="1"/>
      <w:numFmt w:val="decimal"/>
      <w:lvlText w:val="%7."/>
      <w:lvlJc w:val="left"/>
      <w:pPr>
        <w:ind w:left="4133" w:hanging="360"/>
      </w:pPr>
    </w:lvl>
    <w:lvl w:ilvl="7">
      <w:start w:val="1"/>
      <w:numFmt w:val="lowerLetter"/>
      <w:lvlText w:val="%8."/>
      <w:lvlJc w:val="left"/>
      <w:pPr>
        <w:ind w:left="4853" w:hanging="360"/>
      </w:pPr>
    </w:lvl>
    <w:lvl w:ilvl="8">
      <w:start w:val="1"/>
      <w:numFmt w:val="lowerRoman"/>
      <w:lvlText w:val="%9."/>
      <w:lvlJc w:val="right"/>
      <w:pPr>
        <w:ind w:left="5573" w:hanging="180"/>
      </w:pPr>
    </w:lvl>
  </w:abstractNum>
  <w:abstractNum w:abstractNumId="23" w15:restartNumberingAfterBreak="0">
    <w:nsid w:val="345B3CAF"/>
    <w:multiLevelType w:val="multilevel"/>
    <w:tmpl w:val="AF9681B4"/>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6175F6B"/>
    <w:multiLevelType w:val="hybridMultilevel"/>
    <w:tmpl w:val="5FA82B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87468A2"/>
    <w:multiLevelType w:val="hybridMultilevel"/>
    <w:tmpl w:val="83BE8C2E"/>
    <w:lvl w:ilvl="0" w:tplc="2FDC50B6">
      <w:start w:val="1"/>
      <w:numFmt w:val="upperLetter"/>
      <w:lvlText w:val="%1."/>
      <w:lvlJc w:val="left"/>
      <w:pPr>
        <w:ind w:left="1627" w:hanging="360"/>
      </w:pPr>
      <w:rPr>
        <w:rFonts w:hint="default"/>
        <w:color w:val="auto"/>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6" w15:restartNumberingAfterBreak="0">
    <w:nsid w:val="399A07C7"/>
    <w:multiLevelType w:val="hybridMultilevel"/>
    <w:tmpl w:val="09486D62"/>
    <w:lvl w:ilvl="0" w:tplc="6554DF02">
      <w:start w:val="43"/>
      <w:numFmt w:val="decimal"/>
      <w:lvlText w:val="%1."/>
      <w:lvlJc w:val="left"/>
      <w:pPr>
        <w:ind w:left="-187" w:hanging="360"/>
      </w:pPr>
      <w:rPr>
        <w:rFonts w:cs="Calibri" w:hint="default"/>
      </w:rPr>
    </w:lvl>
    <w:lvl w:ilvl="1" w:tplc="04090019" w:tentative="1">
      <w:start w:val="1"/>
      <w:numFmt w:val="lowerLetter"/>
      <w:lvlText w:val="%2."/>
      <w:lvlJc w:val="left"/>
      <w:pPr>
        <w:ind w:left="533" w:hanging="360"/>
      </w:pPr>
    </w:lvl>
    <w:lvl w:ilvl="2" w:tplc="0409001B" w:tentative="1">
      <w:start w:val="1"/>
      <w:numFmt w:val="lowerRoman"/>
      <w:lvlText w:val="%3."/>
      <w:lvlJc w:val="right"/>
      <w:pPr>
        <w:ind w:left="1253" w:hanging="180"/>
      </w:pPr>
    </w:lvl>
    <w:lvl w:ilvl="3" w:tplc="0409000F" w:tentative="1">
      <w:start w:val="1"/>
      <w:numFmt w:val="decimal"/>
      <w:lvlText w:val="%4."/>
      <w:lvlJc w:val="left"/>
      <w:pPr>
        <w:ind w:left="1973" w:hanging="360"/>
      </w:pPr>
    </w:lvl>
    <w:lvl w:ilvl="4" w:tplc="04090019" w:tentative="1">
      <w:start w:val="1"/>
      <w:numFmt w:val="lowerLetter"/>
      <w:lvlText w:val="%5."/>
      <w:lvlJc w:val="left"/>
      <w:pPr>
        <w:ind w:left="2693" w:hanging="360"/>
      </w:pPr>
    </w:lvl>
    <w:lvl w:ilvl="5" w:tplc="0409001B" w:tentative="1">
      <w:start w:val="1"/>
      <w:numFmt w:val="lowerRoman"/>
      <w:lvlText w:val="%6."/>
      <w:lvlJc w:val="right"/>
      <w:pPr>
        <w:ind w:left="3413" w:hanging="180"/>
      </w:pPr>
    </w:lvl>
    <w:lvl w:ilvl="6" w:tplc="0409000F" w:tentative="1">
      <w:start w:val="1"/>
      <w:numFmt w:val="decimal"/>
      <w:lvlText w:val="%7."/>
      <w:lvlJc w:val="left"/>
      <w:pPr>
        <w:ind w:left="4133" w:hanging="360"/>
      </w:pPr>
    </w:lvl>
    <w:lvl w:ilvl="7" w:tplc="04090019" w:tentative="1">
      <w:start w:val="1"/>
      <w:numFmt w:val="lowerLetter"/>
      <w:lvlText w:val="%8."/>
      <w:lvlJc w:val="left"/>
      <w:pPr>
        <w:ind w:left="4853" w:hanging="360"/>
      </w:pPr>
    </w:lvl>
    <w:lvl w:ilvl="8" w:tplc="0409001B" w:tentative="1">
      <w:start w:val="1"/>
      <w:numFmt w:val="lowerRoman"/>
      <w:lvlText w:val="%9."/>
      <w:lvlJc w:val="right"/>
      <w:pPr>
        <w:ind w:left="5573" w:hanging="180"/>
      </w:pPr>
    </w:lvl>
  </w:abstractNum>
  <w:abstractNum w:abstractNumId="27" w15:restartNumberingAfterBreak="0">
    <w:nsid w:val="3C222DCD"/>
    <w:multiLevelType w:val="hybridMultilevel"/>
    <w:tmpl w:val="A780474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45EE6D17"/>
    <w:multiLevelType w:val="hybridMultilevel"/>
    <w:tmpl w:val="52A04702"/>
    <w:lvl w:ilvl="0" w:tplc="D59EBA1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5D1E0D"/>
    <w:multiLevelType w:val="hybridMultilevel"/>
    <w:tmpl w:val="3936257C"/>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30657E7"/>
    <w:multiLevelType w:val="hybridMultilevel"/>
    <w:tmpl w:val="23B2B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4144E65"/>
    <w:multiLevelType w:val="hybridMultilevel"/>
    <w:tmpl w:val="6FEC4C60"/>
    <w:lvl w:ilvl="0" w:tplc="E154EE38">
      <w:start w:val="1"/>
      <w:numFmt w:val="upp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2" w15:restartNumberingAfterBreak="0">
    <w:nsid w:val="57094B68"/>
    <w:multiLevelType w:val="hybridMultilevel"/>
    <w:tmpl w:val="DA7696D4"/>
    <w:lvl w:ilvl="0" w:tplc="F36884B2">
      <w:start w:val="1"/>
      <w:numFmt w:val="lowerLetter"/>
      <w:lvlText w:val="(%1)"/>
      <w:lvlJc w:val="left"/>
      <w:pPr>
        <w:ind w:left="1350" w:hanging="360"/>
      </w:pPr>
      <w:rPr>
        <w:rFonts w:hint="default"/>
      </w:rPr>
    </w:lvl>
    <w:lvl w:ilvl="1" w:tplc="F36884B2">
      <w:start w:val="1"/>
      <w:numFmt w:val="lowerLetter"/>
      <w:lvlText w:val="(%2)"/>
      <w:lvlJc w:val="left"/>
      <w:pPr>
        <w:ind w:left="2070" w:hanging="360"/>
      </w:pPr>
      <w:rPr>
        <w:rFonts w:hint="default"/>
      </w:r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15:restartNumberingAfterBreak="0">
    <w:nsid w:val="59E142CD"/>
    <w:multiLevelType w:val="hybridMultilevel"/>
    <w:tmpl w:val="9B80FAB4"/>
    <w:lvl w:ilvl="0" w:tplc="D1BE273C">
      <w:start w:val="1"/>
      <w:numFmt w:val="upp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4" w15:restartNumberingAfterBreak="0">
    <w:nsid w:val="5BC445CF"/>
    <w:multiLevelType w:val="hybridMultilevel"/>
    <w:tmpl w:val="9A0433E6"/>
    <w:lvl w:ilvl="0" w:tplc="96247E24">
      <w:start w:val="1"/>
      <w:numFmt w:val="decimal"/>
      <w:lvlText w:val="%1."/>
      <w:lvlJc w:val="left"/>
      <w:pPr>
        <w:ind w:left="1080" w:hanging="360"/>
      </w:pPr>
      <w:rPr>
        <w:rFonts w:ascii="Times New Roman" w:hAnsi="Times New Roman" w:cs="Times New Roman" w:hint="default"/>
        <w:b w:val="0"/>
        <w:bCs/>
        <w:sz w:val="20"/>
        <w:szCs w:val="20"/>
      </w:rPr>
    </w:lvl>
    <w:lvl w:ilvl="1" w:tplc="F36884B2">
      <w:start w:val="1"/>
      <w:numFmt w:val="lowerLetter"/>
      <w:lvlText w:val="(%2)"/>
      <w:lvlJc w:val="left"/>
      <w:pPr>
        <w:ind w:left="1800" w:hanging="360"/>
      </w:pPr>
      <w:rPr>
        <w:rFonts w:hint="default"/>
      </w:rPr>
    </w:lvl>
    <w:lvl w:ilvl="2" w:tplc="F25E95F2">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B45566"/>
    <w:multiLevelType w:val="hybridMultilevel"/>
    <w:tmpl w:val="D57C9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44E5189"/>
    <w:multiLevelType w:val="hybridMultilevel"/>
    <w:tmpl w:val="5E462FEA"/>
    <w:lvl w:ilvl="0" w:tplc="04090003">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5DC0752"/>
    <w:multiLevelType w:val="hybridMultilevel"/>
    <w:tmpl w:val="C480FCFC"/>
    <w:lvl w:ilvl="0" w:tplc="AB58C65C">
      <w:start w:val="1"/>
      <w:numFmt w:val="decimal"/>
      <w:lvlText w:val="%1."/>
      <w:lvlJc w:val="left"/>
      <w:pPr>
        <w:ind w:left="720" w:hanging="360"/>
      </w:pPr>
      <w:rPr>
        <w:rFonts w:ascii="Times New Roman" w:eastAsia="SimSun" w:hAnsi="Times New Roman" w:cs="Times New Roman"/>
      </w:rPr>
    </w:lvl>
    <w:lvl w:ilvl="1" w:tplc="B2C48078">
      <w:start w:val="1"/>
      <w:numFmt w:val="upperRoman"/>
      <w:lvlText w:val="%2."/>
      <w:lvlJc w:val="left"/>
      <w:pPr>
        <w:ind w:left="1440" w:hanging="360"/>
      </w:pPr>
      <w:rPr>
        <w:rFonts w:ascii="Calibri" w:eastAsia="Times New Roman" w:hAnsi="Calibri" w:cs="Times New Roman"/>
      </w:rPr>
    </w:lvl>
    <w:lvl w:ilvl="2" w:tplc="6C240C16">
      <w:start w:val="1"/>
      <w:numFmt w:val="upperRoman"/>
      <w:lvlText w:val="%3."/>
      <w:lvlJc w:val="right"/>
      <w:pPr>
        <w:ind w:left="2160" w:hanging="180"/>
      </w:pPr>
      <w:rPr>
        <w:rFonts w:ascii="Times New Roman" w:eastAsia="Times New Roman" w:hAnsi="Times New Roman" w:cs="Times New Roman"/>
      </w:rPr>
    </w:lvl>
    <w:lvl w:ilvl="3" w:tplc="ECF03DB6">
      <w:start w:val="1"/>
      <w:numFmt w:val="decimal"/>
      <w:lvlText w:val="%4."/>
      <w:lvlJc w:val="left"/>
      <w:pPr>
        <w:ind w:left="1800" w:hanging="360"/>
      </w:pPr>
      <w:rPr>
        <w:rFonts w:ascii="Times New Roman" w:eastAsia="Times New Roman" w:hAnsi="Times New Roman" w:cs="Times New Roman"/>
        <w:b w:val="0"/>
        <w:i w:val="0"/>
        <w:color w:val="000000"/>
        <w:sz w:val="20"/>
        <w:szCs w:val="20"/>
        <w:lang w:val="en-US"/>
      </w:rPr>
    </w:lvl>
    <w:lvl w:ilvl="4" w:tplc="04090019">
      <w:start w:val="1"/>
      <w:numFmt w:val="lowerLetter"/>
      <w:lvlText w:val="%5."/>
      <w:lvlJc w:val="left"/>
      <w:pPr>
        <w:ind w:left="3600" w:hanging="360"/>
      </w:pPr>
    </w:lvl>
    <w:lvl w:ilvl="5" w:tplc="4DAE5A8A">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A57650"/>
    <w:multiLevelType w:val="multilevel"/>
    <w:tmpl w:val="09486D62"/>
    <w:lvl w:ilvl="0">
      <w:start w:val="43"/>
      <w:numFmt w:val="decimal"/>
      <w:lvlText w:val="%1."/>
      <w:lvlJc w:val="left"/>
      <w:pPr>
        <w:ind w:left="-187" w:hanging="360"/>
      </w:pPr>
      <w:rPr>
        <w:rFonts w:cs="Calibri" w:hint="default"/>
      </w:rPr>
    </w:lvl>
    <w:lvl w:ilvl="1">
      <w:start w:val="1"/>
      <w:numFmt w:val="lowerLetter"/>
      <w:lvlText w:val="%2."/>
      <w:lvlJc w:val="left"/>
      <w:pPr>
        <w:ind w:left="533" w:hanging="360"/>
      </w:pPr>
    </w:lvl>
    <w:lvl w:ilvl="2">
      <w:start w:val="1"/>
      <w:numFmt w:val="lowerRoman"/>
      <w:lvlText w:val="%3."/>
      <w:lvlJc w:val="right"/>
      <w:pPr>
        <w:ind w:left="1253" w:hanging="180"/>
      </w:pPr>
    </w:lvl>
    <w:lvl w:ilvl="3">
      <w:start w:val="1"/>
      <w:numFmt w:val="decimal"/>
      <w:lvlText w:val="%4."/>
      <w:lvlJc w:val="left"/>
      <w:pPr>
        <w:ind w:left="1973" w:hanging="360"/>
      </w:pPr>
    </w:lvl>
    <w:lvl w:ilvl="4">
      <w:start w:val="1"/>
      <w:numFmt w:val="lowerLetter"/>
      <w:lvlText w:val="%5."/>
      <w:lvlJc w:val="left"/>
      <w:pPr>
        <w:ind w:left="2693" w:hanging="360"/>
      </w:pPr>
    </w:lvl>
    <w:lvl w:ilvl="5">
      <w:start w:val="1"/>
      <w:numFmt w:val="lowerRoman"/>
      <w:lvlText w:val="%6."/>
      <w:lvlJc w:val="right"/>
      <w:pPr>
        <w:ind w:left="3413" w:hanging="180"/>
      </w:pPr>
    </w:lvl>
    <w:lvl w:ilvl="6">
      <w:start w:val="1"/>
      <w:numFmt w:val="decimal"/>
      <w:lvlText w:val="%7."/>
      <w:lvlJc w:val="left"/>
      <w:pPr>
        <w:ind w:left="4133" w:hanging="360"/>
      </w:pPr>
    </w:lvl>
    <w:lvl w:ilvl="7">
      <w:start w:val="1"/>
      <w:numFmt w:val="lowerLetter"/>
      <w:lvlText w:val="%8."/>
      <w:lvlJc w:val="left"/>
      <w:pPr>
        <w:ind w:left="4853" w:hanging="360"/>
      </w:pPr>
    </w:lvl>
    <w:lvl w:ilvl="8">
      <w:start w:val="1"/>
      <w:numFmt w:val="lowerRoman"/>
      <w:lvlText w:val="%9."/>
      <w:lvlJc w:val="right"/>
      <w:pPr>
        <w:ind w:left="5573" w:hanging="180"/>
      </w:pPr>
    </w:lvl>
  </w:abstractNum>
  <w:abstractNum w:abstractNumId="39" w15:restartNumberingAfterBreak="0">
    <w:nsid w:val="6A3411C0"/>
    <w:multiLevelType w:val="hybridMultilevel"/>
    <w:tmpl w:val="30B61D8A"/>
    <w:lvl w:ilvl="0" w:tplc="4D0E781C">
      <w:start w:val="1"/>
      <w:numFmt w:val="decimal"/>
      <w:lvlText w:val="%1."/>
      <w:lvlJc w:val="left"/>
      <w:pPr>
        <w:ind w:left="1987" w:hanging="1627"/>
      </w:pPr>
      <w:rPr>
        <w:rFonts w:eastAsiaTheme="minorHAnsi" w:hint="default"/>
        <w:w w:val="103"/>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BC0289"/>
    <w:multiLevelType w:val="hybridMultilevel"/>
    <w:tmpl w:val="0304F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0A53CE9"/>
    <w:multiLevelType w:val="hybridMultilevel"/>
    <w:tmpl w:val="894CB5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768116C3"/>
    <w:multiLevelType w:val="hybridMultilevel"/>
    <w:tmpl w:val="F2962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F42C50"/>
    <w:multiLevelType w:val="hybridMultilevel"/>
    <w:tmpl w:val="9B80FAB4"/>
    <w:lvl w:ilvl="0" w:tplc="D1BE273C">
      <w:start w:val="1"/>
      <w:numFmt w:val="upp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44" w15:restartNumberingAfterBreak="0">
    <w:nsid w:val="79034565"/>
    <w:multiLevelType w:val="hybridMultilevel"/>
    <w:tmpl w:val="D8467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D904C35"/>
    <w:multiLevelType w:val="hybridMultilevel"/>
    <w:tmpl w:val="B3625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040AB6"/>
    <w:multiLevelType w:val="hybridMultilevel"/>
    <w:tmpl w:val="686673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73415937">
    <w:abstractNumId w:val="25"/>
  </w:num>
  <w:num w:numId="2" w16cid:durableId="1719476867">
    <w:abstractNumId w:val="37"/>
  </w:num>
  <w:num w:numId="3" w16cid:durableId="283463694">
    <w:abstractNumId w:val="24"/>
  </w:num>
  <w:num w:numId="4" w16cid:durableId="167799865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1299396">
    <w:abstractNumId w:val="30"/>
  </w:num>
  <w:num w:numId="6" w16cid:durableId="1337420753">
    <w:abstractNumId w:val="30"/>
  </w:num>
  <w:num w:numId="7" w16cid:durableId="17040200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8955910">
    <w:abstractNumId w:val="16"/>
  </w:num>
  <w:num w:numId="9" w16cid:durableId="1435133527">
    <w:abstractNumId w:val="28"/>
  </w:num>
  <w:num w:numId="10" w16cid:durableId="1866943981">
    <w:abstractNumId w:val="46"/>
  </w:num>
  <w:num w:numId="11" w16cid:durableId="422802883">
    <w:abstractNumId w:val="14"/>
  </w:num>
  <w:num w:numId="12" w16cid:durableId="1820145832">
    <w:abstractNumId w:val="13"/>
  </w:num>
  <w:num w:numId="13" w16cid:durableId="743114170">
    <w:abstractNumId w:val="41"/>
  </w:num>
  <w:num w:numId="14" w16cid:durableId="1783300365">
    <w:abstractNumId w:val="0"/>
  </w:num>
  <w:num w:numId="15" w16cid:durableId="1416853717">
    <w:abstractNumId w:val="26"/>
  </w:num>
  <w:num w:numId="16" w16cid:durableId="14775770">
    <w:abstractNumId w:val="38"/>
  </w:num>
  <w:num w:numId="17" w16cid:durableId="1291665025">
    <w:abstractNumId w:val="8"/>
  </w:num>
  <w:num w:numId="18" w16cid:durableId="1324314520">
    <w:abstractNumId w:val="22"/>
  </w:num>
  <w:num w:numId="19" w16cid:durableId="1825316283">
    <w:abstractNumId w:val="36"/>
  </w:num>
  <w:num w:numId="20" w16cid:durableId="924263022">
    <w:abstractNumId w:val="6"/>
  </w:num>
  <w:num w:numId="21" w16cid:durableId="1373919976">
    <w:abstractNumId w:val="45"/>
  </w:num>
  <w:num w:numId="22" w16cid:durableId="588580775">
    <w:abstractNumId w:val="39"/>
  </w:num>
  <w:num w:numId="23" w16cid:durableId="1181361030">
    <w:abstractNumId w:val="3"/>
  </w:num>
  <w:num w:numId="24" w16cid:durableId="1329558444">
    <w:abstractNumId w:val="42"/>
  </w:num>
  <w:num w:numId="25" w16cid:durableId="792596685">
    <w:abstractNumId w:val="2"/>
  </w:num>
  <w:num w:numId="26" w16cid:durableId="1787308954">
    <w:abstractNumId w:val="44"/>
  </w:num>
  <w:num w:numId="27" w16cid:durableId="1147430470">
    <w:abstractNumId w:val="10"/>
  </w:num>
  <w:num w:numId="28" w16cid:durableId="555431898">
    <w:abstractNumId w:val="18"/>
  </w:num>
  <w:num w:numId="29" w16cid:durableId="1470173822">
    <w:abstractNumId w:val="7"/>
  </w:num>
  <w:num w:numId="30" w16cid:durableId="2023582219">
    <w:abstractNumId w:val="31"/>
  </w:num>
  <w:num w:numId="31" w16cid:durableId="672344042">
    <w:abstractNumId w:val="15"/>
  </w:num>
  <w:num w:numId="32" w16cid:durableId="232392228">
    <w:abstractNumId w:val="20"/>
  </w:num>
  <w:num w:numId="33" w16cid:durableId="1667518978">
    <w:abstractNumId w:val="27"/>
  </w:num>
  <w:num w:numId="34" w16cid:durableId="1812356576">
    <w:abstractNumId w:val="29"/>
  </w:num>
  <w:num w:numId="35" w16cid:durableId="1781758139">
    <w:abstractNumId w:val="9"/>
  </w:num>
  <w:num w:numId="36" w16cid:durableId="1141575130">
    <w:abstractNumId w:val="19"/>
  </w:num>
  <w:num w:numId="37" w16cid:durableId="1634754912">
    <w:abstractNumId w:val="5"/>
  </w:num>
  <w:num w:numId="38" w16cid:durableId="2138985698">
    <w:abstractNumId w:val="4"/>
  </w:num>
  <w:num w:numId="39" w16cid:durableId="1966034457">
    <w:abstractNumId w:val="43"/>
  </w:num>
  <w:num w:numId="40" w16cid:durableId="710809344">
    <w:abstractNumId w:val="33"/>
  </w:num>
  <w:num w:numId="41" w16cid:durableId="87386306">
    <w:abstractNumId w:val="40"/>
  </w:num>
  <w:num w:numId="42" w16cid:durableId="2005430797">
    <w:abstractNumId w:val="1"/>
  </w:num>
  <w:num w:numId="43" w16cid:durableId="1078870432">
    <w:abstractNumId w:val="35"/>
  </w:num>
  <w:num w:numId="44" w16cid:durableId="163127785">
    <w:abstractNumId w:val="21"/>
  </w:num>
  <w:num w:numId="45" w16cid:durableId="944381557">
    <w:abstractNumId w:val="11"/>
  </w:num>
  <w:num w:numId="46" w16cid:durableId="1138374843">
    <w:abstractNumId w:val="34"/>
  </w:num>
  <w:num w:numId="47" w16cid:durableId="245576326">
    <w:abstractNumId w:val="32"/>
  </w:num>
  <w:num w:numId="48" w16cid:durableId="1193569670">
    <w:abstractNumId w:val="17"/>
  </w:num>
  <w:num w:numId="49" w16cid:durableId="3322282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arcode" w:val="1458577"/>
    <w:docVar w:name="FooterJN" w:val="14-58577"/>
    <w:docVar w:name="jobn" w:val="14-58577 (7)"/>
    <w:docVar w:name="jobnDT" w:val="14-58577 (7)      "/>
    <w:docVar w:name="jobnDTDT" w:val="14-58577 (7)      200814"/>
    <w:docVar w:name="JobNo" w:val="1458577"/>
    <w:docVar w:name="sss1" w:val="DP/2014/21"/>
    <w:docVar w:name="Symbol1" w:val="DP/2014/21"/>
  </w:docVars>
  <w:rsids>
    <w:rsidRoot w:val="00F4772E"/>
    <w:rsid w:val="0000017A"/>
    <w:rsid w:val="000001C5"/>
    <w:rsid w:val="00000394"/>
    <w:rsid w:val="00000595"/>
    <w:rsid w:val="0000061F"/>
    <w:rsid w:val="00000D41"/>
    <w:rsid w:val="00000E34"/>
    <w:rsid w:val="00001029"/>
    <w:rsid w:val="000011F3"/>
    <w:rsid w:val="00001303"/>
    <w:rsid w:val="00001749"/>
    <w:rsid w:val="00001875"/>
    <w:rsid w:val="00001BAA"/>
    <w:rsid w:val="00001F62"/>
    <w:rsid w:val="00002444"/>
    <w:rsid w:val="00003A9F"/>
    <w:rsid w:val="00003C24"/>
    <w:rsid w:val="00003D6B"/>
    <w:rsid w:val="00003E1A"/>
    <w:rsid w:val="000042EB"/>
    <w:rsid w:val="000044E8"/>
    <w:rsid w:val="00004589"/>
    <w:rsid w:val="000046D4"/>
    <w:rsid w:val="00004C34"/>
    <w:rsid w:val="00004E17"/>
    <w:rsid w:val="000050A3"/>
    <w:rsid w:val="00006511"/>
    <w:rsid w:val="00006D23"/>
    <w:rsid w:val="000073B7"/>
    <w:rsid w:val="000075C4"/>
    <w:rsid w:val="0000764D"/>
    <w:rsid w:val="000076DC"/>
    <w:rsid w:val="000076F8"/>
    <w:rsid w:val="00007E2A"/>
    <w:rsid w:val="00007EB0"/>
    <w:rsid w:val="000101E7"/>
    <w:rsid w:val="000104CB"/>
    <w:rsid w:val="00010A64"/>
    <w:rsid w:val="000111FD"/>
    <w:rsid w:val="00011269"/>
    <w:rsid w:val="000112D4"/>
    <w:rsid w:val="000116FE"/>
    <w:rsid w:val="0001194A"/>
    <w:rsid w:val="00011993"/>
    <w:rsid w:val="0001199C"/>
    <w:rsid w:val="00011AD8"/>
    <w:rsid w:val="00011D9B"/>
    <w:rsid w:val="0001228E"/>
    <w:rsid w:val="000129A9"/>
    <w:rsid w:val="00012A0E"/>
    <w:rsid w:val="00012B24"/>
    <w:rsid w:val="00012E09"/>
    <w:rsid w:val="00013016"/>
    <w:rsid w:val="0001304C"/>
    <w:rsid w:val="0001327C"/>
    <w:rsid w:val="000133CE"/>
    <w:rsid w:val="00013B74"/>
    <w:rsid w:val="00013BD9"/>
    <w:rsid w:val="00013C70"/>
    <w:rsid w:val="00014056"/>
    <w:rsid w:val="0001426E"/>
    <w:rsid w:val="000143F5"/>
    <w:rsid w:val="000144B6"/>
    <w:rsid w:val="0001525A"/>
    <w:rsid w:val="000152B5"/>
    <w:rsid w:val="00015701"/>
    <w:rsid w:val="00015A1A"/>
    <w:rsid w:val="00015B46"/>
    <w:rsid w:val="00016222"/>
    <w:rsid w:val="00016482"/>
    <w:rsid w:val="00016DC0"/>
    <w:rsid w:val="00016DD4"/>
    <w:rsid w:val="000174B5"/>
    <w:rsid w:val="000177D5"/>
    <w:rsid w:val="00017BAF"/>
    <w:rsid w:val="00017D83"/>
    <w:rsid w:val="000201AF"/>
    <w:rsid w:val="00020C3A"/>
    <w:rsid w:val="0002154C"/>
    <w:rsid w:val="00021B72"/>
    <w:rsid w:val="00021BBB"/>
    <w:rsid w:val="00021F8D"/>
    <w:rsid w:val="00022158"/>
    <w:rsid w:val="00022360"/>
    <w:rsid w:val="0002236C"/>
    <w:rsid w:val="00022669"/>
    <w:rsid w:val="000226D0"/>
    <w:rsid w:val="00022748"/>
    <w:rsid w:val="00022952"/>
    <w:rsid w:val="0002323A"/>
    <w:rsid w:val="000232AC"/>
    <w:rsid w:val="00023B5E"/>
    <w:rsid w:val="000250A2"/>
    <w:rsid w:val="000251A9"/>
    <w:rsid w:val="000253B2"/>
    <w:rsid w:val="00025D9B"/>
    <w:rsid w:val="00025FFE"/>
    <w:rsid w:val="00026394"/>
    <w:rsid w:val="000268E3"/>
    <w:rsid w:val="00026C98"/>
    <w:rsid w:val="00027333"/>
    <w:rsid w:val="00027616"/>
    <w:rsid w:val="0003054E"/>
    <w:rsid w:val="0003093C"/>
    <w:rsid w:val="00030A3B"/>
    <w:rsid w:val="00030C2E"/>
    <w:rsid w:val="0003133C"/>
    <w:rsid w:val="0003153A"/>
    <w:rsid w:val="00031600"/>
    <w:rsid w:val="000318DA"/>
    <w:rsid w:val="00031B19"/>
    <w:rsid w:val="000326EC"/>
    <w:rsid w:val="000327AF"/>
    <w:rsid w:val="000329B3"/>
    <w:rsid w:val="00032C9C"/>
    <w:rsid w:val="00033633"/>
    <w:rsid w:val="00033748"/>
    <w:rsid w:val="00034F71"/>
    <w:rsid w:val="00035376"/>
    <w:rsid w:val="0003607A"/>
    <w:rsid w:val="000360ED"/>
    <w:rsid w:val="00037173"/>
    <w:rsid w:val="000374C5"/>
    <w:rsid w:val="00037C1A"/>
    <w:rsid w:val="00037E70"/>
    <w:rsid w:val="0004020C"/>
    <w:rsid w:val="000411DD"/>
    <w:rsid w:val="0004134F"/>
    <w:rsid w:val="000419A0"/>
    <w:rsid w:val="00041C2F"/>
    <w:rsid w:val="00041C85"/>
    <w:rsid w:val="00041FAE"/>
    <w:rsid w:val="000420E7"/>
    <w:rsid w:val="00042403"/>
    <w:rsid w:val="00042629"/>
    <w:rsid w:val="0004296E"/>
    <w:rsid w:val="000429F1"/>
    <w:rsid w:val="00042A5E"/>
    <w:rsid w:val="0004325F"/>
    <w:rsid w:val="0004386C"/>
    <w:rsid w:val="000442ED"/>
    <w:rsid w:val="00044404"/>
    <w:rsid w:val="00044513"/>
    <w:rsid w:val="000452B1"/>
    <w:rsid w:val="0004559B"/>
    <w:rsid w:val="00045B20"/>
    <w:rsid w:val="0004659A"/>
    <w:rsid w:val="00046C57"/>
    <w:rsid w:val="00046D92"/>
    <w:rsid w:val="0004743A"/>
    <w:rsid w:val="0004749D"/>
    <w:rsid w:val="000474F8"/>
    <w:rsid w:val="000475D7"/>
    <w:rsid w:val="00047A6C"/>
    <w:rsid w:val="00047E4B"/>
    <w:rsid w:val="00047E54"/>
    <w:rsid w:val="00047F38"/>
    <w:rsid w:val="00047FCF"/>
    <w:rsid w:val="00050271"/>
    <w:rsid w:val="00050522"/>
    <w:rsid w:val="00050905"/>
    <w:rsid w:val="0005190F"/>
    <w:rsid w:val="00051D45"/>
    <w:rsid w:val="0005220D"/>
    <w:rsid w:val="000528F7"/>
    <w:rsid w:val="00052A94"/>
    <w:rsid w:val="00053785"/>
    <w:rsid w:val="00053E55"/>
    <w:rsid w:val="00054781"/>
    <w:rsid w:val="00054AEA"/>
    <w:rsid w:val="00054DE0"/>
    <w:rsid w:val="00055176"/>
    <w:rsid w:val="00055991"/>
    <w:rsid w:val="00055E4D"/>
    <w:rsid w:val="0005656E"/>
    <w:rsid w:val="0005670D"/>
    <w:rsid w:val="00056989"/>
    <w:rsid w:val="00056BD0"/>
    <w:rsid w:val="00056F9D"/>
    <w:rsid w:val="00056FA3"/>
    <w:rsid w:val="00057938"/>
    <w:rsid w:val="00057DA5"/>
    <w:rsid w:val="00060C36"/>
    <w:rsid w:val="00060CF5"/>
    <w:rsid w:val="000614B4"/>
    <w:rsid w:val="00061BA2"/>
    <w:rsid w:val="00061BFE"/>
    <w:rsid w:val="00061D3E"/>
    <w:rsid w:val="0006249E"/>
    <w:rsid w:val="000627F0"/>
    <w:rsid w:val="00062C7C"/>
    <w:rsid w:val="00062CE5"/>
    <w:rsid w:val="00063367"/>
    <w:rsid w:val="000644FF"/>
    <w:rsid w:val="0006543D"/>
    <w:rsid w:val="0006564D"/>
    <w:rsid w:val="0006581C"/>
    <w:rsid w:val="00065BF0"/>
    <w:rsid w:val="00065F09"/>
    <w:rsid w:val="00066839"/>
    <w:rsid w:val="00066A5A"/>
    <w:rsid w:val="00066A8C"/>
    <w:rsid w:val="000676E7"/>
    <w:rsid w:val="00067CFA"/>
    <w:rsid w:val="00067E1D"/>
    <w:rsid w:val="00067FE0"/>
    <w:rsid w:val="00070886"/>
    <w:rsid w:val="00070C9C"/>
    <w:rsid w:val="00072E94"/>
    <w:rsid w:val="00072F66"/>
    <w:rsid w:val="00073946"/>
    <w:rsid w:val="00073A6E"/>
    <w:rsid w:val="00073E52"/>
    <w:rsid w:val="00074A3F"/>
    <w:rsid w:val="00075900"/>
    <w:rsid w:val="00075A05"/>
    <w:rsid w:val="00075D62"/>
    <w:rsid w:val="00075FC1"/>
    <w:rsid w:val="0007605A"/>
    <w:rsid w:val="00076107"/>
    <w:rsid w:val="00076D64"/>
    <w:rsid w:val="00076FA2"/>
    <w:rsid w:val="00077114"/>
    <w:rsid w:val="0007751E"/>
    <w:rsid w:val="0007753B"/>
    <w:rsid w:val="00077736"/>
    <w:rsid w:val="000778CA"/>
    <w:rsid w:val="000779D5"/>
    <w:rsid w:val="000801E7"/>
    <w:rsid w:val="000802EC"/>
    <w:rsid w:val="00080F47"/>
    <w:rsid w:val="00080FC2"/>
    <w:rsid w:val="00081627"/>
    <w:rsid w:val="00081A33"/>
    <w:rsid w:val="00081E7D"/>
    <w:rsid w:val="00081ECE"/>
    <w:rsid w:val="0008217E"/>
    <w:rsid w:val="000821EE"/>
    <w:rsid w:val="00082F77"/>
    <w:rsid w:val="00083064"/>
    <w:rsid w:val="00083684"/>
    <w:rsid w:val="00083A69"/>
    <w:rsid w:val="00084693"/>
    <w:rsid w:val="000846DC"/>
    <w:rsid w:val="00084B24"/>
    <w:rsid w:val="0008542C"/>
    <w:rsid w:val="000856E0"/>
    <w:rsid w:val="000856FE"/>
    <w:rsid w:val="00085730"/>
    <w:rsid w:val="0008584E"/>
    <w:rsid w:val="00085A8B"/>
    <w:rsid w:val="000860C3"/>
    <w:rsid w:val="000864B9"/>
    <w:rsid w:val="00086D82"/>
    <w:rsid w:val="00087AD2"/>
    <w:rsid w:val="00087BEE"/>
    <w:rsid w:val="00087CEC"/>
    <w:rsid w:val="00090012"/>
    <w:rsid w:val="000901FD"/>
    <w:rsid w:val="0009099D"/>
    <w:rsid w:val="00090B6B"/>
    <w:rsid w:val="00090D8B"/>
    <w:rsid w:val="00090EEA"/>
    <w:rsid w:val="00091CF9"/>
    <w:rsid w:val="000922AA"/>
    <w:rsid w:val="000931CD"/>
    <w:rsid w:val="00093AC3"/>
    <w:rsid w:val="00094023"/>
    <w:rsid w:val="00094371"/>
    <w:rsid w:val="00094580"/>
    <w:rsid w:val="000945DB"/>
    <w:rsid w:val="00094671"/>
    <w:rsid w:val="000946E1"/>
    <w:rsid w:val="0009501F"/>
    <w:rsid w:val="00095775"/>
    <w:rsid w:val="00096637"/>
    <w:rsid w:val="00096866"/>
    <w:rsid w:val="00096B2A"/>
    <w:rsid w:val="000970FC"/>
    <w:rsid w:val="00097161"/>
    <w:rsid w:val="000972DC"/>
    <w:rsid w:val="000975A3"/>
    <w:rsid w:val="00097639"/>
    <w:rsid w:val="00097C3B"/>
    <w:rsid w:val="00097E7B"/>
    <w:rsid w:val="000A04A3"/>
    <w:rsid w:val="000A08A6"/>
    <w:rsid w:val="000A0C39"/>
    <w:rsid w:val="000A0C4F"/>
    <w:rsid w:val="000A1072"/>
    <w:rsid w:val="000A1253"/>
    <w:rsid w:val="000A1AB6"/>
    <w:rsid w:val="000A1FEA"/>
    <w:rsid w:val="000A204C"/>
    <w:rsid w:val="000A2269"/>
    <w:rsid w:val="000A27FE"/>
    <w:rsid w:val="000A281C"/>
    <w:rsid w:val="000A283C"/>
    <w:rsid w:val="000A28F3"/>
    <w:rsid w:val="000A2938"/>
    <w:rsid w:val="000A2D48"/>
    <w:rsid w:val="000A35C0"/>
    <w:rsid w:val="000A36F9"/>
    <w:rsid w:val="000A38B9"/>
    <w:rsid w:val="000A3902"/>
    <w:rsid w:val="000A3DA4"/>
    <w:rsid w:val="000A410C"/>
    <w:rsid w:val="000A41CC"/>
    <w:rsid w:val="000A4735"/>
    <w:rsid w:val="000A4DCF"/>
    <w:rsid w:val="000A4E18"/>
    <w:rsid w:val="000A54BA"/>
    <w:rsid w:val="000A563D"/>
    <w:rsid w:val="000A6925"/>
    <w:rsid w:val="000A6C70"/>
    <w:rsid w:val="000A6D44"/>
    <w:rsid w:val="000A74EF"/>
    <w:rsid w:val="000A7947"/>
    <w:rsid w:val="000A7DE4"/>
    <w:rsid w:val="000A7F34"/>
    <w:rsid w:val="000B0143"/>
    <w:rsid w:val="000B0561"/>
    <w:rsid w:val="000B0CAF"/>
    <w:rsid w:val="000B14F5"/>
    <w:rsid w:val="000B1627"/>
    <w:rsid w:val="000B1DE6"/>
    <w:rsid w:val="000B2707"/>
    <w:rsid w:val="000B2752"/>
    <w:rsid w:val="000B2C10"/>
    <w:rsid w:val="000B2E9A"/>
    <w:rsid w:val="000B3086"/>
    <w:rsid w:val="000B36A1"/>
    <w:rsid w:val="000B36DC"/>
    <w:rsid w:val="000B371B"/>
    <w:rsid w:val="000B3952"/>
    <w:rsid w:val="000B3A1E"/>
    <w:rsid w:val="000B4079"/>
    <w:rsid w:val="000B44E1"/>
    <w:rsid w:val="000B4743"/>
    <w:rsid w:val="000B4868"/>
    <w:rsid w:val="000B4C19"/>
    <w:rsid w:val="000B50A6"/>
    <w:rsid w:val="000B5DBF"/>
    <w:rsid w:val="000B6085"/>
    <w:rsid w:val="000B63A6"/>
    <w:rsid w:val="000B64FA"/>
    <w:rsid w:val="000B6571"/>
    <w:rsid w:val="000B675C"/>
    <w:rsid w:val="000B7BB6"/>
    <w:rsid w:val="000B7C33"/>
    <w:rsid w:val="000B7C48"/>
    <w:rsid w:val="000B7DE2"/>
    <w:rsid w:val="000B7E48"/>
    <w:rsid w:val="000C01A9"/>
    <w:rsid w:val="000C065F"/>
    <w:rsid w:val="000C0749"/>
    <w:rsid w:val="000C086A"/>
    <w:rsid w:val="000C16B0"/>
    <w:rsid w:val="000C195A"/>
    <w:rsid w:val="000C1A0B"/>
    <w:rsid w:val="000C1C2B"/>
    <w:rsid w:val="000C1F03"/>
    <w:rsid w:val="000C30B7"/>
    <w:rsid w:val="000C30D8"/>
    <w:rsid w:val="000C3905"/>
    <w:rsid w:val="000C3A0C"/>
    <w:rsid w:val="000C42FC"/>
    <w:rsid w:val="000C479E"/>
    <w:rsid w:val="000C4C75"/>
    <w:rsid w:val="000C5066"/>
    <w:rsid w:val="000C5154"/>
    <w:rsid w:val="000C553A"/>
    <w:rsid w:val="000C5802"/>
    <w:rsid w:val="000C5AE7"/>
    <w:rsid w:val="000C5F77"/>
    <w:rsid w:val="000C6018"/>
    <w:rsid w:val="000C608B"/>
    <w:rsid w:val="000C6396"/>
    <w:rsid w:val="000C6598"/>
    <w:rsid w:val="000C697B"/>
    <w:rsid w:val="000C6AF2"/>
    <w:rsid w:val="000C6E5D"/>
    <w:rsid w:val="000C74C3"/>
    <w:rsid w:val="000C77DA"/>
    <w:rsid w:val="000C7AB8"/>
    <w:rsid w:val="000D0160"/>
    <w:rsid w:val="000D02FE"/>
    <w:rsid w:val="000D0D2F"/>
    <w:rsid w:val="000D0F40"/>
    <w:rsid w:val="000D1794"/>
    <w:rsid w:val="000D17FD"/>
    <w:rsid w:val="000D1D3C"/>
    <w:rsid w:val="000D1D50"/>
    <w:rsid w:val="000D23CE"/>
    <w:rsid w:val="000D2A5E"/>
    <w:rsid w:val="000D3383"/>
    <w:rsid w:val="000D33B0"/>
    <w:rsid w:val="000D3782"/>
    <w:rsid w:val="000D3EDC"/>
    <w:rsid w:val="000D3F5F"/>
    <w:rsid w:val="000D3FBF"/>
    <w:rsid w:val="000D4115"/>
    <w:rsid w:val="000D5471"/>
    <w:rsid w:val="000D5741"/>
    <w:rsid w:val="000D5F48"/>
    <w:rsid w:val="000D6033"/>
    <w:rsid w:val="000D72C2"/>
    <w:rsid w:val="000D7C0D"/>
    <w:rsid w:val="000D7EF9"/>
    <w:rsid w:val="000D7F32"/>
    <w:rsid w:val="000E03A4"/>
    <w:rsid w:val="000E0716"/>
    <w:rsid w:val="000E0898"/>
    <w:rsid w:val="000E08AD"/>
    <w:rsid w:val="000E1373"/>
    <w:rsid w:val="000E16CA"/>
    <w:rsid w:val="000E1783"/>
    <w:rsid w:val="000E1AE2"/>
    <w:rsid w:val="000E1CFD"/>
    <w:rsid w:val="000E1D53"/>
    <w:rsid w:val="000E214A"/>
    <w:rsid w:val="000E262D"/>
    <w:rsid w:val="000E26A9"/>
    <w:rsid w:val="000E26EE"/>
    <w:rsid w:val="000E28B5"/>
    <w:rsid w:val="000E31E7"/>
    <w:rsid w:val="000E3201"/>
    <w:rsid w:val="000E329D"/>
    <w:rsid w:val="000E479F"/>
    <w:rsid w:val="000E4A70"/>
    <w:rsid w:val="000E5B2F"/>
    <w:rsid w:val="000E5CD2"/>
    <w:rsid w:val="000E6146"/>
    <w:rsid w:val="000E61A4"/>
    <w:rsid w:val="000E66C4"/>
    <w:rsid w:val="000E6830"/>
    <w:rsid w:val="000E6BAA"/>
    <w:rsid w:val="000E72D7"/>
    <w:rsid w:val="000E755F"/>
    <w:rsid w:val="000E7663"/>
    <w:rsid w:val="000E7770"/>
    <w:rsid w:val="000F00B9"/>
    <w:rsid w:val="000F04B3"/>
    <w:rsid w:val="000F0798"/>
    <w:rsid w:val="000F1C00"/>
    <w:rsid w:val="000F1C62"/>
    <w:rsid w:val="000F1C6D"/>
    <w:rsid w:val="000F1F8A"/>
    <w:rsid w:val="000F2089"/>
    <w:rsid w:val="000F25A5"/>
    <w:rsid w:val="000F2A57"/>
    <w:rsid w:val="000F2CBD"/>
    <w:rsid w:val="000F2CE2"/>
    <w:rsid w:val="000F3477"/>
    <w:rsid w:val="000F376A"/>
    <w:rsid w:val="000F3D9F"/>
    <w:rsid w:val="000F3F17"/>
    <w:rsid w:val="000F4CA0"/>
    <w:rsid w:val="000F4D9C"/>
    <w:rsid w:val="000F58CE"/>
    <w:rsid w:val="000F5C89"/>
    <w:rsid w:val="000F5DE4"/>
    <w:rsid w:val="000F5ED7"/>
    <w:rsid w:val="000F62F6"/>
    <w:rsid w:val="000F681F"/>
    <w:rsid w:val="000F6A1E"/>
    <w:rsid w:val="000F6F81"/>
    <w:rsid w:val="000F7133"/>
    <w:rsid w:val="000F7332"/>
    <w:rsid w:val="00100109"/>
    <w:rsid w:val="0010041C"/>
    <w:rsid w:val="00100717"/>
    <w:rsid w:val="001008BB"/>
    <w:rsid w:val="0010181B"/>
    <w:rsid w:val="0010184C"/>
    <w:rsid w:val="00101C0C"/>
    <w:rsid w:val="00101E0D"/>
    <w:rsid w:val="00101FB5"/>
    <w:rsid w:val="001020D4"/>
    <w:rsid w:val="001025A6"/>
    <w:rsid w:val="001025CB"/>
    <w:rsid w:val="00102B4C"/>
    <w:rsid w:val="00102C2A"/>
    <w:rsid w:val="001031A8"/>
    <w:rsid w:val="001031D7"/>
    <w:rsid w:val="001033BD"/>
    <w:rsid w:val="0010358D"/>
    <w:rsid w:val="001036D4"/>
    <w:rsid w:val="001037AB"/>
    <w:rsid w:val="001037AC"/>
    <w:rsid w:val="00103E31"/>
    <w:rsid w:val="00104323"/>
    <w:rsid w:val="0010472A"/>
    <w:rsid w:val="001048E1"/>
    <w:rsid w:val="00104BCD"/>
    <w:rsid w:val="0010598A"/>
    <w:rsid w:val="00105A73"/>
    <w:rsid w:val="00105D9E"/>
    <w:rsid w:val="00105F0E"/>
    <w:rsid w:val="001060F4"/>
    <w:rsid w:val="00106473"/>
    <w:rsid w:val="00106CB5"/>
    <w:rsid w:val="00106D76"/>
    <w:rsid w:val="0010709A"/>
    <w:rsid w:val="0010713E"/>
    <w:rsid w:val="0010750D"/>
    <w:rsid w:val="001076D7"/>
    <w:rsid w:val="00107CE5"/>
    <w:rsid w:val="00110089"/>
    <w:rsid w:val="0011018C"/>
    <w:rsid w:val="001101CC"/>
    <w:rsid w:val="00110C3C"/>
    <w:rsid w:val="001110F8"/>
    <w:rsid w:val="00111457"/>
    <w:rsid w:val="0011146A"/>
    <w:rsid w:val="00111BAD"/>
    <w:rsid w:val="00111D7C"/>
    <w:rsid w:val="00111E7C"/>
    <w:rsid w:val="001124BC"/>
    <w:rsid w:val="00112668"/>
    <w:rsid w:val="00112B1C"/>
    <w:rsid w:val="001132C9"/>
    <w:rsid w:val="00113753"/>
    <w:rsid w:val="0011473D"/>
    <w:rsid w:val="00114BC8"/>
    <w:rsid w:val="0011508B"/>
    <w:rsid w:val="001151AC"/>
    <w:rsid w:val="0011558F"/>
    <w:rsid w:val="0011587F"/>
    <w:rsid w:val="00115A45"/>
    <w:rsid w:val="00115FC5"/>
    <w:rsid w:val="00116063"/>
    <w:rsid w:val="001161F7"/>
    <w:rsid w:val="001164E1"/>
    <w:rsid w:val="00116D70"/>
    <w:rsid w:val="00116FA0"/>
    <w:rsid w:val="00117087"/>
    <w:rsid w:val="001170E4"/>
    <w:rsid w:val="00117109"/>
    <w:rsid w:val="00117348"/>
    <w:rsid w:val="00117524"/>
    <w:rsid w:val="0011790B"/>
    <w:rsid w:val="0011796F"/>
    <w:rsid w:val="00117B1F"/>
    <w:rsid w:val="00117B77"/>
    <w:rsid w:val="00117DED"/>
    <w:rsid w:val="00120126"/>
    <w:rsid w:val="00120192"/>
    <w:rsid w:val="001201E6"/>
    <w:rsid w:val="0012044F"/>
    <w:rsid w:val="00120B19"/>
    <w:rsid w:val="00120DFE"/>
    <w:rsid w:val="00120FA9"/>
    <w:rsid w:val="00121A7C"/>
    <w:rsid w:val="00121F08"/>
    <w:rsid w:val="0012278F"/>
    <w:rsid w:val="00122D97"/>
    <w:rsid w:val="00122F96"/>
    <w:rsid w:val="00123B2F"/>
    <w:rsid w:val="00123BD9"/>
    <w:rsid w:val="001242B0"/>
    <w:rsid w:val="001243D3"/>
    <w:rsid w:val="001248FF"/>
    <w:rsid w:val="00124DA6"/>
    <w:rsid w:val="00125318"/>
    <w:rsid w:val="001254C0"/>
    <w:rsid w:val="001255EA"/>
    <w:rsid w:val="00125F06"/>
    <w:rsid w:val="00126E19"/>
    <w:rsid w:val="00127384"/>
    <w:rsid w:val="00127B1D"/>
    <w:rsid w:val="00127D0E"/>
    <w:rsid w:val="00127E66"/>
    <w:rsid w:val="00127F9A"/>
    <w:rsid w:val="001304E0"/>
    <w:rsid w:val="00130D38"/>
    <w:rsid w:val="001313FE"/>
    <w:rsid w:val="0013174C"/>
    <w:rsid w:val="001321EA"/>
    <w:rsid w:val="001323C7"/>
    <w:rsid w:val="00132789"/>
    <w:rsid w:val="001328D6"/>
    <w:rsid w:val="00132B7D"/>
    <w:rsid w:val="00132EBF"/>
    <w:rsid w:val="001330D0"/>
    <w:rsid w:val="00133506"/>
    <w:rsid w:val="00133A45"/>
    <w:rsid w:val="0013433E"/>
    <w:rsid w:val="001346F9"/>
    <w:rsid w:val="0013498D"/>
    <w:rsid w:val="00134A5C"/>
    <w:rsid w:val="0013528F"/>
    <w:rsid w:val="00135355"/>
    <w:rsid w:val="001359B4"/>
    <w:rsid w:val="00135A41"/>
    <w:rsid w:val="00135B63"/>
    <w:rsid w:val="00135E8D"/>
    <w:rsid w:val="00136045"/>
    <w:rsid w:val="00136376"/>
    <w:rsid w:val="00136509"/>
    <w:rsid w:val="001365AC"/>
    <w:rsid w:val="00136C73"/>
    <w:rsid w:val="00137288"/>
    <w:rsid w:val="00137FAB"/>
    <w:rsid w:val="0014044D"/>
    <w:rsid w:val="00140489"/>
    <w:rsid w:val="00140A0F"/>
    <w:rsid w:val="00140E50"/>
    <w:rsid w:val="00140EB6"/>
    <w:rsid w:val="001411BB"/>
    <w:rsid w:val="00141259"/>
    <w:rsid w:val="00141282"/>
    <w:rsid w:val="00141CB3"/>
    <w:rsid w:val="0014201A"/>
    <w:rsid w:val="001421CD"/>
    <w:rsid w:val="001422A8"/>
    <w:rsid w:val="001425BE"/>
    <w:rsid w:val="00142AE6"/>
    <w:rsid w:val="00142CD7"/>
    <w:rsid w:val="00142E26"/>
    <w:rsid w:val="001430CC"/>
    <w:rsid w:val="001430F0"/>
    <w:rsid w:val="001435B4"/>
    <w:rsid w:val="001435F4"/>
    <w:rsid w:val="00143E25"/>
    <w:rsid w:val="00143F48"/>
    <w:rsid w:val="0014400B"/>
    <w:rsid w:val="0014400D"/>
    <w:rsid w:val="001457E2"/>
    <w:rsid w:val="00145E06"/>
    <w:rsid w:val="0014626F"/>
    <w:rsid w:val="001463A1"/>
    <w:rsid w:val="0014687C"/>
    <w:rsid w:val="001469B4"/>
    <w:rsid w:val="00146B2A"/>
    <w:rsid w:val="00146C92"/>
    <w:rsid w:val="00146FBF"/>
    <w:rsid w:val="00147112"/>
    <w:rsid w:val="00147322"/>
    <w:rsid w:val="0014793D"/>
    <w:rsid w:val="00147CCB"/>
    <w:rsid w:val="00147F7D"/>
    <w:rsid w:val="00150504"/>
    <w:rsid w:val="0015087E"/>
    <w:rsid w:val="0015088F"/>
    <w:rsid w:val="00150AF8"/>
    <w:rsid w:val="00151093"/>
    <w:rsid w:val="001513ED"/>
    <w:rsid w:val="001515EE"/>
    <w:rsid w:val="00151B03"/>
    <w:rsid w:val="00152124"/>
    <w:rsid w:val="00152A11"/>
    <w:rsid w:val="00152DB2"/>
    <w:rsid w:val="00153161"/>
    <w:rsid w:val="001535C2"/>
    <w:rsid w:val="00153736"/>
    <w:rsid w:val="00153B6C"/>
    <w:rsid w:val="00153BB7"/>
    <w:rsid w:val="00154123"/>
    <w:rsid w:val="00154244"/>
    <w:rsid w:val="0015455C"/>
    <w:rsid w:val="00154768"/>
    <w:rsid w:val="00154EAC"/>
    <w:rsid w:val="0015537B"/>
    <w:rsid w:val="001554F9"/>
    <w:rsid w:val="0015584D"/>
    <w:rsid w:val="00155BB3"/>
    <w:rsid w:val="00156272"/>
    <w:rsid w:val="001568F8"/>
    <w:rsid w:val="00156B65"/>
    <w:rsid w:val="00156CD9"/>
    <w:rsid w:val="00157053"/>
    <w:rsid w:val="00157117"/>
    <w:rsid w:val="001571CC"/>
    <w:rsid w:val="00157292"/>
    <w:rsid w:val="0015765B"/>
    <w:rsid w:val="001577D4"/>
    <w:rsid w:val="00157F6B"/>
    <w:rsid w:val="00160692"/>
    <w:rsid w:val="001607CB"/>
    <w:rsid w:val="00160866"/>
    <w:rsid w:val="001608C2"/>
    <w:rsid w:val="00160A43"/>
    <w:rsid w:val="00160D6B"/>
    <w:rsid w:val="00161740"/>
    <w:rsid w:val="00161779"/>
    <w:rsid w:val="001626A4"/>
    <w:rsid w:val="00162752"/>
    <w:rsid w:val="0016279D"/>
    <w:rsid w:val="001628C7"/>
    <w:rsid w:val="00162F6B"/>
    <w:rsid w:val="00162F84"/>
    <w:rsid w:val="00163062"/>
    <w:rsid w:val="00163077"/>
    <w:rsid w:val="001632BA"/>
    <w:rsid w:val="00163455"/>
    <w:rsid w:val="00163604"/>
    <w:rsid w:val="0016361D"/>
    <w:rsid w:val="001638A4"/>
    <w:rsid w:val="001638A5"/>
    <w:rsid w:val="001645F4"/>
    <w:rsid w:val="001647BE"/>
    <w:rsid w:val="001649D7"/>
    <w:rsid w:val="00164E26"/>
    <w:rsid w:val="001652FB"/>
    <w:rsid w:val="00165B28"/>
    <w:rsid w:val="00165DEA"/>
    <w:rsid w:val="00165FBB"/>
    <w:rsid w:val="00166029"/>
    <w:rsid w:val="00166C15"/>
    <w:rsid w:val="00166F40"/>
    <w:rsid w:val="00167808"/>
    <w:rsid w:val="00167CBB"/>
    <w:rsid w:val="00167ED0"/>
    <w:rsid w:val="001701AD"/>
    <w:rsid w:val="0017061F"/>
    <w:rsid w:val="00170638"/>
    <w:rsid w:val="00170E67"/>
    <w:rsid w:val="00170F40"/>
    <w:rsid w:val="0017131D"/>
    <w:rsid w:val="00171472"/>
    <w:rsid w:val="0017174A"/>
    <w:rsid w:val="00171DB6"/>
    <w:rsid w:val="00171F0C"/>
    <w:rsid w:val="001721C1"/>
    <w:rsid w:val="001723D2"/>
    <w:rsid w:val="0017249D"/>
    <w:rsid w:val="00172501"/>
    <w:rsid w:val="00172657"/>
    <w:rsid w:val="00173437"/>
    <w:rsid w:val="001735C0"/>
    <w:rsid w:val="001736E9"/>
    <w:rsid w:val="001737F1"/>
    <w:rsid w:val="00173B85"/>
    <w:rsid w:val="001741BA"/>
    <w:rsid w:val="00174434"/>
    <w:rsid w:val="0017475B"/>
    <w:rsid w:val="001748AC"/>
    <w:rsid w:val="001748F0"/>
    <w:rsid w:val="00174998"/>
    <w:rsid w:val="00174ADF"/>
    <w:rsid w:val="00175CBE"/>
    <w:rsid w:val="00175F0D"/>
    <w:rsid w:val="00175F9D"/>
    <w:rsid w:val="00176060"/>
    <w:rsid w:val="001761F6"/>
    <w:rsid w:val="0017658F"/>
    <w:rsid w:val="001765CB"/>
    <w:rsid w:val="00176BCC"/>
    <w:rsid w:val="00176F1A"/>
    <w:rsid w:val="00177543"/>
    <w:rsid w:val="0017779D"/>
    <w:rsid w:val="00180050"/>
    <w:rsid w:val="00180162"/>
    <w:rsid w:val="001802F0"/>
    <w:rsid w:val="00180431"/>
    <w:rsid w:val="001805D2"/>
    <w:rsid w:val="00180DE7"/>
    <w:rsid w:val="00181112"/>
    <w:rsid w:val="00181227"/>
    <w:rsid w:val="00181B7A"/>
    <w:rsid w:val="00182104"/>
    <w:rsid w:val="00182118"/>
    <w:rsid w:val="0018221A"/>
    <w:rsid w:val="00182B61"/>
    <w:rsid w:val="00182B67"/>
    <w:rsid w:val="00182C0D"/>
    <w:rsid w:val="00183402"/>
    <w:rsid w:val="00183506"/>
    <w:rsid w:val="00183758"/>
    <w:rsid w:val="00183909"/>
    <w:rsid w:val="00183FD8"/>
    <w:rsid w:val="00184440"/>
    <w:rsid w:val="001846AE"/>
    <w:rsid w:val="00184CF0"/>
    <w:rsid w:val="00184FF4"/>
    <w:rsid w:val="00185114"/>
    <w:rsid w:val="0018514C"/>
    <w:rsid w:val="0018520E"/>
    <w:rsid w:val="0018533D"/>
    <w:rsid w:val="001853D0"/>
    <w:rsid w:val="0018541E"/>
    <w:rsid w:val="00185443"/>
    <w:rsid w:val="00185731"/>
    <w:rsid w:val="00185A45"/>
    <w:rsid w:val="00185A86"/>
    <w:rsid w:val="00186209"/>
    <w:rsid w:val="001862EC"/>
    <w:rsid w:val="00186522"/>
    <w:rsid w:val="00186537"/>
    <w:rsid w:val="00186856"/>
    <w:rsid w:val="00186D98"/>
    <w:rsid w:val="00187BDA"/>
    <w:rsid w:val="001901D6"/>
    <w:rsid w:val="00190AEE"/>
    <w:rsid w:val="00190BF1"/>
    <w:rsid w:val="00191643"/>
    <w:rsid w:val="00191780"/>
    <w:rsid w:val="001918DA"/>
    <w:rsid w:val="001919A5"/>
    <w:rsid w:val="00191CFB"/>
    <w:rsid w:val="00192161"/>
    <w:rsid w:val="00192552"/>
    <w:rsid w:val="00192A96"/>
    <w:rsid w:val="00192C81"/>
    <w:rsid w:val="0019355E"/>
    <w:rsid w:val="0019388E"/>
    <w:rsid w:val="001938A3"/>
    <w:rsid w:val="00193B73"/>
    <w:rsid w:val="00193C37"/>
    <w:rsid w:val="00194CF9"/>
    <w:rsid w:val="00194DF2"/>
    <w:rsid w:val="0019528B"/>
    <w:rsid w:val="00195458"/>
    <w:rsid w:val="00195921"/>
    <w:rsid w:val="00195D6E"/>
    <w:rsid w:val="001961D5"/>
    <w:rsid w:val="0019648B"/>
    <w:rsid w:val="001966F7"/>
    <w:rsid w:val="0019686E"/>
    <w:rsid w:val="00196949"/>
    <w:rsid w:val="00196F61"/>
    <w:rsid w:val="00196F6D"/>
    <w:rsid w:val="00197039"/>
    <w:rsid w:val="00197C0C"/>
    <w:rsid w:val="00197F55"/>
    <w:rsid w:val="001A0350"/>
    <w:rsid w:val="001A05B2"/>
    <w:rsid w:val="001A1250"/>
    <w:rsid w:val="001A133A"/>
    <w:rsid w:val="001A19C0"/>
    <w:rsid w:val="001A19ED"/>
    <w:rsid w:val="001A1AE8"/>
    <w:rsid w:val="001A1C84"/>
    <w:rsid w:val="001A1D72"/>
    <w:rsid w:val="001A214B"/>
    <w:rsid w:val="001A2718"/>
    <w:rsid w:val="001A2A50"/>
    <w:rsid w:val="001A3752"/>
    <w:rsid w:val="001A4306"/>
    <w:rsid w:val="001A4398"/>
    <w:rsid w:val="001A490D"/>
    <w:rsid w:val="001A4D1B"/>
    <w:rsid w:val="001A500A"/>
    <w:rsid w:val="001A555B"/>
    <w:rsid w:val="001A61B3"/>
    <w:rsid w:val="001A6A70"/>
    <w:rsid w:val="001A6EA1"/>
    <w:rsid w:val="001A75A7"/>
    <w:rsid w:val="001A7B09"/>
    <w:rsid w:val="001A7E5A"/>
    <w:rsid w:val="001B007F"/>
    <w:rsid w:val="001B05F1"/>
    <w:rsid w:val="001B0BAF"/>
    <w:rsid w:val="001B0C8B"/>
    <w:rsid w:val="001B0DE6"/>
    <w:rsid w:val="001B10C8"/>
    <w:rsid w:val="001B1CC9"/>
    <w:rsid w:val="001B1E7E"/>
    <w:rsid w:val="001B2198"/>
    <w:rsid w:val="001B2228"/>
    <w:rsid w:val="001B23E6"/>
    <w:rsid w:val="001B2719"/>
    <w:rsid w:val="001B2A9F"/>
    <w:rsid w:val="001B30CC"/>
    <w:rsid w:val="001B37C6"/>
    <w:rsid w:val="001B3D3E"/>
    <w:rsid w:val="001B3E68"/>
    <w:rsid w:val="001B3FC8"/>
    <w:rsid w:val="001B439B"/>
    <w:rsid w:val="001B444B"/>
    <w:rsid w:val="001B4536"/>
    <w:rsid w:val="001B5656"/>
    <w:rsid w:val="001B5787"/>
    <w:rsid w:val="001B5E16"/>
    <w:rsid w:val="001B5EEB"/>
    <w:rsid w:val="001B641E"/>
    <w:rsid w:val="001B653B"/>
    <w:rsid w:val="001B68A4"/>
    <w:rsid w:val="001B6A13"/>
    <w:rsid w:val="001B7394"/>
    <w:rsid w:val="001B7ABE"/>
    <w:rsid w:val="001B7B9F"/>
    <w:rsid w:val="001B7CC9"/>
    <w:rsid w:val="001B7D91"/>
    <w:rsid w:val="001C008C"/>
    <w:rsid w:val="001C098C"/>
    <w:rsid w:val="001C09A2"/>
    <w:rsid w:val="001C0C05"/>
    <w:rsid w:val="001C13E9"/>
    <w:rsid w:val="001C14A0"/>
    <w:rsid w:val="001C179D"/>
    <w:rsid w:val="001C1B09"/>
    <w:rsid w:val="001C1E2F"/>
    <w:rsid w:val="001C22CE"/>
    <w:rsid w:val="001C2A6C"/>
    <w:rsid w:val="001C3521"/>
    <w:rsid w:val="001C3689"/>
    <w:rsid w:val="001C3B65"/>
    <w:rsid w:val="001C3F53"/>
    <w:rsid w:val="001C4467"/>
    <w:rsid w:val="001C45DF"/>
    <w:rsid w:val="001C4CAA"/>
    <w:rsid w:val="001C4DD8"/>
    <w:rsid w:val="001C4E22"/>
    <w:rsid w:val="001C5DB8"/>
    <w:rsid w:val="001C66CC"/>
    <w:rsid w:val="001C68E7"/>
    <w:rsid w:val="001C6F99"/>
    <w:rsid w:val="001C722F"/>
    <w:rsid w:val="001C762D"/>
    <w:rsid w:val="001C78DE"/>
    <w:rsid w:val="001C7AC1"/>
    <w:rsid w:val="001C7BD2"/>
    <w:rsid w:val="001D0002"/>
    <w:rsid w:val="001D09D4"/>
    <w:rsid w:val="001D1650"/>
    <w:rsid w:val="001D16A8"/>
    <w:rsid w:val="001D1D0F"/>
    <w:rsid w:val="001D2164"/>
    <w:rsid w:val="001D24A5"/>
    <w:rsid w:val="001D2D73"/>
    <w:rsid w:val="001D395F"/>
    <w:rsid w:val="001D3A7B"/>
    <w:rsid w:val="001D3B8E"/>
    <w:rsid w:val="001D3F58"/>
    <w:rsid w:val="001D41B6"/>
    <w:rsid w:val="001D42CA"/>
    <w:rsid w:val="001D594B"/>
    <w:rsid w:val="001D5E31"/>
    <w:rsid w:val="001D5FBF"/>
    <w:rsid w:val="001D636D"/>
    <w:rsid w:val="001D64FF"/>
    <w:rsid w:val="001D65CB"/>
    <w:rsid w:val="001D6747"/>
    <w:rsid w:val="001D6CBE"/>
    <w:rsid w:val="001D7B32"/>
    <w:rsid w:val="001D7C7A"/>
    <w:rsid w:val="001D7DA0"/>
    <w:rsid w:val="001D7EAB"/>
    <w:rsid w:val="001D7F55"/>
    <w:rsid w:val="001E00DD"/>
    <w:rsid w:val="001E0314"/>
    <w:rsid w:val="001E0461"/>
    <w:rsid w:val="001E0730"/>
    <w:rsid w:val="001E0C1D"/>
    <w:rsid w:val="001E1031"/>
    <w:rsid w:val="001E116B"/>
    <w:rsid w:val="001E1223"/>
    <w:rsid w:val="001E1240"/>
    <w:rsid w:val="001E17E5"/>
    <w:rsid w:val="001E2310"/>
    <w:rsid w:val="001E286B"/>
    <w:rsid w:val="001E3288"/>
    <w:rsid w:val="001E369D"/>
    <w:rsid w:val="001E386B"/>
    <w:rsid w:val="001E3B95"/>
    <w:rsid w:val="001E4C0D"/>
    <w:rsid w:val="001E5207"/>
    <w:rsid w:val="001E552C"/>
    <w:rsid w:val="001E55A7"/>
    <w:rsid w:val="001E56A4"/>
    <w:rsid w:val="001E5B36"/>
    <w:rsid w:val="001E64D2"/>
    <w:rsid w:val="001E65B1"/>
    <w:rsid w:val="001E65EE"/>
    <w:rsid w:val="001E6C84"/>
    <w:rsid w:val="001E6E15"/>
    <w:rsid w:val="001E7567"/>
    <w:rsid w:val="001E7DA6"/>
    <w:rsid w:val="001F0111"/>
    <w:rsid w:val="001F01B7"/>
    <w:rsid w:val="001F0311"/>
    <w:rsid w:val="001F0423"/>
    <w:rsid w:val="001F05CF"/>
    <w:rsid w:val="001F0765"/>
    <w:rsid w:val="001F0FB9"/>
    <w:rsid w:val="001F1208"/>
    <w:rsid w:val="001F1AFC"/>
    <w:rsid w:val="001F2562"/>
    <w:rsid w:val="001F2752"/>
    <w:rsid w:val="001F2857"/>
    <w:rsid w:val="001F2C4C"/>
    <w:rsid w:val="001F2F7B"/>
    <w:rsid w:val="001F336C"/>
    <w:rsid w:val="001F4343"/>
    <w:rsid w:val="001F44AE"/>
    <w:rsid w:val="001F490E"/>
    <w:rsid w:val="001F4C65"/>
    <w:rsid w:val="001F50A7"/>
    <w:rsid w:val="001F553F"/>
    <w:rsid w:val="001F63F6"/>
    <w:rsid w:val="001F6456"/>
    <w:rsid w:val="001F65F9"/>
    <w:rsid w:val="001F6D69"/>
    <w:rsid w:val="001F6FFB"/>
    <w:rsid w:val="001F737F"/>
    <w:rsid w:val="001F7483"/>
    <w:rsid w:val="001F7D91"/>
    <w:rsid w:val="001F7E9C"/>
    <w:rsid w:val="001F7F5D"/>
    <w:rsid w:val="002003DE"/>
    <w:rsid w:val="002005B4"/>
    <w:rsid w:val="002008CC"/>
    <w:rsid w:val="00200E03"/>
    <w:rsid w:val="00200F34"/>
    <w:rsid w:val="0020158A"/>
    <w:rsid w:val="0020158D"/>
    <w:rsid w:val="0020190A"/>
    <w:rsid w:val="00202158"/>
    <w:rsid w:val="0020238D"/>
    <w:rsid w:val="002028B8"/>
    <w:rsid w:val="00202A8D"/>
    <w:rsid w:val="002033AF"/>
    <w:rsid w:val="00203ED4"/>
    <w:rsid w:val="00204A3C"/>
    <w:rsid w:val="00204B74"/>
    <w:rsid w:val="00204DCA"/>
    <w:rsid w:val="002051B9"/>
    <w:rsid w:val="00205264"/>
    <w:rsid w:val="002059CB"/>
    <w:rsid w:val="00206232"/>
    <w:rsid w:val="002065D9"/>
    <w:rsid w:val="00206CE0"/>
    <w:rsid w:val="0020743A"/>
    <w:rsid w:val="00207443"/>
    <w:rsid w:val="002078A6"/>
    <w:rsid w:val="00207934"/>
    <w:rsid w:val="00210241"/>
    <w:rsid w:val="0021039D"/>
    <w:rsid w:val="00210650"/>
    <w:rsid w:val="00210C01"/>
    <w:rsid w:val="0021198F"/>
    <w:rsid w:val="0021264A"/>
    <w:rsid w:val="0021282B"/>
    <w:rsid w:val="0021283D"/>
    <w:rsid w:val="00213AA6"/>
    <w:rsid w:val="00213F11"/>
    <w:rsid w:val="002143DC"/>
    <w:rsid w:val="0021442F"/>
    <w:rsid w:val="0021469C"/>
    <w:rsid w:val="00214CAE"/>
    <w:rsid w:val="00214DA2"/>
    <w:rsid w:val="00214E99"/>
    <w:rsid w:val="00215304"/>
    <w:rsid w:val="0021535E"/>
    <w:rsid w:val="0021577D"/>
    <w:rsid w:val="00215921"/>
    <w:rsid w:val="00215E97"/>
    <w:rsid w:val="00216276"/>
    <w:rsid w:val="0021688D"/>
    <w:rsid w:val="00216DE7"/>
    <w:rsid w:val="002173D7"/>
    <w:rsid w:val="00217558"/>
    <w:rsid w:val="00217ABB"/>
    <w:rsid w:val="00217CAA"/>
    <w:rsid w:val="00217CBA"/>
    <w:rsid w:val="00217CE2"/>
    <w:rsid w:val="00217D68"/>
    <w:rsid w:val="0022015B"/>
    <w:rsid w:val="002204B8"/>
    <w:rsid w:val="00220F5F"/>
    <w:rsid w:val="0022112E"/>
    <w:rsid w:val="00221526"/>
    <w:rsid w:val="002215F9"/>
    <w:rsid w:val="002217A7"/>
    <w:rsid w:val="00221855"/>
    <w:rsid w:val="002221A5"/>
    <w:rsid w:val="002223B1"/>
    <w:rsid w:val="002225B6"/>
    <w:rsid w:val="002228A3"/>
    <w:rsid w:val="00222F12"/>
    <w:rsid w:val="0022304F"/>
    <w:rsid w:val="00223EFE"/>
    <w:rsid w:val="0022400C"/>
    <w:rsid w:val="00224915"/>
    <w:rsid w:val="00224D45"/>
    <w:rsid w:val="0022506D"/>
    <w:rsid w:val="0022559C"/>
    <w:rsid w:val="00225F72"/>
    <w:rsid w:val="0022604C"/>
    <w:rsid w:val="0022650A"/>
    <w:rsid w:val="002267A8"/>
    <w:rsid w:val="00226F49"/>
    <w:rsid w:val="00227057"/>
    <w:rsid w:val="002272A5"/>
    <w:rsid w:val="00227B42"/>
    <w:rsid w:val="00227F38"/>
    <w:rsid w:val="002301B4"/>
    <w:rsid w:val="00230909"/>
    <w:rsid w:val="002313ED"/>
    <w:rsid w:val="0023163A"/>
    <w:rsid w:val="00232072"/>
    <w:rsid w:val="00232673"/>
    <w:rsid w:val="0023292B"/>
    <w:rsid w:val="00232D08"/>
    <w:rsid w:val="0023323A"/>
    <w:rsid w:val="002338E0"/>
    <w:rsid w:val="00233981"/>
    <w:rsid w:val="00233A56"/>
    <w:rsid w:val="00233AA7"/>
    <w:rsid w:val="00233C28"/>
    <w:rsid w:val="00233C4E"/>
    <w:rsid w:val="00234E21"/>
    <w:rsid w:val="00235DDF"/>
    <w:rsid w:val="00235EB4"/>
    <w:rsid w:val="00235F68"/>
    <w:rsid w:val="0023657F"/>
    <w:rsid w:val="00236844"/>
    <w:rsid w:val="0023692E"/>
    <w:rsid w:val="002375EB"/>
    <w:rsid w:val="00237AE5"/>
    <w:rsid w:val="002401AC"/>
    <w:rsid w:val="0024029F"/>
    <w:rsid w:val="002406DD"/>
    <w:rsid w:val="00241032"/>
    <w:rsid w:val="00241705"/>
    <w:rsid w:val="002417F4"/>
    <w:rsid w:val="002420AC"/>
    <w:rsid w:val="00242B1C"/>
    <w:rsid w:val="00243027"/>
    <w:rsid w:val="00243110"/>
    <w:rsid w:val="00243273"/>
    <w:rsid w:val="002432DB"/>
    <w:rsid w:val="002438F0"/>
    <w:rsid w:val="002439E3"/>
    <w:rsid w:val="00243A99"/>
    <w:rsid w:val="00243E8F"/>
    <w:rsid w:val="00244A41"/>
    <w:rsid w:val="00245351"/>
    <w:rsid w:val="002453E3"/>
    <w:rsid w:val="002457AC"/>
    <w:rsid w:val="002459F5"/>
    <w:rsid w:val="00245C73"/>
    <w:rsid w:val="00245EE0"/>
    <w:rsid w:val="002469B5"/>
    <w:rsid w:val="002470BA"/>
    <w:rsid w:val="002474CB"/>
    <w:rsid w:val="002474D6"/>
    <w:rsid w:val="00247A27"/>
    <w:rsid w:val="00247A69"/>
    <w:rsid w:val="00250082"/>
    <w:rsid w:val="00250BE9"/>
    <w:rsid w:val="00250CA9"/>
    <w:rsid w:val="00250CB4"/>
    <w:rsid w:val="00250F3F"/>
    <w:rsid w:val="00251360"/>
    <w:rsid w:val="00251B49"/>
    <w:rsid w:val="00251D26"/>
    <w:rsid w:val="00251D93"/>
    <w:rsid w:val="00251EC8"/>
    <w:rsid w:val="002522BE"/>
    <w:rsid w:val="00252348"/>
    <w:rsid w:val="00252417"/>
    <w:rsid w:val="0025282D"/>
    <w:rsid w:val="0025378A"/>
    <w:rsid w:val="00253AA0"/>
    <w:rsid w:val="00253EA2"/>
    <w:rsid w:val="0025487D"/>
    <w:rsid w:val="00254AB4"/>
    <w:rsid w:val="00254B94"/>
    <w:rsid w:val="002553DE"/>
    <w:rsid w:val="002556DE"/>
    <w:rsid w:val="00255B9C"/>
    <w:rsid w:val="00256257"/>
    <w:rsid w:val="00256C13"/>
    <w:rsid w:val="002574D5"/>
    <w:rsid w:val="00257509"/>
    <w:rsid w:val="002575C0"/>
    <w:rsid w:val="002576BC"/>
    <w:rsid w:val="00257B98"/>
    <w:rsid w:val="00257BF8"/>
    <w:rsid w:val="00257F15"/>
    <w:rsid w:val="002603A8"/>
    <w:rsid w:val="0026062B"/>
    <w:rsid w:val="00260B19"/>
    <w:rsid w:val="00260FC4"/>
    <w:rsid w:val="00261437"/>
    <w:rsid w:val="0026155A"/>
    <w:rsid w:val="002617BD"/>
    <w:rsid w:val="0026193F"/>
    <w:rsid w:val="00261F72"/>
    <w:rsid w:val="002620FB"/>
    <w:rsid w:val="002626AA"/>
    <w:rsid w:val="00262B31"/>
    <w:rsid w:val="00262DE0"/>
    <w:rsid w:val="00262E9D"/>
    <w:rsid w:val="00263721"/>
    <w:rsid w:val="002639DF"/>
    <w:rsid w:val="00263BDF"/>
    <w:rsid w:val="00263DF9"/>
    <w:rsid w:val="002645E1"/>
    <w:rsid w:val="00264B3D"/>
    <w:rsid w:val="00264BF0"/>
    <w:rsid w:val="00264CE2"/>
    <w:rsid w:val="00264F11"/>
    <w:rsid w:val="002654B4"/>
    <w:rsid w:val="00265900"/>
    <w:rsid w:val="00265A11"/>
    <w:rsid w:val="00265F7B"/>
    <w:rsid w:val="00266139"/>
    <w:rsid w:val="00266771"/>
    <w:rsid w:val="00266D89"/>
    <w:rsid w:val="00267389"/>
    <w:rsid w:val="002678C6"/>
    <w:rsid w:val="00267A2B"/>
    <w:rsid w:val="00270344"/>
    <w:rsid w:val="00270A79"/>
    <w:rsid w:val="00270AC4"/>
    <w:rsid w:val="00270F9F"/>
    <w:rsid w:val="00271082"/>
    <w:rsid w:val="002710C3"/>
    <w:rsid w:val="0027113F"/>
    <w:rsid w:val="00271155"/>
    <w:rsid w:val="002715BA"/>
    <w:rsid w:val="00271DB6"/>
    <w:rsid w:val="00271DDC"/>
    <w:rsid w:val="0027231A"/>
    <w:rsid w:val="0027243E"/>
    <w:rsid w:val="00272C68"/>
    <w:rsid w:val="00273303"/>
    <w:rsid w:val="0027352F"/>
    <w:rsid w:val="00273882"/>
    <w:rsid w:val="00273BFB"/>
    <w:rsid w:val="00273C18"/>
    <w:rsid w:val="002741CE"/>
    <w:rsid w:val="002743A8"/>
    <w:rsid w:val="0027451A"/>
    <w:rsid w:val="00274EE5"/>
    <w:rsid w:val="0027513A"/>
    <w:rsid w:val="00275147"/>
    <w:rsid w:val="002754E6"/>
    <w:rsid w:val="002755FE"/>
    <w:rsid w:val="00276676"/>
    <w:rsid w:val="0027694A"/>
    <w:rsid w:val="00276AEF"/>
    <w:rsid w:val="00276F3B"/>
    <w:rsid w:val="002771C6"/>
    <w:rsid w:val="0027752A"/>
    <w:rsid w:val="00277B1D"/>
    <w:rsid w:val="00277C2A"/>
    <w:rsid w:val="00281146"/>
    <w:rsid w:val="00281705"/>
    <w:rsid w:val="00281CB5"/>
    <w:rsid w:val="00282050"/>
    <w:rsid w:val="00282185"/>
    <w:rsid w:val="00282673"/>
    <w:rsid w:val="002829EF"/>
    <w:rsid w:val="00283482"/>
    <w:rsid w:val="00283751"/>
    <w:rsid w:val="002839D2"/>
    <w:rsid w:val="00283C7C"/>
    <w:rsid w:val="00284130"/>
    <w:rsid w:val="00284A31"/>
    <w:rsid w:val="00284B21"/>
    <w:rsid w:val="00284E45"/>
    <w:rsid w:val="00285A91"/>
    <w:rsid w:val="00285B00"/>
    <w:rsid w:val="00285BB5"/>
    <w:rsid w:val="00285CF0"/>
    <w:rsid w:val="00285DA5"/>
    <w:rsid w:val="00285DED"/>
    <w:rsid w:val="0028649A"/>
    <w:rsid w:val="002864ED"/>
    <w:rsid w:val="00286506"/>
    <w:rsid w:val="00286AD0"/>
    <w:rsid w:val="00286B9F"/>
    <w:rsid w:val="00286C3D"/>
    <w:rsid w:val="00287B92"/>
    <w:rsid w:val="00287EBB"/>
    <w:rsid w:val="002903A9"/>
    <w:rsid w:val="00290827"/>
    <w:rsid w:val="00290E15"/>
    <w:rsid w:val="00290E28"/>
    <w:rsid w:val="002918E5"/>
    <w:rsid w:val="0029230D"/>
    <w:rsid w:val="00292375"/>
    <w:rsid w:val="00292401"/>
    <w:rsid w:val="0029263F"/>
    <w:rsid w:val="00292695"/>
    <w:rsid w:val="00292887"/>
    <w:rsid w:val="0029297F"/>
    <w:rsid w:val="00292B59"/>
    <w:rsid w:val="00292B61"/>
    <w:rsid w:val="00292D08"/>
    <w:rsid w:val="00293173"/>
    <w:rsid w:val="00293219"/>
    <w:rsid w:val="00293738"/>
    <w:rsid w:val="00293D31"/>
    <w:rsid w:val="00293E73"/>
    <w:rsid w:val="00293EB5"/>
    <w:rsid w:val="0029415F"/>
    <w:rsid w:val="00294460"/>
    <w:rsid w:val="00294D5B"/>
    <w:rsid w:val="002955E4"/>
    <w:rsid w:val="00295DA9"/>
    <w:rsid w:val="00296C93"/>
    <w:rsid w:val="00296DC7"/>
    <w:rsid w:val="00297CC5"/>
    <w:rsid w:val="002A09BF"/>
    <w:rsid w:val="002A11DB"/>
    <w:rsid w:val="002A1353"/>
    <w:rsid w:val="002A17FF"/>
    <w:rsid w:val="002A1BD1"/>
    <w:rsid w:val="002A242E"/>
    <w:rsid w:val="002A2983"/>
    <w:rsid w:val="002A3076"/>
    <w:rsid w:val="002A32F4"/>
    <w:rsid w:val="002A3468"/>
    <w:rsid w:val="002A3B22"/>
    <w:rsid w:val="002A3C66"/>
    <w:rsid w:val="002A3E25"/>
    <w:rsid w:val="002A4EF5"/>
    <w:rsid w:val="002A51C9"/>
    <w:rsid w:val="002A535C"/>
    <w:rsid w:val="002A5554"/>
    <w:rsid w:val="002A59D6"/>
    <w:rsid w:val="002A6C8B"/>
    <w:rsid w:val="002A761D"/>
    <w:rsid w:val="002A79E7"/>
    <w:rsid w:val="002A7EBF"/>
    <w:rsid w:val="002B01D4"/>
    <w:rsid w:val="002B050F"/>
    <w:rsid w:val="002B0978"/>
    <w:rsid w:val="002B0CC5"/>
    <w:rsid w:val="002B23CF"/>
    <w:rsid w:val="002B260D"/>
    <w:rsid w:val="002B2789"/>
    <w:rsid w:val="002B2CF3"/>
    <w:rsid w:val="002B2EDA"/>
    <w:rsid w:val="002B379B"/>
    <w:rsid w:val="002B38DC"/>
    <w:rsid w:val="002B3D95"/>
    <w:rsid w:val="002B41F3"/>
    <w:rsid w:val="002B44F6"/>
    <w:rsid w:val="002B45F9"/>
    <w:rsid w:val="002B4619"/>
    <w:rsid w:val="002B4C2D"/>
    <w:rsid w:val="002B4E76"/>
    <w:rsid w:val="002B5652"/>
    <w:rsid w:val="002B5C4C"/>
    <w:rsid w:val="002B63E0"/>
    <w:rsid w:val="002B6631"/>
    <w:rsid w:val="002B6668"/>
    <w:rsid w:val="002B6802"/>
    <w:rsid w:val="002B6D58"/>
    <w:rsid w:val="002B6F3C"/>
    <w:rsid w:val="002B7101"/>
    <w:rsid w:val="002B7489"/>
    <w:rsid w:val="002B74EA"/>
    <w:rsid w:val="002B7595"/>
    <w:rsid w:val="002B77C3"/>
    <w:rsid w:val="002B78D1"/>
    <w:rsid w:val="002B7F4C"/>
    <w:rsid w:val="002C0A67"/>
    <w:rsid w:val="002C0D6B"/>
    <w:rsid w:val="002C0EBD"/>
    <w:rsid w:val="002C0F0C"/>
    <w:rsid w:val="002C1999"/>
    <w:rsid w:val="002C1A8A"/>
    <w:rsid w:val="002C1CC0"/>
    <w:rsid w:val="002C1EDD"/>
    <w:rsid w:val="002C2990"/>
    <w:rsid w:val="002C2D24"/>
    <w:rsid w:val="002C315B"/>
    <w:rsid w:val="002C3A1C"/>
    <w:rsid w:val="002C3C35"/>
    <w:rsid w:val="002C4850"/>
    <w:rsid w:val="002C50BF"/>
    <w:rsid w:val="002C51D6"/>
    <w:rsid w:val="002C5C10"/>
    <w:rsid w:val="002C5C3B"/>
    <w:rsid w:val="002C5DB4"/>
    <w:rsid w:val="002C60BA"/>
    <w:rsid w:val="002C611F"/>
    <w:rsid w:val="002C6249"/>
    <w:rsid w:val="002C6642"/>
    <w:rsid w:val="002C701C"/>
    <w:rsid w:val="002C70C6"/>
    <w:rsid w:val="002C742C"/>
    <w:rsid w:val="002D0017"/>
    <w:rsid w:val="002D00D9"/>
    <w:rsid w:val="002D04DA"/>
    <w:rsid w:val="002D284F"/>
    <w:rsid w:val="002D2B27"/>
    <w:rsid w:val="002D2C46"/>
    <w:rsid w:val="002D2D1F"/>
    <w:rsid w:val="002D2DC1"/>
    <w:rsid w:val="002D305E"/>
    <w:rsid w:val="002D361B"/>
    <w:rsid w:val="002D39F8"/>
    <w:rsid w:val="002D3E38"/>
    <w:rsid w:val="002D47CF"/>
    <w:rsid w:val="002D4AE3"/>
    <w:rsid w:val="002D4BC8"/>
    <w:rsid w:val="002D54BD"/>
    <w:rsid w:val="002D550E"/>
    <w:rsid w:val="002D5A99"/>
    <w:rsid w:val="002D5B75"/>
    <w:rsid w:val="002D6010"/>
    <w:rsid w:val="002D6954"/>
    <w:rsid w:val="002D6DAA"/>
    <w:rsid w:val="002D6F10"/>
    <w:rsid w:val="002D70CB"/>
    <w:rsid w:val="002D76B0"/>
    <w:rsid w:val="002D7D59"/>
    <w:rsid w:val="002D7FB5"/>
    <w:rsid w:val="002E0256"/>
    <w:rsid w:val="002E063E"/>
    <w:rsid w:val="002E066C"/>
    <w:rsid w:val="002E0AE2"/>
    <w:rsid w:val="002E0D0F"/>
    <w:rsid w:val="002E1D72"/>
    <w:rsid w:val="002E1FD5"/>
    <w:rsid w:val="002E22CE"/>
    <w:rsid w:val="002E2939"/>
    <w:rsid w:val="002E2F80"/>
    <w:rsid w:val="002E30C1"/>
    <w:rsid w:val="002E31E8"/>
    <w:rsid w:val="002E3A9F"/>
    <w:rsid w:val="002E3E65"/>
    <w:rsid w:val="002E4202"/>
    <w:rsid w:val="002E4A33"/>
    <w:rsid w:val="002E5386"/>
    <w:rsid w:val="002E5AEB"/>
    <w:rsid w:val="002E5C1D"/>
    <w:rsid w:val="002E5FC9"/>
    <w:rsid w:val="002E642F"/>
    <w:rsid w:val="002E65EE"/>
    <w:rsid w:val="002E6645"/>
    <w:rsid w:val="002E6861"/>
    <w:rsid w:val="002E71A7"/>
    <w:rsid w:val="002E7407"/>
    <w:rsid w:val="002E7729"/>
    <w:rsid w:val="002E7A04"/>
    <w:rsid w:val="002F0757"/>
    <w:rsid w:val="002F1160"/>
    <w:rsid w:val="002F134F"/>
    <w:rsid w:val="002F1A46"/>
    <w:rsid w:val="002F1BC6"/>
    <w:rsid w:val="002F1C73"/>
    <w:rsid w:val="002F2230"/>
    <w:rsid w:val="002F2271"/>
    <w:rsid w:val="002F2652"/>
    <w:rsid w:val="002F2708"/>
    <w:rsid w:val="002F2AF4"/>
    <w:rsid w:val="002F2AF9"/>
    <w:rsid w:val="002F319F"/>
    <w:rsid w:val="002F326A"/>
    <w:rsid w:val="002F38A7"/>
    <w:rsid w:val="002F3FAF"/>
    <w:rsid w:val="002F459E"/>
    <w:rsid w:val="002F4A43"/>
    <w:rsid w:val="002F4DFD"/>
    <w:rsid w:val="002F5539"/>
    <w:rsid w:val="002F5799"/>
    <w:rsid w:val="002F5901"/>
    <w:rsid w:val="002F5995"/>
    <w:rsid w:val="002F5E09"/>
    <w:rsid w:val="002F60B8"/>
    <w:rsid w:val="002F6356"/>
    <w:rsid w:val="002F69A1"/>
    <w:rsid w:val="002F6ABF"/>
    <w:rsid w:val="002F71CE"/>
    <w:rsid w:val="002F7C7F"/>
    <w:rsid w:val="0030055B"/>
    <w:rsid w:val="003005FF"/>
    <w:rsid w:val="00300821"/>
    <w:rsid w:val="00300994"/>
    <w:rsid w:val="003017C0"/>
    <w:rsid w:val="003018D2"/>
    <w:rsid w:val="00301B08"/>
    <w:rsid w:val="00302B5A"/>
    <w:rsid w:val="00302C61"/>
    <w:rsid w:val="00302FA4"/>
    <w:rsid w:val="00303450"/>
    <w:rsid w:val="003042B4"/>
    <w:rsid w:val="003042D1"/>
    <w:rsid w:val="003044D8"/>
    <w:rsid w:val="00304ADC"/>
    <w:rsid w:val="00304BBC"/>
    <w:rsid w:val="00304E5E"/>
    <w:rsid w:val="0030528C"/>
    <w:rsid w:val="003054C7"/>
    <w:rsid w:val="003056F3"/>
    <w:rsid w:val="003059AE"/>
    <w:rsid w:val="00305CC9"/>
    <w:rsid w:val="003062B7"/>
    <w:rsid w:val="0030643A"/>
    <w:rsid w:val="0030705F"/>
    <w:rsid w:val="003071D7"/>
    <w:rsid w:val="003072DE"/>
    <w:rsid w:val="003073B6"/>
    <w:rsid w:val="00307CDA"/>
    <w:rsid w:val="00307D84"/>
    <w:rsid w:val="0031026B"/>
    <w:rsid w:val="00310C43"/>
    <w:rsid w:val="00310D68"/>
    <w:rsid w:val="00310E74"/>
    <w:rsid w:val="00310FBE"/>
    <w:rsid w:val="00311401"/>
    <w:rsid w:val="00311C90"/>
    <w:rsid w:val="00311FED"/>
    <w:rsid w:val="00311FF4"/>
    <w:rsid w:val="0031292E"/>
    <w:rsid w:val="00312DDC"/>
    <w:rsid w:val="00313171"/>
    <w:rsid w:val="00313986"/>
    <w:rsid w:val="0031411C"/>
    <w:rsid w:val="0031471E"/>
    <w:rsid w:val="0031490B"/>
    <w:rsid w:val="00314A5B"/>
    <w:rsid w:val="00314BC4"/>
    <w:rsid w:val="003153D2"/>
    <w:rsid w:val="003155F4"/>
    <w:rsid w:val="003157CB"/>
    <w:rsid w:val="003158CF"/>
    <w:rsid w:val="00315F6A"/>
    <w:rsid w:val="0031614F"/>
    <w:rsid w:val="003166E4"/>
    <w:rsid w:val="003167B7"/>
    <w:rsid w:val="0031699C"/>
    <w:rsid w:val="003172D5"/>
    <w:rsid w:val="00317364"/>
    <w:rsid w:val="003176F6"/>
    <w:rsid w:val="003177F4"/>
    <w:rsid w:val="00317AC6"/>
    <w:rsid w:val="00320D1C"/>
    <w:rsid w:val="00320E4F"/>
    <w:rsid w:val="00320F05"/>
    <w:rsid w:val="00321090"/>
    <w:rsid w:val="0032142B"/>
    <w:rsid w:val="0032197B"/>
    <w:rsid w:val="00321E5F"/>
    <w:rsid w:val="00321FF4"/>
    <w:rsid w:val="00322BE0"/>
    <w:rsid w:val="00323E6D"/>
    <w:rsid w:val="0032417C"/>
    <w:rsid w:val="00324678"/>
    <w:rsid w:val="00324F2B"/>
    <w:rsid w:val="003250E5"/>
    <w:rsid w:val="003251FD"/>
    <w:rsid w:val="00325274"/>
    <w:rsid w:val="00325C61"/>
    <w:rsid w:val="00326088"/>
    <w:rsid w:val="003262C2"/>
    <w:rsid w:val="00326578"/>
    <w:rsid w:val="003269A0"/>
    <w:rsid w:val="00327296"/>
    <w:rsid w:val="003272C3"/>
    <w:rsid w:val="00327309"/>
    <w:rsid w:val="003273EA"/>
    <w:rsid w:val="003276F7"/>
    <w:rsid w:val="00327EB9"/>
    <w:rsid w:val="00330849"/>
    <w:rsid w:val="00330C3D"/>
    <w:rsid w:val="003314FF"/>
    <w:rsid w:val="00331856"/>
    <w:rsid w:val="00331D7D"/>
    <w:rsid w:val="00331F46"/>
    <w:rsid w:val="00332330"/>
    <w:rsid w:val="00332FDE"/>
    <w:rsid w:val="0033349D"/>
    <w:rsid w:val="0033390B"/>
    <w:rsid w:val="003339E4"/>
    <w:rsid w:val="00333B39"/>
    <w:rsid w:val="00333FB7"/>
    <w:rsid w:val="00334F21"/>
    <w:rsid w:val="00335353"/>
    <w:rsid w:val="00335A92"/>
    <w:rsid w:val="00336BE4"/>
    <w:rsid w:val="00336FE4"/>
    <w:rsid w:val="003376A2"/>
    <w:rsid w:val="00337B15"/>
    <w:rsid w:val="003402DB"/>
    <w:rsid w:val="00340B55"/>
    <w:rsid w:val="00340CF3"/>
    <w:rsid w:val="00341277"/>
    <w:rsid w:val="00341702"/>
    <w:rsid w:val="00341B05"/>
    <w:rsid w:val="00341B49"/>
    <w:rsid w:val="00341FE7"/>
    <w:rsid w:val="00342875"/>
    <w:rsid w:val="00342A8C"/>
    <w:rsid w:val="00342AB5"/>
    <w:rsid w:val="00342C99"/>
    <w:rsid w:val="00342E45"/>
    <w:rsid w:val="00342FA6"/>
    <w:rsid w:val="003432A3"/>
    <w:rsid w:val="00343367"/>
    <w:rsid w:val="00343A8E"/>
    <w:rsid w:val="00343B52"/>
    <w:rsid w:val="003444E3"/>
    <w:rsid w:val="00344669"/>
    <w:rsid w:val="00344B03"/>
    <w:rsid w:val="00344F83"/>
    <w:rsid w:val="00345173"/>
    <w:rsid w:val="00345CFC"/>
    <w:rsid w:val="00345DEE"/>
    <w:rsid w:val="0034622B"/>
    <w:rsid w:val="003474F2"/>
    <w:rsid w:val="00347FDB"/>
    <w:rsid w:val="00350349"/>
    <w:rsid w:val="00350382"/>
    <w:rsid w:val="0035069E"/>
    <w:rsid w:val="003508AC"/>
    <w:rsid w:val="00350F58"/>
    <w:rsid w:val="00351372"/>
    <w:rsid w:val="0035158B"/>
    <w:rsid w:val="00351C65"/>
    <w:rsid w:val="00352D98"/>
    <w:rsid w:val="00352F2A"/>
    <w:rsid w:val="00352FC6"/>
    <w:rsid w:val="00353398"/>
    <w:rsid w:val="00353D16"/>
    <w:rsid w:val="0035414A"/>
    <w:rsid w:val="00354151"/>
    <w:rsid w:val="0035427B"/>
    <w:rsid w:val="00354612"/>
    <w:rsid w:val="00354876"/>
    <w:rsid w:val="0035494E"/>
    <w:rsid w:val="003549F3"/>
    <w:rsid w:val="00355066"/>
    <w:rsid w:val="003555D7"/>
    <w:rsid w:val="0035580B"/>
    <w:rsid w:val="00355B75"/>
    <w:rsid w:val="003560C9"/>
    <w:rsid w:val="00356837"/>
    <w:rsid w:val="003573E2"/>
    <w:rsid w:val="00357557"/>
    <w:rsid w:val="00357EC4"/>
    <w:rsid w:val="003602D6"/>
    <w:rsid w:val="0036034B"/>
    <w:rsid w:val="00360800"/>
    <w:rsid w:val="0036085C"/>
    <w:rsid w:val="00360893"/>
    <w:rsid w:val="0036106A"/>
    <w:rsid w:val="00361629"/>
    <w:rsid w:val="003616B0"/>
    <w:rsid w:val="00361F91"/>
    <w:rsid w:val="00362896"/>
    <w:rsid w:val="00362C0D"/>
    <w:rsid w:val="003640DD"/>
    <w:rsid w:val="0036411A"/>
    <w:rsid w:val="00364293"/>
    <w:rsid w:val="0036439D"/>
    <w:rsid w:val="00364419"/>
    <w:rsid w:val="003644A3"/>
    <w:rsid w:val="00364597"/>
    <w:rsid w:val="003647E6"/>
    <w:rsid w:val="003649E2"/>
    <w:rsid w:val="0036517A"/>
    <w:rsid w:val="00365828"/>
    <w:rsid w:val="0036587B"/>
    <w:rsid w:val="00365FA9"/>
    <w:rsid w:val="00366AB0"/>
    <w:rsid w:val="00366D93"/>
    <w:rsid w:val="0036709B"/>
    <w:rsid w:val="00367411"/>
    <w:rsid w:val="003676FC"/>
    <w:rsid w:val="00370134"/>
    <w:rsid w:val="0037047F"/>
    <w:rsid w:val="00370C5F"/>
    <w:rsid w:val="0037122B"/>
    <w:rsid w:val="003717D3"/>
    <w:rsid w:val="00371C4E"/>
    <w:rsid w:val="003728C5"/>
    <w:rsid w:val="00372E06"/>
    <w:rsid w:val="0037307A"/>
    <w:rsid w:val="00373A70"/>
    <w:rsid w:val="0037431E"/>
    <w:rsid w:val="00374522"/>
    <w:rsid w:val="00374D88"/>
    <w:rsid w:val="003761B9"/>
    <w:rsid w:val="00376746"/>
    <w:rsid w:val="00376E6B"/>
    <w:rsid w:val="003773A5"/>
    <w:rsid w:val="00377744"/>
    <w:rsid w:val="00377E4E"/>
    <w:rsid w:val="00380477"/>
    <w:rsid w:val="0038091A"/>
    <w:rsid w:val="00380A07"/>
    <w:rsid w:val="00380BDB"/>
    <w:rsid w:val="00380E9D"/>
    <w:rsid w:val="003813D0"/>
    <w:rsid w:val="0038239F"/>
    <w:rsid w:val="003826BD"/>
    <w:rsid w:val="00382879"/>
    <w:rsid w:val="00382BAF"/>
    <w:rsid w:val="00382CE9"/>
    <w:rsid w:val="00382FB5"/>
    <w:rsid w:val="00383070"/>
    <w:rsid w:val="00383EC0"/>
    <w:rsid w:val="0038417B"/>
    <w:rsid w:val="003846D7"/>
    <w:rsid w:val="003847DF"/>
    <w:rsid w:val="00384DC4"/>
    <w:rsid w:val="0038531E"/>
    <w:rsid w:val="0038540A"/>
    <w:rsid w:val="0038550B"/>
    <w:rsid w:val="003857EF"/>
    <w:rsid w:val="00385B81"/>
    <w:rsid w:val="00385FCB"/>
    <w:rsid w:val="00386DEC"/>
    <w:rsid w:val="00386E91"/>
    <w:rsid w:val="003872F8"/>
    <w:rsid w:val="00387B43"/>
    <w:rsid w:val="00387E96"/>
    <w:rsid w:val="00390231"/>
    <w:rsid w:val="003904D9"/>
    <w:rsid w:val="00390533"/>
    <w:rsid w:val="00390717"/>
    <w:rsid w:val="003908E4"/>
    <w:rsid w:val="0039099D"/>
    <w:rsid w:val="0039111A"/>
    <w:rsid w:val="00391F44"/>
    <w:rsid w:val="00392220"/>
    <w:rsid w:val="0039277B"/>
    <w:rsid w:val="0039288A"/>
    <w:rsid w:val="00392A3F"/>
    <w:rsid w:val="00392B1C"/>
    <w:rsid w:val="00392BBF"/>
    <w:rsid w:val="00392E2A"/>
    <w:rsid w:val="00393175"/>
    <w:rsid w:val="00393572"/>
    <w:rsid w:val="00393BF5"/>
    <w:rsid w:val="00393FCF"/>
    <w:rsid w:val="003940CE"/>
    <w:rsid w:val="00394279"/>
    <w:rsid w:val="0039485F"/>
    <w:rsid w:val="00394E36"/>
    <w:rsid w:val="00395297"/>
    <w:rsid w:val="003952D2"/>
    <w:rsid w:val="003958AC"/>
    <w:rsid w:val="00395932"/>
    <w:rsid w:val="00395A7E"/>
    <w:rsid w:val="0039614D"/>
    <w:rsid w:val="0039734B"/>
    <w:rsid w:val="0039763D"/>
    <w:rsid w:val="003976B3"/>
    <w:rsid w:val="00397FDA"/>
    <w:rsid w:val="003A0185"/>
    <w:rsid w:val="003A09FB"/>
    <w:rsid w:val="003A0F63"/>
    <w:rsid w:val="003A1220"/>
    <w:rsid w:val="003A1252"/>
    <w:rsid w:val="003A19A7"/>
    <w:rsid w:val="003A1DDB"/>
    <w:rsid w:val="003A24E8"/>
    <w:rsid w:val="003A2B92"/>
    <w:rsid w:val="003A300E"/>
    <w:rsid w:val="003A30DF"/>
    <w:rsid w:val="003A32AB"/>
    <w:rsid w:val="003A39BA"/>
    <w:rsid w:val="003A3A76"/>
    <w:rsid w:val="003A44CD"/>
    <w:rsid w:val="003A477C"/>
    <w:rsid w:val="003A4803"/>
    <w:rsid w:val="003A4987"/>
    <w:rsid w:val="003A4A16"/>
    <w:rsid w:val="003A4D83"/>
    <w:rsid w:val="003A54BB"/>
    <w:rsid w:val="003A6134"/>
    <w:rsid w:val="003A6A95"/>
    <w:rsid w:val="003A7F00"/>
    <w:rsid w:val="003A7FA0"/>
    <w:rsid w:val="003B0C32"/>
    <w:rsid w:val="003B0D70"/>
    <w:rsid w:val="003B1584"/>
    <w:rsid w:val="003B18DC"/>
    <w:rsid w:val="003B196B"/>
    <w:rsid w:val="003B1DBC"/>
    <w:rsid w:val="003B2A36"/>
    <w:rsid w:val="003B2E83"/>
    <w:rsid w:val="003B35EC"/>
    <w:rsid w:val="003B3702"/>
    <w:rsid w:val="003B3D67"/>
    <w:rsid w:val="003B3F77"/>
    <w:rsid w:val="003B465C"/>
    <w:rsid w:val="003B4DB2"/>
    <w:rsid w:val="003B4E68"/>
    <w:rsid w:val="003B4EA7"/>
    <w:rsid w:val="003B5041"/>
    <w:rsid w:val="003B5173"/>
    <w:rsid w:val="003B5579"/>
    <w:rsid w:val="003B59E9"/>
    <w:rsid w:val="003B5CE4"/>
    <w:rsid w:val="003B60A1"/>
    <w:rsid w:val="003B632E"/>
    <w:rsid w:val="003B65A2"/>
    <w:rsid w:val="003B6606"/>
    <w:rsid w:val="003B66A0"/>
    <w:rsid w:val="003B68F3"/>
    <w:rsid w:val="003B6CC8"/>
    <w:rsid w:val="003B7221"/>
    <w:rsid w:val="003B7B3D"/>
    <w:rsid w:val="003B7CFA"/>
    <w:rsid w:val="003B7E42"/>
    <w:rsid w:val="003C057D"/>
    <w:rsid w:val="003C0A17"/>
    <w:rsid w:val="003C0FF0"/>
    <w:rsid w:val="003C10AC"/>
    <w:rsid w:val="003C1151"/>
    <w:rsid w:val="003C14A5"/>
    <w:rsid w:val="003C14C5"/>
    <w:rsid w:val="003C19BE"/>
    <w:rsid w:val="003C281E"/>
    <w:rsid w:val="003C3240"/>
    <w:rsid w:val="003C34E3"/>
    <w:rsid w:val="003C36D4"/>
    <w:rsid w:val="003C36E6"/>
    <w:rsid w:val="003C38B5"/>
    <w:rsid w:val="003C3B1F"/>
    <w:rsid w:val="003C3C4D"/>
    <w:rsid w:val="003C3DA3"/>
    <w:rsid w:val="003C3E0C"/>
    <w:rsid w:val="003C40F7"/>
    <w:rsid w:val="003C4DBC"/>
    <w:rsid w:val="003C53B1"/>
    <w:rsid w:val="003C5AAA"/>
    <w:rsid w:val="003C5F10"/>
    <w:rsid w:val="003C60D8"/>
    <w:rsid w:val="003C64F6"/>
    <w:rsid w:val="003C6ABD"/>
    <w:rsid w:val="003C6C59"/>
    <w:rsid w:val="003C71D4"/>
    <w:rsid w:val="003C7477"/>
    <w:rsid w:val="003C778D"/>
    <w:rsid w:val="003C77E0"/>
    <w:rsid w:val="003C7865"/>
    <w:rsid w:val="003C7B08"/>
    <w:rsid w:val="003C7B0D"/>
    <w:rsid w:val="003C7BD3"/>
    <w:rsid w:val="003D029E"/>
    <w:rsid w:val="003D0A61"/>
    <w:rsid w:val="003D133C"/>
    <w:rsid w:val="003D156B"/>
    <w:rsid w:val="003D18EE"/>
    <w:rsid w:val="003D1AC9"/>
    <w:rsid w:val="003D2071"/>
    <w:rsid w:val="003D24A3"/>
    <w:rsid w:val="003D2BAD"/>
    <w:rsid w:val="003D2F7F"/>
    <w:rsid w:val="003D3702"/>
    <w:rsid w:val="003D376D"/>
    <w:rsid w:val="003D3E9A"/>
    <w:rsid w:val="003D42D8"/>
    <w:rsid w:val="003D4452"/>
    <w:rsid w:val="003D451A"/>
    <w:rsid w:val="003D463A"/>
    <w:rsid w:val="003D481C"/>
    <w:rsid w:val="003D4F40"/>
    <w:rsid w:val="003D5328"/>
    <w:rsid w:val="003D53D0"/>
    <w:rsid w:val="003D5A79"/>
    <w:rsid w:val="003D5CFF"/>
    <w:rsid w:val="003D5EFD"/>
    <w:rsid w:val="003D6C3A"/>
    <w:rsid w:val="003D73D2"/>
    <w:rsid w:val="003D7EBD"/>
    <w:rsid w:val="003E06E8"/>
    <w:rsid w:val="003E104E"/>
    <w:rsid w:val="003E12DC"/>
    <w:rsid w:val="003E1592"/>
    <w:rsid w:val="003E1A51"/>
    <w:rsid w:val="003E1CA0"/>
    <w:rsid w:val="003E1CAB"/>
    <w:rsid w:val="003E20BA"/>
    <w:rsid w:val="003E2281"/>
    <w:rsid w:val="003E310F"/>
    <w:rsid w:val="003E3380"/>
    <w:rsid w:val="003E3583"/>
    <w:rsid w:val="003E3819"/>
    <w:rsid w:val="003E3B5B"/>
    <w:rsid w:val="003E41E2"/>
    <w:rsid w:val="003E4411"/>
    <w:rsid w:val="003E4A80"/>
    <w:rsid w:val="003E5387"/>
    <w:rsid w:val="003E565A"/>
    <w:rsid w:val="003E59CE"/>
    <w:rsid w:val="003E5ACD"/>
    <w:rsid w:val="003E5D68"/>
    <w:rsid w:val="003E5F07"/>
    <w:rsid w:val="003E62EB"/>
    <w:rsid w:val="003E6945"/>
    <w:rsid w:val="003E6BA4"/>
    <w:rsid w:val="003E6C32"/>
    <w:rsid w:val="003E6DCB"/>
    <w:rsid w:val="003E722B"/>
    <w:rsid w:val="003E791B"/>
    <w:rsid w:val="003F00F8"/>
    <w:rsid w:val="003F033E"/>
    <w:rsid w:val="003F09A1"/>
    <w:rsid w:val="003F0E44"/>
    <w:rsid w:val="003F0FBB"/>
    <w:rsid w:val="003F1028"/>
    <w:rsid w:val="003F105E"/>
    <w:rsid w:val="003F1085"/>
    <w:rsid w:val="003F1350"/>
    <w:rsid w:val="003F136E"/>
    <w:rsid w:val="003F1701"/>
    <w:rsid w:val="003F1F01"/>
    <w:rsid w:val="003F3451"/>
    <w:rsid w:val="003F369A"/>
    <w:rsid w:val="003F3DB5"/>
    <w:rsid w:val="003F42E7"/>
    <w:rsid w:val="003F45AE"/>
    <w:rsid w:val="003F4745"/>
    <w:rsid w:val="003F49AF"/>
    <w:rsid w:val="003F4C33"/>
    <w:rsid w:val="003F515B"/>
    <w:rsid w:val="003F5521"/>
    <w:rsid w:val="003F598A"/>
    <w:rsid w:val="003F5DA9"/>
    <w:rsid w:val="003F642E"/>
    <w:rsid w:val="003F65FC"/>
    <w:rsid w:val="003F66BC"/>
    <w:rsid w:val="003F6E61"/>
    <w:rsid w:val="003F6F13"/>
    <w:rsid w:val="003F74EE"/>
    <w:rsid w:val="003F75BF"/>
    <w:rsid w:val="003F79F5"/>
    <w:rsid w:val="00400234"/>
    <w:rsid w:val="00400552"/>
    <w:rsid w:val="004009E1"/>
    <w:rsid w:val="00400B8E"/>
    <w:rsid w:val="00400BE3"/>
    <w:rsid w:val="004012A1"/>
    <w:rsid w:val="0040189E"/>
    <w:rsid w:val="004019F1"/>
    <w:rsid w:val="00401B71"/>
    <w:rsid w:val="00402121"/>
    <w:rsid w:val="00402C0C"/>
    <w:rsid w:val="00403363"/>
    <w:rsid w:val="004039F9"/>
    <w:rsid w:val="0040404E"/>
    <w:rsid w:val="00404A4A"/>
    <w:rsid w:val="00404BC1"/>
    <w:rsid w:val="00404DB4"/>
    <w:rsid w:val="004050ED"/>
    <w:rsid w:val="00405212"/>
    <w:rsid w:val="0040532D"/>
    <w:rsid w:val="0040553A"/>
    <w:rsid w:val="0040553D"/>
    <w:rsid w:val="004057D9"/>
    <w:rsid w:val="00405A62"/>
    <w:rsid w:val="00405DC2"/>
    <w:rsid w:val="0040604C"/>
    <w:rsid w:val="0040661D"/>
    <w:rsid w:val="0040663D"/>
    <w:rsid w:val="004068B5"/>
    <w:rsid w:val="004073EA"/>
    <w:rsid w:val="004077CB"/>
    <w:rsid w:val="004103F6"/>
    <w:rsid w:val="004105E9"/>
    <w:rsid w:val="00410CF3"/>
    <w:rsid w:val="00410D94"/>
    <w:rsid w:val="0041156C"/>
    <w:rsid w:val="004119C1"/>
    <w:rsid w:val="00411AB8"/>
    <w:rsid w:val="00411BFA"/>
    <w:rsid w:val="004127B0"/>
    <w:rsid w:val="00412BB8"/>
    <w:rsid w:val="0041335A"/>
    <w:rsid w:val="004146A8"/>
    <w:rsid w:val="004148C6"/>
    <w:rsid w:val="0041498A"/>
    <w:rsid w:val="00414ADC"/>
    <w:rsid w:val="00415B36"/>
    <w:rsid w:val="00415D70"/>
    <w:rsid w:val="0041676C"/>
    <w:rsid w:val="0041699C"/>
    <w:rsid w:val="00416C95"/>
    <w:rsid w:val="00416E85"/>
    <w:rsid w:val="004175E4"/>
    <w:rsid w:val="00417706"/>
    <w:rsid w:val="00417B77"/>
    <w:rsid w:val="00417CF4"/>
    <w:rsid w:val="004203F7"/>
    <w:rsid w:val="0042056E"/>
    <w:rsid w:val="00420589"/>
    <w:rsid w:val="004208F1"/>
    <w:rsid w:val="00420DA9"/>
    <w:rsid w:val="00420E32"/>
    <w:rsid w:val="00421031"/>
    <w:rsid w:val="00421314"/>
    <w:rsid w:val="0042146F"/>
    <w:rsid w:val="00421503"/>
    <w:rsid w:val="00421694"/>
    <w:rsid w:val="0042170A"/>
    <w:rsid w:val="0042176D"/>
    <w:rsid w:val="0042177B"/>
    <w:rsid w:val="004219EF"/>
    <w:rsid w:val="00421A53"/>
    <w:rsid w:val="00421F7B"/>
    <w:rsid w:val="00422469"/>
    <w:rsid w:val="0042274D"/>
    <w:rsid w:val="004229AF"/>
    <w:rsid w:val="00422D75"/>
    <w:rsid w:val="00422DE9"/>
    <w:rsid w:val="00423673"/>
    <w:rsid w:val="00423698"/>
    <w:rsid w:val="0042389E"/>
    <w:rsid w:val="00424020"/>
    <w:rsid w:val="00424021"/>
    <w:rsid w:val="004241ED"/>
    <w:rsid w:val="00424339"/>
    <w:rsid w:val="004249FA"/>
    <w:rsid w:val="0042510D"/>
    <w:rsid w:val="004257C2"/>
    <w:rsid w:val="004259DE"/>
    <w:rsid w:val="004259F9"/>
    <w:rsid w:val="00425A24"/>
    <w:rsid w:val="00425E8D"/>
    <w:rsid w:val="00426125"/>
    <w:rsid w:val="00426FC7"/>
    <w:rsid w:val="00427BD3"/>
    <w:rsid w:val="00427BF0"/>
    <w:rsid w:val="00427FFA"/>
    <w:rsid w:val="00430100"/>
    <w:rsid w:val="00430494"/>
    <w:rsid w:val="004309E0"/>
    <w:rsid w:val="00430C79"/>
    <w:rsid w:val="00430D2D"/>
    <w:rsid w:val="00431156"/>
    <w:rsid w:val="004314E0"/>
    <w:rsid w:val="00431A11"/>
    <w:rsid w:val="00431B50"/>
    <w:rsid w:val="00431EED"/>
    <w:rsid w:val="0043216B"/>
    <w:rsid w:val="0043261E"/>
    <w:rsid w:val="0043292D"/>
    <w:rsid w:val="004329FE"/>
    <w:rsid w:val="00432EA4"/>
    <w:rsid w:val="00432F55"/>
    <w:rsid w:val="00433269"/>
    <w:rsid w:val="004335BA"/>
    <w:rsid w:val="004336A2"/>
    <w:rsid w:val="00433AE7"/>
    <w:rsid w:val="00434182"/>
    <w:rsid w:val="0043460E"/>
    <w:rsid w:val="00434CC1"/>
    <w:rsid w:val="0043549B"/>
    <w:rsid w:val="004362E6"/>
    <w:rsid w:val="0043645F"/>
    <w:rsid w:val="00436478"/>
    <w:rsid w:val="00436951"/>
    <w:rsid w:val="00437475"/>
    <w:rsid w:val="004376DC"/>
    <w:rsid w:val="00437B55"/>
    <w:rsid w:val="00437D8A"/>
    <w:rsid w:val="004400BA"/>
    <w:rsid w:val="004403C9"/>
    <w:rsid w:val="00440A37"/>
    <w:rsid w:val="00440C9E"/>
    <w:rsid w:val="0044104E"/>
    <w:rsid w:val="00441195"/>
    <w:rsid w:val="0044149F"/>
    <w:rsid w:val="004420A2"/>
    <w:rsid w:val="004427DA"/>
    <w:rsid w:val="00442847"/>
    <w:rsid w:val="00442A35"/>
    <w:rsid w:val="00442B61"/>
    <w:rsid w:val="00442D1B"/>
    <w:rsid w:val="00442D40"/>
    <w:rsid w:val="00443436"/>
    <w:rsid w:val="004434AE"/>
    <w:rsid w:val="004436A6"/>
    <w:rsid w:val="00443B23"/>
    <w:rsid w:val="00444343"/>
    <w:rsid w:val="004445F4"/>
    <w:rsid w:val="00444608"/>
    <w:rsid w:val="00444E7F"/>
    <w:rsid w:val="00445FD4"/>
    <w:rsid w:val="004460EC"/>
    <w:rsid w:val="0044661F"/>
    <w:rsid w:val="00447B7D"/>
    <w:rsid w:val="00447E88"/>
    <w:rsid w:val="00450191"/>
    <w:rsid w:val="004506EF"/>
    <w:rsid w:val="0045071B"/>
    <w:rsid w:val="00450925"/>
    <w:rsid w:val="004514A5"/>
    <w:rsid w:val="004515DD"/>
    <w:rsid w:val="00451727"/>
    <w:rsid w:val="00451812"/>
    <w:rsid w:val="00451C8A"/>
    <w:rsid w:val="00451D2F"/>
    <w:rsid w:val="0045239A"/>
    <w:rsid w:val="004524D7"/>
    <w:rsid w:val="00452C00"/>
    <w:rsid w:val="00452E23"/>
    <w:rsid w:val="0045348B"/>
    <w:rsid w:val="00453497"/>
    <w:rsid w:val="00453BD7"/>
    <w:rsid w:val="00453F63"/>
    <w:rsid w:val="004541EA"/>
    <w:rsid w:val="0045474C"/>
    <w:rsid w:val="00454E0D"/>
    <w:rsid w:val="004550DB"/>
    <w:rsid w:val="00455712"/>
    <w:rsid w:val="00455A8D"/>
    <w:rsid w:val="00455AF8"/>
    <w:rsid w:val="00455B73"/>
    <w:rsid w:val="00455E1F"/>
    <w:rsid w:val="00456180"/>
    <w:rsid w:val="00457435"/>
    <w:rsid w:val="0045764A"/>
    <w:rsid w:val="00457B8E"/>
    <w:rsid w:val="0046024A"/>
    <w:rsid w:val="00460440"/>
    <w:rsid w:val="00460990"/>
    <w:rsid w:val="00460DFA"/>
    <w:rsid w:val="00460EFA"/>
    <w:rsid w:val="00460FEC"/>
    <w:rsid w:val="004611DF"/>
    <w:rsid w:val="00461291"/>
    <w:rsid w:val="00461F6A"/>
    <w:rsid w:val="00462373"/>
    <w:rsid w:val="00462675"/>
    <w:rsid w:val="0046268F"/>
    <w:rsid w:val="004628D0"/>
    <w:rsid w:val="00463219"/>
    <w:rsid w:val="00463262"/>
    <w:rsid w:val="004633AE"/>
    <w:rsid w:val="004639BC"/>
    <w:rsid w:val="00463D1E"/>
    <w:rsid w:val="00463DCD"/>
    <w:rsid w:val="00463F50"/>
    <w:rsid w:val="0046432A"/>
    <w:rsid w:val="0046460E"/>
    <w:rsid w:val="00464BA5"/>
    <w:rsid w:val="00464E14"/>
    <w:rsid w:val="00465623"/>
    <w:rsid w:val="0046589C"/>
    <w:rsid w:val="004664FB"/>
    <w:rsid w:val="0046680A"/>
    <w:rsid w:val="004668F8"/>
    <w:rsid w:val="00466A9F"/>
    <w:rsid w:val="00466BC2"/>
    <w:rsid w:val="00466C57"/>
    <w:rsid w:val="004679AA"/>
    <w:rsid w:val="00467A35"/>
    <w:rsid w:val="00467ECA"/>
    <w:rsid w:val="00470A79"/>
    <w:rsid w:val="00470B18"/>
    <w:rsid w:val="00470CC9"/>
    <w:rsid w:val="0047112F"/>
    <w:rsid w:val="00471414"/>
    <w:rsid w:val="00471811"/>
    <w:rsid w:val="00471936"/>
    <w:rsid w:val="004719F8"/>
    <w:rsid w:val="004723A0"/>
    <w:rsid w:val="0047293C"/>
    <w:rsid w:val="00472A8B"/>
    <w:rsid w:val="00473013"/>
    <w:rsid w:val="0047316D"/>
    <w:rsid w:val="004731E4"/>
    <w:rsid w:val="004733CC"/>
    <w:rsid w:val="00473478"/>
    <w:rsid w:val="00473552"/>
    <w:rsid w:val="004736AF"/>
    <w:rsid w:val="004749DA"/>
    <w:rsid w:val="004752C5"/>
    <w:rsid w:val="0047565B"/>
    <w:rsid w:val="00475C52"/>
    <w:rsid w:val="004760E9"/>
    <w:rsid w:val="00476149"/>
    <w:rsid w:val="004766B5"/>
    <w:rsid w:val="004767D1"/>
    <w:rsid w:val="00476A3D"/>
    <w:rsid w:val="00476D67"/>
    <w:rsid w:val="00476D7C"/>
    <w:rsid w:val="00477820"/>
    <w:rsid w:val="00477B04"/>
    <w:rsid w:val="00477F36"/>
    <w:rsid w:val="00480267"/>
    <w:rsid w:val="00480393"/>
    <w:rsid w:val="00481110"/>
    <w:rsid w:val="00481250"/>
    <w:rsid w:val="00481EA3"/>
    <w:rsid w:val="0048202C"/>
    <w:rsid w:val="00482529"/>
    <w:rsid w:val="0048298F"/>
    <w:rsid w:val="00482B48"/>
    <w:rsid w:val="00482F81"/>
    <w:rsid w:val="00483043"/>
    <w:rsid w:val="00483CBC"/>
    <w:rsid w:val="00483F2C"/>
    <w:rsid w:val="00483F7C"/>
    <w:rsid w:val="00484ADB"/>
    <w:rsid w:val="004857E1"/>
    <w:rsid w:val="004859F7"/>
    <w:rsid w:val="00485D2C"/>
    <w:rsid w:val="00485F30"/>
    <w:rsid w:val="00485F76"/>
    <w:rsid w:val="00486550"/>
    <w:rsid w:val="00486742"/>
    <w:rsid w:val="004869DE"/>
    <w:rsid w:val="00486C1E"/>
    <w:rsid w:val="00486F1C"/>
    <w:rsid w:val="00487235"/>
    <w:rsid w:val="00487306"/>
    <w:rsid w:val="004879DD"/>
    <w:rsid w:val="00487A48"/>
    <w:rsid w:val="00487B62"/>
    <w:rsid w:val="00487C20"/>
    <w:rsid w:val="00487EC6"/>
    <w:rsid w:val="00487EDE"/>
    <w:rsid w:val="00490179"/>
    <w:rsid w:val="004905EE"/>
    <w:rsid w:val="004906B8"/>
    <w:rsid w:val="00490711"/>
    <w:rsid w:val="00490784"/>
    <w:rsid w:val="00491AAA"/>
    <w:rsid w:val="00491E2B"/>
    <w:rsid w:val="00491FC9"/>
    <w:rsid w:val="00491FD9"/>
    <w:rsid w:val="0049205F"/>
    <w:rsid w:val="0049219D"/>
    <w:rsid w:val="0049259C"/>
    <w:rsid w:val="00492949"/>
    <w:rsid w:val="00492D7C"/>
    <w:rsid w:val="00492F5B"/>
    <w:rsid w:val="004939A3"/>
    <w:rsid w:val="00493F40"/>
    <w:rsid w:val="004940BD"/>
    <w:rsid w:val="00494161"/>
    <w:rsid w:val="004943B1"/>
    <w:rsid w:val="004947CE"/>
    <w:rsid w:val="004947DF"/>
    <w:rsid w:val="00494900"/>
    <w:rsid w:val="0049541D"/>
    <w:rsid w:val="004954DE"/>
    <w:rsid w:val="0049600C"/>
    <w:rsid w:val="00496473"/>
    <w:rsid w:val="0049739B"/>
    <w:rsid w:val="00497D9F"/>
    <w:rsid w:val="004A0299"/>
    <w:rsid w:val="004A03DE"/>
    <w:rsid w:val="004A070E"/>
    <w:rsid w:val="004A09A7"/>
    <w:rsid w:val="004A0A22"/>
    <w:rsid w:val="004A0D6B"/>
    <w:rsid w:val="004A0E7C"/>
    <w:rsid w:val="004A134F"/>
    <w:rsid w:val="004A15DD"/>
    <w:rsid w:val="004A240D"/>
    <w:rsid w:val="004A2587"/>
    <w:rsid w:val="004A3341"/>
    <w:rsid w:val="004A33FC"/>
    <w:rsid w:val="004A42BA"/>
    <w:rsid w:val="004A433F"/>
    <w:rsid w:val="004A45C3"/>
    <w:rsid w:val="004A5410"/>
    <w:rsid w:val="004A5583"/>
    <w:rsid w:val="004A558B"/>
    <w:rsid w:val="004A564F"/>
    <w:rsid w:val="004A565B"/>
    <w:rsid w:val="004A5815"/>
    <w:rsid w:val="004A598A"/>
    <w:rsid w:val="004A5C3E"/>
    <w:rsid w:val="004A5C5D"/>
    <w:rsid w:val="004A5F5C"/>
    <w:rsid w:val="004A6076"/>
    <w:rsid w:val="004A6680"/>
    <w:rsid w:val="004A6913"/>
    <w:rsid w:val="004A692D"/>
    <w:rsid w:val="004A699A"/>
    <w:rsid w:val="004A6B2B"/>
    <w:rsid w:val="004A6E34"/>
    <w:rsid w:val="004A7782"/>
    <w:rsid w:val="004A781D"/>
    <w:rsid w:val="004A7B8F"/>
    <w:rsid w:val="004A7CEB"/>
    <w:rsid w:val="004A7D26"/>
    <w:rsid w:val="004B024E"/>
    <w:rsid w:val="004B02F8"/>
    <w:rsid w:val="004B0366"/>
    <w:rsid w:val="004B0C18"/>
    <w:rsid w:val="004B0CB9"/>
    <w:rsid w:val="004B1101"/>
    <w:rsid w:val="004B13A7"/>
    <w:rsid w:val="004B164B"/>
    <w:rsid w:val="004B18A0"/>
    <w:rsid w:val="004B1C85"/>
    <w:rsid w:val="004B204E"/>
    <w:rsid w:val="004B208C"/>
    <w:rsid w:val="004B2CE5"/>
    <w:rsid w:val="004B3661"/>
    <w:rsid w:val="004B3965"/>
    <w:rsid w:val="004B3AE6"/>
    <w:rsid w:val="004B4420"/>
    <w:rsid w:val="004B4859"/>
    <w:rsid w:val="004B4A0D"/>
    <w:rsid w:val="004B4A91"/>
    <w:rsid w:val="004B56E6"/>
    <w:rsid w:val="004B57EF"/>
    <w:rsid w:val="004B5897"/>
    <w:rsid w:val="004B5C2E"/>
    <w:rsid w:val="004B6B4D"/>
    <w:rsid w:val="004B6CF5"/>
    <w:rsid w:val="004B6DF4"/>
    <w:rsid w:val="004B6F31"/>
    <w:rsid w:val="004B7682"/>
    <w:rsid w:val="004C029F"/>
    <w:rsid w:val="004C0B92"/>
    <w:rsid w:val="004C1224"/>
    <w:rsid w:val="004C13DB"/>
    <w:rsid w:val="004C14CB"/>
    <w:rsid w:val="004C170C"/>
    <w:rsid w:val="004C19E9"/>
    <w:rsid w:val="004C201D"/>
    <w:rsid w:val="004C233D"/>
    <w:rsid w:val="004C2BF9"/>
    <w:rsid w:val="004C2F11"/>
    <w:rsid w:val="004C32BE"/>
    <w:rsid w:val="004C3B58"/>
    <w:rsid w:val="004C3C99"/>
    <w:rsid w:val="004C422C"/>
    <w:rsid w:val="004C5284"/>
    <w:rsid w:val="004C548A"/>
    <w:rsid w:val="004C57F8"/>
    <w:rsid w:val="004C5CF9"/>
    <w:rsid w:val="004C5E33"/>
    <w:rsid w:val="004C6178"/>
    <w:rsid w:val="004C62DA"/>
    <w:rsid w:val="004C642B"/>
    <w:rsid w:val="004C6793"/>
    <w:rsid w:val="004C6B25"/>
    <w:rsid w:val="004C6C9B"/>
    <w:rsid w:val="004C6E5B"/>
    <w:rsid w:val="004C70F9"/>
    <w:rsid w:val="004C7FFB"/>
    <w:rsid w:val="004D00D1"/>
    <w:rsid w:val="004D031C"/>
    <w:rsid w:val="004D0D9F"/>
    <w:rsid w:val="004D1155"/>
    <w:rsid w:val="004D143A"/>
    <w:rsid w:val="004D1FEE"/>
    <w:rsid w:val="004D2E6A"/>
    <w:rsid w:val="004D3C28"/>
    <w:rsid w:val="004D46A1"/>
    <w:rsid w:val="004D481C"/>
    <w:rsid w:val="004D4837"/>
    <w:rsid w:val="004D4ACB"/>
    <w:rsid w:val="004D4E78"/>
    <w:rsid w:val="004D5478"/>
    <w:rsid w:val="004D5AB1"/>
    <w:rsid w:val="004D6277"/>
    <w:rsid w:val="004D6645"/>
    <w:rsid w:val="004D68AE"/>
    <w:rsid w:val="004D69E1"/>
    <w:rsid w:val="004D6C48"/>
    <w:rsid w:val="004D6E73"/>
    <w:rsid w:val="004D6E91"/>
    <w:rsid w:val="004D6EB5"/>
    <w:rsid w:val="004D7499"/>
    <w:rsid w:val="004D7A4E"/>
    <w:rsid w:val="004D7A78"/>
    <w:rsid w:val="004D7EA7"/>
    <w:rsid w:val="004E0152"/>
    <w:rsid w:val="004E04FC"/>
    <w:rsid w:val="004E069F"/>
    <w:rsid w:val="004E0BF7"/>
    <w:rsid w:val="004E1227"/>
    <w:rsid w:val="004E181B"/>
    <w:rsid w:val="004E1822"/>
    <w:rsid w:val="004E1F01"/>
    <w:rsid w:val="004E20CF"/>
    <w:rsid w:val="004E22C1"/>
    <w:rsid w:val="004E22CD"/>
    <w:rsid w:val="004E2743"/>
    <w:rsid w:val="004E2772"/>
    <w:rsid w:val="004E30A6"/>
    <w:rsid w:val="004E34E6"/>
    <w:rsid w:val="004E3AF1"/>
    <w:rsid w:val="004E42CB"/>
    <w:rsid w:val="004E49D8"/>
    <w:rsid w:val="004E4F68"/>
    <w:rsid w:val="004E4FF0"/>
    <w:rsid w:val="004E5542"/>
    <w:rsid w:val="004E55FA"/>
    <w:rsid w:val="004E58A1"/>
    <w:rsid w:val="004E5990"/>
    <w:rsid w:val="004E62DC"/>
    <w:rsid w:val="004E692A"/>
    <w:rsid w:val="004E6E02"/>
    <w:rsid w:val="004E71E6"/>
    <w:rsid w:val="004E74ED"/>
    <w:rsid w:val="004E7F03"/>
    <w:rsid w:val="004F0433"/>
    <w:rsid w:val="004F0B8F"/>
    <w:rsid w:val="004F0C4F"/>
    <w:rsid w:val="004F0DED"/>
    <w:rsid w:val="004F201A"/>
    <w:rsid w:val="004F25BC"/>
    <w:rsid w:val="004F2842"/>
    <w:rsid w:val="004F377C"/>
    <w:rsid w:val="004F3898"/>
    <w:rsid w:val="004F3CAE"/>
    <w:rsid w:val="004F3F20"/>
    <w:rsid w:val="004F4A42"/>
    <w:rsid w:val="004F4A61"/>
    <w:rsid w:val="004F4A70"/>
    <w:rsid w:val="004F5116"/>
    <w:rsid w:val="004F551D"/>
    <w:rsid w:val="004F5D48"/>
    <w:rsid w:val="004F6618"/>
    <w:rsid w:val="004F66DF"/>
    <w:rsid w:val="004F6B38"/>
    <w:rsid w:val="004F6EBD"/>
    <w:rsid w:val="004F6FF4"/>
    <w:rsid w:val="004F7009"/>
    <w:rsid w:val="004F730C"/>
    <w:rsid w:val="004F78C3"/>
    <w:rsid w:val="004F7A50"/>
    <w:rsid w:val="004F7F0C"/>
    <w:rsid w:val="005000EA"/>
    <w:rsid w:val="0050012A"/>
    <w:rsid w:val="00500644"/>
    <w:rsid w:val="005006B9"/>
    <w:rsid w:val="00500AF3"/>
    <w:rsid w:val="00501404"/>
    <w:rsid w:val="005015B6"/>
    <w:rsid w:val="00501762"/>
    <w:rsid w:val="005019BF"/>
    <w:rsid w:val="00501A3A"/>
    <w:rsid w:val="00502666"/>
    <w:rsid w:val="0050286B"/>
    <w:rsid w:val="00502EC6"/>
    <w:rsid w:val="00502EEE"/>
    <w:rsid w:val="00503107"/>
    <w:rsid w:val="00503109"/>
    <w:rsid w:val="005031FF"/>
    <w:rsid w:val="00503AD9"/>
    <w:rsid w:val="00504950"/>
    <w:rsid w:val="00504EE0"/>
    <w:rsid w:val="0050544A"/>
    <w:rsid w:val="00506134"/>
    <w:rsid w:val="005063ED"/>
    <w:rsid w:val="005065E2"/>
    <w:rsid w:val="00506661"/>
    <w:rsid w:val="00507227"/>
    <w:rsid w:val="0050733B"/>
    <w:rsid w:val="00507776"/>
    <w:rsid w:val="00510292"/>
    <w:rsid w:val="00510C17"/>
    <w:rsid w:val="00510D22"/>
    <w:rsid w:val="00510D8A"/>
    <w:rsid w:val="005111C4"/>
    <w:rsid w:val="005111D0"/>
    <w:rsid w:val="0051128C"/>
    <w:rsid w:val="005115B5"/>
    <w:rsid w:val="00511735"/>
    <w:rsid w:val="0051193F"/>
    <w:rsid w:val="00511E68"/>
    <w:rsid w:val="0051250E"/>
    <w:rsid w:val="0051282C"/>
    <w:rsid w:val="0051284A"/>
    <w:rsid w:val="00512CB8"/>
    <w:rsid w:val="00513298"/>
    <w:rsid w:val="0051378C"/>
    <w:rsid w:val="00513B7D"/>
    <w:rsid w:val="005141DF"/>
    <w:rsid w:val="00514294"/>
    <w:rsid w:val="00514750"/>
    <w:rsid w:val="00514809"/>
    <w:rsid w:val="0051485E"/>
    <w:rsid w:val="00515213"/>
    <w:rsid w:val="00515554"/>
    <w:rsid w:val="00515D38"/>
    <w:rsid w:val="00515E24"/>
    <w:rsid w:val="0051602A"/>
    <w:rsid w:val="00516D6D"/>
    <w:rsid w:val="00516E05"/>
    <w:rsid w:val="00516E84"/>
    <w:rsid w:val="00516F92"/>
    <w:rsid w:val="00516FD8"/>
    <w:rsid w:val="0051710B"/>
    <w:rsid w:val="005172CB"/>
    <w:rsid w:val="00517DD1"/>
    <w:rsid w:val="00517E7D"/>
    <w:rsid w:val="0052032A"/>
    <w:rsid w:val="005208BC"/>
    <w:rsid w:val="00520A63"/>
    <w:rsid w:val="00520DB7"/>
    <w:rsid w:val="005210A4"/>
    <w:rsid w:val="0052170A"/>
    <w:rsid w:val="00521967"/>
    <w:rsid w:val="00521B6A"/>
    <w:rsid w:val="00521D45"/>
    <w:rsid w:val="00521E8A"/>
    <w:rsid w:val="005221A9"/>
    <w:rsid w:val="0052274B"/>
    <w:rsid w:val="005229AE"/>
    <w:rsid w:val="00522D42"/>
    <w:rsid w:val="0052342E"/>
    <w:rsid w:val="00523527"/>
    <w:rsid w:val="0052373F"/>
    <w:rsid w:val="005241B9"/>
    <w:rsid w:val="0052458F"/>
    <w:rsid w:val="00524668"/>
    <w:rsid w:val="0052474A"/>
    <w:rsid w:val="00524AA3"/>
    <w:rsid w:val="00524AF5"/>
    <w:rsid w:val="005256E3"/>
    <w:rsid w:val="00525910"/>
    <w:rsid w:val="00525ABD"/>
    <w:rsid w:val="00525D12"/>
    <w:rsid w:val="00525DDE"/>
    <w:rsid w:val="0052656A"/>
    <w:rsid w:val="00526C50"/>
    <w:rsid w:val="00526D16"/>
    <w:rsid w:val="00527509"/>
    <w:rsid w:val="0052766E"/>
    <w:rsid w:val="005278AE"/>
    <w:rsid w:val="005278C0"/>
    <w:rsid w:val="00527ADF"/>
    <w:rsid w:val="00527DD3"/>
    <w:rsid w:val="00527E86"/>
    <w:rsid w:val="00527EEB"/>
    <w:rsid w:val="00530593"/>
    <w:rsid w:val="0053099B"/>
    <w:rsid w:val="0053158D"/>
    <w:rsid w:val="00531DCD"/>
    <w:rsid w:val="00531F6F"/>
    <w:rsid w:val="005324C4"/>
    <w:rsid w:val="00532AE1"/>
    <w:rsid w:val="00532E1C"/>
    <w:rsid w:val="005332CF"/>
    <w:rsid w:val="0053375B"/>
    <w:rsid w:val="00533BE2"/>
    <w:rsid w:val="005345E9"/>
    <w:rsid w:val="00534D3E"/>
    <w:rsid w:val="00534FCB"/>
    <w:rsid w:val="00535021"/>
    <w:rsid w:val="00535298"/>
    <w:rsid w:val="005354BC"/>
    <w:rsid w:val="005355A0"/>
    <w:rsid w:val="0053582A"/>
    <w:rsid w:val="00535C52"/>
    <w:rsid w:val="00535E2A"/>
    <w:rsid w:val="00536177"/>
    <w:rsid w:val="005362EE"/>
    <w:rsid w:val="005367EA"/>
    <w:rsid w:val="005368B3"/>
    <w:rsid w:val="00536D4D"/>
    <w:rsid w:val="00537038"/>
    <w:rsid w:val="005373CB"/>
    <w:rsid w:val="00537B54"/>
    <w:rsid w:val="00540578"/>
    <w:rsid w:val="00540803"/>
    <w:rsid w:val="00540A58"/>
    <w:rsid w:val="00540D0E"/>
    <w:rsid w:val="00540DAC"/>
    <w:rsid w:val="00541806"/>
    <w:rsid w:val="00541CCC"/>
    <w:rsid w:val="00541D62"/>
    <w:rsid w:val="005421E6"/>
    <w:rsid w:val="005425F3"/>
    <w:rsid w:val="00542A47"/>
    <w:rsid w:val="00542E8F"/>
    <w:rsid w:val="00542EA6"/>
    <w:rsid w:val="00542F20"/>
    <w:rsid w:val="00542F6B"/>
    <w:rsid w:val="00543A6E"/>
    <w:rsid w:val="00543B06"/>
    <w:rsid w:val="005443E3"/>
    <w:rsid w:val="00544423"/>
    <w:rsid w:val="00544577"/>
    <w:rsid w:val="00544EF2"/>
    <w:rsid w:val="0054571D"/>
    <w:rsid w:val="00545F00"/>
    <w:rsid w:val="005466C3"/>
    <w:rsid w:val="00546786"/>
    <w:rsid w:val="005468A6"/>
    <w:rsid w:val="00546AA8"/>
    <w:rsid w:val="00546B3C"/>
    <w:rsid w:val="005470D5"/>
    <w:rsid w:val="0054759E"/>
    <w:rsid w:val="00547F5E"/>
    <w:rsid w:val="005505AF"/>
    <w:rsid w:val="005508DC"/>
    <w:rsid w:val="00550DD9"/>
    <w:rsid w:val="00551393"/>
    <w:rsid w:val="005516AE"/>
    <w:rsid w:val="00551974"/>
    <w:rsid w:val="00551EE4"/>
    <w:rsid w:val="00551F54"/>
    <w:rsid w:val="005523DE"/>
    <w:rsid w:val="005527D9"/>
    <w:rsid w:val="00553170"/>
    <w:rsid w:val="005535CF"/>
    <w:rsid w:val="005536DE"/>
    <w:rsid w:val="00553783"/>
    <w:rsid w:val="0055430A"/>
    <w:rsid w:val="00554BB7"/>
    <w:rsid w:val="00554FC2"/>
    <w:rsid w:val="005556E8"/>
    <w:rsid w:val="0055584E"/>
    <w:rsid w:val="00555B82"/>
    <w:rsid w:val="00555D44"/>
    <w:rsid w:val="005561AB"/>
    <w:rsid w:val="005563AC"/>
    <w:rsid w:val="005563C2"/>
    <w:rsid w:val="00556875"/>
    <w:rsid w:val="00557472"/>
    <w:rsid w:val="0055759B"/>
    <w:rsid w:val="005575A1"/>
    <w:rsid w:val="005575A8"/>
    <w:rsid w:val="005575FC"/>
    <w:rsid w:val="005578D0"/>
    <w:rsid w:val="00557DC2"/>
    <w:rsid w:val="00557FA4"/>
    <w:rsid w:val="00560F55"/>
    <w:rsid w:val="00560FC2"/>
    <w:rsid w:val="00561332"/>
    <w:rsid w:val="005615AB"/>
    <w:rsid w:val="005619B5"/>
    <w:rsid w:val="00561F35"/>
    <w:rsid w:val="0056279C"/>
    <w:rsid w:val="0056345F"/>
    <w:rsid w:val="005634AA"/>
    <w:rsid w:val="005635FA"/>
    <w:rsid w:val="00563679"/>
    <w:rsid w:val="00563971"/>
    <w:rsid w:val="00563D4B"/>
    <w:rsid w:val="00563E67"/>
    <w:rsid w:val="005644E2"/>
    <w:rsid w:val="0056476E"/>
    <w:rsid w:val="00564A84"/>
    <w:rsid w:val="00564AFA"/>
    <w:rsid w:val="00564D96"/>
    <w:rsid w:val="00564DF5"/>
    <w:rsid w:val="00564E0C"/>
    <w:rsid w:val="00565374"/>
    <w:rsid w:val="00565A03"/>
    <w:rsid w:val="00565A38"/>
    <w:rsid w:val="00565DAC"/>
    <w:rsid w:val="00565E22"/>
    <w:rsid w:val="00566C04"/>
    <w:rsid w:val="00567361"/>
    <w:rsid w:val="00567C79"/>
    <w:rsid w:val="005702CD"/>
    <w:rsid w:val="0057038D"/>
    <w:rsid w:val="005706E5"/>
    <w:rsid w:val="005706EC"/>
    <w:rsid w:val="00570A8A"/>
    <w:rsid w:val="00570A9D"/>
    <w:rsid w:val="00571144"/>
    <w:rsid w:val="00571BB3"/>
    <w:rsid w:val="00571CE5"/>
    <w:rsid w:val="005722B1"/>
    <w:rsid w:val="00572581"/>
    <w:rsid w:val="00572AD3"/>
    <w:rsid w:val="00572C49"/>
    <w:rsid w:val="005744B4"/>
    <w:rsid w:val="005747A1"/>
    <w:rsid w:val="0057520C"/>
    <w:rsid w:val="005755E5"/>
    <w:rsid w:val="005766B1"/>
    <w:rsid w:val="0057670E"/>
    <w:rsid w:val="00576C3A"/>
    <w:rsid w:val="00576FA0"/>
    <w:rsid w:val="0057711D"/>
    <w:rsid w:val="005777EA"/>
    <w:rsid w:val="00580113"/>
    <w:rsid w:val="00580418"/>
    <w:rsid w:val="005806EF"/>
    <w:rsid w:val="00580EBC"/>
    <w:rsid w:val="00580EDF"/>
    <w:rsid w:val="005810DB"/>
    <w:rsid w:val="005813FD"/>
    <w:rsid w:val="005816F4"/>
    <w:rsid w:val="00581A6D"/>
    <w:rsid w:val="00581B06"/>
    <w:rsid w:val="00582569"/>
    <w:rsid w:val="00582D61"/>
    <w:rsid w:val="00582FDB"/>
    <w:rsid w:val="00583027"/>
    <w:rsid w:val="00583135"/>
    <w:rsid w:val="005832DF"/>
    <w:rsid w:val="0058331D"/>
    <w:rsid w:val="00583A58"/>
    <w:rsid w:val="00583A8D"/>
    <w:rsid w:val="00583ADB"/>
    <w:rsid w:val="00583AE8"/>
    <w:rsid w:val="00584193"/>
    <w:rsid w:val="005842B0"/>
    <w:rsid w:val="0058438C"/>
    <w:rsid w:val="00584696"/>
    <w:rsid w:val="0058472E"/>
    <w:rsid w:val="005848A4"/>
    <w:rsid w:val="00584B3D"/>
    <w:rsid w:val="00584DC0"/>
    <w:rsid w:val="00584EDE"/>
    <w:rsid w:val="0058590A"/>
    <w:rsid w:val="00585C80"/>
    <w:rsid w:val="00585F0E"/>
    <w:rsid w:val="005860C0"/>
    <w:rsid w:val="005860C6"/>
    <w:rsid w:val="0058627E"/>
    <w:rsid w:val="00586BCD"/>
    <w:rsid w:val="00586D00"/>
    <w:rsid w:val="00587039"/>
    <w:rsid w:val="00587297"/>
    <w:rsid w:val="00587433"/>
    <w:rsid w:val="00587847"/>
    <w:rsid w:val="00590077"/>
    <w:rsid w:val="00590130"/>
    <w:rsid w:val="00590206"/>
    <w:rsid w:val="005906FE"/>
    <w:rsid w:val="005908EE"/>
    <w:rsid w:val="00590921"/>
    <w:rsid w:val="005909D1"/>
    <w:rsid w:val="0059106E"/>
    <w:rsid w:val="00591204"/>
    <w:rsid w:val="005912EF"/>
    <w:rsid w:val="005913AA"/>
    <w:rsid w:val="005918E4"/>
    <w:rsid w:val="0059192A"/>
    <w:rsid w:val="00591AB9"/>
    <w:rsid w:val="00591DD1"/>
    <w:rsid w:val="00592099"/>
    <w:rsid w:val="00592417"/>
    <w:rsid w:val="00592E13"/>
    <w:rsid w:val="00592EB4"/>
    <w:rsid w:val="00593582"/>
    <w:rsid w:val="0059398B"/>
    <w:rsid w:val="00593C90"/>
    <w:rsid w:val="00594667"/>
    <w:rsid w:val="00594948"/>
    <w:rsid w:val="00594A65"/>
    <w:rsid w:val="00594B88"/>
    <w:rsid w:val="005950EC"/>
    <w:rsid w:val="00595545"/>
    <w:rsid w:val="0059564E"/>
    <w:rsid w:val="005958AD"/>
    <w:rsid w:val="00595B3B"/>
    <w:rsid w:val="00595D0B"/>
    <w:rsid w:val="00595FE7"/>
    <w:rsid w:val="0059666A"/>
    <w:rsid w:val="00596888"/>
    <w:rsid w:val="00596DF6"/>
    <w:rsid w:val="00596F7E"/>
    <w:rsid w:val="00597538"/>
    <w:rsid w:val="00597605"/>
    <w:rsid w:val="005A01B1"/>
    <w:rsid w:val="005A03D5"/>
    <w:rsid w:val="005A0456"/>
    <w:rsid w:val="005A082C"/>
    <w:rsid w:val="005A099A"/>
    <w:rsid w:val="005A09FB"/>
    <w:rsid w:val="005A1635"/>
    <w:rsid w:val="005A16D1"/>
    <w:rsid w:val="005A187E"/>
    <w:rsid w:val="005A2ACE"/>
    <w:rsid w:val="005A2C96"/>
    <w:rsid w:val="005A381A"/>
    <w:rsid w:val="005A3A5B"/>
    <w:rsid w:val="005A3E88"/>
    <w:rsid w:val="005A3F11"/>
    <w:rsid w:val="005A4601"/>
    <w:rsid w:val="005A4649"/>
    <w:rsid w:val="005A46CD"/>
    <w:rsid w:val="005A4809"/>
    <w:rsid w:val="005A5149"/>
    <w:rsid w:val="005A5E34"/>
    <w:rsid w:val="005A697F"/>
    <w:rsid w:val="005A6CEA"/>
    <w:rsid w:val="005A70DB"/>
    <w:rsid w:val="005A7B53"/>
    <w:rsid w:val="005A7CAD"/>
    <w:rsid w:val="005A7DB8"/>
    <w:rsid w:val="005A7F79"/>
    <w:rsid w:val="005B02B5"/>
    <w:rsid w:val="005B0ACC"/>
    <w:rsid w:val="005B0B9C"/>
    <w:rsid w:val="005B11AF"/>
    <w:rsid w:val="005B1631"/>
    <w:rsid w:val="005B19C4"/>
    <w:rsid w:val="005B1CB6"/>
    <w:rsid w:val="005B221C"/>
    <w:rsid w:val="005B261A"/>
    <w:rsid w:val="005B2BA6"/>
    <w:rsid w:val="005B2CFC"/>
    <w:rsid w:val="005B2FD9"/>
    <w:rsid w:val="005B318A"/>
    <w:rsid w:val="005B3413"/>
    <w:rsid w:val="005B348E"/>
    <w:rsid w:val="005B34EE"/>
    <w:rsid w:val="005B3775"/>
    <w:rsid w:val="005B3863"/>
    <w:rsid w:val="005B3978"/>
    <w:rsid w:val="005B39FE"/>
    <w:rsid w:val="005B3B3E"/>
    <w:rsid w:val="005B4244"/>
    <w:rsid w:val="005B43B3"/>
    <w:rsid w:val="005B4820"/>
    <w:rsid w:val="005B48B0"/>
    <w:rsid w:val="005B4CCB"/>
    <w:rsid w:val="005B51D0"/>
    <w:rsid w:val="005B56A9"/>
    <w:rsid w:val="005B6014"/>
    <w:rsid w:val="005B6834"/>
    <w:rsid w:val="005B690E"/>
    <w:rsid w:val="005B70C4"/>
    <w:rsid w:val="005B70CC"/>
    <w:rsid w:val="005B713C"/>
    <w:rsid w:val="005B72FA"/>
    <w:rsid w:val="005B7748"/>
    <w:rsid w:val="005B7DDE"/>
    <w:rsid w:val="005C00D1"/>
    <w:rsid w:val="005C0596"/>
    <w:rsid w:val="005C08D2"/>
    <w:rsid w:val="005C0A19"/>
    <w:rsid w:val="005C0FBA"/>
    <w:rsid w:val="005C12D3"/>
    <w:rsid w:val="005C182E"/>
    <w:rsid w:val="005C1AAB"/>
    <w:rsid w:val="005C22BD"/>
    <w:rsid w:val="005C2939"/>
    <w:rsid w:val="005C29AF"/>
    <w:rsid w:val="005C2D1E"/>
    <w:rsid w:val="005C2DFC"/>
    <w:rsid w:val="005C3057"/>
    <w:rsid w:val="005C322D"/>
    <w:rsid w:val="005C325D"/>
    <w:rsid w:val="005C32BB"/>
    <w:rsid w:val="005C33DB"/>
    <w:rsid w:val="005C3893"/>
    <w:rsid w:val="005C3DDE"/>
    <w:rsid w:val="005C44F9"/>
    <w:rsid w:val="005C45BE"/>
    <w:rsid w:val="005C4B90"/>
    <w:rsid w:val="005C4CAF"/>
    <w:rsid w:val="005C5818"/>
    <w:rsid w:val="005C58A1"/>
    <w:rsid w:val="005C59EB"/>
    <w:rsid w:val="005C6334"/>
    <w:rsid w:val="005C653D"/>
    <w:rsid w:val="005C6749"/>
    <w:rsid w:val="005C686F"/>
    <w:rsid w:val="005C68D3"/>
    <w:rsid w:val="005C7249"/>
    <w:rsid w:val="005C7427"/>
    <w:rsid w:val="005C7B4F"/>
    <w:rsid w:val="005C7E8D"/>
    <w:rsid w:val="005D0002"/>
    <w:rsid w:val="005D0734"/>
    <w:rsid w:val="005D07D0"/>
    <w:rsid w:val="005D0EEE"/>
    <w:rsid w:val="005D178C"/>
    <w:rsid w:val="005D1D93"/>
    <w:rsid w:val="005D292A"/>
    <w:rsid w:val="005D2ECA"/>
    <w:rsid w:val="005D44DC"/>
    <w:rsid w:val="005D46FB"/>
    <w:rsid w:val="005D4C79"/>
    <w:rsid w:val="005D59BF"/>
    <w:rsid w:val="005D5E31"/>
    <w:rsid w:val="005D5E97"/>
    <w:rsid w:val="005D63DF"/>
    <w:rsid w:val="005D6A9D"/>
    <w:rsid w:val="005D6D36"/>
    <w:rsid w:val="005D6FD3"/>
    <w:rsid w:val="005D76A6"/>
    <w:rsid w:val="005D792C"/>
    <w:rsid w:val="005D7EA9"/>
    <w:rsid w:val="005E0A02"/>
    <w:rsid w:val="005E0AC5"/>
    <w:rsid w:val="005E1E7F"/>
    <w:rsid w:val="005E239A"/>
    <w:rsid w:val="005E3344"/>
    <w:rsid w:val="005E39FD"/>
    <w:rsid w:val="005E3D23"/>
    <w:rsid w:val="005E444E"/>
    <w:rsid w:val="005E4A57"/>
    <w:rsid w:val="005E4D3C"/>
    <w:rsid w:val="005E5377"/>
    <w:rsid w:val="005E53DE"/>
    <w:rsid w:val="005E5617"/>
    <w:rsid w:val="005E5A6D"/>
    <w:rsid w:val="005E5BEE"/>
    <w:rsid w:val="005E5E0B"/>
    <w:rsid w:val="005E6286"/>
    <w:rsid w:val="005E642E"/>
    <w:rsid w:val="005E6F1B"/>
    <w:rsid w:val="005E7203"/>
    <w:rsid w:val="005E7C23"/>
    <w:rsid w:val="005F02B2"/>
    <w:rsid w:val="005F0989"/>
    <w:rsid w:val="005F0CCD"/>
    <w:rsid w:val="005F0FC8"/>
    <w:rsid w:val="005F17A0"/>
    <w:rsid w:val="005F182A"/>
    <w:rsid w:val="005F1ADE"/>
    <w:rsid w:val="005F2265"/>
    <w:rsid w:val="005F2411"/>
    <w:rsid w:val="005F2DE9"/>
    <w:rsid w:val="005F3268"/>
    <w:rsid w:val="005F34D9"/>
    <w:rsid w:val="005F3C1E"/>
    <w:rsid w:val="005F402B"/>
    <w:rsid w:val="005F40C6"/>
    <w:rsid w:val="005F44EB"/>
    <w:rsid w:val="005F47D4"/>
    <w:rsid w:val="005F4B30"/>
    <w:rsid w:val="005F4EEF"/>
    <w:rsid w:val="005F4FA5"/>
    <w:rsid w:val="005F547F"/>
    <w:rsid w:val="005F5950"/>
    <w:rsid w:val="005F5977"/>
    <w:rsid w:val="005F5D0F"/>
    <w:rsid w:val="005F5F41"/>
    <w:rsid w:val="005F6003"/>
    <w:rsid w:val="005F61A1"/>
    <w:rsid w:val="005F6574"/>
    <w:rsid w:val="005F688C"/>
    <w:rsid w:val="005F6B0B"/>
    <w:rsid w:val="005F6CB5"/>
    <w:rsid w:val="005F7571"/>
    <w:rsid w:val="005F7816"/>
    <w:rsid w:val="005F789B"/>
    <w:rsid w:val="005F7B45"/>
    <w:rsid w:val="005F7D3E"/>
    <w:rsid w:val="006001A4"/>
    <w:rsid w:val="00600EC7"/>
    <w:rsid w:val="006010FD"/>
    <w:rsid w:val="006012E2"/>
    <w:rsid w:val="00601B68"/>
    <w:rsid w:val="006023CF"/>
    <w:rsid w:val="00602F65"/>
    <w:rsid w:val="00603220"/>
    <w:rsid w:val="00603CA6"/>
    <w:rsid w:val="00603D02"/>
    <w:rsid w:val="00603FB2"/>
    <w:rsid w:val="00604A5F"/>
    <w:rsid w:val="00604D4D"/>
    <w:rsid w:val="00604EDB"/>
    <w:rsid w:val="00605349"/>
    <w:rsid w:val="00605CDC"/>
    <w:rsid w:val="00606D2B"/>
    <w:rsid w:val="00606E32"/>
    <w:rsid w:val="00607008"/>
    <w:rsid w:val="00607067"/>
    <w:rsid w:val="006071BC"/>
    <w:rsid w:val="006072EA"/>
    <w:rsid w:val="00607697"/>
    <w:rsid w:val="0060787C"/>
    <w:rsid w:val="00607910"/>
    <w:rsid w:val="00610673"/>
    <w:rsid w:val="00610735"/>
    <w:rsid w:val="0061107A"/>
    <w:rsid w:val="00611162"/>
    <w:rsid w:val="00611256"/>
    <w:rsid w:val="0061165D"/>
    <w:rsid w:val="0061201D"/>
    <w:rsid w:val="006127C7"/>
    <w:rsid w:val="00612DB7"/>
    <w:rsid w:val="00612F25"/>
    <w:rsid w:val="0061343F"/>
    <w:rsid w:val="00613813"/>
    <w:rsid w:val="00613999"/>
    <w:rsid w:val="00613EE5"/>
    <w:rsid w:val="00614024"/>
    <w:rsid w:val="00614761"/>
    <w:rsid w:val="00614D3D"/>
    <w:rsid w:val="00615ADF"/>
    <w:rsid w:val="00616313"/>
    <w:rsid w:val="006165AC"/>
    <w:rsid w:val="006166B3"/>
    <w:rsid w:val="00616BEE"/>
    <w:rsid w:val="0061751E"/>
    <w:rsid w:val="00617D25"/>
    <w:rsid w:val="00617EC2"/>
    <w:rsid w:val="00617EFD"/>
    <w:rsid w:val="006200DD"/>
    <w:rsid w:val="00620568"/>
    <w:rsid w:val="0062083C"/>
    <w:rsid w:val="00620CBB"/>
    <w:rsid w:val="00621224"/>
    <w:rsid w:val="006219AD"/>
    <w:rsid w:val="00622003"/>
    <w:rsid w:val="00622224"/>
    <w:rsid w:val="006226B4"/>
    <w:rsid w:val="006227A2"/>
    <w:rsid w:val="00622AB8"/>
    <w:rsid w:val="00622ACE"/>
    <w:rsid w:val="00622D02"/>
    <w:rsid w:val="00622DFC"/>
    <w:rsid w:val="00623B12"/>
    <w:rsid w:val="00623E8C"/>
    <w:rsid w:val="00624041"/>
    <w:rsid w:val="00624AB0"/>
    <w:rsid w:val="00624B2A"/>
    <w:rsid w:val="006260E6"/>
    <w:rsid w:val="00626100"/>
    <w:rsid w:val="006261B1"/>
    <w:rsid w:val="00626D6C"/>
    <w:rsid w:val="0062760F"/>
    <w:rsid w:val="006276C9"/>
    <w:rsid w:val="00627FE7"/>
    <w:rsid w:val="0063004F"/>
    <w:rsid w:val="00630C8D"/>
    <w:rsid w:val="00630F58"/>
    <w:rsid w:val="00630F6F"/>
    <w:rsid w:val="0063115A"/>
    <w:rsid w:val="006313E6"/>
    <w:rsid w:val="00631DB1"/>
    <w:rsid w:val="0063254A"/>
    <w:rsid w:val="00632568"/>
    <w:rsid w:val="0063256B"/>
    <w:rsid w:val="00632B24"/>
    <w:rsid w:val="00632D93"/>
    <w:rsid w:val="00633445"/>
    <w:rsid w:val="00633B3D"/>
    <w:rsid w:val="00633E8D"/>
    <w:rsid w:val="006343B2"/>
    <w:rsid w:val="006348BE"/>
    <w:rsid w:val="00634EDB"/>
    <w:rsid w:val="006350FC"/>
    <w:rsid w:val="00635B84"/>
    <w:rsid w:val="00635CA6"/>
    <w:rsid w:val="00636F2B"/>
    <w:rsid w:val="0063734C"/>
    <w:rsid w:val="006379B9"/>
    <w:rsid w:val="00637A6E"/>
    <w:rsid w:val="00637A7E"/>
    <w:rsid w:val="00637D8E"/>
    <w:rsid w:val="00637FDE"/>
    <w:rsid w:val="006408A4"/>
    <w:rsid w:val="006408D0"/>
    <w:rsid w:val="00640B07"/>
    <w:rsid w:val="00640E3A"/>
    <w:rsid w:val="0064146A"/>
    <w:rsid w:val="006414BA"/>
    <w:rsid w:val="006417B0"/>
    <w:rsid w:val="00641C78"/>
    <w:rsid w:val="0064256A"/>
    <w:rsid w:val="00642B88"/>
    <w:rsid w:val="00642CDD"/>
    <w:rsid w:val="00642E34"/>
    <w:rsid w:val="006437C5"/>
    <w:rsid w:val="0064399E"/>
    <w:rsid w:val="00643BDE"/>
    <w:rsid w:val="00643FED"/>
    <w:rsid w:val="0064439A"/>
    <w:rsid w:val="00644502"/>
    <w:rsid w:val="00644B34"/>
    <w:rsid w:val="006451A4"/>
    <w:rsid w:val="006454D6"/>
    <w:rsid w:val="006454E4"/>
    <w:rsid w:val="0064552F"/>
    <w:rsid w:val="00645586"/>
    <w:rsid w:val="00645B29"/>
    <w:rsid w:val="00646012"/>
    <w:rsid w:val="0064628E"/>
    <w:rsid w:val="00646439"/>
    <w:rsid w:val="00646582"/>
    <w:rsid w:val="0064658F"/>
    <w:rsid w:val="00646AAC"/>
    <w:rsid w:val="00646F70"/>
    <w:rsid w:val="00647432"/>
    <w:rsid w:val="00647499"/>
    <w:rsid w:val="00647988"/>
    <w:rsid w:val="00647F34"/>
    <w:rsid w:val="0065019E"/>
    <w:rsid w:val="006502D3"/>
    <w:rsid w:val="0065051B"/>
    <w:rsid w:val="006509D3"/>
    <w:rsid w:val="00650B63"/>
    <w:rsid w:val="00650C1A"/>
    <w:rsid w:val="00650F48"/>
    <w:rsid w:val="0065107E"/>
    <w:rsid w:val="00651266"/>
    <w:rsid w:val="00651372"/>
    <w:rsid w:val="00651A12"/>
    <w:rsid w:val="00651B4E"/>
    <w:rsid w:val="00651DEB"/>
    <w:rsid w:val="0065246E"/>
    <w:rsid w:val="006526BA"/>
    <w:rsid w:val="0065333C"/>
    <w:rsid w:val="006536DC"/>
    <w:rsid w:val="00653784"/>
    <w:rsid w:val="0065395B"/>
    <w:rsid w:val="00653C83"/>
    <w:rsid w:val="006548BF"/>
    <w:rsid w:val="00654D8B"/>
    <w:rsid w:val="006552FA"/>
    <w:rsid w:val="006554D4"/>
    <w:rsid w:val="00655F98"/>
    <w:rsid w:val="00656018"/>
    <w:rsid w:val="00656649"/>
    <w:rsid w:val="00656888"/>
    <w:rsid w:val="006568DF"/>
    <w:rsid w:val="00656B68"/>
    <w:rsid w:val="0065750E"/>
    <w:rsid w:val="00657562"/>
    <w:rsid w:val="00657BFD"/>
    <w:rsid w:val="0066017A"/>
    <w:rsid w:val="0066051A"/>
    <w:rsid w:val="0066068C"/>
    <w:rsid w:val="006607F0"/>
    <w:rsid w:val="00660CA9"/>
    <w:rsid w:val="00660D60"/>
    <w:rsid w:val="00660F4F"/>
    <w:rsid w:val="0066111B"/>
    <w:rsid w:val="00661180"/>
    <w:rsid w:val="00661315"/>
    <w:rsid w:val="006613D6"/>
    <w:rsid w:val="00661A6D"/>
    <w:rsid w:val="00661D56"/>
    <w:rsid w:val="00661FF0"/>
    <w:rsid w:val="006621B9"/>
    <w:rsid w:val="00662CE3"/>
    <w:rsid w:val="00662D9E"/>
    <w:rsid w:val="0066319D"/>
    <w:rsid w:val="006632A6"/>
    <w:rsid w:val="006635B7"/>
    <w:rsid w:val="0066377B"/>
    <w:rsid w:val="00663DB8"/>
    <w:rsid w:val="00663F3F"/>
    <w:rsid w:val="00663F45"/>
    <w:rsid w:val="006641CB"/>
    <w:rsid w:val="00664260"/>
    <w:rsid w:val="006647F3"/>
    <w:rsid w:val="006648A8"/>
    <w:rsid w:val="00664906"/>
    <w:rsid w:val="00664BCB"/>
    <w:rsid w:val="00664DC1"/>
    <w:rsid w:val="00665112"/>
    <w:rsid w:val="00665EDC"/>
    <w:rsid w:val="0066697A"/>
    <w:rsid w:val="00666B23"/>
    <w:rsid w:val="00667015"/>
    <w:rsid w:val="00667CE6"/>
    <w:rsid w:val="00667DB5"/>
    <w:rsid w:val="00667E0C"/>
    <w:rsid w:val="00667E61"/>
    <w:rsid w:val="006700E2"/>
    <w:rsid w:val="00670BBC"/>
    <w:rsid w:val="00671177"/>
    <w:rsid w:val="006713F3"/>
    <w:rsid w:val="006715CA"/>
    <w:rsid w:val="00671AF1"/>
    <w:rsid w:val="00671D98"/>
    <w:rsid w:val="00671DBC"/>
    <w:rsid w:val="00671E19"/>
    <w:rsid w:val="00671EFC"/>
    <w:rsid w:val="00672059"/>
    <w:rsid w:val="006720F0"/>
    <w:rsid w:val="00672103"/>
    <w:rsid w:val="006727EF"/>
    <w:rsid w:val="00672950"/>
    <w:rsid w:val="00672B95"/>
    <w:rsid w:val="00672C5E"/>
    <w:rsid w:val="00673712"/>
    <w:rsid w:val="00673B38"/>
    <w:rsid w:val="00674271"/>
    <w:rsid w:val="0067454E"/>
    <w:rsid w:val="0067498E"/>
    <w:rsid w:val="00675D55"/>
    <w:rsid w:val="00675F67"/>
    <w:rsid w:val="006762CD"/>
    <w:rsid w:val="00676533"/>
    <w:rsid w:val="00676646"/>
    <w:rsid w:val="00676737"/>
    <w:rsid w:val="00676CFB"/>
    <w:rsid w:val="006774E1"/>
    <w:rsid w:val="00677ED9"/>
    <w:rsid w:val="00680216"/>
    <w:rsid w:val="0068063E"/>
    <w:rsid w:val="006806F3"/>
    <w:rsid w:val="00680895"/>
    <w:rsid w:val="006812EC"/>
    <w:rsid w:val="00681B4C"/>
    <w:rsid w:val="00681C47"/>
    <w:rsid w:val="00682021"/>
    <w:rsid w:val="006824CD"/>
    <w:rsid w:val="00682989"/>
    <w:rsid w:val="00682A1F"/>
    <w:rsid w:val="00682FEB"/>
    <w:rsid w:val="00683288"/>
    <w:rsid w:val="0068375B"/>
    <w:rsid w:val="006839AA"/>
    <w:rsid w:val="0068415B"/>
    <w:rsid w:val="00685206"/>
    <w:rsid w:val="00685BC9"/>
    <w:rsid w:val="00685CE3"/>
    <w:rsid w:val="00686653"/>
    <w:rsid w:val="00686BCB"/>
    <w:rsid w:val="00686BDF"/>
    <w:rsid w:val="00686DB8"/>
    <w:rsid w:val="00686FC7"/>
    <w:rsid w:val="0068700F"/>
    <w:rsid w:val="00687566"/>
    <w:rsid w:val="006875F0"/>
    <w:rsid w:val="00687B52"/>
    <w:rsid w:val="00687BC7"/>
    <w:rsid w:val="00687E65"/>
    <w:rsid w:val="006903B8"/>
    <w:rsid w:val="0069066E"/>
    <w:rsid w:val="0069068B"/>
    <w:rsid w:val="00690DA1"/>
    <w:rsid w:val="006911B2"/>
    <w:rsid w:val="006914D2"/>
    <w:rsid w:val="006918CB"/>
    <w:rsid w:val="00691900"/>
    <w:rsid w:val="00691919"/>
    <w:rsid w:val="00691A08"/>
    <w:rsid w:val="00691D0A"/>
    <w:rsid w:val="00692261"/>
    <w:rsid w:val="006928F0"/>
    <w:rsid w:val="0069312F"/>
    <w:rsid w:val="006935B7"/>
    <w:rsid w:val="0069370C"/>
    <w:rsid w:val="00693B7E"/>
    <w:rsid w:val="00693F30"/>
    <w:rsid w:val="00694599"/>
    <w:rsid w:val="00694708"/>
    <w:rsid w:val="00694BAD"/>
    <w:rsid w:val="00694D22"/>
    <w:rsid w:val="006953C0"/>
    <w:rsid w:val="00695E4E"/>
    <w:rsid w:val="0069674F"/>
    <w:rsid w:val="00696C83"/>
    <w:rsid w:val="00696E2E"/>
    <w:rsid w:val="00696E49"/>
    <w:rsid w:val="00697223"/>
    <w:rsid w:val="00697751"/>
    <w:rsid w:val="00697A62"/>
    <w:rsid w:val="00697B53"/>
    <w:rsid w:val="006A00D4"/>
    <w:rsid w:val="006A0198"/>
    <w:rsid w:val="006A02F8"/>
    <w:rsid w:val="006A0894"/>
    <w:rsid w:val="006A0F20"/>
    <w:rsid w:val="006A1986"/>
    <w:rsid w:val="006A1AA7"/>
    <w:rsid w:val="006A1D6A"/>
    <w:rsid w:val="006A1FE6"/>
    <w:rsid w:val="006A2061"/>
    <w:rsid w:val="006A212E"/>
    <w:rsid w:val="006A24EC"/>
    <w:rsid w:val="006A2D53"/>
    <w:rsid w:val="006A37D7"/>
    <w:rsid w:val="006A3997"/>
    <w:rsid w:val="006A44D5"/>
    <w:rsid w:val="006A5182"/>
    <w:rsid w:val="006A5A52"/>
    <w:rsid w:val="006A618F"/>
    <w:rsid w:val="006A6297"/>
    <w:rsid w:val="006A634D"/>
    <w:rsid w:val="006A63BB"/>
    <w:rsid w:val="006A668E"/>
    <w:rsid w:val="006A6D74"/>
    <w:rsid w:val="006A6E90"/>
    <w:rsid w:val="006A7026"/>
    <w:rsid w:val="006A70D9"/>
    <w:rsid w:val="006A7442"/>
    <w:rsid w:val="006B001C"/>
    <w:rsid w:val="006B0166"/>
    <w:rsid w:val="006B0423"/>
    <w:rsid w:val="006B0D1B"/>
    <w:rsid w:val="006B132B"/>
    <w:rsid w:val="006B14D2"/>
    <w:rsid w:val="006B187F"/>
    <w:rsid w:val="006B1C10"/>
    <w:rsid w:val="006B2168"/>
    <w:rsid w:val="006B264D"/>
    <w:rsid w:val="006B2C8C"/>
    <w:rsid w:val="006B3063"/>
    <w:rsid w:val="006B307F"/>
    <w:rsid w:val="006B31F8"/>
    <w:rsid w:val="006B34EE"/>
    <w:rsid w:val="006B3743"/>
    <w:rsid w:val="006B3883"/>
    <w:rsid w:val="006B3AAF"/>
    <w:rsid w:val="006B3F17"/>
    <w:rsid w:val="006B4B82"/>
    <w:rsid w:val="006B4EDC"/>
    <w:rsid w:val="006B4EE8"/>
    <w:rsid w:val="006B520D"/>
    <w:rsid w:val="006B5FEB"/>
    <w:rsid w:val="006B6027"/>
    <w:rsid w:val="006B6067"/>
    <w:rsid w:val="006B6B7B"/>
    <w:rsid w:val="006B6ED1"/>
    <w:rsid w:val="006B7068"/>
    <w:rsid w:val="006C005A"/>
    <w:rsid w:val="006C0085"/>
    <w:rsid w:val="006C0AE3"/>
    <w:rsid w:val="006C0EFF"/>
    <w:rsid w:val="006C1595"/>
    <w:rsid w:val="006C1780"/>
    <w:rsid w:val="006C19DD"/>
    <w:rsid w:val="006C1B7A"/>
    <w:rsid w:val="006C1B7E"/>
    <w:rsid w:val="006C1DDB"/>
    <w:rsid w:val="006C1E3D"/>
    <w:rsid w:val="006C2099"/>
    <w:rsid w:val="006C21AF"/>
    <w:rsid w:val="006C224E"/>
    <w:rsid w:val="006C256B"/>
    <w:rsid w:val="006C27F7"/>
    <w:rsid w:val="006C3029"/>
    <w:rsid w:val="006C33D4"/>
    <w:rsid w:val="006C38B4"/>
    <w:rsid w:val="006C38E2"/>
    <w:rsid w:val="006C3A2D"/>
    <w:rsid w:val="006C3D6F"/>
    <w:rsid w:val="006C4075"/>
    <w:rsid w:val="006C4374"/>
    <w:rsid w:val="006C452F"/>
    <w:rsid w:val="006C4DC2"/>
    <w:rsid w:val="006C505B"/>
    <w:rsid w:val="006C5346"/>
    <w:rsid w:val="006C576C"/>
    <w:rsid w:val="006C58F0"/>
    <w:rsid w:val="006C5F3B"/>
    <w:rsid w:val="006C7530"/>
    <w:rsid w:val="006C7CD6"/>
    <w:rsid w:val="006C7FA7"/>
    <w:rsid w:val="006D04EE"/>
    <w:rsid w:val="006D0C35"/>
    <w:rsid w:val="006D0F90"/>
    <w:rsid w:val="006D103E"/>
    <w:rsid w:val="006D1728"/>
    <w:rsid w:val="006D1F44"/>
    <w:rsid w:val="006D2055"/>
    <w:rsid w:val="006D22C7"/>
    <w:rsid w:val="006D2369"/>
    <w:rsid w:val="006D2E27"/>
    <w:rsid w:val="006D303B"/>
    <w:rsid w:val="006D361C"/>
    <w:rsid w:val="006D3969"/>
    <w:rsid w:val="006D39FA"/>
    <w:rsid w:val="006D3BAC"/>
    <w:rsid w:val="006D3CB4"/>
    <w:rsid w:val="006D40EB"/>
    <w:rsid w:val="006D422F"/>
    <w:rsid w:val="006D42FB"/>
    <w:rsid w:val="006D4A46"/>
    <w:rsid w:val="006D4CF4"/>
    <w:rsid w:val="006D51E1"/>
    <w:rsid w:val="006D5B2A"/>
    <w:rsid w:val="006D5D9E"/>
    <w:rsid w:val="006D6132"/>
    <w:rsid w:val="006D68F5"/>
    <w:rsid w:val="006D6FD7"/>
    <w:rsid w:val="006D71FF"/>
    <w:rsid w:val="006D7214"/>
    <w:rsid w:val="006D72B6"/>
    <w:rsid w:val="006D7557"/>
    <w:rsid w:val="006D7BDB"/>
    <w:rsid w:val="006E0620"/>
    <w:rsid w:val="006E09A9"/>
    <w:rsid w:val="006E0F11"/>
    <w:rsid w:val="006E0FC2"/>
    <w:rsid w:val="006E10E6"/>
    <w:rsid w:val="006E1206"/>
    <w:rsid w:val="006E14A9"/>
    <w:rsid w:val="006E1867"/>
    <w:rsid w:val="006E1A88"/>
    <w:rsid w:val="006E1BA1"/>
    <w:rsid w:val="006E1BB9"/>
    <w:rsid w:val="006E2366"/>
    <w:rsid w:val="006E25C3"/>
    <w:rsid w:val="006E2F77"/>
    <w:rsid w:val="006E3055"/>
    <w:rsid w:val="006E34EC"/>
    <w:rsid w:val="006E39D9"/>
    <w:rsid w:val="006E3D88"/>
    <w:rsid w:val="006E3EAE"/>
    <w:rsid w:val="006E4344"/>
    <w:rsid w:val="006E45CA"/>
    <w:rsid w:val="006E4A24"/>
    <w:rsid w:val="006E4D9E"/>
    <w:rsid w:val="006E4E70"/>
    <w:rsid w:val="006E5B47"/>
    <w:rsid w:val="006E5DA0"/>
    <w:rsid w:val="006E642F"/>
    <w:rsid w:val="006E6BD2"/>
    <w:rsid w:val="006E6FD7"/>
    <w:rsid w:val="006E717C"/>
    <w:rsid w:val="006F0678"/>
    <w:rsid w:val="006F0749"/>
    <w:rsid w:val="006F0C08"/>
    <w:rsid w:val="006F17DE"/>
    <w:rsid w:val="006F1D48"/>
    <w:rsid w:val="006F1E5C"/>
    <w:rsid w:val="006F2474"/>
    <w:rsid w:val="006F2529"/>
    <w:rsid w:val="006F276B"/>
    <w:rsid w:val="006F338B"/>
    <w:rsid w:val="006F3EEA"/>
    <w:rsid w:val="006F3F1F"/>
    <w:rsid w:val="006F3FE3"/>
    <w:rsid w:val="006F54B9"/>
    <w:rsid w:val="006F5ECA"/>
    <w:rsid w:val="006F62B0"/>
    <w:rsid w:val="006F6422"/>
    <w:rsid w:val="006F6C45"/>
    <w:rsid w:val="006F717C"/>
    <w:rsid w:val="006F74B6"/>
    <w:rsid w:val="006F7D88"/>
    <w:rsid w:val="00700304"/>
    <w:rsid w:val="0070036F"/>
    <w:rsid w:val="0070038A"/>
    <w:rsid w:val="00700510"/>
    <w:rsid w:val="007005A7"/>
    <w:rsid w:val="0070062B"/>
    <w:rsid w:val="00700B33"/>
    <w:rsid w:val="00700CE2"/>
    <w:rsid w:val="00701D00"/>
    <w:rsid w:val="00701D53"/>
    <w:rsid w:val="00701E11"/>
    <w:rsid w:val="00701E37"/>
    <w:rsid w:val="00701F47"/>
    <w:rsid w:val="007030F7"/>
    <w:rsid w:val="00703121"/>
    <w:rsid w:val="00703492"/>
    <w:rsid w:val="007037FC"/>
    <w:rsid w:val="00703861"/>
    <w:rsid w:val="00703DA8"/>
    <w:rsid w:val="00703E00"/>
    <w:rsid w:val="00704027"/>
    <w:rsid w:val="00704F62"/>
    <w:rsid w:val="0070560C"/>
    <w:rsid w:val="00705741"/>
    <w:rsid w:val="00705B97"/>
    <w:rsid w:val="00705C29"/>
    <w:rsid w:val="00706303"/>
    <w:rsid w:val="00706628"/>
    <w:rsid w:val="007066ED"/>
    <w:rsid w:val="00706C24"/>
    <w:rsid w:val="00706D81"/>
    <w:rsid w:val="00707586"/>
    <w:rsid w:val="00707D1B"/>
    <w:rsid w:val="00707DEA"/>
    <w:rsid w:val="00707EEC"/>
    <w:rsid w:val="00710DA2"/>
    <w:rsid w:val="007113DD"/>
    <w:rsid w:val="00711839"/>
    <w:rsid w:val="00711A36"/>
    <w:rsid w:val="00711BD6"/>
    <w:rsid w:val="00711C6F"/>
    <w:rsid w:val="0071268E"/>
    <w:rsid w:val="007126BC"/>
    <w:rsid w:val="00712C3D"/>
    <w:rsid w:val="007133D5"/>
    <w:rsid w:val="0071371B"/>
    <w:rsid w:val="00713F23"/>
    <w:rsid w:val="00714133"/>
    <w:rsid w:val="00714147"/>
    <w:rsid w:val="00714512"/>
    <w:rsid w:val="00714853"/>
    <w:rsid w:val="00714AE1"/>
    <w:rsid w:val="00714C42"/>
    <w:rsid w:val="00714C81"/>
    <w:rsid w:val="00714EC7"/>
    <w:rsid w:val="00715085"/>
    <w:rsid w:val="00716025"/>
    <w:rsid w:val="00716092"/>
    <w:rsid w:val="00716E27"/>
    <w:rsid w:val="00716E47"/>
    <w:rsid w:val="00717007"/>
    <w:rsid w:val="00717088"/>
    <w:rsid w:val="00717FDE"/>
    <w:rsid w:val="00720229"/>
    <w:rsid w:val="007202C5"/>
    <w:rsid w:val="0072037F"/>
    <w:rsid w:val="0072069D"/>
    <w:rsid w:val="00720F83"/>
    <w:rsid w:val="007214B0"/>
    <w:rsid w:val="00722170"/>
    <w:rsid w:val="00722465"/>
    <w:rsid w:val="007228CF"/>
    <w:rsid w:val="0072295F"/>
    <w:rsid w:val="00722DFD"/>
    <w:rsid w:val="0072399B"/>
    <w:rsid w:val="00723BEC"/>
    <w:rsid w:val="00724265"/>
    <w:rsid w:val="0072454F"/>
    <w:rsid w:val="007248FF"/>
    <w:rsid w:val="00724C79"/>
    <w:rsid w:val="007252CD"/>
    <w:rsid w:val="00725455"/>
    <w:rsid w:val="00725F49"/>
    <w:rsid w:val="00726045"/>
    <w:rsid w:val="00726181"/>
    <w:rsid w:val="0072683E"/>
    <w:rsid w:val="007268A7"/>
    <w:rsid w:val="0072696F"/>
    <w:rsid w:val="007269A5"/>
    <w:rsid w:val="00726AB2"/>
    <w:rsid w:val="00726BAB"/>
    <w:rsid w:val="00726FD0"/>
    <w:rsid w:val="00727169"/>
    <w:rsid w:val="007305A7"/>
    <w:rsid w:val="0073128A"/>
    <w:rsid w:val="0073129D"/>
    <w:rsid w:val="007314BA"/>
    <w:rsid w:val="00731A33"/>
    <w:rsid w:val="00731DAA"/>
    <w:rsid w:val="00731FD1"/>
    <w:rsid w:val="00732238"/>
    <w:rsid w:val="007324D9"/>
    <w:rsid w:val="00732583"/>
    <w:rsid w:val="00732A56"/>
    <w:rsid w:val="007330D1"/>
    <w:rsid w:val="00733616"/>
    <w:rsid w:val="00733969"/>
    <w:rsid w:val="00733A3A"/>
    <w:rsid w:val="007344D9"/>
    <w:rsid w:val="00734B39"/>
    <w:rsid w:val="007354FB"/>
    <w:rsid w:val="00735996"/>
    <w:rsid w:val="00735BB5"/>
    <w:rsid w:val="00735E7A"/>
    <w:rsid w:val="0073605F"/>
    <w:rsid w:val="0073621E"/>
    <w:rsid w:val="00736DFD"/>
    <w:rsid w:val="00737325"/>
    <w:rsid w:val="00737580"/>
    <w:rsid w:val="0073774C"/>
    <w:rsid w:val="00737C85"/>
    <w:rsid w:val="00740037"/>
    <w:rsid w:val="0074007A"/>
    <w:rsid w:val="00740243"/>
    <w:rsid w:val="007404DB"/>
    <w:rsid w:val="00740B27"/>
    <w:rsid w:val="00740B4E"/>
    <w:rsid w:val="00741B30"/>
    <w:rsid w:val="00741E3D"/>
    <w:rsid w:val="00741ECB"/>
    <w:rsid w:val="007421B2"/>
    <w:rsid w:val="00742223"/>
    <w:rsid w:val="00742414"/>
    <w:rsid w:val="00742DB4"/>
    <w:rsid w:val="00742E4F"/>
    <w:rsid w:val="00742F57"/>
    <w:rsid w:val="007435F6"/>
    <w:rsid w:val="00743A17"/>
    <w:rsid w:val="00743A67"/>
    <w:rsid w:val="00743D20"/>
    <w:rsid w:val="007441B0"/>
    <w:rsid w:val="00744761"/>
    <w:rsid w:val="00744B2E"/>
    <w:rsid w:val="00744CA6"/>
    <w:rsid w:val="0074520D"/>
    <w:rsid w:val="007453F5"/>
    <w:rsid w:val="007457B9"/>
    <w:rsid w:val="00745916"/>
    <w:rsid w:val="00745C80"/>
    <w:rsid w:val="0074623A"/>
    <w:rsid w:val="00746B9B"/>
    <w:rsid w:val="00746BF5"/>
    <w:rsid w:val="00746C96"/>
    <w:rsid w:val="00746FF7"/>
    <w:rsid w:val="007474C5"/>
    <w:rsid w:val="0074758B"/>
    <w:rsid w:val="00747B2E"/>
    <w:rsid w:val="00747F13"/>
    <w:rsid w:val="00750114"/>
    <w:rsid w:val="00750244"/>
    <w:rsid w:val="007509DD"/>
    <w:rsid w:val="00750B2C"/>
    <w:rsid w:val="00751536"/>
    <w:rsid w:val="00751EB0"/>
    <w:rsid w:val="00752D8B"/>
    <w:rsid w:val="00752D9F"/>
    <w:rsid w:val="00752DDE"/>
    <w:rsid w:val="00752E56"/>
    <w:rsid w:val="00752E71"/>
    <w:rsid w:val="00752F29"/>
    <w:rsid w:val="007531D6"/>
    <w:rsid w:val="00753751"/>
    <w:rsid w:val="00753983"/>
    <w:rsid w:val="007543FB"/>
    <w:rsid w:val="00754E3A"/>
    <w:rsid w:val="00755479"/>
    <w:rsid w:val="00755D83"/>
    <w:rsid w:val="00756A74"/>
    <w:rsid w:val="0075728E"/>
    <w:rsid w:val="00757E3D"/>
    <w:rsid w:val="00760000"/>
    <w:rsid w:val="0076075E"/>
    <w:rsid w:val="00760B88"/>
    <w:rsid w:val="007612F9"/>
    <w:rsid w:val="0076150F"/>
    <w:rsid w:val="0076169E"/>
    <w:rsid w:val="007618BE"/>
    <w:rsid w:val="007618C9"/>
    <w:rsid w:val="00761C29"/>
    <w:rsid w:val="00761C62"/>
    <w:rsid w:val="007625FC"/>
    <w:rsid w:val="0076295F"/>
    <w:rsid w:val="00762EB8"/>
    <w:rsid w:val="00763173"/>
    <w:rsid w:val="0076327D"/>
    <w:rsid w:val="00763572"/>
    <w:rsid w:val="007635DC"/>
    <w:rsid w:val="00763732"/>
    <w:rsid w:val="00763A32"/>
    <w:rsid w:val="00763C89"/>
    <w:rsid w:val="00764038"/>
    <w:rsid w:val="007642E1"/>
    <w:rsid w:val="007644AB"/>
    <w:rsid w:val="007646F4"/>
    <w:rsid w:val="00764CFF"/>
    <w:rsid w:val="00764F7B"/>
    <w:rsid w:val="00765D95"/>
    <w:rsid w:val="00765FFD"/>
    <w:rsid w:val="00766111"/>
    <w:rsid w:val="00766478"/>
    <w:rsid w:val="0076648B"/>
    <w:rsid w:val="0076648D"/>
    <w:rsid w:val="00766A86"/>
    <w:rsid w:val="00766F81"/>
    <w:rsid w:val="00767003"/>
    <w:rsid w:val="00767084"/>
    <w:rsid w:val="00767971"/>
    <w:rsid w:val="00767BD7"/>
    <w:rsid w:val="007700A8"/>
    <w:rsid w:val="00770217"/>
    <w:rsid w:val="0077095D"/>
    <w:rsid w:val="00770A4A"/>
    <w:rsid w:val="007711C9"/>
    <w:rsid w:val="0077134E"/>
    <w:rsid w:val="007714F6"/>
    <w:rsid w:val="0077186F"/>
    <w:rsid w:val="00771934"/>
    <w:rsid w:val="00771D3C"/>
    <w:rsid w:val="00772109"/>
    <w:rsid w:val="0077240C"/>
    <w:rsid w:val="00772C62"/>
    <w:rsid w:val="00772FB7"/>
    <w:rsid w:val="007734B1"/>
    <w:rsid w:val="0077370B"/>
    <w:rsid w:val="00773B3D"/>
    <w:rsid w:val="00773C43"/>
    <w:rsid w:val="00773CB2"/>
    <w:rsid w:val="0077495E"/>
    <w:rsid w:val="00774979"/>
    <w:rsid w:val="00774B88"/>
    <w:rsid w:val="00774D18"/>
    <w:rsid w:val="007750B4"/>
    <w:rsid w:val="00776690"/>
    <w:rsid w:val="00776C6F"/>
    <w:rsid w:val="0077782A"/>
    <w:rsid w:val="00780009"/>
    <w:rsid w:val="00780310"/>
    <w:rsid w:val="007808A0"/>
    <w:rsid w:val="007809C7"/>
    <w:rsid w:val="00780BD1"/>
    <w:rsid w:val="00781227"/>
    <w:rsid w:val="007815AA"/>
    <w:rsid w:val="007816BD"/>
    <w:rsid w:val="007816ED"/>
    <w:rsid w:val="00781D7F"/>
    <w:rsid w:val="00781E0F"/>
    <w:rsid w:val="0078297F"/>
    <w:rsid w:val="007833E8"/>
    <w:rsid w:val="0078374F"/>
    <w:rsid w:val="00783C68"/>
    <w:rsid w:val="00783F1D"/>
    <w:rsid w:val="00783F4B"/>
    <w:rsid w:val="007841D5"/>
    <w:rsid w:val="007846CF"/>
    <w:rsid w:val="00784774"/>
    <w:rsid w:val="00784795"/>
    <w:rsid w:val="0078485F"/>
    <w:rsid w:val="00784862"/>
    <w:rsid w:val="00784C76"/>
    <w:rsid w:val="0078505F"/>
    <w:rsid w:val="007852B1"/>
    <w:rsid w:val="00785592"/>
    <w:rsid w:val="007857A6"/>
    <w:rsid w:val="007858A2"/>
    <w:rsid w:val="00785A9A"/>
    <w:rsid w:val="00785BBF"/>
    <w:rsid w:val="00785BE9"/>
    <w:rsid w:val="00785D3F"/>
    <w:rsid w:val="007860A4"/>
    <w:rsid w:val="007862C7"/>
    <w:rsid w:val="007863F8"/>
    <w:rsid w:val="007864E9"/>
    <w:rsid w:val="007870DB"/>
    <w:rsid w:val="00787DE5"/>
    <w:rsid w:val="00787E88"/>
    <w:rsid w:val="00787FB1"/>
    <w:rsid w:val="00787FC4"/>
    <w:rsid w:val="007905BD"/>
    <w:rsid w:val="00790643"/>
    <w:rsid w:val="00790ADF"/>
    <w:rsid w:val="00790AEE"/>
    <w:rsid w:val="007910DD"/>
    <w:rsid w:val="00791D31"/>
    <w:rsid w:val="00791D3F"/>
    <w:rsid w:val="00792131"/>
    <w:rsid w:val="00792965"/>
    <w:rsid w:val="00792AF2"/>
    <w:rsid w:val="00792CEC"/>
    <w:rsid w:val="00792F16"/>
    <w:rsid w:val="00792F58"/>
    <w:rsid w:val="007934CE"/>
    <w:rsid w:val="007935DC"/>
    <w:rsid w:val="00793698"/>
    <w:rsid w:val="007936C7"/>
    <w:rsid w:val="00793B71"/>
    <w:rsid w:val="00793BB9"/>
    <w:rsid w:val="00793F09"/>
    <w:rsid w:val="007949FB"/>
    <w:rsid w:val="00794BE1"/>
    <w:rsid w:val="00794E91"/>
    <w:rsid w:val="00795767"/>
    <w:rsid w:val="00796E44"/>
    <w:rsid w:val="00796E87"/>
    <w:rsid w:val="00796ED5"/>
    <w:rsid w:val="0079702E"/>
    <w:rsid w:val="007970FF"/>
    <w:rsid w:val="0079755A"/>
    <w:rsid w:val="007978A5"/>
    <w:rsid w:val="007979A4"/>
    <w:rsid w:val="00797C55"/>
    <w:rsid w:val="00797F7A"/>
    <w:rsid w:val="007A02E5"/>
    <w:rsid w:val="007A039A"/>
    <w:rsid w:val="007A065A"/>
    <w:rsid w:val="007A0C85"/>
    <w:rsid w:val="007A0CA7"/>
    <w:rsid w:val="007A0DDB"/>
    <w:rsid w:val="007A105E"/>
    <w:rsid w:val="007A20BE"/>
    <w:rsid w:val="007A2358"/>
    <w:rsid w:val="007A23ED"/>
    <w:rsid w:val="007A2B6B"/>
    <w:rsid w:val="007A32F9"/>
    <w:rsid w:val="007A3617"/>
    <w:rsid w:val="007A3671"/>
    <w:rsid w:val="007A41D5"/>
    <w:rsid w:val="007A47B7"/>
    <w:rsid w:val="007A5649"/>
    <w:rsid w:val="007A5C2F"/>
    <w:rsid w:val="007A62A8"/>
    <w:rsid w:val="007A63E8"/>
    <w:rsid w:val="007A6A1D"/>
    <w:rsid w:val="007A6ECC"/>
    <w:rsid w:val="007A6FED"/>
    <w:rsid w:val="007A73FD"/>
    <w:rsid w:val="007A7EE9"/>
    <w:rsid w:val="007A7FDE"/>
    <w:rsid w:val="007B0428"/>
    <w:rsid w:val="007B06E0"/>
    <w:rsid w:val="007B07C3"/>
    <w:rsid w:val="007B0AA6"/>
    <w:rsid w:val="007B0D0B"/>
    <w:rsid w:val="007B0DF4"/>
    <w:rsid w:val="007B1500"/>
    <w:rsid w:val="007B197C"/>
    <w:rsid w:val="007B1AB7"/>
    <w:rsid w:val="007B1C79"/>
    <w:rsid w:val="007B1DB5"/>
    <w:rsid w:val="007B1FFB"/>
    <w:rsid w:val="007B23B0"/>
    <w:rsid w:val="007B2F81"/>
    <w:rsid w:val="007B4071"/>
    <w:rsid w:val="007B4648"/>
    <w:rsid w:val="007B4910"/>
    <w:rsid w:val="007B51EB"/>
    <w:rsid w:val="007B5550"/>
    <w:rsid w:val="007B56B8"/>
    <w:rsid w:val="007B58F2"/>
    <w:rsid w:val="007B5EF1"/>
    <w:rsid w:val="007B60C3"/>
    <w:rsid w:val="007B61E3"/>
    <w:rsid w:val="007B642B"/>
    <w:rsid w:val="007B64B7"/>
    <w:rsid w:val="007B6A78"/>
    <w:rsid w:val="007B6B9F"/>
    <w:rsid w:val="007B6BA0"/>
    <w:rsid w:val="007B6D8A"/>
    <w:rsid w:val="007B6EF5"/>
    <w:rsid w:val="007B6FC5"/>
    <w:rsid w:val="007B721E"/>
    <w:rsid w:val="007B7C4A"/>
    <w:rsid w:val="007B7EA4"/>
    <w:rsid w:val="007B7FBC"/>
    <w:rsid w:val="007C01FA"/>
    <w:rsid w:val="007C0273"/>
    <w:rsid w:val="007C03F5"/>
    <w:rsid w:val="007C1078"/>
    <w:rsid w:val="007C1141"/>
    <w:rsid w:val="007C1487"/>
    <w:rsid w:val="007C14FB"/>
    <w:rsid w:val="007C1593"/>
    <w:rsid w:val="007C22FE"/>
    <w:rsid w:val="007C249D"/>
    <w:rsid w:val="007C2EF8"/>
    <w:rsid w:val="007C2FC5"/>
    <w:rsid w:val="007C31B0"/>
    <w:rsid w:val="007C364F"/>
    <w:rsid w:val="007C3786"/>
    <w:rsid w:val="007C37AC"/>
    <w:rsid w:val="007C3CD0"/>
    <w:rsid w:val="007C4050"/>
    <w:rsid w:val="007C421E"/>
    <w:rsid w:val="007C4D4E"/>
    <w:rsid w:val="007C4F19"/>
    <w:rsid w:val="007C506C"/>
    <w:rsid w:val="007C5E9F"/>
    <w:rsid w:val="007C6413"/>
    <w:rsid w:val="007C6D58"/>
    <w:rsid w:val="007C6DEB"/>
    <w:rsid w:val="007C6F00"/>
    <w:rsid w:val="007C705D"/>
    <w:rsid w:val="007C70E5"/>
    <w:rsid w:val="007C7362"/>
    <w:rsid w:val="007C77BC"/>
    <w:rsid w:val="007C784D"/>
    <w:rsid w:val="007C78E3"/>
    <w:rsid w:val="007D036B"/>
    <w:rsid w:val="007D06D1"/>
    <w:rsid w:val="007D0BAE"/>
    <w:rsid w:val="007D0EE4"/>
    <w:rsid w:val="007D1240"/>
    <w:rsid w:val="007D191A"/>
    <w:rsid w:val="007D1929"/>
    <w:rsid w:val="007D1932"/>
    <w:rsid w:val="007D2079"/>
    <w:rsid w:val="007D20C0"/>
    <w:rsid w:val="007D225B"/>
    <w:rsid w:val="007D24E5"/>
    <w:rsid w:val="007D2A69"/>
    <w:rsid w:val="007D2ADA"/>
    <w:rsid w:val="007D2B76"/>
    <w:rsid w:val="007D2B86"/>
    <w:rsid w:val="007D2FD3"/>
    <w:rsid w:val="007D30AF"/>
    <w:rsid w:val="007D332F"/>
    <w:rsid w:val="007D3579"/>
    <w:rsid w:val="007D35C4"/>
    <w:rsid w:val="007D3905"/>
    <w:rsid w:val="007D3D9C"/>
    <w:rsid w:val="007D3ED8"/>
    <w:rsid w:val="007D4485"/>
    <w:rsid w:val="007D44EA"/>
    <w:rsid w:val="007D47F9"/>
    <w:rsid w:val="007D4B45"/>
    <w:rsid w:val="007D4C95"/>
    <w:rsid w:val="007D5129"/>
    <w:rsid w:val="007D5678"/>
    <w:rsid w:val="007D576E"/>
    <w:rsid w:val="007D59C4"/>
    <w:rsid w:val="007D60DE"/>
    <w:rsid w:val="007D62C0"/>
    <w:rsid w:val="007D67EC"/>
    <w:rsid w:val="007D6D64"/>
    <w:rsid w:val="007D746F"/>
    <w:rsid w:val="007D762B"/>
    <w:rsid w:val="007D76DC"/>
    <w:rsid w:val="007D7E86"/>
    <w:rsid w:val="007D7EDC"/>
    <w:rsid w:val="007E0151"/>
    <w:rsid w:val="007E04D1"/>
    <w:rsid w:val="007E06B8"/>
    <w:rsid w:val="007E0F00"/>
    <w:rsid w:val="007E13EF"/>
    <w:rsid w:val="007E1848"/>
    <w:rsid w:val="007E1AD0"/>
    <w:rsid w:val="007E1C31"/>
    <w:rsid w:val="007E1FBB"/>
    <w:rsid w:val="007E2022"/>
    <w:rsid w:val="007E21AC"/>
    <w:rsid w:val="007E227D"/>
    <w:rsid w:val="007E22AD"/>
    <w:rsid w:val="007E23DA"/>
    <w:rsid w:val="007E2DF0"/>
    <w:rsid w:val="007E3265"/>
    <w:rsid w:val="007E3634"/>
    <w:rsid w:val="007E398A"/>
    <w:rsid w:val="007E4058"/>
    <w:rsid w:val="007E45EE"/>
    <w:rsid w:val="007E48D5"/>
    <w:rsid w:val="007E494D"/>
    <w:rsid w:val="007E4AB0"/>
    <w:rsid w:val="007E4B31"/>
    <w:rsid w:val="007E4D71"/>
    <w:rsid w:val="007E4E32"/>
    <w:rsid w:val="007E5057"/>
    <w:rsid w:val="007E531D"/>
    <w:rsid w:val="007E57D7"/>
    <w:rsid w:val="007E5B13"/>
    <w:rsid w:val="007E5B8A"/>
    <w:rsid w:val="007E5C4B"/>
    <w:rsid w:val="007E5CD0"/>
    <w:rsid w:val="007E5F8D"/>
    <w:rsid w:val="007E61A6"/>
    <w:rsid w:val="007E62C1"/>
    <w:rsid w:val="007E6327"/>
    <w:rsid w:val="007E6D52"/>
    <w:rsid w:val="007E7946"/>
    <w:rsid w:val="007E7C32"/>
    <w:rsid w:val="007E7F56"/>
    <w:rsid w:val="007F02EE"/>
    <w:rsid w:val="007F07EB"/>
    <w:rsid w:val="007F0854"/>
    <w:rsid w:val="007F0F5B"/>
    <w:rsid w:val="007F10DC"/>
    <w:rsid w:val="007F130B"/>
    <w:rsid w:val="007F1393"/>
    <w:rsid w:val="007F1488"/>
    <w:rsid w:val="007F1A9D"/>
    <w:rsid w:val="007F1EB8"/>
    <w:rsid w:val="007F20C6"/>
    <w:rsid w:val="007F274C"/>
    <w:rsid w:val="007F2AC0"/>
    <w:rsid w:val="007F2C81"/>
    <w:rsid w:val="007F2EE6"/>
    <w:rsid w:val="007F3016"/>
    <w:rsid w:val="007F33A4"/>
    <w:rsid w:val="007F3B7A"/>
    <w:rsid w:val="007F4C17"/>
    <w:rsid w:val="007F4C84"/>
    <w:rsid w:val="007F4D66"/>
    <w:rsid w:val="007F51B0"/>
    <w:rsid w:val="007F535B"/>
    <w:rsid w:val="007F53E9"/>
    <w:rsid w:val="007F5455"/>
    <w:rsid w:val="007F59BB"/>
    <w:rsid w:val="007F5C85"/>
    <w:rsid w:val="007F6002"/>
    <w:rsid w:val="007F6410"/>
    <w:rsid w:val="007F6963"/>
    <w:rsid w:val="007F6DEF"/>
    <w:rsid w:val="007F6E39"/>
    <w:rsid w:val="007F78EC"/>
    <w:rsid w:val="007F7987"/>
    <w:rsid w:val="007F7A54"/>
    <w:rsid w:val="007F7F05"/>
    <w:rsid w:val="007F7F2C"/>
    <w:rsid w:val="00800DB9"/>
    <w:rsid w:val="0080114C"/>
    <w:rsid w:val="0080142E"/>
    <w:rsid w:val="00801560"/>
    <w:rsid w:val="0080211C"/>
    <w:rsid w:val="00802467"/>
    <w:rsid w:val="0080277A"/>
    <w:rsid w:val="008027FA"/>
    <w:rsid w:val="0080299A"/>
    <w:rsid w:val="00802A18"/>
    <w:rsid w:val="00802EB6"/>
    <w:rsid w:val="0080329C"/>
    <w:rsid w:val="00803636"/>
    <w:rsid w:val="00803A34"/>
    <w:rsid w:val="00804599"/>
    <w:rsid w:val="0080475D"/>
    <w:rsid w:val="00804EC8"/>
    <w:rsid w:val="00804EEF"/>
    <w:rsid w:val="008050B2"/>
    <w:rsid w:val="008055ED"/>
    <w:rsid w:val="0080572C"/>
    <w:rsid w:val="00805801"/>
    <w:rsid w:val="008066C2"/>
    <w:rsid w:val="00806721"/>
    <w:rsid w:val="00806D45"/>
    <w:rsid w:val="00807D76"/>
    <w:rsid w:val="00807E40"/>
    <w:rsid w:val="00810289"/>
    <w:rsid w:val="0081197C"/>
    <w:rsid w:val="00811E65"/>
    <w:rsid w:val="00811F59"/>
    <w:rsid w:val="00811F86"/>
    <w:rsid w:val="00812016"/>
    <w:rsid w:val="008121B5"/>
    <w:rsid w:val="00812635"/>
    <w:rsid w:val="0081283D"/>
    <w:rsid w:val="0081380E"/>
    <w:rsid w:val="00813C5C"/>
    <w:rsid w:val="00813F8C"/>
    <w:rsid w:val="008143C3"/>
    <w:rsid w:val="00814BB5"/>
    <w:rsid w:val="00814FE2"/>
    <w:rsid w:val="00815058"/>
    <w:rsid w:val="008154D7"/>
    <w:rsid w:val="00815608"/>
    <w:rsid w:val="008159F6"/>
    <w:rsid w:val="00815E5F"/>
    <w:rsid w:val="00815EE9"/>
    <w:rsid w:val="00815F72"/>
    <w:rsid w:val="0081625A"/>
    <w:rsid w:val="0081635E"/>
    <w:rsid w:val="008164B6"/>
    <w:rsid w:val="008164C0"/>
    <w:rsid w:val="008169FB"/>
    <w:rsid w:val="008171BA"/>
    <w:rsid w:val="00817CE6"/>
    <w:rsid w:val="00817D17"/>
    <w:rsid w:val="00817D6B"/>
    <w:rsid w:val="008200BA"/>
    <w:rsid w:val="00820421"/>
    <w:rsid w:val="0082044E"/>
    <w:rsid w:val="00820E7E"/>
    <w:rsid w:val="0082123B"/>
    <w:rsid w:val="00821272"/>
    <w:rsid w:val="0082175E"/>
    <w:rsid w:val="00821943"/>
    <w:rsid w:val="00821AC6"/>
    <w:rsid w:val="00821AE1"/>
    <w:rsid w:val="00821C57"/>
    <w:rsid w:val="00821D59"/>
    <w:rsid w:val="008220C3"/>
    <w:rsid w:val="0082220C"/>
    <w:rsid w:val="00822383"/>
    <w:rsid w:val="00822803"/>
    <w:rsid w:val="00822B4D"/>
    <w:rsid w:val="00822CEB"/>
    <w:rsid w:val="0082394F"/>
    <w:rsid w:val="00823999"/>
    <w:rsid w:val="00823A2F"/>
    <w:rsid w:val="0082462B"/>
    <w:rsid w:val="008248A6"/>
    <w:rsid w:val="0082543B"/>
    <w:rsid w:val="008255C9"/>
    <w:rsid w:val="00825C86"/>
    <w:rsid w:val="008261E6"/>
    <w:rsid w:val="00826284"/>
    <w:rsid w:val="0082631D"/>
    <w:rsid w:val="008267D7"/>
    <w:rsid w:val="00826A9E"/>
    <w:rsid w:val="00826D95"/>
    <w:rsid w:val="00827249"/>
    <w:rsid w:val="0082786D"/>
    <w:rsid w:val="00827CAE"/>
    <w:rsid w:val="00827DF4"/>
    <w:rsid w:val="00830439"/>
    <w:rsid w:val="008306F1"/>
    <w:rsid w:val="00830727"/>
    <w:rsid w:val="0083074E"/>
    <w:rsid w:val="0083116E"/>
    <w:rsid w:val="00831883"/>
    <w:rsid w:val="00831C07"/>
    <w:rsid w:val="00832170"/>
    <w:rsid w:val="00832880"/>
    <w:rsid w:val="0083313B"/>
    <w:rsid w:val="008334C0"/>
    <w:rsid w:val="00833783"/>
    <w:rsid w:val="00833A57"/>
    <w:rsid w:val="00833BD0"/>
    <w:rsid w:val="00833F4C"/>
    <w:rsid w:val="00834394"/>
    <w:rsid w:val="00834650"/>
    <w:rsid w:val="00834942"/>
    <w:rsid w:val="00834BF4"/>
    <w:rsid w:val="00834DB9"/>
    <w:rsid w:val="00834F84"/>
    <w:rsid w:val="0083517F"/>
    <w:rsid w:val="008351EB"/>
    <w:rsid w:val="00835422"/>
    <w:rsid w:val="00835CF3"/>
    <w:rsid w:val="00835D57"/>
    <w:rsid w:val="00835F2F"/>
    <w:rsid w:val="008364A8"/>
    <w:rsid w:val="008365B7"/>
    <w:rsid w:val="00837340"/>
    <w:rsid w:val="0083766E"/>
    <w:rsid w:val="008377ED"/>
    <w:rsid w:val="00837A03"/>
    <w:rsid w:val="00837F1D"/>
    <w:rsid w:val="00840108"/>
    <w:rsid w:val="00840568"/>
    <w:rsid w:val="008405A6"/>
    <w:rsid w:val="00840C51"/>
    <w:rsid w:val="00840EC7"/>
    <w:rsid w:val="0084134B"/>
    <w:rsid w:val="008416D5"/>
    <w:rsid w:val="008419F1"/>
    <w:rsid w:val="008422DA"/>
    <w:rsid w:val="00842550"/>
    <w:rsid w:val="0084255F"/>
    <w:rsid w:val="00842928"/>
    <w:rsid w:val="00842B56"/>
    <w:rsid w:val="00842E09"/>
    <w:rsid w:val="00843530"/>
    <w:rsid w:val="00843538"/>
    <w:rsid w:val="00843569"/>
    <w:rsid w:val="008437F5"/>
    <w:rsid w:val="008438C3"/>
    <w:rsid w:val="00843EF1"/>
    <w:rsid w:val="00844449"/>
    <w:rsid w:val="00844982"/>
    <w:rsid w:val="00844C89"/>
    <w:rsid w:val="0084530D"/>
    <w:rsid w:val="008459DF"/>
    <w:rsid w:val="00845BFA"/>
    <w:rsid w:val="00845FBC"/>
    <w:rsid w:val="0084692E"/>
    <w:rsid w:val="0084693A"/>
    <w:rsid w:val="00846BC6"/>
    <w:rsid w:val="00846D07"/>
    <w:rsid w:val="00846E3F"/>
    <w:rsid w:val="0084713E"/>
    <w:rsid w:val="00847405"/>
    <w:rsid w:val="00847AC6"/>
    <w:rsid w:val="00847B97"/>
    <w:rsid w:val="00847D1B"/>
    <w:rsid w:val="00850037"/>
    <w:rsid w:val="00850CD8"/>
    <w:rsid w:val="00850D0B"/>
    <w:rsid w:val="008513BC"/>
    <w:rsid w:val="008513F6"/>
    <w:rsid w:val="00852028"/>
    <w:rsid w:val="008522ED"/>
    <w:rsid w:val="008524E0"/>
    <w:rsid w:val="00852A89"/>
    <w:rsid w:val="00852D7F"/>
    <w:rsid w:val="0085399E"/>
    <w:rsid w:val="00853DB6"/>
    <w:rsid w:val="008541AE"/>
    <w:rsid w:val="00854956"/>
    <w:rsid w:val="00855710"/>
    <w:rsid w:val="008559D3"/>
    <w:rsid w:val="00855A9B"/>
    <w:rsid w:val="00855F10"/>
    <w:rsid w:val="00856C97"/>
    <w:rsid w:val="00856EAD"/>
    <w:rsid w:val="00857108"/>
    <w:rsid w:val="0085781D"/>
    <w:rsid w:val="008579B2"/>
    <w:rsid w:val="00857E4B"/>
    <w:rsid w:val="00857F7A"/>
    <w:rsid w:val="00860DEC"/>
    <w:rsid w:val="00860E1F"/>
    <w:rsid w:val="00860E7B"/>
    <w:rsid w:val="00860E81"/>
    <w:rsid w:val="0086120B"/>
    <w:rsid w:val="008613A1"/>
    <w:rsid w:val="00861962"/>
    <w:rsid w:val="00861CD4"/>
    <w:rsid w:val="0086261F"/>
    <w:rsid w:val="0086262D"/>
    <w:rsid w:val="008626B1"/>
    <w:rsid w:val="00862861"/>
    <w:rsid w:val="008628FE"/>
    <w:rsid w:val="00862AEA"/>
    <w:rsid w:val="008631E2"/>
    <w:rsid w:val="00863208"/>
    <w:rsid w:val="0086350D"/>
    <w:rsid w:val="00863F94"/>
    <w:rsid w:val="00864C11"/>
    <w:rsid w:val="00864D51"/>
    <w:rsid w:val="00865B72"/>
    <w:rsid w:val="00865E78"/>
    <w:rsid w:val="00866417"/>
    <w:rsid w:val="00866658"/>
    <w:rsid w:val="00866938"/>
    <w:rsid w:val="00866B20"/>
    <w:rsid w:val="00866FD8"/>
    <w:rsid w:val="008674F7"/>
    <w:rsid w:val="008676E3"/>
    <w:rsid w:val="00867F5E"/>
    <w:rsid w:val="008700C7"/>
    <w:rsid w:val="0087098C"/>
    <w:rsid w:val="008709D8"/>
    <w:rsid w:val="00870D68"/>
    <w:rsid w:val="0087133B"/>
    <w:rsid w:val="00871DDE"/>
    <w:rsid w:val="008725B0"/>
    <w:rsid w:val="0087283F"/>
    <w:rsid w:val="00872A0F"/>
    <w:rsid w:val="00872DFF"/>
    <w:rsid w:val="00872F2F"/>
    <w:rsid w:val="00872FFF"/>
    <w:rsid w:val="00873029"/>
    <w:rsid w:val="00873908"/>
    <w:rsid w:val="00873931"/>
    <w:rsid w:val="00873CA7"/>
    <w:rsid w:val="008741F2"/>
    <w:rsid w:val="00874687"/>
    <w:rsid w:val="00874B62"/>
    <w:rsid w:val="00874D8B"/>
    <w:rsid w:val="00875395"/>
    <w:rsid w:val="008753A5"/>
    <w:rsid w:val="0087565E"/>
    <w:rsid w:val="00875C64"/>
    <w:rsid w:val="0087601D"/>
    <w:rsid w:val="00876169"/>
    <w:rsid w:val="0087634C"/>
    <w:rsid w:val="00876442"/>
    <w:rsid w:val="008764E3"/>
    <w:rsid w:val="0087680C"/>
    <w:rsid w:val="008768AD"/>
    <w:rsid w:val="008769D1"/>
    <w:rsid w:val="0087704C"/>
    <w:rsid w:val="00877C07"/>
    <w:rsid w:val="00877E8D"/>
    <w:rsid w:val="008803BF"/>
    <w:rsid w:val="00880537"/>
    <w:rsid w:val="008807F0"/>
    <w:rsid w:val="008809D6"/>
    <w:rsid w:val="0088150C"/>
    <w:rsid w:val="008815AA"/>
    <w:rsid w:val="008816B8"/>
    <w:rsid w:val="0088197C"/>
    <w:rsid w:val="00882202"/>
    <w:rsid w:val="008828AD"/>
    <w:rsid w:val="00882A9D"/>
    <w:rsid w:val="00882ED8"/>
    <w:rsid w:val="00883D8E"/>
    <w:rsid w:val="00884285"/>
    <w:rsid w:val="008844CA"/>
    <w:rsid w:val="00884AEF"/>
    <w:rsid w:val="00884C2B"/>
    <w:rsid w:val="00885665"/>
    <w:rsid w:val="008859BA"/>
    <w:rsid w:val="00885F8F"/>
    <w:rsid w:val="0088618F"/>
    <w:rsid w:val="0088681A"/>
    <w:rsid w:val="008869FD"/>
    <w:rsid w:val="00886C87"/>
    <w:rsid w:val="00887B7F"/>
    <w:rsid w:val="00890316"/>
    <w:rsid w:val="00890899"/>
    <w:rsid w:val="008909E0"/>
    <w:rsid w:val="00890B24"/>
    <w:rsid w:val="00890BE5"/>
    <w:rsid w:val="00891080"/>
    <w:rsid w:val="0089115C"/>
    <w:rsid w:val="00891610"/>
    <w:rsid w:val="00891895"/>
    <w:rsid w:val="008923AA"/>
    <w:rsid w:val="008934BA"/>
    <w:rsid w:val="00893648"/>
    <w:rsid w:val="00893F30"/>
    <w:rsid w:val="00894620"/>
    <w:rsid w:val="00894B62"/>
    <w:rsid w:val="00894C0A"/>
    <w:rsid w:val="00894F64"/>
    <w:rsid w:val="008958EF"/>
    <w:rsid w:val="00895BD8"/>
    <w:rsid w:val="00896129"/>
    <w:rsid w:val="00896BC8"/>
    <w:rsid w:val="008979B8"/>
    <w:rsid w:val="00897BB4"/>
    <w:rsid w:val="00897C94"/>
    <w:rsid w:val="00897E08"/>
    <w:rsid w:val="00897E46"/>
    <w:rsid w:val="008A05EA"/>
    <w:rsid w:val="008A080A"/>
    <w:rsid w:val="008A0BB6"/>
    <w:rsid w:val="008A0E27"/>
    <w:rsid w:val="008A1454"/>
    <w:rsid w:val="008A1CA5"/>
    <w:rsid w:val="008A1CB8"/>
    <w:rsid w:val="008A24C4"/>
    <w:rsid w:val="008A2E68"/>
    <w:rsid w:val="008A3247"/>
    <w:rsid w:val="008A3685"/>
    <w:rsid w:val="008A384F"/>
    <w:rsid w:val="008A3C33"/>
    <w:rsid w:val="008A3FAB"/>
    <w:rsid w:val="008A44D5"/>
    <w:rsid w:val="008A4555"/>
    <w:rsid w:val="008A4C41"/>
    <w:rsid w:val="008A4C70"/>
    <w:rsid w:val="008A4CB5"/>
    <w:rsid w:val="008A4F54"/>
    <w:rsid w:val="008A5033"/>
    <w:rsid w:val="008A5599"/>
    <w:rsid w:val="008A5740"/>
    <w:rsid w:val="008A5E69"/>
    <w:rsid w:val="008A5F9A"/>
    <w:rsid w:val="008A62D2"/>
    <w:rsid w:val="008A6840"/>
    <w:rsid w:val="008A68D6"/>
    <w:rsid w:val="008A6C80"/>
    <w:rsid w:val="008A6D53"/>
    <w:rsid w:val="008A6DA2"/>
    <w:rsid w:val="008A6FFD"/>
    <w:rsid w:val="008A700A"/>
    <w:rsid w:val="008A70A0"/>
    <w:rsid w:val="008A73BB"/>
    <w:rsid w:val="008A748A"/>
    <w:rsid w:val="008A774A"/>
    <w:rsid w:val="008A7ADD"/>
    <w:rsid w:val="008A7CC6"/>
    <w:rsid w:val="008A7FA1"/>
    <w:rsid w:val="008B0128"/>
    <w:rsid w:val="008B0367"/>
    <w:rsid w:val="008B03DB"/>
    <w:rsid w:val="008B0445"/>
    <w:rsid w:val="008B0637"/>
    <w:rsid w:val="008B068E"/>
    <w:rsid w:val="008B0B59"/>
    <w:rsid w:val="008B0D74"/>
    <w:rsid w:val="008B1508"/>
    <w:rsid w:val="008B18FA"/>
    <w:rsid w:val="008B1B2E"/>
    <w:rsid w:val="008B2453"/>
    <w:rsid w:val="008B3894"/>
    <w:rsid w:val="008B397F"/>
    <w:rsid w:val="008B3FAD"/>
    <w:rsid w:val="008B4224"/>
    <w:rsid w:val="008B45B6"/>
    <w:rsid w:val="008B4A44"/>
    <w:rsid w:val="008B4CC1"/>
    <w:rsid w:val="008B51F3"/>
    <w:rsid w:val="008B523A"/>
    <w:rsid w:val="008B5321"/>
    <w:rsid w:val="008B5334"/>
    <w:rsid w:val="008B5852"/>
    <w:rsid w:val="008B5920"/>
    <w:rsid w:val="008B6001"/>
    <w:rsid w:val="008B60A6"/>
    <w:rsid w:val="008B630B"/>
    <w:rsid w:val="008B6725"/>
    <w:rsid w:val="008B6BF1"/>
    <w:rsid w:val="008B6E81"/>
    <w:rsid w:val="008B705B"/>
    <w:rsid w:val="008B71D9"/>
    <w:rsid w:val="008B72D1"/>
    <w:rsid w:val="008B7804"/>
    <w:rsid w:val="008B797A"/>
    <w:rsid w:val="008B7D80"/>
    <w:rsid w:val="008C03F6"/>
    <w:rsid w:val="008C0B84"/>
    <w:rsid w:val="008C0D22"/>
    <w:rsid w:val="008C0E8C"/>
    <w:rsid w:val="008C0EB0"/>
    <w:rsid w:val="008C1142"/>
    <w:rsid w:val="008C1FC3"/>
    <w:rsid w:val="008C22FC"/>
    <w:rsid w:val="008C30DE"/>
    <w:rsid w:val="008C3504"/>
    <w:rsid w:val="008C42F4"/>
    <w:rsid w:val="008C4999"/>
    <w:rsid w:val="008C4A35"/>
    <w:rsid w:val="008C4C80"/>
    <w:rsid w:val="008C4D1D"/>
    <w:rsid w:val="008C4DA4"/>
    <w:rsid w:val="008C4F2C"/>
    <w:rsid w:val="008C52D9"/>
    <w:rsid w:val="008C5850"/>
    <w:rsid w:val="008C6321"/>
    <w:rsid w:val="008C6615"/>
    <w:rsid w:val="008C67F6"/>
    <w:rsid w:val="008C6865"/>
    <w:rsid w:val="008C6D7E"/>
    <w:rsid w:val="008C6E38"/>
    <w:rsid w:val="008C6EA8"/>
    <w:rsid w:val="008C7ADC"/>
    <w:rsid w:val="008D00CA"/>
    <w:rsid w:val="008D01A0"/>
    <w:rsid w:val="008D0297"/>
    <w:rsid w:val="008D05E5"/>
    <w:rsid w:val="008D06F2"/>
    <w:rsid w:val="008D0ED9"/>
    <w:rsid w:val="008D138F"/>
    <w:rsid w:val="008D1526"/>
    <w:rsid w:val="008D1D09"/>
    <w:rsid w:val="008D2248"/>
    <w:rsid w:val="008D2260"/>
    <w:rsid w:val="008D2369"/>
    <w:rsid w:val="008D2398"/>
    <w:rsid w:val="008D24A6"/>
    <w:rsid w:val="008D2615"/>
    <w:rsid w:val="008D297B"/>
    <w:rsid w:val="008D30BE"/>
    <w:rsid w:val="008D318F"/>
    <w:rsid w:val="008D3603"/>
    <w:rsid w:val="008D3C00"/>
    <w:rsid w:val="008D43C3"/>
    <w:rsid w:val="008D43D9"/>
    <w:rsid w:val="008D43EB"/>
    <w:rsid w:val="008D4847"/>
    <w:rsid w:val="008D4948"/>
    <w:rsid w:val="008D50BE"/>
    <w:rsid w:val="008D5852"/>
    <w:rsid w:val="008D6092"/>
    <w:rsid w:val="008D61E5"/>
    <w:rsid w:val="008D63E4"/>
    <w:rsid w:val="008D6C09"/>
    <w:rsid w:val="008D6F6D"/>
    <w:rsid w:val="008D70A9"/>
    <w:rsid w:val="008D736A"/>
    <w:rsid w:val="008D7906"/>
    <w:rsid w:val="008D791B"/>
    <w:rsid w:val="008D7B53"/>
    <w:rsid w:val="008D7D07"/>
    <w:rsid w:val="008E0125"/>
    <w:rsid w:val="008E0324"/>
    <w:rsid w:val="008E05AA"/>
    <w:rsid w:val="008E073B"/>
    <w:rsid w:val="008E0A7E"/>
    <w:rsid w:val="008E168B"/>
    <w:rsid w:val="008E1C4F"/>
    <w:rsid w:val="008E1EEE"/>
    <w:rsid w:val="008E202E"/>
    <w:rsid w:val="008E213E"/>
    <w:rsid w:val="008E3478"/>
    <w:rsid w:val="008E3D2A"/>
    <w:rsid w:val="008E426A"/>
    <w:rsid w:val="008E48BD"/>
    <w:rsid w:val="008E48E8"/>
    <w:rsid w:val="008E49FF"/>
    <w:rsid w:val="008E4A93"/>
    <w:rsid w:val="008E4D9B"/>
    <w:rsid w:val="008E5448"/>
    <w:rsid w:val="008E5A27"/>
    <w:rsid w:val="008E5B5D"/>
    <w:rsid w:val="008E5E7A"/>
    <w:rsid w:val="008E6110"/>
    <w:rsid w:val="008E6186"/>
    <w:rsid w:val="008E62B7"/>
    <w:rsid w:val="008E685E"/>
    <w:rsid w:val="008E698A"/>
    <w:rsid w:val="008E6A9B"/>
    <w:rsid w:val="008E6E84"/>
    <w:rsid w:val="008E7080"/>
    <w:rsid w:val="008E730E"/>
    <w:rsid w:val="008E733B"/>
    <w:rsid w:val="008E7FE9"/>
    <w:rsid w:val="008F01A1"/>
    <w:rsid w:val="008F01FB"/>
    <w:rsid w:val="008F066E"/>
    <w:rsid w:val="008F0C44"/>
    <w:rsid w:val="008F0CD8"/>
    <w:rsid w:val="008F0F63"/>
    <w:rsid w:val="008F11E4"/>
    <w:rsid w:val="008F155B"/>
    <w:rsid w:val="008F16A2"/>
    <w:rsid w:val="008F1C4A"/>
    <w:rsid w:val="008F1E0D"/>
    <w:rsid w:val="008F210C"/>
    <w:rsid w:val="008F2265"/>
    <w:rsid w:val="008F272E"/>
    <w:rsid w:val="008F2796"/>
    <w:rsid w:val="008F2C6F"/>
    <w:rsid w:val="008F2E40"/>
    <w:rsid w:val="008F2F81"/>
    <w:rsid w:val="008F335F"/>
    <w:rsid w:val="008F39F6"/>
    <w:rsid w:val="008F4339"/>
    <w:rsid w:val="008F438D"/>
    <w:rsid w:val="008F44E6"/>
    <w:rsid w:val="008F44F4"/>
    <w:rsid w:val="008F4A14"/>
    <w:rsid w:val="008F4D32"/>
    <w:rsid w:val="008F525F"/>
    <w:rsid w:val="008F5344"/>
    <w:rsid w:val="008F551F"/>
    <w:rsid w:val="008F60FD"/>
    <w:rsid w:val="008F6A1B"/>
    <w:rsid w:val="008F6DC0"/>
    <w:rsid w:val="008F7897"/>
    <w:rsid w:val="008F79E9"/>
    <w:rsid w:val="008F7D04"/>
    <w:rsid w:val="008F7DA4"/>
    <w:rsid w:val="00900026"/>
    <w:rsid w:val="00900D04"/>
    <w:rsid w:val="00901181"/>
    <w:rsid w:val="00901442"/>
    <w:rsid w:val="00901569"/>
    <w:rsid w:val="00901F02"/>
    <w:rsid w:val="009024EF"/>
    <w:rsid w:val="0090265B"/>
    <w:rsid w:val="00902B1F"/>
    <w:rsid w:val="0090339D"/>
    <w:rsid w:val="009037A7"/>
    <w:rsid w:val="00903B52"/>
    <w:rsid w:val="00903EAD"/>
    <w:rsid w:val="00903EEA"/>
    <w:rsid w:val="00904645"/>
    <w:rsid w:val="00905199"/>
    <w:rsid w:val="00905CA1"/>
    <w:rsid w:val="00906187"/>
    <w:rsid w:val="00906B4F"/>
    <w:rsid w:val="00906EB2"/>
    <w:rsid w:val="00907117"/>
    <w:rsid w:val="0090745E"/>
    <w:rsid w:val="00907E5E"/>
    <w:rsid w:val="009104A6"/>
    <w:rsid w:val="009105C4"/>
    <w:rsid w:val="009106C9"/>
    <w:rsid w:val="009114FD"/>
    <w:rsid w:val="009116DC"/>
    <w:rsid w:val="00911889"/>
    <w:rsid w:val="00911BA9"/>
    <w:rsid w:val="009122AB"/>
    <w:rsid w:val="009123A3"/>
    <w:rsid w:val="00912503"/>
    <w:rsid w:val="0091288A"/>
    <w:rsid w:val="00912C2B"/>
    <w:rsid w:val="009134BE"/>
    <w:rsid w:val="00913B42"/>
    <w:rsid w:val="00914CB3"/>
    <w:rsid w:val="00914D4E"/>
    <w:rsid w:val="00914ECC"/>
    <w:rsid w:val="00915063"/>
    <w:rsid w:val="00915761"/>
    <w:rsid w:val="009159DF"/>
    <w:rsid w:val="00916035"/>
    <w:rsid w:val="0091611F"/>
    <w:rsid w:val="00916331"/>
    <w:rsid w:val="00916533"/>
    <w:rsid w:val="009166D0"/>
    <w:rsid w:val="009167C8"/>
    <w:rsid w:val="00916B01"/>
    <w:rsid w:val="00916BE2"/>
    <w:rsid w:val="009173EF"/>
    <w:rsid w:val="009174DC"/>
    <w:rsid w:val="009176D2"/>
    <w:rsid w:val="00917BC7"/>
    <w:rsid w:val="00917FBD"/>
    <w:rsid w:val="00920455"/>
    <w:rsid w:val="00920981"/>
    <w:rsid w:val="0092109B"/>
    <w:rsid w:val="009217D6"/>
    <w:rsid w:val="00921C39"/>
    <w:rsid w:val="00921E19"/>
    <w:rsid w:val="00922039"/>
    <w:rsid w:val="0092207A"/>
    <w:rsid w:val="00922215"/>
    <w:rsid w:val="00922895"/>
    <w:rsid w:val="0092306A"/>
    <w:rsid w:val="00923199"/>
    <w:rsid w:val="0092356B"/>
    <w:rsid w:val="00923978"/>
    <w:rsid w:val="00923A85"/>
    <w:rsid w:val="0092417C"/>
    <w:rsid w:val="00924334"/>
    <w:rsid w:val="0092436E"/>
    <w:rsid w:val="00924509"/>
    <w:rsid w:val="009249E2"/>
    <w:rsid w:val="009252B3"/>
    <w:rsid w:val="0092555C"/>
    <w:rsid w:val="00925627"/>
    <w:rsid w:val="00925D72"/>
    <w:rsid w:val="00925F0F"/>
    <w:rsid w:val="009260A2"/>
    <w:rsid w:val="0092665A"/>
    <w:rsid w:val="009266FC"/>
    <w:rsid w:val="0092677E"/>
    <w:rsid w:val="00926AA5"/>
    <w:rsid w:val="00926D37"/>
    <w:rsid w:val="00927767"/>
    <w:rsid w:val="009278FB"/>
    <w:rsid w:val="00927EE6"/>
    <w:rsid w:val="009305B8"/>
    <w:rsid w:val="00930993"/>
    <w:rsid w:val="009316B3"/>
    <w:rsid w:val="00931A82"/>
    <w:rsid w:val="00931AE0"/>
    <w:rsid w:val="00931ED9"/>
    <w:rsid w:val="009320F5"/>
    <w:rsid w:val="009324D5"/>
    <w:rsid w:val="00932509"/>
    <w:rsid w:val="00932827"/>
    <w:rsid w:val="00932866"/>
    <w:rsid w:val="00932AEA"/>
    <w:rsid w:val="00932C63"/>
    <w:rsid w:val="009332E4"/>
    <w:rsid w:val="009333AE"/>
    <w:rsid w:val="00933D35"/>
    <w:rsid w:val="00934B9B"/>
    <w:rsid w:val="00934E81"/>
    <w:rsid w:val="009351D6"/>
    <w:rsid w:val="009357A4"/>
    <w:rsid w:val="00935C03"/>
    <w:rsid w:val="00936007"/>
    <w:rsid w:val="009360D9"/>
    <w:rsid w:val="0093623B"/>
    <w:rsid w:val="009368BA"/>
    <w:rsid w:val="00936BC0"/>
    <w:rsid w:val="00936EEC"/>
    <w:rsid w:val="009370A9"/>
    <w:rsid w:val="0093746F"/>
    <w:rsid w:val="00937517"/>
    <w:rsid w:val="009377A9"/>
    <w:rsid w:val="0093791A"/>
    <w:rsid w:val="0093792E"/>
    <w:rsid w:val="00937B42"/>
    <w:rsid w:val="00937EFF"/>
    <w:rsid w:val="00937F8B"/>
    <w:rsid w:val="00940093"/>
    <w:rsid w:val="009400A0"/>
    <w:rsid w:val="0094043B"/>
    <w:rsid w:val="0094072F"/>
    <w:rsid w:val="00940CC9"/>
    <w:rsid w:val="009410A0"/>
    <w:rsid w:val="009419F7"/>
    <w:rsid w:val="009420C1"/>
    <w:rsid w:val="00942750"/>
    <w:rsid w:val="00942858"/>
    <w:rsid w:val="00942A72"/>
    <w:rsid w:val="00942B32"/>
    <w:rsid w:val="00942C41"/>
    <w:rsid w:val="0094366E"/>
    <w:rsid w:val="009439B4"/>
    <w:rsid w:val="00943B79"/>
    <w:rsid w:val="00943BC4"/>
    <w:rsid w:val="00944496"/>
    <w:rsid w:val="00944AE9"/>
    <w:rsid w:val="0094517F"/>
    <w:rsid w:val="0094529D"/>
    <w:rsid w:val="00945550"/>
    <w:rsid w:val="0094557D"/>
    <w:rsid w:val="009457BB"/>
    <w:rsid w:val="009459FD"/>
    <w:rsid w:val="00945DD0"/>
    <w:rsid w:val="009469DD"/>
    <w:rsid w:val="00946DDC"/>
    <w:rsid w:val="0094725F"/>
    <w:rsid w:val="00947570"/>
    <w:rsid w:val="009477EB"/>
    <w:rsid w:val="00947937"/>
    <w:rsid w:val="00947B3B"/>
    <w:rsid w:val="00947F3B"/>
    <w:rsid w:val="00950A14"/>
    <w:rsid w:val="0095134C"/>
    <w:rsid w:val="009520B0"/>
    <w:rsid w:val="009520DC"/>
    <w:rsid w:val="009522EA"/>
    <w:rsid w:val="009522FB"/>
    <w:rsid w:val="009525B2"/>
    <w:rsid w:val="009525FC"/>
    <w:rsid w:val="009528F1"/>
    <w:rsid w:val="00952A72"/>
    <w:rsid w:val="00952DED"/>
    <w:rsid w:val="00953001"/>
    <w:rsid w:val="009531EA"/>
    <w:rsid w:val="009535BC"/>
    <w:rsid w:val="00953A62"/>
    <w:rsid w:val="009540A2"/>
    <w:rsid w:val="0095422B"/>
    <w:rsid w:val="00954469"/>
    <w:rsid w:val="00954533"/>
    <w:rsid w:val="00954735"/>
    <w:rsid w:val="00955106"/>
    <w:rsid w:val="009551E1"/>
    <w:rsid w:val="00956314"/>
    <w:rsid w:val="0095648C"/>
    <w:rsid w:val="009564AE"/>
    <w:rsid w:val="00956C09"/>
    <w:rsid w:val="00956EEC"/>
    <w:rsid w:val="00956EF9"/>
    <w:rsid w:val="00957B8D"/>
    <w:rsid w:val="00960369"/>
    <w:rsid w:val="009603AC"/>
    <w:rsid w:val="009604CB"/>
    <w:rsid w:val="00960943"/>
    <w:rsid w:val="00961790"/>
    <w:rsid w:val="0096196B"/>
    <w:rsid w:val="00961BCE"/>
    <w:rsid w:val="00962632"/>
    <w:rsid w:val="009631BA"/>
    <w:rsid w:val="00963747"/>
    <w:rsid w:val="0096404B"/>
    <w:rsid w:val="009643E2"/>
    <w:rsid w:val="0096457D"/>
    <w:rsid w:val="00964718"/>
    <w:rsid w:val="00964D37"/>
    <w:rsid w:val="00964EE4"/>
    <w:rsid w:val="00964FF8"/>
    <w:rsid w:val="009650DB"/>
    <w:rsid w:val="00965851"/>
    <w:rsid w:val="00965F5B"/>
    <w:rsid w:val="0096629E"/>
    <w:rsid w:val="009663F9"/>
    <w:rsid w:val="009668E7"/>
    <w:rsid w:val="00966944"/>
    <w:rsid w:val="00966CA6"/>
    <w:rsid w:val="00966DDF"/>
    <w:rsid w:val="00966F11"/>
    <w:rsid w:val="0096700B"/>
    <w:rsid w:val="0096743C"/>
    <w:rsid w:val="0096765A"/>
    <w:rsid w:val="00967796"/>
    <w:rsid w:val="009679EC"/>
    <w:rsid w:val="00967A7D"/>
    <w:rsid w:val="00967EC6"/>
    <w:rsid w:val="009708F9"/>
    <w:rsid w:val="00971485"/>
    <w:rsid w:val="0097168C"/>
    <w:rsid w:val="00971C7A"/>
    <w:rsid w:val="00971EAE"/>
    <w:rsid w:val="00972574"/>
    <w:rsid w:val="00972693"/>
    <w:rsid w:val="00972B87"/>
    <w:rsid w:val="00973013"/>
    <w:rsid w:val="0097307F"/>
    <w:rsid w:val="00973250"/>
    <w:rsid w:val="00973559"/>
    <w:rsid w:val="00973625"/>
    <w:rsid w:val="0097384B"/>
    <w:rsid w:val="00973BD6"/>
    <w:rsid w:val="00974131"/>
    <w:rsid w:val="00974B62"/>
    <w:rsid w:val="00974B7D"/>
    <w:rsid w:val="00974D37"/>
    <w:rsid w:val="00975611"/>
    <w:rsid w:val="009759C1"/>
    <w:rsid w:val="00975D99"/>
    <w:rsid w:val="009761F9"/>
    <w:rsid w:val="00976325"/>
    <w:rsid w:val="0097646A"/>
    <w:rsid w:val="009764B8"/>
    <w:rsid w:val="0097659E"/>
    <w:rsid w:val="00976F30"/>
    <w:rsid w:val="009771AD"/>
    <w:rsid w:val="0097758C"/>
    <w:rsid w:val="009809D6"/>
    <w:rsid w:val="00980BBE"/>
    <w:rsid w:val="0098108E"/>
    <w:rsid w:val="009810A9"/>
    <w:rsid w:val="009816E4"/>
    <w:rsid w:val="00981DFB"/>
    <w:rsid w:val="0098204D"/>
    <w:rsid w:val="00982811"/>
    <w:rsid w:val="00982832"/>
    <w:rsid w:val="00982AD8"/>
    <w:rsid w:val="00982DBB"/>
    <w:rsid w:val="00983077"/>
    <w:rsid w:val="00983915"/>
    <w:rsid w:val="00983EB0"/>
    <w:rsid w:val="0098467B"/>
    <w:rsid w:val="009847E7"/>
    <w:rsid w:val="0098487C"/>
    <w:rsid w:val="00984894"/>
    <w:rsid w:val="00984C6C"/>
    <w:rsid w:val="00985696"/>
    <w:rsid w:val="009857B2"/>
    <w:rsid w:val="00986C4F"/>
    <w:rsid w:val="00986ECF"/>
    <w:rsid w:val="00987151"/>
    <w:rsid w:val="0098729D"/>
    <w:rsid w:val="0098756B"/>
    <w:rsid w:val="00990000"/>
    <w:rsid w:val="00990051"/>
    <w:rsid w:val="0099007F"/>
    <w:rsid w:val="009904D5"/>
    <w:rsid w:val="00990675"/>
    <w:rsid w:val="00990C24"/>
    <w:rsid w:val="00990C52"/>
    <w:rsid w:val="00991577"/>
    <w:rsid w:val="00991A57"/>
    <w:rsid w:val="00991B92"/>
    <w:rsid w:val="00991BE8"/>
    <w:rsid w:val="00991D9F"/>
    <w:rsid w:val="009922CB"/>
    <w:rsid w:val="00992793"/>
    <w:rsid w:val="00992867"/>
    <w:rsid w:val="009928E3"/>
    <w:rsid w:val="00993103"/>
    <w:rsid w:val="00993DF8"/>
    <w:rsid w:val="00993F82"/>
    <w:rsid w:val="009947CF"/>
    <w:rsid w:val="00994D8D"/>
    <w:rsid w:val="009952D5"/>
    <w:rsid w:val="009953FE"/>
    <w:rsid w:val="0099635E"/>
    <w:rsid w:val="009965D3"/>
    <w:rsid w:val="009966B5"/>
    <w:rsid w:val="00996CE3"/>
    <w:rsid w:val="00996D58"/>
    <w:rsid w:val="00996DC8"/>
    <w:rsid w:val="009970DC"/>
    <w:rsid w:val="00997116"/>
    <w:rsid w:val="009972B6"/>
    <w:rsid w:val="009977C6"/>
    <w:rsid w:val="00997A19"/>
    <w:rsid w:val="00997E80"/>
    <w:rsid w:val="009A056A"/>
    <w:rsid w:val="009A115F"/>
    <w:rsid w:val="009A1189"/>
    <w:rsid w:val="009A1F3F"/>
    <w:rsid w:val="009A254C"/>
    <w:rsid w:val="009A27D1"/>
    <w:rsid w:val="009A2C51"/>
    <w:rsid w:val="009A3E62"/>
    <w:rsid w:val="009A446A"/>
    <w:rsid w:val="009A4C62"/>
    <w:rsid w:val="009A4EB7"/>
    <w:rsid w:val="009A4FDD"/>
    <w:rsid w:val="009A512C"/>
    <w:rsid w:val="009A5FB5"/>
    <w:rsid w:val="009A64A7"/>
    <w:rsid w:val="009A723B"/>
    <w:rsid w:val="009A73E6"/>
    <w:rsid w:val="009A7C03"/>
    <w:rsid w:val="009A7DEE"/>
    <w:rsid w:val="009A7EA5"/>
    <w:rsid w:val="009B0108"/>
    <w:rsid w:val="009B0303"/>
    <w:rsid w:val="009B0382"/>
    <w:rsid w:val="009B098C"/>
    <w:rsid w:val="009B1472"/>
    <w:rsid w:val="009B1A48"/>
    <w:rsid w:val="009B2087"/>
    <w:rsid w:val="009B27FD"/>
    <w:rsid w:val="009B29E0"/>
    <w:rsid w:val="009B2B68"/>
    <w:rsid w:val="009B319D"/>
    <w:rsid w:val="009B3509"/>
    <w:rsid w:val="009B4025"/>
    <w:rsid w:val="009B40A5"/>
    <w:rsid w:val="009B434D"/>
    <w:rsid w:val="009B4649"/>
    <w:rsid w:val="009B5CA8"/>
    <w:rsid w:val="009B625E"/>
    <w:rsid w:val="009B640C"/>
    <w:rsid w:val="009B6424"/>
    <w:rsid w:val="009B65F3"/>
    <w:rsid w:val="009B68DF"/>
    <w:rsid w:val="009B6F07"/>
    <w:rsid w:val="009B7B6A"/>
    <w:rsid w:val="009C074F"/>
    <w:rsid w:val="009C14CA"/>
    <w:rsid w:val="009C19BF"/>
    <w:rsid w:val="009C1F40"/>
    <w:rsid w:val="009C217A"/>
    <w:rsid w:val="009C245A"/>
    <w:rsid w:val="009C2491"/>
    <w:rsid w:val="009C2520"/>
    <w:rsid w:val="009C25B1"/>
    <w:rsid w:val="009C2847"/>
    <w:rsid w:val="009C2BAD"/>
    <w:rsid w:val="009C3098"/>
    <w:rsid w:val="009C3139"/>
    <w:rsid w:val="009C346D"/>
    <w:rsid w:val="009C34C6"/>
    <w:rsid w:val="009C3B03"/>
    <w:rsid w:val="009C4286"/>
    <w:rsid w:val="009C457F"/>
    <w:rsid w:val="009C4610"/>
    <w:rsid w:val="009C48E8"/>
    <w:rsid w:val="009C4E0F"/>
    <w:rsid w:val="009C4FA6"/>
    <w:rsid w:val="009C50AA"/>
    <w:rsid w:val="009C546B"/>
    <w:rsid w:val="009C59C8"/>
    <w:rsid w:val="009C59FA"/>
    <w:rsid w:val="009C5ABC"/>
    <w:rsid w:val="009C6918"/>
    <w:rsid w:val="009C6A08"/>
    <w:rsid w:val="009C70CB"/>
    <w:rsid w:val="009C712C"/>
    <w:rsid w:val="009C7A31"/>
    <w:rsid w:val="009C7A75"/>
    <w:rsid w:val="009C7B0B"/>
    <w:rsid w:val="009C7D34"/>
    <w:rsid w:val="009C7E1D"/>
    <w:rsid w:val="009C7E93"/>
    <w:rsid w:val="009D0011"/>
    <w:rsid w:val="009D02A1"/>
    <w:rsid w:val="009D088B"/>
    <w:rsid w:val="009D12B6"/>
    <w:rsid w:val="009D14AC"/>
    <w:rsid w:val="009D1517"/>
    <w:rsid w:val="009D151F"/>
    <w:rsid w:val="009D1B7F"/>
    <w:rsid w:val="009D1D2D"/>
    <w:rsid w:val="009D1D37"/>
    <w:rsid w:val="009D2302"/>
    <w:rsid w:val="009D2642"/>
    <w:rsid w:val="009D26D2"/>
    <w:rsid w:val="009D2E53"/>
    <w:rsid w:val="009D30B2"/>
    <w:rsid w:val="009D32B8"/>
    <w:rsid w:val="009D3481"/>
    <w:rsid w:val="009D3A7F"/>
    <w:rsid w:val="009D3B3F"/>
    <w:rsid w:val="009D40C0"/>
    <w:rsid w:val="009D48D0"/>
    <w:rsid w:val="009D5230"/>
    <w:rsid w:val="009D533E"/>
    <w:rsid w:val="009D5D5B"/>
    <w:rsid w:val="009D6525"/>
    <w:rsid w:val="009D6542"/>
    <w:rsid w:val="009D66E4"/>
    <w:rsid w:val="009D74EC"/>
    <w:rsid w:val="009D74F2"/>
    <w:rsid w:val="009D75DF"/>
    <w:rsid w:val="009D7680"/>
    <w:rsid w:val="009E0A8E"/>
    <w:rsid w:val="009E0D0D"/>
    <w:rsid w:val="009E1303"/>
    <w:rsid w:val="009E1554"/>
    <w:rsid w:val="009E1568"/>
    <w:rsid w:val="009E1770"/>
    <w:rsid w:val="009E2018"/>
    <w:rsid w:val="009E218A"/>
    <w:rsid w:val="009E21FD"/>
    <w:rsid w:val="009E24CB"/>
    <w:rsid w:val="009E2514"/>
    <w:rsid w:val="009E2691"/>
    <w:rsid w:val="009E2843"/>
    <w:rsid w:val="009E35B8"/>
    <w:rsid w:val="009E3A2B"/>
    <w:rsid w:val="009E3ED8"/>
    <w:rsid w:val="009E4007"/>
    <w:rsid w:val="009E411C"/>
    <w:rsid w:val="009E4129"/>
    <w:rsid w:val="009E4557"/>
    <w:rsid w:val="009E473F"/>
    <w:rsid w:val="009E4C69"/>
    <w:rsid w:val="009E510B"/>
    <w:rsid w:val="009E558A"/>
    <w:rsid w:val="009E5A11"/>
    <w:rsid w:val="009E5DD6"/>
    <w:rsid w:val="009E61FE"/>
    <w:rsid w:val="009E6320"/>
    <w:rsid w:val="009E6584"/>
    <w:rsid w:val="009E6803"/>
    <w:rsid w:val="009E77B6"/>
    <w:rsid w:val="009E7817"/>
    <w:rsid w:val="009E7B69"/>
    <w:rsid w:val="009F00CC"/>
    <w:rsid w:val="009F0AE5"/>
    <w:rsid w:val="009F176B"/>
    <w:rsid w:val="009F1824"/>
    <w:rsid w:val="009F1D52"/>
    <w:rsid w:val="009F2813"/>
    <w:rsid w:val="009F2AA3"/>
    <w:rsid w:val="009F2CB9"/>
    <w:rsid w:val="009F38EC"/>
    <w:rsid w:val="009F3F16"/>
    <w:rsid w:val="009F4111"/>
    <w:rsid w:val="009F4A72"/>
    <w:rsid w:val="009F4B27"/>
    <w:rsid w:val="009F4C2A"/>
    <w:rsid w:val="009F50E3"/>
    <w:rsid w:val="009F551B"/>
    <w:rsid w:val="009F5918"/>
    <w:rsid w:val="009F5E91"/>
    <w:rsid w:val="009F61C2"/>
    <w:rsid w:val="009F633D"/>
    <w:rsid w:val="009F6355"/>
    <w:rsid w:val="009F67C0"/>
    <w:rsid w:val="009F7488"/>
    <w:rsid w:val="009F7A7F"/>
    <w:rsid w:val="009F7D36"/>
    <w:rsid w:val="00A004E8"/>
    <w:rsid w:val="00A00AF2"/>
    <w:rsid w:val="00A00BE3"/>
    <w:rsid w:val="00A00E2A"/>
    <w:rsid w:val="00A018C3"/>
    <w:rsid w:val="00A01CA5"/>
    <w:rsid w:val="00A01E12"/>
    <w:rsid w:val="00A0233F"/>
    <w:rsid w:val="00A02A08"/>
    <w:rsid w:val="00A02FB3"/>
    <w:rsid w:val="00A03686"/>
    <w:rsid w:val="00A03935"/>
    <w:rsid w:val="00A03CAA"/>
    <w:rsid w:val="00A03CCE"/>
    <w:rsid w:val="00A03DC1"/>
    <w:rsid w:val="00A0410C"/>
    <w:rsid w:val="00A04470"/>
    <w:rsid w:val="00A0454A"/>
    <w:rsid w:val="00A047F9"/>
    <w:rsid w:val="00A04B2B"/>
    <w:rsid w:val="00A04E69"/>
    <w:rsid w:val="00A04FEE"/>
    <w:rsid w:val="00A05476"/>
    <w:rsid w:val="00A057B9"/>
    <w:rsid w:val="00A05C38"/>
    <w:rsid w:val="00A05D4F"/>
    <w:rsid w:val="00A05F1C"/>
    <w:rsid w:val="00A06BE9"/>
    <w:rsid w:val="00A07534"/>
    <w:rsid w:val="00A0776B"/>
    <w:rsid w:val="00A07F1E"/>
    <w:rsid w:val="00A100EC"/>
    <w:rsid w:val="00A101DE"/>
    <w:rsid w:val="00A10390"/>
    <w:rsid w:val="00A103B8"/>
    <w:rsid w:val="00A10564"/>
    <w:rsid w:val="00A10686"/>
    <w:rsid w:val="00A1080F"/>
    <w:rsid w:val="00A1087A"/>
    <w:rsid w:val="00A1089F"/>
    <w:rsid w:val="00A108F1"/>
    <w:rsid w:val="00A11096"/>
    <w:rsid w:val="00A11191"/>
    <w:rsid w:val="00A11357"/>
    <w:rsid w:val="00A11429"/>
    <w:rsid w:val="00A11566"/>
    <w:rsid w:val="00A11733"/>
    <w:rsid w:val="00A11FCF"/>
    <w:rsid w:val="00A1269D"/>
    <w:rsid w:val="00A12849"/>
    <w:rsid w:val="00A12A82"/>
    <w:rsid w:val="00A130DE"/>
    <w:rsid w:val="00A132BB"/>
    <w:rsid w:val="00A13366"/>
    <w:rsid w:val="00A133B0"/>
    <w:rsid w:val="00A13B68"/>
    <w:rsid w:val="00A13B77"/>
    <w:rsid w:val="00A13B7E"/>
    <w:rsid w:val="00A13B91"/>
    <w:rsid w:val="00A14084"/>
    <w:rsid w:val="00A140F7"/>
    <w:rsid w:val="00A145FD"/>
    <w:rsid w:val="00A1470C"/>
    <w:rsid w:val="00A1484C"/>
    <w:rsid w:val="00A14887"/>
    <w:rsid w:val="00A14AC1"/>
    <w:rsid w:val="00A14AC6"/>
    <w:rsid w:val="00A14B04"/>
    <w:rsid w:val="00A14D0C"/>
    <w:rsid w:val="00A15153"/>
    <w:rsid w:val="00A16365"/>
    <w:rsid w:val="00A164C7"/>
    <w:rsid w:val="00A16695"/>
    <w:rsid w:val="00A166F8"/>
    <w:rsid w:val="00A16E5F"/>
    <w:rsid w:val="00A1702F"/>
    <w:rsid w:val="00A17427"/>
    <w:rsid w:val="00A174F9"/>
    <w:rsid w:val="00A20BCF"/>
    <w:rsid w:val="00A20D62"/>
    <w:rsid w:val="00A20F0C"/>
    <w:rsid w:val="00A21055"/>
    <w:rsid w:val="00A21445"/>
    <w:rsid w:val="00A21569"/>
    <w:rsid w:val="00A21900"/>
    <w:rsid w:val="00A21BA9"/>
    <w:rsid w:val="00A22084"/>
    <w:rsid w:val="00A22195"/>
    <w:rsid w:val="00A22540"/>
    <w:rsid w:val="00A225CE"/>
    <w:rsid w:val="00A227B6"/>
    <w:rsid w:val="00A22862"/>
    <w:rsid w:val="00A2344D"/>
    <w:rsid w:val="00A2344E"/>
    <w:rsid w:val="00A238F2"/>
    <w:rsid w:val="00A24149"/>
    <w:rsid w:val="00A24501"/>
    <w:rsid w:val="00A2476E"/>
    <w:rsid w:val="00A24845"/>
    <w:rsid w:val="00A24CAE"/>
    <w:rsid w:val="00A25279"/>
    <w:rsid w:val="00A252B2"/>
    <w:rsid w:val="00A25D3A"/>
    <w:rsid w:val="00A26327"/>
    <w:rsid w:val="00A26789"/>
    <w:rsid w:val="00A26790"/>
    <w:rsid w:val="00A269C5"/>
    <w:rsid w:val="00A26C8C"/>
    <w:rsid w:val="00A26F0B"/>
    <w:rsid w:val="00A27036"/>
    <w:rsid w:val="00A27220"/>
    <w:rsid w:val="00A2755A"/>
    <w:rsid w:val="00A27670"/>
    <w:rsid w:val="00A27881"/>
    <w:rsid w:val="00A27D15"/>
    <w:rsid w:val="00A30356"/>
    <w:rsid w:val="00A303C6"/>
    <w:rsid w:val="00A30729"/>
    <w:rsid w:val="00A307E0"/>
    <w:rsid w:val="00A30A16"/>
    <w:rsid w:val="00A30D99"/>
    <w:rsid w:val="00A30E68"/>
    <w:rsid w:val="00A318C5"/>
    <w:rsid w:val="00A32868"/>
    <w:rsid w:val="00A32951"/>
    <w:rsid w:val="00A32A20"/>
    <w:rsid w:val="00A32D42"/>
    <w:rsid w:val="00A3306B"/>
    <w:rsid w:val="00A33544"/>
    <w:rsid w:val="00A336CD"/>
    <w:rsid w:val="00A33AC9"/>
    <w:rsid w:val="00A33D4D"/>
    <w:rsid w:val="00A33EF4"/>
    <w:rsid w:val="00A3423B"/>
    <w:rsid w:val="00A34541"/>
    <w:rsid w:val="00A3462C"/>
    <w:rsid w:val="00A34EB6"/>
    <w:rsid w:val="00A34EBB"/>
    <w:rsid w:val="00A35150"/>
    <w:rsid w:val="00A35195"/>
    <w:rsid w:val="00A35250"/>
    <w:rsid w:val="00A358D8"/>
    <w:rsid w:val="00A35E4B"/>
    <w:rsid w:val="00A36057"/>
    <w:rsid w:val="00A360EE"/>
    <w:rsid w:val="00A3616D"/>
    <w:rsid w:val="00A36BE1"/>
    <w:rsid w:val="00A36C4B"/>
    <w:rsid w:val="00A36EFB"/>
    <w:rsid w:val="00A37CAA"/>
    <w:rsid w:val="00A37DE8"/>
    <w:rsid w:val="00A37F24"/>
    <w:rsid w:val="00A400E6"/>
    <w:rsid w:val="00A402C3"/>
    <w:rsid w:val="00A4081E"/>
    <w:rsid w:val="00A40D33"/>
    <w:rsid w:val="00A40F39"/>
    <w:rsid w:val="00A4132F"/>
    <w:rsid w:val="00A4136A"/>
    <w:rsid w:val="00A418FA"/>
    <w:rsid w:val="00A41A16"/>
    <w:rsid w:val="00A41C35"/>
    <w:rsid w:val="00A42808"/>
    <w:rsid w:val="00A42ED0"/>
    <w:rsid w:val="00A4311A"/>
    <w:rsid w:val="00A43225"/>
    <w:rsid w:val="00A4386D"/>
    <w:rsid w:val="00A43C4E"/>
    <w:rsid w:val="00A43DC6"/>
    <w:rsid w:val="00A442D9"/>
    <w:rsid w:val="00A44AFD"/>
    <w:rsid w:val="00A44BA7"/>
    <w:rsid w:val="00A4537D"/>
    <w:rsid w:val="00A453BB"/>
    <w:rsid w:val="00A45E19"/>
    <w:rsid w:val="00A4627B"/>
    <w:rsid w:val="00A463B5"/>
    <w:rsid w:val="00A46F13"/>
    <w:rsid w:val="00A46F60"/>
    <w:rsid w:val="00A46F9F"/>
    <w:rsid w:val="00A46FB0"/>
    <w:rsid w:val="00A4744C"/>
    <w:rsid w:val="00A47477"/>
    <w:rsid w:val="00A478DF"/>
    <w:rsid w:val="00A47A09"/>
    <w:rsid w:val="00A47CE5"/>
    <w:rsid w:val="00A47FE4"/>
    <w:rsid w:val="00A50139"/>
    <w:rsid w:val="00A50408"/>
    <w:rsid w:val="00A5040F"/>
    <w:rsid w:val="00A504EF"/>
    <w:rsid w:val="00A50545"/>
    <w:rsid w:val="00A50701"/>
    <w:rsid w:val="00A50BC5"/>
    <w:rsid w:val="00A5144B"/>
    <w:rsid w:val="00A516AB"/>
    <w:rsid w:val="00A5188D"/>
    <w:rsid w:val="00A52283"/>
    <w:rsid w:val="00A52947"/>
    <w:rsid w:val="00A52A70"/>
    <w:rsid w:val="00A52B4E"/>
    <w:rsid w:val="00A52B58"/>
    <w:rsid w:val="00A54A9D"/>
    <w:rsid w:val="00A54D7E"/>
    <w:rsid w:val="00A54E05"/>
    <w:rsid w:val="00A55529"/>
    <w:rsid w:val="00A559F6"/>
    <w:rsid w:val="00A55CCB"/>
    <w:rsid w:val="00A55D5E"/>
    <w:rsid w:val="00A5606E"/>
    <w:rsid w:val="00A562A2"/>
    <w:rsid w:val="00A565DA"/>
    <w:rsid w:val="00A56B7F"/>
    <w:rsid w:val="00A56F39"/>
    <w:rsid w:val="00A570EF"/>
    <w:rsid w:val="00A57732"/>
    <w:rsid w:val="00A5791C"/>
    <w:rsid w:val="00A602FD"/>
    <w:rsid w:val="00A6088D"/>
    <w:rsid w:val="00A60B8E"/>
    <w:rsid w:val="00A61268"/>
    <w:rsid w:val="00A61462"/>
    <w:rsid w:val="00A616C4"/>
    <w:rsid w:val="00A61A4A"/>
    <w:rsid w:val="00A630E1"/>
    <w:rsid w:val="00A63703"/>
    <w:rsid w:val="00A63F5B"/>
    <w:rsid w:val="00A643E4"/>
    <w:rsid w:val="00A648D7"/>
    <w:rsid w:val="00A64B9D"/>
    <w:rsid w:val="00A64C52"/>
    <w:rsid w:val="00A6545B"/>
    <w:rsid w:val="00A6557D"/>
    <w:rsid w:val="00A65B03"/>
    <w:rsid w:val="00A661D7"/>
    <w:rsid w:val="00A664E5"/>
    <w:rsid w:val="00A666D3"/>
    <w:rsid w:val="00A66EF0"/>
    <w:rsid w:val="00A6730A"/>
    <w:rsid w:val="00A67394"/>
    <w:rsid w:val="00A678DE"/>
    <w:rsid w:val="00A67A64"/>
    <w:rsid w:val="00A71690"/>
    <w:rsid w:val="00A71803"/>
    <w:rsid w:val="00A72143"/>
    <w:rsid w:val="00A72434"/>
    <w:rsid w:val="00A7245F"/>
    <w:rsid w:val="00A72528"/>
    <w:rsid w:val="00A72585"/>
    <w:rsid w:val="00A7265F"/>
    <w:rsid w:val="00A727A8"/>
    <w:rsid w:val="00A72F74"/>
    <w:rsid w:val="00A733DF"/>
    <w:rsid w:val="00A73CDF"/>
    <w:rsid w:val="00A74401"/>
    <w:rsid w:val="00A74796"/>
    <w:rsid w:val="00A747AD"/>
    <w:rsid w:val="00A74D43"/>
    <w:rsid w:val="00A750AC"/>
    <w:rsid w:val="00A7520A"/>
    <w:rsid w:val="00A754DF"/>
    <w:rsid w:val="00A75734"/>
    <w:rsid w:val="00A759FE"/>
    <w:rsid w:val="00A75D9B"/>
    <w:rsid w:val="00A7636D"/>
    <w:rsid w:val="00A76910"/>
    <w:rsid w:val="00A76E9A"/>
    <w:rsid w:val="00A7794C"/>
    <w:rsid w:val="00A779B6"/>
    <w:rsid w:val="00A77A56"/>
    <w:rsid w:val="00A77AA5"/>
    <w:rsid w:val="00A77FAC"/>
    <w:rsid w:val="00A8006F"/>
    <w:rsid w:val="00A8008B"/>
    <w:rsid w:val="00A80449"/>
    <w:rsid w:val="00A804D5"/>
    <w:rsid w:val="00A809DA"/>
    <w:rsid w:val="00A80DC4"/>
    <w:rsid w:val="00A813C4"/>
    <w:rsid w:val="00A822E9"/>
    <w:rsid w:val="00A8271E"/>
    <w:rsid w:val="00A82926"/>
    <w:rsid w:val="00A82C7E"/>
    <w:rsid w:val="00A8324F"/>
    <w:rsid w:val="00A8367F"/>
    <w:rsid w:val="00A83D2E"/>
    <w:rsid w:val="00A8446A"/>
    <w:rsid w:val="00A84FD5"/>
    <w:rsid w:val="00A85CE8"/>
    <w:rsid w:val="00A85E3C"/>
    <w:rsid w:val="00A8622D"/>
    <w:rsid w:val="00A8670B"/>
    <w:rsid w:val="00A8682B"/>
    <w:rsid w:val="00A86A65"/>
    <w:rsid w:val="00A86BC7"/>
    <w:rsid w:val="00A8721F"/>
    <w:rsid w:val="00A87529"/>
    <w:rsid w:val="00A875FF"/>
    <w:rsid w:val="00A87F32"/>
    <w:rsid w:val="00A90145"/>
    <w:rsid w:val="00A901BC"/>
    <w:rsid w:val="00A902EE"/>
    <w:rsid w:val="00A903F8"/>
    <w:rsid w:val="00A90E47"/>
    <w:rsid w:val="00A90F3B"/>
    <w:rsid w:val="00A91122"/>
    <w:rsid w:val="00A912AC"/>
    <w:rsid w:val="00A91C70"/>
    <w:rsid w:val="00A920C0"/>
    <w:rsid w:val="00A922E7"/>
    <w:rsid w:val="00A923F0"/>
    <w:rsid w:val="00A924C8"/>
    <w:rsid w:val="00A92936"/>
    <w:rsid w:val="00A92B94"/>
    <w:rsid w:val="00A93209"/>
    <w:rsid w:val="00A93990"/>
    <w:rsid w:val="00A93B76"/>
    <w:rsid w:val="00A93E4E"/>
    <w:rsid w:val="00A94132"/>
    <w:rsid w:val="00A945A9"/>
    <w:rsid w:val="00A94693"/>
    <w:rsid w:val="00A94D70"/>
    <w:rsid w:val="00A94EFC"/>
    <w:rsid w:val="00A950BA"/>
    <w:rsid w:val="00A9537D"/>
    <w:rsid w:val="00A95455"/>
    <w:rsid w:val="00A9547F"/>
    <w:rsid w:val="00A9567E"/>
    <w:rsid w:val="00A95A4A"/>
    <w:rsid w:val="00A95CB3"/>
    <w:rsid w:val="00A95DDD"/>
    <w:rsid w:val="00A95E12"/>
    <w:rsid w:val="00A95F27"/>
    <w:rsid w:val="00A95FED"/>
    <w:rsid w:val="00A965B4"/>
    <w:rsid w:val="00A96641"/>
    <w:rsid w:val="00A96735"/>
    <w:rsid w:val="00A96939"/>
    <w:rsid w:val="00A96B82"/>
    <w:rsid w:val="00A96EA2"/>
    <w:rsid w:val="00A96FFF"/>
    <w:rsid w:val="00A97117"/>
    <w:rsid w:val="00A972C2"/>
    <w:rsid w:val="00A9735B"/>
    <w:rsid w:val="00A9788F"/>
    <w:rsid w:val="00A979AE"/>
    <w:rsid w:val="00A97BA5"/>
    <w:rsid w:val="00AA014D"/>
    <w:rsid w:val="00AA08B4"/>
    <w:rsid w:val="00AA0D25"/>
    <w:rsid w:val="00AA0F3D"/>
    <w:rsid w:val="00AA1E4C"/>
    <w:rsid w:val="00AA1FA7"/>
    <w:rsid w:val="00AA2700"/>
    <w:rsid w:val="00AA29F0"/>
    <w:rsid w:val="00AA2BBF"/>
    <w:rsid w:val="00AA2FFE"/>
    <w:rsid w:val="00AA3787"/>
    <w:rsid w:val="00AA45EC"/>
    <w:rsid w:val="00AA5075"/>
    <w:rsid w:val="00AA5701"/>
    <w:rsid w:val="00AA5755"/>
    <w:rsid w:val="00AA5806"/>
    <w:rsid w:val="00AA5927"/>
    <w:rsid w:val="00AA59B6"/>
    <w:rsid w:val="00AA5ABE"/>
    <w:rsid w:val="00AA5EF8"/>
    <w:rsid w:val="00AA6420"/>
    <w:rsid w:val="00AA653D"/>
    <w:rsid w:val="00AA6783"/>
    <w:rsid w:val="00AA6DDA"/>
    <w:rsid w:val="00AA73F6"/>
    <w:rsid w:val="00AA760E"/>
    <w:rsid w:val="00AA76FC"/>
    <w:rsid w:val="00AA7A5B"/>
    <w:rsid w:val="00AA7B21"/>
    <w:rsid w:val="00AA7C14"/>
    <w:rsid w:val="00AA7C2C"/>
    <w:rsid w:val="00AA7FDB"/>
    <w:rsid w:val="00AB063A"/>
    <w:rsid w:val="00AB0A44"/>
    <w:rsid w:val="00AB109F"/>
    <w:rsid w:val="00AB18D0"/>
    <w:rsid w:val="00AB1CF1"/>
    <w:rsid w:val="00AB20A2"/>
    <w:rsid w:val="00AB20DB"/>
    <w:rsid w:val="00AB30EC"/>
    <w:rsid w:val="00AB332A"/>
    <w:rsid w:val="00AB365C"/>
    <w:rsid w:val="00AB393E"/>
    <w:rsid w:val="00AB3963"/>
    <w:rsid w:val="00AB4550"/>
    <w:rsid w:val="00AB4568"/>
    <w:rsid w:val="00AB4918"/>
    <w:rsid w:val="00AB55FD"/>
    <w:rsid w:val="00AB5891"/>
    <w:rsid w:val="00AB58AD"/>
    <w:rsid w:val="00AB60BB"/>
    <w:rsid w:val="00AB63E2"/>
    <w:rsid w:val="00AB6482"/>
    <w:rsid w:val="00AB6875"/>
    <w:rsid w:val="00AB6E7B"/>
    <w:rsid w:val="00AB6F58"/>
    <w:rsid w:val="00AB7018"/>
    <w:rsid w:val="00AB71EF"/>
    <w:rsid w:val="00AB78B7"/>
    <w:rsid w:val="00AC03F1"/>
    <w:rsid w:val="00AC07DE"/>
    <w:rsid w:val="00AC093B"/>
    <w:rsid w:val="00AC0C14"/>
    <w:rsid w:val="00AC1011"/>
    <w:rsid w:val="00AC123D"/>
    <w:rsid w:val="00AC15AE"/>
    <w:rsid w:val="00AC1994"/>
    <w:rsid w:val="00AC1F8C"/>
    <w:rsid w:val="00AC1FA6"/>
    <w:rsid w:val="00AC2435"/>
    <w:rsid w:val="00AC2715"/>
    <w:rsid w:val="00AC2775"/>
    <w:rsid w:val="00AC2B3C"/>
    <w:rsid w:val="00AC2B6F"/>
    <w:rsid w:val="00AC3369"/>
    <w:rsid w:val="00AC34CF"/>
    <w:rsid w:val="00AC35CF"/>
    <w:rsid w:val="00AC37A3"/>
    <w:rsid w:val="00AC3F12"/>
    <w:rsid w:val="00AC446B"/>
    <w:rsid w:val="00AC4550"/>
    <w:rsid w:val="00AC46FD"/>
    <w:rsid w:val="00AC487D"/>
    <w:rsid w:val="00AC48E5"/>
    <w:rsid w:val="00AC4920"/>
    <w:rsid w:val="00AC4DC0"/>
    <w:rsid w:val="00AC512C"/>
    <w:rsid w:val="00AC519B"/>
    <w:rsid w:val="00AC5A32"/>
    <w:rsid w:val="00AC5F5B"/>
    <w:rsid w:val="00AC63FC"/>
    <w:rsid w:val="00AC67F0"/>
    <w:rsid w:val="00AC69EE"/>
    <w:rsid w:val="00AC6E11"/>
    <w:rsid w:val="00AC737E"/>
    <w:rsid w:val="00AC786B"/>
    <w:rsid w:val="00AD001C"/>
    <w:rsid w:val="00AD04A4"/>
    <w:rsid w:val="00AD0746"/>
    <w:rsid w:val="00AD0B65"/>
    <w:rsid w:val="00AD0ED1"/>
    <w:rsid w:val="00AD169C"/>
    <w:rsid w:val="00AD1A48"/>
    <w:rsid w:val="00AD1E63"/>
    <w:rsid w:val="00AD344D"/>
    <w:rsid w:val="00AD43F4"/>
    <w:rsid w:val="00AD4CAF"/>
    <w:rsid w:val="00AD4DB5"/>
    <w:rsid w:val="00AD4F61"/>
    <w:rsid w:val="00AD5106"/>
    <w:rsid w:val="00AD5316"/>
    <w:rsid w:val="00AD5EDD"/>
    <w:rsid w:val="00AD6198"/>
    <w:rsid w:val="00AD6306"/>
    <w:rsid w:val="00AD6663"/>
    <w:rsid w:val="00AD6CD0"/>
    <w:rsid w:val="00AD74A1"/>
    <w:rsid w:val="00AD7929"/>
    <w:rsid w:val="00AD7D8A"/>
    <w:rsid w:val="00AE0108"/>
    <w:rsid w:val="00AE034C"/>
    <w:rsid w:val="00AE03C9"/>
    <w:rsid w:val="00AE0579"/>
    <w:rsid w:val="00AE1185"/>
    <w:rsid w:val="00AE137A"/>
    <w:rsid w:val="00AE1DD8"/>
    <w:rsid w:val="00AE1EF5"/>
    <w:rsid w:val="00AE2857"/>
    <w:rsid w:val="00AE2DB5"/>
    <w:rsid w:val="00AE2F2D"/>
    <w:rsid w:val="00AE31B4"/>
    <w:rsid w:val="00AE3239"/>
    <w:rsid w:val="00AE328F"/>
    <w:rsid w:val="00AE3582"/>
    <w:rsid w:val="00AE3AB0"/>
    <w:rsid w:val="00AE3AC1"/>
    <w:rsid w:val="00AE3C64"/>
    <w:rsid w:val="00AE418A"/>
    <w:rsid w:val="00AE432F"/>
    <w:rsid w:val="00AE4379"/>
    <w:rsid w:val="00AE459E"/>
    <w:rsid w:val="00AE503C"/>
    <w:rsid w:val="00AE5256"/>
    <w:rsid w:val="00AE54C4"/>
    <w:rsid w:val="00AE5646"/>
    <w:rsid w:val="00AE5BA6"/>
    <w:rsid w:val="00AE5E42"/>
    <w:rsid w:val="00AE6520"/>
    <w:rsid w:val="00AE6528"/>
    <w:rsid w:val="00AE6C4F"/>
    <w:rsid w:val="00AE7366"/>
    <w:rsid w:val="00AE75AE"/>
    <w:rsid w:val="00AE75CC"/>
    <w:rsid w:val="00AE7BCE"/>
    <w:rsid w:val="00AF00D3"/>
    <w:rsid w:val="00AF0DA9"/>
    <w:rsid w:val="00AF18BC"/>
    <w:rsid w:val="00AF1F33"/>
    <w:rsid w:val="00AF2364"/>
    <w:rsid w:val="00AF2C1B"/>
    <w:rsid w:val="00AF2FEB"/>
    <w:rsid w:val="00AF3323"/>
    <w:rsid w:val="00AF3892"/>
    <w:rsid w:val="00AF4A10"/>
    <w:rsid w:val="00AF4AC7"/>
    <w:rsid w:val="00AF5A64"/>
    <w:rsid w:val="00AF5C50"/>
    <w:rsid w:val="00AF6423"/>
    <w:rsid w:val="00AF698F"/>
    <w:rsid w:val="00AF6FA0"/>
    <w:rsid w:val="00AF70DA"/>
    <w:rsid w:val="00AF75E5"/>
    <w:rsid w:val="00AF79C7"/>
    <w:rsid w:val="00AF7C43"/>
    <w:rsid w:val="00AF7CA6"/>
    <w:rsid w:val="00B0084E"/>
    <w:rsid w:val="00B00B08"/>
    <w:rsid w:val="00B00C71"/>
    <w:rsid w:val="00B013AE"/>
    <w:rsid w:val="00B01E2F"/>
    <w:rsid w:val="00B021DD"/>
    <w:rsid w:val="00B02666"/>
    <w:rsid w:val="00B03041"/>
    <w:rsid w:val="00B033A4"/>
    <w:rsid w:val="00B036AC"/>
    <w:rsid w:val="00B037C9"/>
    <w:rsid w:val="00B0398F"/>
    <w:rsid w:val="00B03A2E"/>
    <w:rsid w:val="00B03C4D"/>
    <w:rsid w:val="00B03FAD"/>
    <w:rsid w:val="00B04E5C"/>
    <w:rsid w:val="00B04E99"/>
    <w:rsid w:val="00B054E0"/>
    <w:rsid w:val="00B05691"/>
    <w:rsid w:val="00B058F5"/>
    <w:rsid w:val="00B0597C"/>
    <w:rsid w:val="00B0609D"/>
    <w:rsid w:val="00B062C7"/>
    <w:rsid w:val="00B06301"/>
    <w:rsid w:val="00B06F29"/>
    <w:rsid w:val="00B073E8"/>
    <w:rsid w:val="00B075D3"/>
    <w:rsid w:val="00B077A0"/>
    <w:rsid w:val="00B07977"/>
    <w:rsid w:val="00B07B28"/>
    <w:rsid w:val="00B07E40"/>
    <w:rsid w:val="00B102AC"/>
    <w:rsid w:val="00B10730"/>
    <w:rsid w:val="00B10794"/>
    <w:rsid w:val="00B108E6"/>
    <w:rsid w:val="00B11DCE"/>
    <w:rsid w:val="00B1217E"/>
    <w:rsid w:val="00B1218C"/>
    <w:rsid w:val="00B128CF"/>
    <w:rsid w:val="00B12C13"/>
    <w:rsid w:val="00B12CCB"/>
    <w:rsid w:val="00B13763"/>
    <w:rsid w:val="00B13DE8"/>
    <w:rsid w:val="00B14090"/>
    <w:rsid w:val="00B14339"/>
    <w:rsid w:val="00B1453D"/>
    <w:rsid w:val="00B145BF"/>
    <w:rsid w:val="00B14B7F"/>
    <w:rsid w:val="00B14C12"/>
    <w:rsid w:val="00B14C96"/>
    <w:rsid w:val="00B14FA9"/>
    <w:rsid w:val="00B158D9"/>
    <w:rsid w:val="00B161D4"/>
    <w:rsid w:val="00B16309"/>
    <w:rsid w:val="00B16320"/>
    <w:rsid w:val="00B16514"/>
    <w:rsid w:val="00B16678"/>
    <w:rsid w:val="00B167AB"/>
    <w:rsid w:val="00B17203"/>
    <w:rsid w:val="00B17383"/>
    <w:rsid w:val="00B1790D"/>
    <w:rsid w:val="00B17C52"/>
    <w:rsid w:val="00B2002B"/>
    <w:rsid w:val="00B20808"/>
    <w:rsid w:val="00B20989"/>
    <w:rsid w:val="00B20E31"/>
    <w:rsid w:val="00B20F69"/>
    <w:rsid w:val="00B20FC0"/>
    <w:rsid w:val="00B21113"/>
    <w:rsid w:val="00B212B4"/>
    <w:rsid w:val="00B216D8"/>
    <w:rsid w:val="00B21AEA"/>
    <w:rsid w:val="00B21C33"/>
    <w:rsid w:val="00B21F6E"/>
    <w:rsid w:val="00B22C61"/>
    <w:rsid w:val="00B22FAB"/>
    <w:rsid w:val="00B23119"/>
    <w:rsid w:val="00B23373"/>
    <w:rsid w:val="00B2377C"/>
    <w:rsid w:val="00B237D9"/>
    <w:rsid w:val="00B2397B"/>
    <w:rsid w:val="00B23982"/>
    <w:rsid w:val="00B23B6B"/>
    <w:rsid w:val="00B23F77"/>
    <w:rsid w:val="00B243A1"/>
    <w:rsid w:val="00B24B93"/>
    <w:rsid w:val="00B24D66"/>
    <w:rsid w:val="00B250DA"/>
    <w:rsid w:val="00B259D5"/>
    <w:rsid w:val="00B25D01"/>
    <w:rsid w:val="00B26A8E"/>
    <w:rsid w:val="00B26D53"/>
    <w:rsid w:val="00B26DF2"/>
    <w:rsid w:val="00B26F40"/>
    <w:rsid w:val="00B2733B"/>
    <w:rsid w:val="00B278A6"/>
    <w:rsid w:val="00B27E38"/>
    <w:rsid w:val="00B30CA4"/>
    <w:rsid w:val="00B31472"/>
    <w:rsid w:val="00B315DD"/>
    <w:rsid w:val="00B3160A"/>
    <w:rsid w:val="00B31FB1"/>
    <w:rsid w:val="00B324F9"/>
    <w:rsid w:val="00B33251"/>
    <w:rsid w:val="00B332EA"/>
    <w:rsid w:val="00B33E3E"/>
    <w:rsid w:val="00B34589"/>
    <w:rsid w:val="00B34ACE"/>
    <w:rsid w:val="00B357EC"/>
    <w:rsid w:val="00B35A2D"/>
    <w:rsid w:val="00B35EF0"/>
    <w:rsid w:val="00B367A0"/>
    <w:rsid w:val="00B3696D"/>
    <w:rsid w:val="00B36976"/>
    <w:rsid w:val="00B369C1"/>
    <w:rsid w:val="00B36A04"/>
    <w:rsid w:val="00B36E90"/>
    <w:rsid w:val="00B36F21"/>
    <w:rsid w:val="00B372E3"/>
    <w:rsid w:val="00B37908"/>
    <w:rsid w:val="00B37953"/>
    <w:rsid w:val="00B37A4B"/>
    <w:rsid w:val="00B37F95"/>
    <w:rsid w:val="00B40AC8"/>
    <w:rsid w:val="00B40C47"/>
    <w:rsid w:val="00B40D30"/>
    <w:rsid w:val="00B40D45"/>
    <w:rsid w:val="00B411C6"/>
    <w:rsid w:val="00B41745"/>
    <w:rsid w:val="00B41760"/>
    <w:rsid w:val="00B41772"/>
    <w:rsid w:val="00B41A57"/>
    <w:rsid w:val="00B41EFC"/>
    <w:rsid w:val="00B41EFE"/>
    <w:rsid w:val="00B422B5"/>
    <w:rsid w:val="00B42495"/>
    <w:rsid w:val="00B42764"/>
    <w:rsid w:val="00B43720"/>
    <w:rsid w:val="00B43A8C"/>
    <w:rsid w:val="00B43B98"/>
    <w:rsid w:val="00B43C85"/>
    <w:rsid w:val="00B43D15"/>
    <w:rsid w:val="00B43E3A"/>
    <w:rsid w:val="00B443B8"/>
    <w:rsid w:val="00B44568"/>
    <w:rsid w:val="00B44772"/>
    <w:rsid w:val="00B44A34"/>
    <w:rsid w:val="00B4555E"/>
    <w:rsid w:val="00B45624"/>
    <w:rsid w:val="00B45C4C"/>
    <w:rsid w:val="00B45FE4"/>
    <w:rsid w:val="00B461F6"/>
    <w:rsid w:val="00B462C5"/>
    <w:rsid w:val="00B463A7"/>
    <w:rsid w:val="00B46565"/>
    <w:rsid w:val="00B46815"/>
    <w:rsid w:val="00B46A43"/>
    <w:rsid w:val="00B46B69"/>
    <w:rsid w:val="00B46BC5"/>
    <w:rsid w:val="00B470D8"/>
    <w:rsid w:val="00B47681"/>
    <w:rsid w:val="00B47859"/>
    <w:rsid w:val="00B47B43"/>
    <w:rsid w:val="00B47DE9"/>
    <w:rsid w:val="00B5099E"/>
    <w:rsid w:val="00B50B81"/>
    <w:rsid w:val="00B50D32"/>
    <w:rsid w:val="00B51168"/>
    <w:rsid w:val="00B516A3"/>
    <w:rsid w:val="00B51905"/>
    <w:rsid w:val="00B51B7C"/>
    <w:rsid w:val="00B52110"/>
    <w:rsid w:val="00B524CA"/>
    <w:rsid w:val="00B5257D"/>
    <w:rsid w:val="00B52B44"/>
    <w:rsid w:val="00B52D28"/>
    <w:rsid w:val="00B531FC"/>
    <w:rsid w:val="00B53464"/>
    <w:rsid w:val="00B53493"/>
    <w:rsid w:val="00B5373A"/>
    <w:rsid w:val="00B538F5"/>
    <w:rsid w:val="00B539E9"/>
    <w:rsid w:val="00B53FFB"/>
    <w:rsid w:val="00B54387"/>
    <w:rsid w:val="00B5464F"/>
    <w:rsid w:val="00B54D95"/>
    <w:rsid w:val="00B5543D"/>
    <w:rsid w:val="00B55999"/>
    <w:rsid w:val="00B56D2C"/>
    <w:rsid w:val="00B57479"/>
    <w:rsid w:val="00B574D7"/>
    <w:rsid w:val="00B575B1"/>
    <w:rsid w:val="00B57758"/>
    <w:rsid w:val="00B57BDA"/>
    <w:rsid w:val="00B57CEA"/>
    <w:rsid w:val="00B57D3C"/>
    <w:rsid w:val="00B606B3"/>
    <w:rsid w:val="00B60738"/>
    <w:rsid w:val="00B6079E"/>
    <w:rsid w:val="00B607A0"/>
    <w:rsid w:val="00B609B2"/>
    <w:rsid w:val="00B60A3E"/>
    <w:rsid w:val="00B60CDA"/>
    <w:rsid w:val="00B61264"/>
    <w:rsid w:val="00B61AE2"/>
    <w:rsid w:val="00B61E2C"/>
    <w:rsid w:val="00B6242D"/>
    <w:rsid w:val="00B626A2"/>
    <w:rsid w:val="00B628D3"/>
    <w:rsid w:val="00B629D0"/>
    <w:rsid w:val="00B62D4A"/>
    <w:rsid w:val="00B62F22"/>
    <w:rsid w:val="00B6316D"/>
    <w:rsid w:val="00B63E0A"/>
    <w:rsid w:val="00B63F01"/>
    <w:rsid w:val="00B649B4"/>
    <w:rsid w:val="00B64F21"/>
    <w:rsid w:val="00B6512B"/>
    <w:rsid w:val="00B6529C"/>
    <w:rsid w:val="00B6549E"/>
    <w:rsid w:val="00B65BEE"/>
    <w:rsid w:val="00B65D89"/>
    <w:rsid w:val="00B6609C"/>
    <w:rsid w:val="00B67213"/>
    <w:rsid w:val="00B67A1D"/>
    <w:rsid w:val="00B67C5E"/>
    <w:rsid w:val="00B7018D"/>
    <w:rsid w:val="00B7072B"/>
    <w:rsid w:val="00B7084B"/>
    <w:rsid w:val="00B711A8"/>
    <w:rsid w:val="00B713A9"/>
    <w:rsid w:val="00B72058"/>
    <w:rsid w:val="00B73041"/>
    <w:rsid w:val="00B7313F"/>
    <w:rsid w:val="00B7392B"/>
    <w:rsid w:val="00B73992"/>
    <w:rsid w:val="00B73D4A"/>
    <w:rsid w:val="00B7420D"/>
    <w:rsid w:val="00B746EF"/>
    <w:rsid w:val="00B74AE4"/>
    <w:rsid w:val="00B74B32"/>
    <w:rsid w:val="00B74C15"/>
    <w:rsid w:val="00B758F8"/>
    <w:rsid w:val="00B75A76"/>
    <w:rsid w:val="00B75A9A"/>
    <w:rsid w:val="00B75CE7"/>
    <w:rsid w:val="00B75D7E"/>
    <w:rsid w:val="00B7691C"/>
    <w:rsid w:val="00B7695F"/>
    <w:rsid w:val="00B76C18"/>
    <w:rsid w:val="00B76C93"/>
    <w:rsid w:val="00B76D68"/>
    <w:rsid w:val="00B774C3"/>
    <w:rsid w:val="00B77B9B"/>
    <w:rsid w:val="00B77FCD"/>
    <w:rsid w:val="00B800FC"/>
    <w:rsid w:val="00B801B8"/>
    <w:rsid w:val="00B8049B"/>
    <w:rsid w:val="00B8088D"/>
    <w:rsid w:val="00B80D1C"/>
    <w:rsid w:val="00B8114E"/>
    <w:rsid w:val="00B8135D"/>
    <w:rsid w:val="00B81373"/>
    <w:rsid w:val="00B814D8"/>
    <w:rsid w:val="00B81A36"/>
    <w:rsid w:val="00B81D90"/>
    <w:rsid w:val="00B82A0B"/>
    <w:rsid w:val="00B82AA0"/>
    <w:rsid w:val="00B82B4C"/>
    <w:rsid w:val="00B82BD3"/>
    <w:rsid w:val="00B82E80"/>
    <w:rsid w:val="00B83025"/>
    <w:rsid w:val="00B836BA"/>
    <w:rsid w:val="00B83F49"/>
    <w:rsid w:val="00B842EA"/>
    <w:rsid w:val="00B84E3C"/>
    <w:rsid w:val="00B84F22"/>
    <w:rsid w:val="00B85068"/>
    <w:rsid w:val="00B85100"/>
    <w:rsid w:val="00B8518A"/>
    <w:rsid w:val="00B855CB"/>
    <w:rsid w:val="00B85938"/>
    <w:rsid w:val="00B85BC3"/>
    <w:rsid w:val="00B85D3B"/>
    <w:rsid w:val="00B86034"/>
    <w:rsid w:val="00B860D7"/>
    <w:rsid w:val="00B86239"/>
    <w:rsid w:val="00B86358"/>
    <w:rsid w:val="00B8659A"/>
    <w:rsid w:val="00B86C30"/>
    <w:rsid w:val="00B86CFC"/>
    <w:rsid w:val="00B86D61"/>
    <w:rsid w:val="00B86D7D"/>
    <w:rsid w:val="00B8757A"/>
    <w:rsid w:val="00B875D3"/>
    <w:rsid w:val="00B87923"/>
    <w:rsid w:val="00B87A8E"/>
    <w:rsid w:val="00B87C24"/>
    <w:rsid w:val="00B9005A"/>
    <w:rsid w:val="00B90789"/>
    <w:rsid w:val="00B9119D"/>
    <w:rsid w:val="00B91800"/>
    <w:rsid w:val="00B91C26"/>
    <w:rsid w:val="00B92279"/>
    <w:rsid w:val="00B92BE3"/>
    <w:rsid w:val="00B9311A"/>
    <w:rsid w:val="00B93FF2"/>
    <w:rsid w:val="00B9413D"/>
    <w:rsid w:val="00B946D3"/>
    <w:rsid w:val="00B94C57"/>
    <w:rsid w:val="00B94CD4"/>
    <w:rsid w:val="00B94E4C"/>
    <w:rsid w:val="00B94F58"/>
    <w:rsid w:val="00B9537F"/>
    <w:rsid w:val="00B954B1"/>
    <w:rsid w:val="00B9558C"/>
    <w:rsid w:val="00B95641"/>
    <w:rsid w:val="00B958CE"/>
    <w:rsid w:val="00B95B65"/>
    <w:rsid w:val="00B95C0A"/>
    <w:rsid w:val="00B95CD0"/>
    <w:rsid w:val="00B95EAD"/>
    <w:rsid w:val="00B965E2"/>
    <w:rsid w:val="00B96A8D"/>
    <w:rsid w:val="00B96C4F"/>
    <w:rsid w:val="00B96CE9"/>
    <w:rsid w:val="00B96D69"/>
    <w:rsid w:val="00B9703F"/>
    <w:rsid w:val="00B9706E"/>
    <w:rsid w:val="00B970BE"/>
    <w:rsid w:val="00B97E72"/>
    <w:rsid w:val="00BA00D7"/>
    <w:rsid w:val="00BA0604"/>
    <w:rsid w:val="00BA0686"/>
    <w:rsid w:val="00BA0776"/>
    <w:rsid w:val="00BA113E"/>
    <w:rsid w:val="00BA1D62"/>
    <w:rsid w:val="00BA1F14"/>
    <w:rsid w:val="00BA258C"/>
    <w:rsid w:val="00BA2625"/>
    <w:rsid w:val="00BA2973"/>
    <w:rsid w:val="00BA30B5"/>
    <w:rsid w:val="00BA3BA6"/>
    <w:rsid w:val="00BA46F5"/>
    <w:rsid w:val="00BA4852"/>
    <w:rsid w:val="00BA4D71"/>
    <w:rsid w:val="00BA570D"/>
    <w:rsid w:val="00BA597D"/>
    <w:rsid w:val="00BA6C3D"/>
    <w:rsid w:val="00BA6D6F"/>
    <w:rsid w:val="00BA772F"/>
    <w:rsid w:val="00BA7A44"/>
    <w:rsid w:val="00BA7D49"/>
    <w:rsid w:val="00BB04FB"/>
    <w:rsid w:val="00BB11D8"/>
    <w:rsid w:val="00BB1705"/>
    <w:rsid w:val="00BB1968"/>
    <w:rsid w:val="00BB198F"/>
    <w:rsid w:val="00BB1F93"/>
    <w:rsid w:val="00BB20F3"/>
    <w:rsid w:val="00BB23B3"/>
    <w:rsid w:val="00BB27AE"/>
    <w:rsid w:val="00BB2AB2"/>
    <w:rsid w:val="00BB2B37"/>
    <w:rsid w:val="00BB2D33"/>
    <w:rsid w:val="00BB2D53"/>
    <w:rsid w:val="00BB3035"/>
    <w:rsid w:val="00BB351E"/>
    <w:rsid w:val="00BB3572"/>
    <w:rsid w:val="00BB37FD"/>
    <w:rsid w:val="00BB39A3"/>
    <w:rsid w:val="00BB428B"/>
    <w:rsid w:val="00BB4582"/>
    <w:rsid w:val="00BB4881"/>
    <w:rsid w:val="00BB4E95"/>
    <w:rsid w:val="00BB4F0E"/>
    <w:rsid w:val="00BB54AB"/>
    <w:rsid w:val="00BB5677"/>
    <w:rsid w:val="00BB5909"/>
    <w:rsid w:val="00BB5AC8"/>
    <w:rsid w:val="00BB5D11"/>
    <w:rsid w:val="00BB5FAE"/>
    <w:rsid w:val="00BB6274"/>
    <w:rsid w:val="00BB69FE"/>
    <w:rsid w:val="00BB6A5D"/>
    <w:rsid w:val="00BB6C17"/>
    <w:rsid w:val="00BB70CF"/>
    <w:rsid w:val="00BB72B5"/>
    <w:rsid w:val="00BB7B28"/>
    <w:rsid w:val="00BB7BEA"/>
    <w:rsid w:val="00BC0185"/>
    <w:rsid w:val="00BC0208"/>
    <w:rsid w:val="00BC0288"/>
    <w:rsid w:val="00BC0363"/>
    <w:rsid w:val="00BC0698"/>
    <w:rsid w:val="00BC0810"/>
    <w:rsid w:val="00BC1676"/>
    <w:rsid w:val="00BC175B"/>
    <w:rsid w:val="00BC1C4E"/>
    <w:rsid w:val="00BC1E88"/>
    <w:rsid w:val="00BC1F0B"/>
    <w:rsid w:val="00BC1F88"/>
    <w:rsid w:val="00BC20C1"/>
    <w:rsid w:val="00BC20F2"/>
    <w:rsid w:val="00BC219D"/>
    <w:rsid w:val="00BC2719"/>
    <w:rsid w:val="00BC2A1F"/>
    <w:rsid w:val="00BC3CD3"/>
    <w:rsid w:val="00BC3D16"/>
    <w:rsid w:val="00BC43DA"/>
    <w:rsid w:val="00BC495E"/>
    <w:rsid w:val="00BC4D47"/>
    <w:rsid w:val="00BC4F5D"/>
    <w:rsid w:val="00BC50B0"/>
    <w:rsid w:val="00BC5475"/>
    <w:rsid w:val="00BC5808"/>
    <w:rsid w:val="00BC5BA0"/>
    <w:rsid w:val="00BC5BE7"/>
    <w:rsid w:val="00BC5D1D"/>
    <w:rsid w:val="00BC5E64"/>
    <w:rsid w:val="00BC60C0"/>
    <w:rsid w:val="00BC60D2"/>
    <w:rsid w:val="00BC6108"/>
    <w:rsid w:val="00BC65E8"/>
    <w:rsid w:val="00BC6ED1"/>
    <w:rsid w:val="00BD0881"/>
    <w:rsid w:val="00BD1455"/>
    <w:rsid w:val="00BD1BFB"/>
    <w:rsid w:val="00BD2390"/>
    <w:rsid w:val="00BD248D"/>
    <w:rsid w:val="00BD2DF1"/>
    <w:rsid w:val="00BD33C3"/>
    <w:rsid w:val="00BD34E5"/>
    <w:rsid w:val="00BD3B99"/>
    <w:rsid w:val="00BD3EA9"/>
    <w:rsid w:val="00BD42A9"/>
    <w:rsid w:val="00BD4E05"/>
    <w:rsid w:val="00BD55FA"/>
    <w:rsid w:val="00BD58B2"/>
    <w:rsid w:val="00BD5C8C"/>
    <w:rsid w:val="00BD611B"/>
    <w:rsid w:val="00BD6961"/>
    <w:rsid w:val="00BD69B1"/>
    <w:rsid w:val="00BD6E36"/>
    <w:rsid w:val="00BD6E64"/>
    <w:rsid w:val="00BD6FD4"/>
    <w:rsid w:val="00BD7306"/>
    <w:rsid w:val="00BD74AA"/>
    <w:rsid w:val="00BD74D1"/>
    <w:rsid w:val="00BD74DD"/>
    <w:rsid w:val="00BD7877"/>
    <w:rsid w:val="00BD7AA4"/>
    <w:rsid w:val="00BE0201"/>
    <w:rsid w:val="00BE0463"/>
    <w:rsid w:val="00BE0C48"/>
    <w:rsid w:val="00BE0F6F"/>
    <w:rsid w:val="00BE121C"/>
    <w:rsid w:val="00BE1740"/>
    <w:rsid w:val="00BE1883"/>
    <w:rsid w:val="00BE1A73"/>
    <w:rsid w:val="00BE1F4A"/>
    <w:rsid w:val="00BE2A76"/>
    <w:rsid w:val="00BE2C59"/>
    <w:rsid w:val="00BE2DD5"/>
    <w:rsid w:val="00BE2F75"/>
    <w:rsid w:val="00BE3178"/>
    <w:rsid w:val="00BE3390"/>
    <w:rsid w:val="00BE3E22"/>
    <w:rsid w:val="00BE42A1"/>
    <w:rsid w:val="00BE4AF7"/>
    <w:rsid w:val="00BE4FA1"/>
    <w:rsid w:val="00BE544E"/>
    <w:rsid w:val="00BE549D"/>
    <w:rsid w:val="00BE56C5"/>
    <w:rsid w:val="00BE56FC"/>
    <w:rsid w:val="00BE5C09"/>
    <w:rsid w:val="00BE5E81"/>
    <w:rsid w:val="00BE6089"/>
    <w:rsid w:val="00BE617E"/>
    <w:rsid w:val="00BE628D"/>
    <w:rsid w:val="00BE63D2"/>
    <w:rsid w:val="00BE663C"/>
    <w:rsid w:val="00BE69E3"/>
    <w:rsid w:val="00BE6C44"/>
    <w:rsid w:val="00BE6E57"/>
    <w:rsid w:val="00BE70B3"/>
    <w:rsid w:val="00BE75E2"/>
    <w:rsid w:val="00BF0F32"/>
    <w:rsid w:val="00BF1023"/>
    <w:rsid w:val="00BF10E9"/>
    <w:rsid w:val="00BF157F"/>
    <w:rsid w:val="00BF1700"/>
    <w:rsid w:val="00BF1BEB"/>
    <w:rsid w:val="00BF22B1"/>
    <w:rsid w:val="00BF2381"/>
    <w:rsid w:val="00BF2865"/>
    <w:rsid w:val="00BF291A"/>
    <w:rsid w:val="00BF30F0"/>
    <w:rsid w:val="00BF313C"/>
    <w:rsid w:val="00BF323B"/>
    <w:rsid w:val="00BF36D6"/>
    <w:rsid w:val="00BF435E"/>
    <w:rsid w:val="00BF46EC"/>
    <w:rsid w:val="00BF5A4B"/>
    <w:rsid w:val="00BF61EF"/>
    <w:rsid w:val="00BF6471"/>
    <w:rsid w:val="00BF6714"/>
    <w:rsid w:val="00BF689C"/>
    <w:rsid w:val="00BF6D9E"/>
    <w:rsid w:val="00BF72B7"/>
    <w:rsid w:val="00BF7406"/>
    <w:rsid w:val="00C0091E"/>
    <w:rsid w:val="00C00D6D"/>
    <w:rsid w:val="00C00DB5"/>
    <w:rsid w:val="00C00E36"/>
    <w:rsid w:val="00C01825"/>
    <w:rsid w:val="00C01C0F"/>
    <w:rsid w:val="00C01C64"/>
    <w:rsid w:val="00C01CF8"/>
    <w:rsid w:val="00C02166"/>
    <w:rsid w:val="00C02705"/>
    <w:rsid w:val="00C02887"/>
    <w:rsid w:val="00C02D63"/>
    <w:rsid w:val="00C03552"/>
    <w:rsid w:val="00C03896"/>
    <w:rsid w:val="00C03C3B"/>
    <w:rsid w:val="00C04ECB"/>
    <w:rsid w:val="00C05182"/>
    <w:rsid w:val="00C0529A"/>
    <w:rsid w:val="00C05539"/>
    <w:rsid w:val="00C06A58"/>
    <w:rsid w:val="00C06C2F"/>
    <w:rsid w:val="00C0728E"/>
    <w:rsid w:val="00C07450"/>
    <w:rsid w:val="00C077CF"/>
    <w:rsid w:val="00C07876"/>
    <w:rsid w:val="00C079D8"/>
    <w:rsid w:val="00C07AC9"/>
    <w:rsid w:val="00C07BC2"/>
    <w:rsid w:val="00C10E4A"/>
    <w:rsid w:val="00C10F44"/>
    <w:rsid w:val="00C114B3"/>
    <w:rsid w:val="00C119F2"/>
    <w:rsid w:val="00C11A0A"/>
    <w:rsid w:val="00C120A0"/>
    <w:rsid w:val="00C12100"/>
    <w:rsid w:val="00C128B2"/>
    <w:rsid w:val="00C12FD8"/>
    <w:rsid w:val="00C13992"/>
    <w:rsid w:val="00C13C9F"/>
    <w:rsid w:val="00C13DD0"/>
    <w:rsid w:val="00C153D8"/>
    <w:rsid w:val="00C155ED"/>
    <w:rsid w:val="00C15BBE"/>
    <w:rsid w:val="00C15BC3"/>
    <w:rsid w:val="00C15BF4"/>
    <w:rsid w:val="00C15CDF"/>
    <w:rsid w:val="00C15D10"/>
    <w:rsid w:val="00C15FB8"/>
    <w:rsid w:val="00C160A6"/>
    <w:rsid w:val="00C164AE"/>
    <w:rsid w:val="00C1688F"/>
    <w:rsid w:val="00C170C9"/>
    <w:rsid w:val="00C174F3"/>
    <w:rsid w:val="00C1758F"/>
    <w:rsid w:val="00C17AA6"/>
    <w:rsid w:val="00C17D7B"/>
    <w:rsid w:val="00C17E70"/>
    <w:rsid w:val="00C205B8"/>
    <w:rsid w:val="00C20A59"/>
    <w:rsid w:val="00C20F6F"/>
    <w:rsid w:val="00C214CA"/>
    <w:rsid w:val="00C2160B"/>
    <w:rsid w:val="00C2183D"/>
    <w:rsid w:val="00C2236B"/>
    <w:rsid w:val="00C22C29"/>
    <w:rsid w:val="00C22F67"/>
    <w:rsid w:val="00C22FE6"/>
    <w:rsid w:val="00C2318B"/>
    <w:rsid w:val="00C2405A"/>
    <w:rsid w:val="00C24339"/>
    <w:rsid w:val="00C244BC"/>
    <w:rsid w:val="00C25593"/>
    <w:rsid w:val="00C25765"/>
    <w:rsid w:val="00C257BC"/>
    <w:rsid w:val="00C259AD"/>
    <w:rsid w:val="00C25F7B"/>
    <w:rsid w:val="00C260DD"/>
    <w:rsid w:val="00C26288"/>
    <w:rsid w:val="00C263F3"/>
    <w:rsid w:val="00C26B7C"/>
    <w:rsid w:val="00C2711B"/>
    <w:rsid w:val="00C27801"/>
    <w:rsid w:val="00C27924"/>
    <w:rsid w:val="00C27DF9"/>
    <w:rsid w:val="00C27E71"/>
    <w:rsid w:val="00C300A4"/>
    <w:rsid w:val="00C30BAB"/>
    <w:rsid w:val="00C30F67"/>
    <w:rsid w:val="00C31432"/>
    <w:rsid w:val="00C319BD"/>
    <w:rsid w:val="00C32A70"/>
    <w:rsid w:val="00C33296"/>
    <w:rsid w:val="00C33551"/>
    <w:rsid w:val="00C34101"/>
    <w:rsid w:val="00C34818"/>
    <w:rsid w:val="00C34884"/>
    <w:rsid w:val="00C34A2A"/>
    <w:rsid w:val="00C35A8E"/>
    <w:rsid w:val="00C35CD8"/>
    <w:rsid w:val="00C3662A"/>
    <w:rsid w:val="00C36CD2"/>
    <w:rsid w:val="00C36D04"/>
    <w:rsid w:val="00C37208"/>
    <w:rsid w:val="00C373F1"/>
    <w:rsid w:val="00C37589"/>
    <w:rsid w:val="00C3762B"/>
    <w:rsid w:val="00C37688"/>
    <w:rsid w:val="00C40586"/>
    <w:rsid w:val="00C40D0B"/>
    <w:rsid w:val="00C4155F"/>
    <w:rsid w:val="00C4181A"/>
    <w:rsid w:val="00C418E0"/>
    <w:rsid w:val="00C41CD4"/>
    <w:rsid w:val="00C41D11"/>
    <w:rsid w:val="00C41EDE"/>
    <w:rsid w:val="00C42F0A"/>
    <w:rsid w:val="00C42F9C"/>
    <w:rsid w:val="00C42FA9"/>
    <w:rsid w:val="00C430BC"/>
    <w:rsid w:val="00C4369C"/>
    <w:rsid w:val="00C43A0F"/>
    <w:rsid w:val="00C43B99"/>
    <w:rsid w:val="00C43D1B"/>
    <w:rsid w:val="00C43F83"/>
    <w:rsid w:val="00C4415F"/>
    <w:rsid w:val="00C4438D"/>
    <w:rsid w:val="00C44C9F"/>
    <w:rsid w:val="00C44EA6"/>
    <w:rsid w:val="00C459D0"/>
    <w:rsid w:val="00C45E47"/>
    <w:rsid w:val="00C46812"/>
    <w:rsid w:val="00C46C68"/>
    <w:rsid w:val="00C470F8"/>
    <w:rsid w:val="00C477E2"/>
    <w:rsid w:val="00C478C0"/>
    <w:rsid w:val="00C47947"/>
    <w:rsid w:val="00C47A66"/>
    <w:rsid w:val="00C502E5"/>
    <w:rsid w:val="00C5080B"/>
    <w:rsid w:val="00C50AAD"/>
    <w:rsid w:val="00C51013"/>
    <w:rsid w:val="00C51759"/>
    <w:rsid w:val="00C51B8E"/>
    <w:rsid w:val="00C51BD9"/>
    <w:rsid w:val="00C52048"/>
    <w:rsid w:val="00C52063"/>
    <w:rsid w:val="00C520F4"/>
    <w:rsid w:val="00C524BB"/>
    <w:rsid w:val="00C526ED"/>
    <w:rsid w:val="00C52AF7"/>
    <w:rsid w:val="00C52DA1"/>
    <w:rsid w:val="00C5332C"/>
    <w:rsid w:val="00C53B81"/>
    <w:rsid w:val="00C53EF7"/>
    <w:rsid w:val="00C53F1B"/>
    <w:rsid w:val="00C540E9"/>
    <w:rsid w:val="00C54336"/>
    <w:rsid w:val="00C543B4"/>
    <w:rsid w:val="00C54447"/>
    <w:rsid w:val="00C54513"/>
    <w:rsid w:val="00C54785"/>
    <w:rsid w:val="00C54B71"/>
    <w:rsid w:val="00C54BBB"/>
    <w:rsid w:val="00C54DF7"/>
    <w:rsid w:val="00C55041"/>
    <w:rsid w:val="00C56332"/>
    <w:rsid w:val="00C5633E"/>
    <w:rsid w:val="00C563C1"/>
    <w:rsid w:val="00C56FAF"/>
    <w:rsid w:val="00C571EA"/>
    <w:rsid w:val="00C577C1"/>
    <w:rsid w:val="00C57B7B"/>
    <w:rsid w:val="00C57D0E"/>
    <w:rsid w:val="00C60523"/>
    <w:rsid w:val="00C60B37"/>
    <w:rsid w:val="00C60BA0"/>
    <w:rsid w:val="00C60DDD"/>
    <w:rsid w:val="00C61446"/>
    <w:rsid w:val="00C614A5"/>
    <w:rsid w:val="00C61AF5"/>
    <w:rsid w:val="00C61F46"/>
    <w:rsid w:val="00C6218E"/>
    <w:rsid w:val="00C621DF"/>
    <w:rsid w:val="00C62F0D"/>
    <w:rsid w:val="00C6385C"/>
    <w:rsid w:val="00C63EAF"/>
    <w:rsid w:val="00C6516B"/>
    <w:rsid w:val="00C651C4"/>
    <w:rsid w:val="00C6591E"/>
    <w:rsid w:val="00C65959"/>
    <w:rsid w:val="00C65AFD"/>
    <w:rsid w:val="00C65B10"/>
    <w:rsid w:val="00C66109"/>
    <w:rsid w:val="00C663BD"/>
    <w:rsid w:val="00C665E4"/>
    <w:rsid w:val="00C66CB7"/>
    <w:rsid w:val="00C66F49"/>
    <w:rsid w:val="00C70185"/>
    <w:rsid w:val="00C70D78"/>
    <w:rsid w:val="00C70EE5"/>
    <w:rsid w:val="00C71040"/>
    <w:rsid w:val="00C714E7"/>
    <w:rsid w:val="00C71C3B"/>
    <w:rsid w:val="00C71F8D"/>
    <w:rsid w:val="00C7263C"/>
    <w:rsid w:val="00C72875"/>
    <w:rsid w:val="00C72C14"/>
    <w:rsid w:val="00C7361C"/>
    <w:rsid w:val="00C73AEC"/>
    <w:rsid w:val="00C73B61"/>
    <w:rsid w:val="00C73DB8"/>
    <w:rsid w:val="00C73F4B"/>
    <w:rsid w:val="00C746C2"/>
    <w:rsid w:val="00C753AF"/>
    <w:rsid w:val="00C75642"/>
    <w:rsid w:val="00C76502"/>
    <w:rsid w:val="00C76F1B"/>
    <w:rsid w:val="00C77390"/>
    <w:rsid w:val="00C77755"/>
    <w:rsid w:val="00C77884"/>
    <w:rsid w:val="00C77DD3"/>
    <w:rsid w:val="00C80229"/>
    <w:rsid w:val="00C8067A"/>
    <w:rsid w:val="00C81510"/>
    <w:rsid w:val="00C81DA4"/>
    <w:rsid w:val="00C82371"/>
    <w:rsid w:val="00C828D1"/>
    <w:rsid w:val="00C82EC5"/>
    <w:rsid w:val="00C830BB"/>
    <w:rsid w:val="00C83D2D"/>
    <w:rsid w:val="00C84492"/>
    <w:rsid w:val="00C844E1"/>
    <w:rsid w:val="00C845BD"/>
    <w:rsid w:val="00C84683"/>
    <w:rsid w:val="00C856E4"/>
    <w:rsid w:val="00C85A4A"/>
    <w:rsid w:val="00C85E25"/>
    <w:rsid w:val="00C85ED4"/>
    <w:rsid w:val="00C8606E"/>
    <w:rsid w:val="00C863A3"/>
    <w:rsid w:val="00C86DC6"/>
    <w:rsid w:val="00C86E63"/>
    <w:rsid w:val="00C86F1D"/>
    <w:rsid w:val="00C87103"/>
    <w:rsid w:val="00C87269"/>
    <w:rsid w:val="00C87707"/>
    <w:rsid w:val="00C87860"/>
    <w:rsid w:val="00C87AE2"/>
    <w:rsid w:val="00C87D6B"/>
    <w:rsid w:val="00C87D74"/>
    <w:rsid w:val="00C908AC"/>
    <w:rsid w:val="00C9090D"/>
    <w:rsid w:val="00C909FA"/>
    <w:rsid w:val="00C90C96"/>
    <w:rsid w:val="00C91668"/>
    <w:rsid w:val="00C91982"/>
    <w:rsid w:val="00C919A4"/>
    <w:rsid w:val="00C91F5D"/>
    <w:rsid w:val="00C9277B"/>
    <w:rsid w:val="00C92B70"/>
    <w:rsid w:val="00C92CA1"/>
    <w:rsid w:val="00C93290"/>
    <w:rsid w:val="00C932C7"/>
    <w:rsid w:val="00C93845"/>
    <w:rsid w:val="00C93F15"/>
    <w:rsid w:val="00C941FE"/>
    <w:rsid w:val="00C94362"/>
    <w:rsid w:val="00C94A15"/>
    <w:rsid w:val="00C94CD1"/>
    <w:rsid w:val="00C94DB3"/>
    <w:rsid w:val="00C94F2D"/>
    <w:rsid w:val="00C95E2B"/>
    <w:rsid w:val="00C95E62"/>
    <w:rsid w:val="00C962CD"/>
    <w:rsid w:val="00C9696D"/>
    <w:rsid w:val="00C96A0C"/>
    <w:rsid w:val="00C971C7"/>
    <w:rsid w:val="00C971E0"/>
    <w:rsid w:val="00C97347"/>
    <w:rsid w:val="00C979F6"/>
    <w:rsid w:val="00CA0320"/>
    <w:rsid w:val="00CA034C"/>
    <w:rsid w:val="00CA08F5"/>
    <w:rsid w:val="00CA167D"/>
    <w:rsid w:val="00CA1802"/>
    <w:rsid w:val="00CA19A7"/>
    <w:rsid w:val="00CA1B92"/>
    <w:rsid w:val="00CA1F8C"/>
    <w:rsid w:val="00CA2921"/>
    <w:rsid w:val="00CA2D68"/>
    <w:rsid w:val="00CA2E01"/>
    <w:rsid w:val="00CA2E38"/>
    <w:rsid w:val="00CA30F1"/>
    <w:rsid w:val="00CA3497"/>
    <w:rsid w:val="00CA381A"/>
    <w:rsid w:val="00CA3982"/>
    <w:rsid w:val="00CA3B01"/>
    <w:rsid w:val="00CA3CD9"/>
    <w:rsid w:val="00CA4552"/>
    <w:rsid w:val="00CA4624"/>
    <w:rsid w:val="00CA47B0"/>
    <w:rsid w:val="00CA4BA6"/>
    <w:rsid w:val="00CA4D30"/>
    <w:rsid w:val="00CA4E35"/>
    <w:rsid w:val="00CA5395"/>
    <w:rsid w:val="00CA57D9"/>
    <w:rsid w:val="00CA5DFC"/>
    <w:rsid w:val="00CA5EF9"/>
    <w:rsid w:val="00CA61B6"/>
    <w:rsid w:val="00CA62A7"/>
    <w:rsid w:val="00CA695C"/>
    <w:rsid w:val="00CA6AD7"/>
    <w:rsid w:val="00CA6DA6"/>
    <w:rsid w:val="00CA6FBF"/>
    <w:rsid w:val="00CA704B"/>
    <w:rsid w:val="00CA730A"/>
    <w:rsid w:val="00CA7669"/>
    <w:rsid w:val="00CA7E22"/>
    <w:rsid w:val="00CB078E"/>
    <w:rsid w:val="00CB08C7"/>
    <w:rsid w:val="00CB0CFB"/>
    <w:rsid w:val="00CB0E24"/>
    <w:rsid w:val="00CB1C1E"/>
    <w:rsid w:val="00CB21DF"/>
    <w:rsid w:val="00CB2341"/>
    <w:rsid w:val="00CB28B4"/>
    <w:rsid w:val="00CB2EC0"/>
    <w:rsid w:val="00CB30F5"/>
    <w:rsid w:val="00CB3F09"/>
    <w:rsid w:val="00CB4780"/>
    <w:rsid w:val="00CB49DA"/>
    <w:rsid w:val="00CB5917"/>
    <w:rsid w:val="00CB6456"/>
    <w:rsid w:val="00CB64F1"/>
    <w:rsid w:val="00CB662C"/>
    <w:rsid w:val="00CB7151"/>
    <w:rsid w:val="00CB71C5"/>
    <w:rsid w:val="00CB728A"/>
    <w:rsid w:val="00CB7346"/>
    <w:rsid w:val="00CB7624"/>
    <w:rsid w:val="00CB7949"/>
    <w:rsid w:val="00CB7EE0"/>
    <w:rsid w:val="00CC0508"/>
    <w:rsid w:val="00CC0EE0"/>
    <w:rsid w:val="00CC120A"/>
    <w:rsid w:val="00CC17F9"/>
    <w:rsid w:val="00CC1C44"/>
    <w:rsid w:val="00CC24AF"/>
    <w:rsid w:val="00CC27BC"/>
    <w:rsid w:val="00CC28E4"/>
    <w:rsid w:val="00CC2AB1"/>
    <w:rsid w:val="00CC2DFB"/>
    <w:rsid w:val="00CC3A2B"/>
    <w:rsid w:val="00CC3C9D"/>
    <w:rsid w:val="00CC3E9F"/>
    <w:rsid w:val="00CC41EC"/>
    <w:rsid w:val="00CC43DA"/>
    <w:rsid w:val="00CC448B"/>
    <w:rsid w:val="00CC47C4"/>
    <w:rsid w:val="00CC4884"/>
    <w:rsid w:val="00CC5951"/>
    <w:rsid w:val="00CC5A51"/>
    <w:rsid w:val="00CC72B7"/>
    <w:rsid w:val="00CC7664"/>
    <w:rsid w:val="00CC7829"/>
    <w:rsid w:val="00CD0778"/>
    <w:rsid w:val="00CD0B8D"/>
    <w:rsid w:val="00CD0C95"/>
    <w:rsid w:val="00CD0F93"/>
    <w:rsid w:val="00CD0FB0"/>
    <w:rsid w:val="00CD1154"/>
    <w:rsid w:val="00CD15D8"/>
    <w:rsid w:val="00CD1AC2"/>
    <w:rsid w:val="00CD2144"/>
    <w:rsid w:val="00CD22D0"/>
    <w:rsid w:val="00CD2359"/>
    <w:rsid w:val="00CD2E86"/>
    <w:rsid w:val="00CD3520"/>
    <w:rsid w:val="00CD3777"/>
    <w:rsid w:val="00CD42CB"/>
    <w:rsid w:val="00CD44DE"/>
    <w:rsid w:val="00CD4756"/>
    <w:rsid w:val="00CD4B3D"/>
    <w:rsid w:val="00CD4F2C"/>
    <w:rsid w:val="00CD519F"/>
    <w:rsid w:val="00CD5373"/>
    <w:rsid w:val="00CD5881"/>
    <w:rsid w:val="00CD58A4"/>
    <w:rsid w:val="00CD5D54"/>
    <w:rsid w:val="00CD6295"/>
    <w:rsid w:val="00CD62E7"/>
    <w:rsid w:val="00CD64CE"/>
    <w:rsid w:val="00CD6865"/>
    <w:rsid w:val="00CD6903"/>
    <w:rsid w:val="00CD6907"/>
    <w:rsid w:val="00CD6EEF"/>
    <w:rsid w:val="00CD6F6A"/>
    <w:rsid w:val="00CD7A8C"/>
    <w:rsid w:val="00CD7B8A"/>
    <w:rsid w:val="00CD7BF5"/>
    <w:rsid w:val="00CD7F94"/>
    <w:rsid w:val="00CE0297"/>
    <w:rsid w:val="00CE033C"/>
    <w:rsid w:val="00CE04E5"/>
    <w:rsid w:val="00CE07F2"/>
    <w:rsid w:val="00CE0958"/>
    <w:rsid w:val="00CE0D5A"/>
    <w:rsid w:val="00CE1019"/>
    <w:rsid w:val="00CE136E"/>
    <w:rsid w:val="00CE177D"/>
    <w:rsid w:val="00CE17A5"/>
    <w:rsid w:val="00CE1D83"/>
    <w:rsid w:val="00CE1EDF"/>
    <w:rsid w:val="00CE1F73"/>
    <w:rsid w:val="00CE2216"/>
    <w:rsid w:val="00CE227B"/>
    <w:rsid w:val="00CE237C"/>
    <w:rsid w:val="00CE2AE1"/>
    <w:rsid w:val="00CE31B9"/>
    <w:rsid w:val="00CE35B2"/>
    <w:rsid w:val="00CE3A86"/>
    <w:rsid w:val="00CE3B9C"/>
    <w:rsid w:val="00CE3EDB"/>
    <w:rsid w:val="00CE3F5F"/>
    <w:rsid w:val="00CE4457"/>
    <w:rsid w:val="00CE44D9"/>
    <w:rsid w:val="00CE47EE"/>
    <w:rsid w:val="00CE484E"/>
    <w:rsid w:val="00CE4E53"/>
    <w:rsid w:val="00CE4F27"/>
    <w:rsid w:val="00CE4FC1"/>
    <w:rsid w:val="00CE528D"/>
    <w:rsid w:val="00CE5B46"/>
    <w:rsid w:val="00CE5F10"/>
    <w:rsid w:val="00CE6407"/>
    <w:rsid w:val="00CE6B69"/>
    <w:rsid w:val="00CE72D6"/>
    <w:rsid w:val="00CE7558"/>
    <w:rsid w:val="00CF0685"/>
    <w:rsid w:val="00CF0876"/>
    <w:rsid w:val="00CF0E43"/>
    <w:rsid w:val="00CF0EE0"/>
    <w:rsid w:val="00CF10A6"/>
    <w:rsid w:val="00CF1E4C"/>
    <w:rsid w:val="00CF1E57"/>
    <w:rsid w:val="00CF1EAF"/>
    <w:rsid w:val="00CF210E"/>
    <w:rsid w:val="00CF2455"/>
    <w:rsid w:val="00CF2774"/>
    <w:rsid w:val="00CF2CCB"/>
    <w:rsid w:val="00CF3155"/>
    <w:rsid w:val="00CF35B8"/>
    <w:rsid w:val="00CF3986"/>
    <w:rsid w:val="00CF3989"/>
    <w:rsid w:val="00CF3C9D"/>
    <w:rsid w:val="00CF3E28"/>
    <w:rsid w:val="00CF4550"/>
    <w:rsid w:val="00CF47AA"/>
    <w:rsid w:val="00CF4B41"/>
    <w:rsid w:val="00CF515D"/>
    <w:rsid w:val="00CF5245"/>
    <w:rsid w:val="00CF55BF"/>
    <w:rsid w:val="00CF55C0"/>
    <w:rsid w:val="00CF5849"/>
    <w:rsid w:val="00CF584C"/>
    <w:rsid w:val="00CF591E"/>
    <w:rsid w:val="00CF5B9A"/>
    <w:rsid w:val="00CF63C0"/>
    <w:rsid w:val="00CF6574"/>
    <w:rsid w:val="00CF6606"/>
    <w:rsid w:val="00CF6B57"/>
    <w:rsid w:val="00CF6C2C"/>
    <w:rsid w:val="00CF6DF5"/>
    <w:rsid w:val="00CF716B"/>
    <w:rsid w:val="00CF787B"/>
    <w:rsid w:val="00CF7938"/>
    <w:rsid w:val="00CF7A44"/>
    <w:rsid w:val="00CF7B42"/>
    <w:rsid w:val="00CF7B94"/>
    <w:rsid w:val="00CF7DDF"/>
    <w:rsid w:val="00CF7E3A"/>
    <w:rsid w:val="00D00199"/>
    <w:rsid w:val="00D00286"/>
    <w:rsid w:val="00D002CD"/>
    <w:rsid w:val="00D006AC"/>
    <w:rsid w:val="00D00E1E"/>
    <w:rsid w:val="00D010B6"/>
    <w:rsid w:val="00D011B7"/>
    <w:rsid w:val="00D01667"/>
    <w:rsid w:val="00D0182A"/>
    <w:rsid w:val="00D01B5D"/>
    <w:rsid w:val="00D01D3D"/>
    <w:rsid w:val="00D01F31"/>
    <w:rsid w:val="00D023C4"/>
    <w:rsid w:val="00D026D6"/>
    <w:rsid w:val="00D02CD2"/>
    <w:rsid w:val="00D02D49"/>
    <w:rsid w:val="00D03131"/>
    <w:rsid w:val="00D033E2"/>
    <w:rsid w:val="00D0395E"/>
    <w:rsid w:val="00D03C0A"/>
    <w:rsid w:val="00D03DEA"/>
    <w:rsid w:val="00D03EF3"/>
    <w:rsid w:val="00D0405E"/>
    <w:rsid w:val="00D044F5"/>
    <w:rsid w:val="00D0491C"/>
    <w:rsid w:val="00D05AA0"/>
    <w:rsid w:val="00D05BA0"/>
    <w:rsid w:val="00D062A3"/>
    <w:rsid w:val="00D062A4"/>
    <w:rsid w:val="00D062F0"/>
    <w:rsid w:val="00D06429"/>
    <w:rsid w:val="00D064B4"/>
    <w:rsid w:val="00D06758"/>
    <w:rsid w:val="00D06918"/>
    <w:rsid w:val="00D06ADC"/>
    <w:rsid w:val="00D074A6"/>
    <w:rsid w:val="00D07576"/>
    <w:rsid w:val="00D0794D"/>
    <w:rsid w:val="00D10546"/>
    <w:rsid w:val="00D106D7"/>
    <w:rsid w:val="00D10BB3"/>
    <w:rsid w:val="00D10C17"/>
    <w:rsid w:val="00D11A06"/>
    <w:rsid w:val="00D11B1C"/>
    <w:rsid w:val="00D11E8B"/>
    <w:rsid w:val="00D11F51"/>
    <w:rsid w:val="00D1288B"/>
    <w:rsid w:val="00D12A24"/>
    <w:rsid w:val="00D12DB5"/>
    <w:rsid w:val="00D13401"/>
    <w:rsid w:val="00D1349C"/>
    <w:rsid w:val="00D135F3"/>
    <w:rsid w:val="00D1395B"/>
    <w:rsid w:val="00D140F1"/>
    <w:rsid w:val="00D142CF"/>
    <w:rsid w:val="00D142EB"/>
    <w:rsid w:val="00D1432F"/>
    <w:rsid w:val="00D14456"/>
    <w:rsid w:val="00D15445"/>
    <w:rsid w:val="00D1555C"/>
    <w:rsid w:val="00D15DA2"/>
    <w:rsid w:val="00D15EFD"/>
    <w:rsid w:val="00D164CA"/>
    <w:rsid w:val="00D164D4"/>
    <w:rsid w:val="00D16AB2"/>
    <w:rsid w:val="00D16CEA"/>
    <w:rsid w:val="00D172E2"/>
    <w:rsid w:val="00D174B3"/>
    <w:rsid w:val="00D175C0"/>
    <w:rsid w:val="00D176D9"/>
    <w:rsid w:val="00D17B72"/>
    <w:rsid w:val="00D201AA"/>
    <w:rsid w:val="00D20BEE"/>
    <w:rsid w:val="00D20FCA"/>
    <w:rsid w:val="00D2112D"/>
    <w:rsid w:val="00D211CC"/>
    <w:rsid w:val="00D21264"/>
    <w:rsid w:val="00D21314"/>
    <w:rsid w:val="00D21B1A"/>
    <w:rsid w:val="00D21C4B"/>
    <w:rsid w:val="00D21C58"/>
    <w:rsid w:val="00D21D28"/>
    <w:rsid w:val="00D22160"/>
    <w:rsid w:val="00D222BA"/>
    <w:rsid w:val="00D22362"/>
    <w:rsid w:val="00D2247E"/>
    <w:rsid w:val="00D22649"/>
    <w:rsid w:val="00D226C5"/>
    <w:rsid w:val="00D22F54"/>
    <w:rsid w:val="00D23349"/>
    <w:rsid w:val="00D236D7"/>
    <w:rsid w:val="00D239FA"/>
    <w:rsid w:val="00D23B3B"/>
    <w:rsid w:val="00D24187"/>
    <w:rsid w:val="00D2419A"/>
    <w:rsid w:val="00D243A0"/>
    <w:rsid w:val="00D2452E"/>
    <w:rsid w:val="00D2496A"/>
    <w:rsid w:val="00D24980"/>
    <w:rsid w:val="00D249B2"/>
    <w:rsid w:val="00D24CE2"/>
    <w:rsid w:val="00D2505A"/>
    <w:rsid w:val="00D2520C"/>
    <w:rsid w:val="00D2534D"/>
    <w:rsid w:val="00D25C80"/>
    <w:rsid w:val="00D25FF8"/>
    <w:rsid w:val="00D26347"/>
    <w:rsid w:val="00D2666D"/>
    <w:rsid w:val="00D267C3"/>
    <w:rsid w:val="00D26ABD"/>
    <w:rsid w:val="00D26F26"/>
    <w:rsid w:val="00D27218"/>
    <w:rsid w:val="00D27830"/>
    <w:rsid w:val="00D30694"/>
    <w:rsid w:val="00D30955"/>
    <w:rsid w:val="00D32046"/>
    <w:rsid w:val="00D32BB4"/>
    <w:rsid w:val="00D32D1F"/>
    <w:rsid w:val="00D32D91"/>
    <w:rsid w:val="00D32DFD"/>
    <w:rsid w:val="00D33141"/>
    <w:rsid w:val="00D332E7"/>
    <w:rsid w:val="00D334C9"/>
    <w:rsid w:val="00D33712"/>
    <w:rsid w:val="00D33B61"/>
    <w:rsid w:val="00D33E84"/>
    <w:rsid w:val="00D34CDF"/>
    <w:rsid w:val="00D34E48"/>
    <w:rsid w:val="00D34E4C"/>
    <w:rsid w:val="00D35001"/>
    <w:rsid w:val="00D351EF"/>
    <w:rsid w:val="00D356D8"/>
    <w:rsid w:val="00D35B43"/>
    <w:rsid w:val="00D36881"/>
    <w:rsid w:val="00D37067"/>
    <w:rsid w:val="00D3712B"/>
    <w:rsid w:val="00D37399"/>
    <w:rsid w:val="00D379B2"/>
    <w:rsid w:val="00D400B7"/>
    <w:rsid w:val="00D401FF"/>
    <w:rsid w:val="00D4051D"/>
    <w:rsid w:val="00D40C18"/>
    <w:rsid w:val="00D41136"/>
    <w:rsid w:val="00D419D4"/>
    <w:rsid w:val="00D421FD"/>
    <w:rsid w:val="00D435D6"/>
    <w:rsid w:val="00D43712"/>
    <w:rsid w:val="00D43856"/>
    <w:rsid w:val="00D4389D"/>
    <w:rsid w:val="00D43987"/>
    <w:rsid w:val="00D43A1A"/>
    <w:rsid w:val="00D43A9A"/>
    <w:rsid w:val="00D43AC9"/>
    <w:rsid w:val="00D43BF7"/>
    <w:rsid w:val="00D43C57"/>
    <w:rsid w:val="00D43E11"/>
    <w:rsid w:val="00D44007"/>
    <w:rsid w:val="00D44242"/>
    <w:rsid w:val="00D44864"/>
    <w:rsid w:val="00D4490A"/>
    <w:rsid w:val="00D44D9D"/>
    <w:rsid w:val="00D4539E"/>
    <w:rsid w:val="00D45605"/>
    <w:rsid w:val="00D4586C"/>
    <w:rsid w:val="00D45F32"/>
    <w:rsid w:val="00D460C8"/>
    <w:rsid w:val="00D4635E"/>
    <w:rsid w:val="00D4650B"/>
    <w:rsid w:val="00D469C2"/>
    <w:rsid w:val="00D46FF2"/>
    <w:rsid w:val="00D47006"/>
    <w:rsid w:val="00D471C5"/>
    <w:rsid w:val="00D474CC"/>
    <w:rsid w:val="00D47A1B"/>
    <w:rsid w:val="00D47A9F"/>
    <w:rsid w:val="00D47C71"/>
    <w:rsid w:val="00D503B0"/>
    <w:rsid w:val="00D50649"/>
    <w:rsid w:val="00D50A8B"/>
    <w:rsid w:val="00D50C8E"/>
    <w:rsid w:val="00D50CD9"/>
    <w:rsid w:val="00D51A1F"/>
    <w:rsid w:val="00D52223"/>
    <w:rsid w:val="00D529B3"/>
    <w:rsid w:val="00D53111"/>
    <w:rsid w:val="00D53178"/>
    <w:rsid w:val="00D537F1"/>
    <w:rsid w:val="00D53919"/>
    <w:rsid w:val="00D5398A"/>
    <w:rsid w:val="00D53D8F"/>
    <w:rsid w:val="00D53E12"/>
    <w:rsid w:val="00D5474D"/>
    <w:rsid w:val="00D54BB4"/>
    <w:rsid w:val="00D55366"/>
    <w:rsid w:val="00D558D2"/>
    <w:rsid w:val="00D559D1"/>
    <w:rsid w:val="00D55B9E"/>
    <w:rsid w:val="00D55CAF"/>
    <w:rsid w:val="00D56138"/>
    <w:rsid w:val="00D56CE0"/>
    <w:rsid w:val="00D56FE1"/>
    <w:rsid w:val="00D57788"/>
    <w:rsid w:val="00D578FA"/>
    <w:rsid w:val="00D57A12"/>
    <w:rsid w:val="00D604A9"/>
    <w:rsid w:val="00D607D0"/>
    <w:rsid w:val="00D60850"/>
    <w:rsid w:val="00D6108C"/>
    <w:rsid w:val="00D611E8"/>
    <w:rsid w:val="00D61473"/>
    <w:rsid w:val="00D616A2"/>
    <w:rsid w:val="00D61710"/>
    <w:rsid w:val="00D61D22"/>
    <w:rsid w:val="00D61F3B"/>
    <w:rsid w:val="00D63678"/>
    <w:rsid w:val="00D63B9C"/>
    <w:rsid w:val="00D63BA1"/>
    <w:rsid w:val="00D63E85"/>
    <w:rsid w:val="00D63E8C"/>
    <w:rsid w:val="00D64210"/>
    <w:rsid w:val="00D65039"/>
    <w:rsid w:val="00D650FC"/>
    <w:rsid w:val="00D65CB4"/>
    <w:rsid w:val="00D65F1C"/>
    <w:rsid w:val="00D66083"/>
    <w:rsid w:val="00D6624B"/>
    <w:rsid w:val="00D664C2"/>
    <w:rsid w:val="00D667A2"/>
    <w:rsid w:val="00D67699"/>
    <w:rsid w:val="00D677DF"/>
    <w:rsid w:val="00D67F91"/>
    <w:rsid w:val="00D705A6"/>
    <w:rsid w:val="00D7079F"/>
    <w:rsid w:val="00D70804"/>
    <w:rsid w:val="00D708BC"/>
    <w:rsid w:val="00D70BB4"/>
    <w:rsid w:val="00D71CA6"/>
    <w:rsid w:val="00D71CAF"/>
    <w:rsid w:val="00D72186"/>
    <w:rsid w:val="00D73447"/>
    <w:rsid w:val="00D737B7"/>
    <w:rsid w:val="00D739EE"/>
    <w:rsid w:val="00D73B14"/>
    <w:rsid w:val="00D73D6C"/>
    <w:rsid w:val="00D74186"/>
    <w:rsid w:val="00D74612"/>
    <w:rsid w:val="00D747A2"/>
    <w:rsid w:val="00D748BC"/>
    <w:rsid w:val="00D74AF4"/>
    <w:rsid w:val="00D7610C"/>
    <w:rsid w:val="00D765AF"/>
    <w:rsid w:val="00D766F4"/>
    <w:rsid w:val="00D76D1C"/>
    <w:rsid w:val="00D76DB8"/>
    <w:rsid w:val="00D76DE8"/>
    <w:rsid w:val="00D76FE2"/>
    <w:rsid w:val="00D771AB"/>
    <w:rsid w:val="00D775D2"/>
    <w:rsid w:val="00D7774F"/>
    <w:rsid w:val="00D77F13"/>
    <w:rsid w:val="00D80659"/>
    <w:rsid w:val="00D80AF2"/>
    <w:rsid w:val="00D810B9"/>
    <w:rsid w:val="00D810E8"/>
    <w:rsid w:val="00D81381"/>
    <w:rsid w:val="00D8144A"/>
    <w:rsid w:val="00D81521"/>
    <w:rsid w:val="00D818D3"/>
    <w:rsid w:val="00D81E68"/>
    <w:rsid w:val="00D81FEC"/>
    <w:rsid w:val="00D820AD"/>
    <w:rsid w:val="00D8242A"/>
    <w:rsid w:val="00D8251E"/>
    <w:rsid w:val="00D8254F"/>
    <w:rsid w:val="00D82635"/>
    <w:rsid w:val="00D82C4A"/>
    <w:rsid w:val="00D836CD"/>
    <w:rsid w:val="00D83742"/>
    <w:rsid w:val="00D837C5"/>
    <w:rsid w:val="00D837E3"/>
    <w:rsid w:val="00D83A6E"/>
    <w:rsid w:val="00D83CCE"/>
    <w:rsid w:val="00D83CD0"/>
    <w:rsid w:val="00D83D4F"/>
    <w:rsid w:val="00D83E1A"/>
    <w:rsid w:val="00D84051"/>
    <w:rsid w:val="00D84202"/>
    <w:rsid w:val="00D8427E"/>
    <w:rsid w:val="00D847D6"/>
    <w:rsid w:val="00D84811"/>
    <w:rsid w:val="00D84957"/>
    <w:rsid w:val="00D84AC0"/>
    <w:rsid w:val="00D84DE3"/>
    <w:rsid w:val="00D84FC6"/>
    <w:rsid w:val="00D85059"/>
    <w:rsid w:val="00D8511A"/>
    <w:rsid w:val="00D854BC"/>
    <w:rsid w:val="00D85780"/>
    <w:rsid w:val="00D85C0F"/>
    <w:rsid w:val="00D85CC2"/>
    <w:rsid w:val="00D85D5F"/>
    <w:rsid w:val="00D85FAF"/>
    <w:rsid w:val="00D86C00"/>
    <w:rsid w:val="00D87089"/>
    <w:rsid w:val="00D870F3"/>
    <w:rsid w:val="00D8718E"/>
    <w:rsid w:val="00D87596"/>
    <w:rsid w:val="00D875A3"/>
    <w:rsid w:val="00D878F6"/>
    <w:rsid w:val="00D87A7C"/>
    <w:rsid w:val="00D87B3F"/>
    <w:rsid w:val="00D9006C"/>
    <w:rsid w:val="00D90A11"/>
    <w:rsid w:val="00D90A4C"/>
    <w:rsid w:val="00D90B20"/>
    <w:rsid w:val="00D911D4"/>
    <w:rsid w:val="00D914BB"/>
    <w:rsid w:val="00D91708"/>
    <w:rsid w:val="00D9194F"/>
    <w:rsid w:val="00D91982"/>
    <w:rsid w:val="00D91B2A"/>
    <w:rsid w:val="00D9202F"/>
    <w:rsid w:val="00D92281"/>
    <w:rsid w:val="00D926B3"/>
    <w:rsid w:val="00D928C4"/>
    <w:rsid w:val="00D92DA2"/>
    <w:rsid w:val="00D92DC0"/>
    <w:rsid w:val="00D92E20"/>
    <w:rsid w:val="00D93164"/>
    <w:rsid w:val="00D931EC"/>
    <w:rsid w:val="00D93200"/>
    <w:rsid w:val="00D93247"/>
    <w:rsid w:val="00D93443"/>
    <w:rsid w:val="00D93758"/>
    <w:rsid w:val="00D93769"/>
    <w:rsid w:val="00D9384E"/>
    <w:rsid w:val="00D9393C"/>
    <w:rsid w:val="00D93C45"/>
    <w:rsid w:val="00D93E11"/>
    <w:rsid w:val="00D945EC"/>
    <w:rsid w:val="00D9484B"/>
    <w:rsid w:val="00D948A0"/>
    <w:rsid w:val="00D94A81"/>
    <w:rsid w:val="00D951AE"/>
    <w:rsid w:val="00D952F8"/>
    <w:rsid w:val="00D955B8"/>
    <w:rsid w:val="00D959C1"/>
    <w:rsid w:val="00D95CE1"/>
    <w:rsid w:val="00D95D7B"/>
    <w:rsid w:val="00D962F4"/>
    <w:rsid w:val="00D96536"/>
    <w:rsid w:val="00D9661A"/>
    <w:rsid w:val="00D96821"/>
    <w:rsid w:val="00D96838"/>
    <w:rsid w:val="00D96A4A"/>
    <w:rsid w:val="00D96EFD"/>
    <w:rsid w:val="00D97554"/>
    <w:rsid w:val="00D97838"/>
    <w:rsid w:val="00DA01AA"/>
    <w:rsid w:val="00DA025C"/>
    <w:rsid w:val="00DA072F"/>
    <w:rsid w:val="00DA07C8"/>
    <w:rsid w:val="00DA0A43"/>
    <w:rsid w:val="00DA103E"/>
    <w:rsid w:val="00DA11D4"/>
    <w:rsid w:val="00DA1579"/>
    <w:rsid w:val="00DA17F2"/>
    <w:rsid w:val="00DA1AB2"/>
    <w:rsid w:val="00DA1FE4"/>
    <w:rsid w:val="00DA26AF"/>
    <w:rsid w:val="00DA2891"/>
    <w:rsid w:val="00DA2EC8"/>
    <w:rsid w:val="00DA338B"/>
    <w:rsid w:val="00DA34A5"/>
    <w:rsid w:val="00DA3DDF"/>
    <w:rsid w:val="00DA4652"/>
    <w:rsid w:val="00DA4B93"/>
    <w:rsid w:val="00DA4BB6"/>
    <w:rsid w:val="00DA4C9B"/>
    <w:rsid w:val="00DA5A3D"/>
    <w:rsid w:val="00DA5ED1"/>
    <w:rsid w:val="00DA5F7C"/>
    <w:rsid w:val="00DA6035"/>
    <w:rsid w:val="00DA634B"/>
    <w:rsid w:val="00DA6597"/>
    <w:rsid w:val="00DA67F0"/>
    <w:rsid w:val="00DA68E1"/>
    <w:rsid w:val="00DA713C"/>
    <w:rsid w:val="00DA770C"/>
    <w:rsid w:val="00DA7EBF"/>
    <w:rsid w:val="00DA7F7C"/>
    <w:rsid w:val="00DB077D"/>
    <w:rsid w:val="00DB0989"/>
    <w:rsid w:val="00DB0AF4"/>
    <w:rsid w:val="00DB0DA3"/>
    <w:rsid w:val="00DB0E83"/>
    <w:rsid w:val="00DB1009"/>
    <w:rsid w:val="00DB1313"/>
    <w:rsid w:val="00DB1473"/>
    <w:rsid w:val="00DB18B1"/>
    <w:rsid w:val="00DB18CE"/>
    <w:rsid w:val="00DB1CD7"/>
    <w:rsid w:val="00DB1DC2"/>
    <w:rsid w:val="00DB2048"/>
    <w:rsid w:val="00DB2485"/>
    <w:rsid w:val="00DB2DBB"/>
    <w:rsid w:val="00DB3047"/>
    <w:rsid w:val="00DB31AD"/>
    <w:rsid w:val="00DB3326"/>
    <w:rsid w:val="00DB39F3"/>
    <w:rsid w:val="00DB4340"/>
    <w:rsid w:val="00DB4551"/>
    <w:rsid w:val="00DB456A"/>
    <w:rsid w:val="00DB460D"/>
    <w:rsid w:val="00DB4BAD"/>
    <w:rsid w:val="00DB4C51"/>
    <w:rsid w:val="00DB504A"/>
    <w:rsid w:val="00DB58D7"/>
    <w:rsid w:val="00DB68DD"/>
    <w:rsid w:val="00DB6A72"/>
    <w:rsid w:val="00DB6B65"/>
    <w:rsid w:val="00DB6F16"/>
    <w:rsid w:val="00DB6F34"/>
    <w:rsid w:val="00DB6F89"/>
    <w:rsid w:val="00DB794E"/>
    <w:rsid w:val="00DB7A06"/>
    <w:rsid w:val="00DB7AA1"/>
    <w:rsid w:val="00DB7D8C"/>
    <w:rsid w:val="00DB7EAD"/>
    <w:rsid w:val="00DC0B0B"/>
    <w:rsid w:val="00DC0E78"/>
    <w:rsid w:val="00DC0F44"/>
    <w:rsid w:val="00DC0FEA"/>
    <w:rsid w:val="00DC111F"/>
    <w:rsid w:val="00DC1170"/>
    <w:rsid w:val="00DC1735"/>
    <w:rsid w:val="00DC1834"/>
    <w:rsid w:val="00DC1A66"/>
    <w:rsid w:val="00DC1CE3"/>
    <w:rsid w:val="00DC1D05"/>
    <w:rsid w:val="00DC1D2E"/>
    <w:rsid w:val="00DC1D4B"/>
    <w:rsid w:val="00DC21EF"/>
    <w:rsid w:val="00DC2508"/>
    <w:rsid w:val="00DC2BEF"/>
    <w:rsid w:val="00DC2FED"/>
    <w:rsid w:val="00DC392B"/>
    <w:rsid w:val="00DC3A0C"/>
    <w:rsid w:val="00DC3A48"/>
    <w:rsid w:val="00DC3D1C"/>
    <w:rsid w:val="00DC3D89"/>
    <w:rsid w:val="00DC43CF"/>
    <w:rsid w:val="00DC44DE"/>
    <w:rsid w:val="00DC452F"/>
    <w:rsid w:val="00DC4A97"/>
    <w:rsid w:val="00DC57AC"/>
    <w:rsid w:val="00DC5B7E"/>
    <w:rsid w:val="00DC612E"/>
    <w:rsid w:val="00DC628D"/>
    <w:rsid w:val="00DC6A00"/>
    <w:rsid w:val="00DC6E8A"/>
    <w:rsid w:val="00DC6F2C"/>
    <w:rsid w:val="00DC7652"/>
    <w:rsid w:val="00DC7A1A"/>
    <w:rsid w:val="00DC7AAA"/>
    <w:rsid w:val="00DC7B0D"/>
    <w:rsid w:val="00DC7F91"/>
    <w:rsid w:val="00DD1467"/>
    <w:rsid w:val="00DD17D7"/>
    <w:rsid w:val="00DD2147"/>
    <w:rsid w:val="00DD2898"/>
    <w:rsid w:val="00DD28E7"/>
    <w:rsid w:val="00DD2C11"/>
    <w:rsid w:val="00DD3236"/>
    <w:rsid w:val="00DD366E"/>
    <w:rsid w:val="00DD3A0D"/>
    <w:rsid w:val="00DD3A69"/>
    <w:rsid w:val="00DD3AF0"/>
    <w:rsid w:val="00DD3BE7"/>
    <w:rsid w:val="00DD4058"/>
    <w:rsid w:val="00DD45A3"/>
    <w:rsid w:val="00DD462A"/>
    <w:rsid w:val="00DD4C34"/>
    <w:rsid w:val="00DD4D75"/>
    <w:rsid w:val="00DD52E0"/>
    <w:rsid w:val="00DD558F"/>
    <w:rsid w:val="00DD5888"/>
    <w:rsid w:val="00DD5B84"/>
    <w:rsid w:val="00DD5C79"/>
    <w:rsid w:val="00DD5CF0"/>
    <w:rsid w:val="00DD6264"/>
    <w:rsid w:val="00DD6289"/>
    <w:rsid w:val="00DD633B"/>
    <w:rsid w:val="00DD68E9"/>
    <w:rsid w:val="00DD731A"/>
    <w:rsid w:val="00DD7774"/>
    <w:rsid w:val="00DD7B2E"/>
    <w:rsid w:val="00DD7E92"/>
    <w:rsid w:val="00DE0A73"/>
    <w:rsid w:val="00DE100B"/>
    <w:rsid w:val="00DE103F"/>
    <w:rsid w:val="00DE1349"/>
    <w:rsid w:val="00DE2025"/>
    <w:rsid w:val="00DE218B"/>
    <w:rsid w:val="00DE2269"/>
    <w:rsid w:val="00DE244A"/>
    <w:rsid w:val="00DE2596"/>
    <w:rsid w:val="00DE25E4"/>
    <w:rsid w:val="00DE26BB"/>
    <w:rsid w:val="00DE2BEE"/>
    <w:rsid w:val="00DE2C8E"/>
    <w:rsid w:val="00DE2D8C"/>
    <w:rsid w:val="00DE2ED4"/>
    <w:rsid w:val="00DE3701"/>
    <w:rsid w:val="00DE3B84"/>
    <w:rsid w:val="00DE52EE"/>
    <w:rsid w:val="00DE5374"/>
    <w:rsid w:val="00DE563C"/>
    <w:rsid w:val="00DE5A8D"/>
    <w:rsid w:val="00DE5B82"/>
    <w:rsid w:val="00DE5D2C"/>
    <w:rsid w:val="00DE5E33"/>
    <w:rsid w:val="00DE631E"/>
    <w:rsid w:val="00DE6BBD"/>
    <w:rsid w:val="00DE6E5E"/>
    <w:rsid w:val="00DE6FC9"/>
    <w:rsid w:val="00DE723D"/>
    <w:rsid w:val="00DE7265"/>
    <w:rsid w:val="00DE727D"/>
    <w:rsid w:val="00DE748A"/>
    <w:rsid w:val="00DE777C"/>
    <w:rsid w:val="00DF0043"/>
    <w:rsid w:val="00DF06EC"/>
    <w:rsid w:val="00DF0BE4"/>
    <w:rsid w:val="00DF1175"/>
    <w:rsid w:val="00DF16AD"/>
    <w:rsid w:val="00DF17ED"/>
    <w:rsid w:val="00DF1CA1"/>
    <w:rsid w:val="00DF1DDA"/>
    <w:rsid w:val="00DF2251"/>
    <w:rsid w:val="00DF2367"/>
    <w:rsid w:val="00DF23DA"/>
    <w:rsid w:val="00DF27D6"/>
    <w:rsid w:val="00DF2D9F"/>
    <w:rsid w:val="00DF300C"/>
    <w:rsid w:val="00DF3140"/>
    <w:rsid w:val="00DF3B28"/>
    <w:rsid w:val="00DF3D1F"/>
    <w:rsid w:val="00DF4282"/>
    <w:rsid w:val="00DF42C5"/>
    <w:rsid w:val="00DF43AA"/>
    <w:rsid w:val="00DF45B0"/>
    <w:rsid w:val="00DF536B"/>
    <w:rsid w:val="00DF564D"/>
    <w:rsid w:val="00DF5D45"/>
    <w:rsid w:val="00DF5F14"/>
    <w:rsid w:val="00DF6118"/>
    <w:rsid w:val="00DF6452"/>
    <w:rsid w:val="00DF66FE"/>
    <w:rsid w:val="00DF6849"/>
    <w:rsid w:val="00DF6A05"/>
    <w:rsid w:val="00DF710B"/>
    <w:rsid w:val="00DF7850"/>
    <w:rsid w:val="00DF7C51"/>
    <w:rsid w:val="00DF7D39"/>
    <w:rsid w:val="00E007F7"/>
    <w:rsid w:val="00E009AD"/>
    <w:rsid w:val="00E01157"/>
    <w:rsid w:val="00E0118F"/>
    <w:rsid w:val="00E013E8"/>
    <w:rsid w:val="00E01659"/>
    <w:rsid w:val="00E016D1"/>
    <w:rsid w:val="00E01DA7"/>
    <w:rsid w:val="00E01EA5"/>
    <w:rsid w:val="00E021AE"/>
    <w:rsid w:val="00E02C27"/>
    <w:rsid w:val="00E02F11"/>
    <w:rsid w:val="00E03125"/>
    <w:rsid w:val="00E03A40"/>
    <w:rsid w:val="00E03A47"/>
    <w:rsid w:val="00E042E6"/>
    <w:rsid w:val="00E04682"/>
    <w:rsid w:val="00E04948"/>
    <w:rsid w:val="00E04A1F"/>
    <w:rsid w:val="00E04AF0"/>
    <w:rsid w:val="00E04DE6"/>
    <w:rsid w:val="00E0520C"/>
    <w:rsid w:val="00E05270"/>
    <w:rsid w:val="00E0564C"/>
    <w:rsid w:val="00E056F8"/>
    <w:rsid w:val="00E057F6"/>
    <w:rsid w:val="00E05876"/>
    <w:rsid w:val="00E05DFE"/>
    <w:rsid w:val="00E06184"/>
    <w:rsid w:val="00E06622"/>
    <w:rsid w:val="00E070E2"/>
    <w:rsid w:val="00E07612"/>
    <w:rsid w:val="00E0799B"/>
    <w:rsid w:val="00E07CBA"/>
    <w:rsid w:val="00E07D04"/>
    <w:rsid w:val="00E10FC0"/>
    <w:rsid w:val="00E11175"/>
    <w:rsid w:val="00E11DD3"/>
    <w:rsid w:val="00E12139"/>
    <w:rsid w:val="00E12439"/>
    <w:rsid w:val="00E125F8"/>
    <w:rsid w:val="00E12E62"/>
    <w:rsid w:val="00E13084"/>
    <w:rsid w:val="00E133E6"/>
    <w:rsid w:val="00E13BFF"/>
    <w:rsid w:val="00E13E3C"/>
    <w:rsid w:val="00E1416B"/>
    <w:rsid w:val="00E14A6A"/>
    <w:rsid w:val="00E14D80"/>
    <w:rsid w:val="00E14DFF"/>
    <w:rsid w:val="00E14F95"/>
    <w:rsid w:val="00E151BD"/>
    <w:rsid w:val="00E15278"/>
    <w:rsid w:val="00E153E3"/>
    <w:rsid w:val="00E15758"/>
    <w:rsid w:val="00E15799"/>
    <w:rsid w:val="00E15833"/>
    <w:rsid w:val="00E15B8F"/>
    <w:rsid w:val="00E15C2A"/>
    <w:rsid w:val="00E15CDC"/>
    <w:rsid w:val="00E15D12"/>
    <w:rsid w:val="00E161B4"/>
    <w:rsid w:val="00E1643E"/>
    <w:rsid w:val="00E167EA"/>
    <w:rsid w:val="00E16881"/>
    <w:rsid w:val="00E169BF"/>
    <w:rsid w:val="00E16B52"/>
    <w:rsid w:val="00E170C9"/>
    <w:rsid w:val="00E1739E"/>
    <w:rsid w:val="00E1742B"/>
    <w:rsid w:val="00E179F8"/>
    <w:rsid w:val="00E179FA"/>
    <w:rsid w:val="00E17D54"/>
    <w:rsid w:val="00E17F9A"/>
    <w:rsid w:val="00E20BFA"/>
    <w:rsid w:val="00E210F0"/>
    <w:rsid w:val="00E21FE0"/>
    <w:rsid w:val="00E223CA"/>
    <w:rsid w:val="00E22642"/>
    <w:rsid w:val="00E22871"/>
    <w:rsid w:val="00E2297C"/>
    <w:rsid w:val="00E22994"/>
    <w:rsid w:val="00E22A46"/>
    <w:rsid w:val="00E22AE8"/>
    <w:rsid w:val="00E22C01"/>
    <w:rsid w:val="00E22CB4"/>
    <w:rsid w:val="00E23625"/>
    <w:rsid w:val="00E2395F"/>
    <w:rsid w:val="00E23D11"/>
    <w:rsid w:val="00E24BDF"/>
    <w:rsid w:val="00E24CB7"/>
    <w:rsid w:val="00E251F3"/>
    <w:rsid w:val="00E258ED"/>
    <w:rsid w:val="00E2639E"/>
    <w:rsid w:val="00E26DB6"/>
    <w:rsid w:val="00E26F62"/>
    <w:rsid w:val="00E2704A"/>
    <w:rsid w:val="00E270AF"/>
    <w:rsid w:val="00E2765F"/>
    <w:rsid w:val="00E27C73"/>
    <w:rsid w:val="00E27CA7"/>
    <w:rsid w:val="00E27DEC"/>
    <w:rsid w:val="00E30316"/>
    <w:rsid w:val="00E30395"/>
    <w:rsid w:val="00E304C7"/>
    <w:rsid w:val="00E30DB9"/>
    <w:rsid w:val="00E30F5A"/>
    <w:rsid w:val="00E313CD"/>
    <w:rsid w:val="00E315DA"/>
    <w:rsid w:val="00E31F23"/>
    <w:rsid w:val="00E323D4"/>
    <w:rsid w:val="00E32C1E"/>
    <w:rsid w:val="00E32EEA"/>
    <w:rsid w:val="00E3309B"/>
    <w:rsid w:val="00E33376"/>
    <w:rsid w:val="00E33B87"/>
    <w:rsid w:val="00E342BC"/>
    <w:rsid w:val="00E34639"/>
    <w:rsid w:val="00E34811"/>
    <w:rsid w:val="00E34AA5"/>
    <w:rsid w:val="00E352BC"/>
    <w:rsid w:val="00E35453"/>
    <w:rsid w:val="00E3578D"/>
    <w:rsid w:val="00E3588D"/>
    <w:rsid w:val="00E35A88"/>
    <w:rsid w:val="00E35BD9"/>
    <w:rsid w:val="00E35FD2"/>
    <w:rsid w:val="00E3619A"/>
    <w:rsid w:val="00E365F6"/>
    <w:rsid w:val="00E368F7"/>
    <w:rsid w:val="00E3706F"/>
    <w:rsid w:val="00E371AC"/>
    <w:rsid w:val="00E37753"/>
    <w:rsid w:val="00E37980"/>
    <w:rsid w:val="00E37B43"/>
    <w:rsid w:val="00E37BA0"/>
    <w:rsid w:val="00E37C7A"/>
    <w:rsid w:val="00E37FA7"/>
    <w:rsid w:val="00E406A4"/>
    <w:rsid w:val="00E406B7"/>
    <w:rsid w:val="00E41016"/>
    <w:rsid w:val="00E4127B"/>
    <w:rsid w:val="00E413C8"/>
    <w:rsid w:val="00E417F9"/>
    <w:rsid w:val="00E41937"/>
    <w:rsid w:val="00E4196B"/>
    <w:rsid w:val="00E41996"/>
    <w:rsid w:val="00E42111"/>
    <w:rsid w:val="00E422D9"/>
    <w:rsid w:val="00E4232D"/>
    <w:rsid w:val="00E42A34"/>
    <w:rsid w:val="00E436C6"/>
    <w:rsid w:val="00E437EE"/>
    <w:rsid w:val="00E43C7A"/>
    <w:rsid w:val="00E4404D"/>
    <w:rsid w:val="00E4460B"/>
    <w:rsid w:val="00E4463C"/>
    <w:rsid w:val="00E44A37"/>
    <w:rsid w:val="00E4525D"/>
    <w:rsid w:val="00E45B0A"/>
    <w:rsid w:val="00E45BDB"/>
    <w:rsid w:val="00E45E5A"/>
    <w:rsid w:val="00E461EB"/>
    <w:rsid w:val="00E462D3"/>
    <w:rsid w:val="00E463E2"/>
    <w:rsid w:val="00E46E47"/>
    <w:rsid w:val="00E471B4"/>
    <w:rsid w:val="00E475AA"/>
    <w:rsid w:val="00E479E9"/>
    <w:rsid w:val="00E501C5"/>
    <w:rsid w:val="00E5118D"/>
    <w:rsid w:val="00E512B8"/>
    <w:rsid w:val="00E516CB"/>
    <w:rsid w:val="00E52952"/>
    <w:rsid w:val="00E52B24"/>
    <w:rsid w:val="00E52CB9"/>
    <w:rsid w:val="00E52E72"/>
    <w:rsid w:val="00E534C7"/>
    <w:rsid w:val="00E53A37"/>
    <w:rsid w:val="00E53EC5"/>
    <w:rsid w:val="00E54899"/>
    <w:rsid w:val="00E54915"/>
    <w:rsid w:val="00E549D4"/>
    <w:rsid w:val="00E556A7"/>
    <w:rsid w:val="00E55980"/>
    <w:rsid w:val="00E55BD8"/>
    <w:rsid w:val="00E55DEF"/>
    <w:rsid w:val="00E56D99"/>
    <w:rsid w:val="00E56DF0"/>
    <w:rsid w:val="00E56F1A"/>
    <w:rsid w:val="00E5709C"/>
    <w:rsid w:val="00E57163"/>
    <w:rsid w:val="00E57340"/>
    <w:rsid w:val="00E5754B"/>
    <w:rsid w:val="00E5781C"/>
    <w:rsid w:val="00E57B0D"/>
    <w:rsid w:val="00E57F25"/>
    <w:rsid w:val="00E603DC"/>
    <w:rsid w:val="00E606AA"/>
    <w:rsid w:val="00E606E5"/>
    <w:rsid w:val="00E607CF"/>
    <w:rsid w:val="00E60EBC"/>
    <w:rsid w:val="00E60F91"/>
    <w:rsid w:val="00E61BC0"/>
    <w:rsid w:val="00E62212"/>
    <w:rsid w:val="00E62968"/>
    <w:rsid w:val="00E62B44"/>
    <w:rsid w:val="00E63442"/>
    <w:rsid w:val="00E634F8"/>
    <w:rsid w:val="00E63F61"/>
    <w:rsid w:val="00E63FF0"/>
    <w:rsid w:val="00E64288"/>
    <w:rsid w:val="00E64FBD"/>
    <w:rsid w:val="00E6514A"/>
    <w:rsid w:val="00E655C9"/>
    <w:rsid w:val="00E65A8B"/>
    <w:rsid w:val="00E65E1D"/>
    <w:rsid w:val="00E65FE4"/>
    <w:rsid w:val="00E663C2"/>
    <w:rsid w:val="00E66684"/>
    <w:rsid w:val="00E667F9"/>
    <w:rsid w:val="00E66A37"/>
    <w:rsid w:val="00E66B4A"/>
    <w:rsid w:val="00E67665"/>
    <w:rsid w:val="00E678DB"/>
    <w:rsid w:val="00E67DBB"/>
    <w:rsid w:val="00E70250"/>
    <w:rsid w:val="00E70303"/>
    <w:rsid w:val="00E706E6"/>
    <w:rsid w:val="00E7092C"/>
    <w:rsid w:val="00E70A55"/>
    <w:rsid w:val="00E70D11"/>
    <w:rsid w:val="00E71011"/>
    <w:rsid w:val="00E713EF"/>
    <w:rsid w:val="00E71E95"/>
    <w:rsid w:val="00E71EE8"/>
    <w:rsid w:val="00E729CC"/>
    <w:rsid w:val="00E72A65"/>
    <w:rsid w:val="00E731E7"/>
    <w:rsid w:val="00E736F7"/>
    <w:rsid w:val="00E73760"/>
    <w:rsid w:val="00E73D75"/>
    <w:rsid w:val="00E7407A"/>
    <w:rsid w:val="00E74231"/>
    <w:rsid w:val="00E747CD"/>
    <w:rsid w:val="00E74BF5"/>
    <w:rsid w:val="00E74CFA"/>
    <w:rsid w:val="00E75253"/>
    <w:rsid w:val="00E75449"/>
    <w:rsid w:val="00E757DD"/>
    <w:rsid w:val="00E75F8F"/>
    <w:rsid w:val="00E76384"/>
    <w:rsid w:val="00E76414"/>
    <w:rsid w:val="00E7663E"/>
    <w:rsid w:val="00E768A1"/>
    <w:rsid w:val="00E76A21"/>
    <w:rsid w:val="00E774E6"/>
    <w:rsid w:val="00E77981"/>
    <w:rsid w:val="00E804E2"/>
    <w:rsid w:val="00E810FC"/>
    <w:rsid w:val="00E817BF"/>
    <w:rsid w:val="00E81831"/>
    <w:rsid w:val="00E81A1E"/>
    <w:rsid w:val="00E824CE"/>
    <w:rsid w:val="00E8270D"/>
    <w:rsid w:val="00E82A29"/>
    <w:rsid w:val="00E82F38"/>
    <w:rsid w:val="00E82F9B"/>
    <w:rsid w:val="00E830B0"/>
    <w:rsid w:val="00E8337F"/>
    <w:rsid w:val="00E8352D"/>
    <w:rsid w:val="00E83BB1"/>
    <w:rsid w:val="00E846F1"/>
    <w:rsid w:val="00E847C8"/>
    <w:rsid w:val="00E84B35"/>
    <w:rsid w:val="00E84F3F"/>
    <w:rsid w:val="00E85287"/>
    <w:rsid w:val="00E85780"/>
    <w:rsid w:val="00E85C56"/>
    <w:rsid w:val="00E85E13"/>
    <w:rsid w:val="00E85F01"/>
    <w:rsid w:val="00E86097"/>
    <w:rsid w:val="00E86EAE"/>
    <w:rsid w:val="00E87319"/>
    <w:rsid w:val="00E8749E"/>
    <w:rsid w:val="00E87ACE"/>
    <w:rsid w:val="00E90088"/>
    <w:rsid w:val="00E900A8"/>
    <w:rsid w:val="00E9061A"/>
    <w:rsid w:val="00E906A4"/>
    <w:rsid w:val="00E907FD"/>
    <w:rsid w:val="00E90AE3"/>
    <w:rsid w:val="00E90CA9"/>
    <w:rsid w:val="00E9113E"/>
    <w:rsid w:val="00E911E0"/>
    <w:rsid w:val="00E9150E"/>
    <w:rsid w:val="00E919A9"/>
    <w:rsid w:val="00E91F9F"/>
    <w:rsid w:val="00E9289C"/>
    <w:rsid w:val="00E928F2"/>
    <w:rsid w:val="00E92AC0"/>
    <w:rsid w:val="00E92B54"/>
    <w:rsid w:val="00E92CFE"/>
    <w:rsid w:val="00E9336B"/>
    <w:rsid w:val="00E933B1"/>
    <w:rsid w:val="00E93C12"/>
    <w:rsid w:val="00E93E93"/>
    <w:rsid w:val="00E94C11"/>
    <w:rsid w:val="00E94FDA"/>
    <w:rsid w:val="00E950EA"/>
    <w:rsid w:val="00E95793"/>
    <w:rsid w:val="00E95C50"/>
    <w:rsid w:val="00E95F2B"/>
    <w:rsid w:val="00E96544"/>
    <w:rsid w:val="00E9664C"/>
    <w:rsid w:val="00E96B75"/>
    <w:rsid w:val="00E96BBB"/>
    <w:rsid w:val="00E96EEF"/>
    <w:rsid w:val="00E975BB"/>
    <w:rsid w:val="00E97819"/>
    <w:rsid w:val="00E978FD"/>
    <w:rsid w:val="00E97CAB"/>
    <w:rsid w:val="00E97D3F"/>
    <w:rsid w:val="00E97DEB"/>
    <w:rsid w:val="00EA06F3"/>
    <w:rsid w:val="00EA0FB1"/>
    <w:rsid w:val="00EA100D"/>
    <w:rsid w:val="00EA1335"/>
    <w:rsid w:val="00EA1457"/>
    <w:rsid w:val="00EA14A4"/>
    <w:rsid w:val="00EA1AC1"/>
    <w:rsid w:val="00EA1B5A"/>
    <w:rsid w:val="00EA1FBC"/>
    <w:rsid w:val="00EA2520"/>
    <w:rsid w:val="00EA2BE0"/>
    <w:rsid w:val="00EA2E17"/>
    <w:rsid w:val="00EA2F9A"/>
    <w:rsid w:val="00EA30A7"/>
    <w:rsid w:val="00EA324C"/>
    <w:rsid w:val="00EA32B1"/>
    <w:rsid w:val="00EA3A95"/>
    <w:rsid w:val="00EA3F62"/>
    <w:rsid w:val="00EA425A"/>
    <w:rsid w:val="00EA4338"/>
    <w:rsid w:val="00EA4373"/>
    <w:rsid w:val="00EA488F"/>
    <w:rsid w:val="00EA4CCB"/>
    <w:rsid w:val="00EA4DC8"/>
    <w:rsid w:val="00EA524D"/>
    <w:rsid w:val="00EA5454"/>
    <w:rsid w:val="00EA6A55"/>
    <w:rsid w:val="00EA7471"/>
    <w:rsid w:val="00EA7A76"/>
    <w:rsid w:val="00EA7B99"/>
    <w:rsid w:val="00EA7DE2"/>
    <w:rsid w:val="00EA7F71"/>
    <w:rsid w:val="00EB01D7"/>
    <w:rsid w:val="00EB0D0D"/>
    <w:rsid w:val="00EB1275"/>
    <w:rsid w:val="00EB155E"/>
    <w:rsid w:val="00EB1891"/>
    <w:rsid w:val="00EB1B20"/>
    <w:rsid w:val="00EB1C48"/>
    <w:rsid w:val="00EB2296"/>
    <w:rsid w:val="00EB291E"/>
    <w:rsid w:val="00EB2D60"/>
    <w:rsid w:val="00EB3830"/>
    <w:rsid w:val="00EB3C50"/>
    <w:rsid w:val="00EB40B1"/>
    <w:rsid w:val="00EB416F"/>
    <w:rsid w:val="00EB4B0F"/>
    <w:rsid w:val="00EB50BA"/>
    <w:rsid w:val="00EB5A4F"/>
    <w:rsid w:val="00EB6138"/>
    <w:rsid w:val="00EB63F9"/>
    <w:rsid w:val="00EB6418"/>
    <w:rsid w:val="00EB67BB"/>
    <w:rsid w:val="00EB69D0"/>
    <w:rsid w:val="00EB6FD5"/>
    <w:rsid w:val="00EB7324"/>
    <w:rsid w:val="00EB782F"/>
    <w:rsid w:val="00EB7DBB"/>
    <w:rsid w:val="00EB7FDF"/>
    <w:rsid w:val="00EC0082"/>
    <w:rsid w:val="00EC010E"/>
    <w:rsid w:val="00EC03E3"/>
    <w:rsid w:val="00EC058B"/>
    <w:rsid w:val="00EC0C29"/>
    <w:rsid w:val="00EC0FD7"/>
    <w:rsid w:val="00EC16BF"/>
    <w:rsid w:val="00EC1CCD"/>
    <w:rsid w:val="00EC2305"/>
    <w:rsid w:val="00EC2351"/>
    <w:rsid w:val="00EC2465"/>
    <w:rsid w:val="00EC29E0"/>
    <w:rsid w:val="00EC2D4C"/>
    <w:rsid w:val="00EC3430"/>
    <w:rsid w:val="00EC3A92"/>
    <w:rsid w:val="00EC3BC3"/>
    <w:rsid w:val="00EC3C82"/>
    <w:rsid w:val="00EC44F4"/>
    <w:rsid w:val="00EC4633"/>
    <w:rsid w:val="00EC4EC6"/>
    <w:rsid w:val="00EC57A6"/>
    <w:rsid w:val="00EC5D1D"/>
    <w:rsid w:val="00EC609E"/>
    <w:rsid w:val="00EC68BC"/>
    <w:rsid w:val="00EC72D1"/>
    <w:rsid w:val="00EC7622"/>
    <w:rsid w:val="00EC7A0C"/>
    <w:rsid w:val="00EC7CBC"/>
    <w:rsid w:val="00ED0750"/>
    <w:rsid w:val="00ED1896"/>
    <w:rsid w:val="00ED1C24"/>
    <w:rsid w:val="00ED1CA0"/>
    <w:rsid w:val="00ED240F"/>
    <w:rsid w:val="00ED2832"/>
    <w:rsid w:val="00ED2D2D"/>
    <w:rsid w:val="00ED33EA"/>
    <w:rsid w:val="00ED402D"/>
    <w:rsid w:val="00ED4308"/>
    <w:rsid w:val="00ED4893"/>
    <w:rsid w:val="00ED4AA5"/>
    <w:rsid w:val="00ED4C61"/>
    <w:rsid w:val="00ED4F54"/>
    <w:rsid w:val="00ED4FB0"/>
    <w:rsid w:val="00ED50DF"/>
    <w:rsid w:val="00ED5104"/>
    <w:rsid w:val="00ED5437"/>
    <w:rsid w:val="00ED5D15"/>
    <w:rsid w:val="00ED5D9E"/>
    <w:rsid w:val="00ED5DAB"/>
    <w:rsid w:val="00ED633C"/>
    <w:rsid w:val="00ED69DD"/>
    <w:rsid w:val="00ED6B9F"/>
    <w:rsid w:val="00ED70CC"/>
    <w:rsid w:val="00ED7A66"/>
    <w:rsid w:val="00EE02F7"/>
    <w:rsid w:val="00EE0883"/>
    <w:rsid w:val="00EE0FCC"/>
    <w:rsid w:val="00EE11EE"/>
    <w:rsid w:val="00EE1A40"/>
    <w:rsid w:val="00EE220E"/>
    <w:rsid w:val="00EE2412"/>
    <w:rsid w:val="00EE2B53"/>
    <w:rsid w:val="00EE321E"/>
    <w:rsid w:val="00EE360A"/>
    <w:rsid w:val="00EE3795"/>
    <w:rsid w:val="00EE391C"/>
    <w:rsid w:val="00EE39F8"/>
    <w:rsid w:val="00EE3C96"/>
    <w:rsid w:val="00EE3EF6"/>
    <w:rsid w:val="00EE4001"/>
    <w:rsid w:val="00EE438B"/>
    <w:rsid w:val="00EE4485"/>
    <w:rsid w:val="00EE45BF"/>
    <w:rsid w:val="00EE4B94"/>
    <w:rsid w:val="00EE5964"/>
    <w:rsid w:val="00EE5BDD"/>
    <w:rsid w:val="00EE5D26"/>
    <w:rsid w:val="00EE5E90"/>
    <w:rsid w:val="00EE628D"/>
    <w:rsid w:val="00EE6FE6"/>
    <w:rsid w:val="00EE74B2"/>
    <w:rsid w:val="00EE77D3"/>
    <w:rsid w:val="00EE78D6"/>
    <w:rsid w:val="00EE7C3F"/>
    <w:rsid w:val="00EF02E5"/>
    <w:rsid w:val="00EF079A"/>
    <w:rsid w:val="00EF0A1F"/>
    <w:rsid w:val="00EF0B18"/>
    <w:rsid w:val="00EF1232"/>
    <w:rsid w:val="00EF16E5"/>
    <w:rsid w:val="00EF1917"/>
    <w:rsid w:val="00EF1AE6"/>
    <w:rsid w:val="00EF20B2"/>
    <w:rsid w:val="00EF24AC"/>
    <w:rsid w:val="00EF2829"/>
    <w:rsid w:val="00EF28BB"/>
    <w:rsid w:val="00EF2F43"/>
    <w:rsid w:val="00EF38D7"/>
    <w:rsid w:val="00EF3ABD"/>
    <w:rsid w:val="00EF3F32"/>
    <w:rsid w:val="00EF4297"/>
    <w:rsid w:val="00EF4344"/>
    <w:rsid w:val="00EF4A17"/>
    <w:rsid w:val="00EF4E85"/>
    <w:rsid w:val="00EF510D"/>
    <w:rsid w:val="00EF57B9"/>
    <w:rsid w:val="00EF5952"/>
    <w:rsid w:val="00EF5D3B"/>
    <w:rsid w:val="00EF5F28"/>
    <w:rsid w:val="00EF6836"/>
    <w:rsid w:val="00EF69BA"/>
    <w:rsid w:val="00EF6A5E"/>
    <w:rsid w:val="00EF6DF7"/>
    <w:rsid w:val="00EF7145"/>
    <w:rsid w:val="00EF7AE8"/>
    <w:rsid w:val="00EF7C6E"/>
    <w:rsid w:val="00EF7CE5"/>
    <w:rsid w:val="00EF7DF3"/>
    <w:rsid w:val="00F00339"/>
    <w:rsid w:val="00F00A92"/>
    <w:rsid w:val="00F00D85"/>
    <w:rsid w:val="00F01029"/>
    <w:rsid w:val="00F0144F"/>
    <w:rsid w:val="00F01605"/>
    <w:rsid w:val="00F0184F"/>
    <w:rsid w:val="00F01890"/>
    <w:rsid w:val="00F01CAE"/>
    <w:rsid w:val="00F01E99"/>
    <w:rsid w:val="00F01EFB"/>
    <w:rsid w:val="00F0204F"/>
    <w:rsid w:val="00F02991"/>
    <w:rsid w:val="00F02DB8"/>
    <w:rsid w:val="00F04542"/>
    <w:rsid w:val="00F052C2"/>
    <w:rsid w:val="00F05D27"/>
    <w:rsid w:val="00F05DDF"/>
    <w:rsid w:val="00F06082"/>
    <w:rsid w:val="00F064CA"/>
    <w:rsid w:val="00F0667C"/>
    <w:rsid w:val="00F066AA"/>
    <w:rsid w:val="00F06B82"/>
    <w:rsid w:val="00F07225"/>
    <w:rsid w:val="00F07ACD"/>
    <w:rsid w:val="00F07BE0"/>
    <w:rsid w:val="00F07EA4"/>
    <w:rsid w:val="00F1063F"/>
    <w:rsid w:val="00F10726"/>
    <w:rsid w:val="00F10BA0"/>
    <w:rsid w:val="00F10D9E"/>
    <w:rsid w:val="00F10E28"/>
    <w:rsid w:val="00F11025"/>
    <w:rsid w:val="00F1137D"/>
    <w:rsid w:val="00F11A89"/>
    <w:rsid w:val="00F122C4"/>
    <w:rsid w:val="00F124B4"/>
    <w:rsid w:val="00F12902"/>
    <w:rsid w:val="00F12C61"/>
    <w:rsid w:val="00F12DEB"/>
    <w:rsid w:val="00F12E95"/>
    <w:rsid w:val="00F14188"/>
    <w:rsid w:val="00F143C9"/>
    <w:rsid w:val="00F14803"/>
    <w:rsid w:val="00F15D5A"/>
    <w:rsid w:val="00F16290"/>
    <w:rsid w:val="00F16469"/>
    <w:rsid w:val="00F1667A"/>
    <w:rsid w:val="00F16A9F"/>
    <w:rsid w:val="00F16E6A"/>
    <w:rsid w:val="00F17802"/>
    <w:rsid w:val="00F17D36"/>
    <w:rsid w:val="00F17DFC"/>
    <w:rsid w:val="00F20811"/>
    <w:rsid w:val="00F20A68"/>
    <w:rsid w:val="00F20D66"/>
    <w:rsid w:val="00F20E8E"/>
    <w:rsid w:val="00F20F4D"/>
    <w:rsid w:val="00F210F5"/>
    <w:rsid w:val="00F212F7"/>
    <w:rsid w:val="00F2138F"/>
    <w:rsid w:val="00F213E1"/>
    <w:rsid w:val="00F21753"/>
    <w:rsid w:val="00F2229E"/>
    <w:rsid w:val="00F222B6"/>
    <w:rsid w:val="00F223BA"/>
    <w:rsid w:val="00F225E0"/>
    <w:rsid w:val="00F22A93"/>
    <w:rsid w:val="00F22D23"/>
    <w:rsid w:val="00F23005"/>
    <w:rsid w:val="00F230CD"/>
    <w:rsid w:val="00F2350C"/>
    <w:rsid w:val="00F23692"/>
    <w:rsid w:val="00F23715"/>
    <w:rsid w:val="00F23759"/>
    <w:rsid w:val="00F238A9"/>
    <w:rsid w:val="00F23B5F"/>
    <w:rsid w:val="00F246DC"/>
    <w:rsid w:val="00F24746"/>
    <w:rsid w:val="00F25155"/>
    <w:rsid w:val="00F2572F"/>
    <w:rsid w:val="00F25A63"/>
    <w:rsid w:val="00F25E46"/>
    <w:rsid w:val="00F25FD4"/>
    <w:rsid w:val="00F26310"/>
    <w:rsid w:val="00F26381"/>
    <w:rsid w:val="00F2643F"/>
    <w:rsid w:val="00F2690E"/>
    <w:rsid w:val="00F2694A"/>
    <w:rsid w:val="00F26CD0"/>
    <w:rsid w:val="00F26EB7"/>
    <w:rsid w:val="00F26FCE"/>
    <w:rsid w:val="00F27190"/>
    <w:rsid w:val="00F2720F"/>
    <w:rsid w:val="00F275E2"/>
    <w:rsid w:val="00F276B3"/>
    <w:rsid w:val="00F27F1A"/>
    <w:rsid w:val="00F308C2"/>
    <w:rsid w:val="00F30952"/>
    <w:rsid w:val="00F309A5"/>
    <w:rsid w:val="00F3112C"/>
    <w:rsid w:val="00F3112E"/>
    <w:rsid w:val="00F3116C"/>
    <w:rsid w:val="00F31A7E"/>
    <w:rsid w:val="00F31B87"/>
    <w:rsid w:val="00F31F05"/>
    <w:rsid w:val="00F328CB"/>
    <w:rsid w:val="00F32911"/>
    <w:rsid w:val="00F32AF1"/>
    <w:rsid w:val="00F32FD1"/>
    <w:rsid w:val="00F32FEF"/>
    <w:rsid w:val="00F332EE"/>
    <w:rsid w:val="00F3367F"/>
    <w:rsid w:val="00F336AD"/>
    <w:rsid w:val="00F341DD"/>
    <w:rsid w:val="00F34730"/>
    <w:rsid w:val="00F34AFF"/>
    <w:rsid w:val="00F34CDC"/>
    <w:rsid w:val="00F34ED5"/>
    <w:rsid w:val="00F35A8B"/>
    <w:rsid w:val="00F35A92"/>
    <w:rsid w:val="00F35B98"/>
    <w:rsid w:val="00F36134"/>
    <w:rsid w:val="00F36367"/>
    <w:rsid w:val="00F36563"/>
    <w:rsid w:val="00F36725"/>
    <w:rsid w:val="00F36AEB"/>
    <w:rsid w:val="00F36AFE"/>
    <w:rsid w:val="00F36CF7"/>
    <w:rsid w:val="00F36FFF"/>
    <w:rsid w:val="00F371B8"/>
    <w:rsid w:val="00F37BCA"/>
    <w:rsid w:val="00F40153"/>
    <w:rsid w:val="00F409E4"/>
    <w:rsid w:val="00F40AEE"/>
    <w:rsid w:val="00F40CB2"/>
    <w:rsid w:val="00F40D68"/>
    <w:rsid w:val="00F40FE2"/>
    <w:rsid w:val="00F410F2"/>
    <w:rsid w:val="00F411B5"/>
    <w:rsid w:val="00F41491"/>
    <w:rsid w:val="00F418D8"/>
    <w:rsid w:val="00F418E0"/>
    <w:rsid w:val="00F41D21"/>
    <w:rsid w:val="00F4285A"/>
    <w:rsid w:val="00F42CCD"/>
    <w:rsid w:val="00F42E8D"/>
    <w:rsid w:val="00F42F9B"/>
    <w:rsid w:val="00F43B10"/>
    <w:rsid w:val="00F44069"/>
    <w:rsid w:val="00F44164"/>
    <w:rsid w:val="00F441F0"/>
    <w:rsid w:val="00F4422D"/>
    <w:rsid w:val="00F4424B"/>
    <w:rsid w:val="00F44301"/>
    <w:rsid w:val="00F45074"/>
    <w:rsid w:val="00F450F6"/>
    <w:rsid w:val="00F45505"/>
    <w:rsid w:val="00F45A5A"/>
    <w:rsid w:val="00F45F8E"/>
    <w:rsid w:val="00F463FB"/>
    <w:rsid w:val="00F46B52"/>
    <w:rsid w:val="00F46F90"/>
    <w:rsid w:val="00F47443"/>
    <w:rsid w:val="00F4772E"/>
    <w:rsid w:val="00F47A2C"/>
    <w:rsid w:val="00F501B9"/>
    <w:rsid w:val="00F51BFC"/>
    <w:rsid w:val="00F51C2D"/>
    <w:rsid w:val="00F51DF2"/>
    <w:rsid w:val="00F52045"/>
    <w:rsid w:val="00F520E0"/>
    <w:rsid w:val="00F5236A"/>
    <w:rsid w:val="00F524AD"/>
    <w:rsid w:val="00F52873"/>
    <w:rsid w:val="00F52B93"/>
    <w:rsid w:val="00F52D68"/>
    <w:rsid w:val="00F52D86"/>
    <w:rsid w:val="00F52E1B"/>
    <w:rsid w:val="00F538A3"/>
    <w:rsid w:val="00F5438B"/>
    <w:rsid w:val="00F54BF8"/>
    <w:rsid w:val="00F55187"/>
    <w:rsid w:val="00F55464"/>
    <w:rsid w:val="00F5551A"/>
    <w:rsid w:val="00F55D54"/>
    <w:rsid w:val="00F55E04"/>
    <w:rsid w:val="00F5673B"/>
    <w:rsid w:val="00F57B41"/>
    <w:rsid w:val="00F57D64"/>
    <w:rsid w:val="00F602D6"/>
    <w:rsid w:val="00F60373"/>
    <w:rsid w:val="00F6134F"/>
    <w:rsid w:val="00F6138E"/>
    <w:rsid w:val="00F615CA"/>
    <w:rsid w:val="00F61802"/>
    <w:rsid w:val="00F619BC"/>
    <w:rsid w:val="00F624F4"/>
    <w:rsid w:val="00F6257D"/>
    <w:rsid w:val="00F62AD6"/>
    <w:rsid w:val="00F62C13"/>
    <w:rsid w:val="00F62F73"/>
    <w:rsid w:val="00F62FC5"/>
    <w:rsid w:val="00F6327B"/>
    <w:rsid w:val="00F6392B"/>
    <w:rsid w:val="00F63D1B"/>
    <w:rsid w:val="00F641D7"/>
    <w:rsid w:val="00F64305"/>
    <w:rsid w:val="00F64389"/>
    <w:rsid w:val="00F6515F"/>
    <w:rsid w:val="00F654EF"/>
    <w:rsid w:val="00F65F5B"/>
    <w:rsid w:val="00F6615A"/>
    <w:rsid w:val="00F663BD"/>
    <w:rsid w:val="00F66D14"/>
    <w:rsid w:val="00F6730A"/>
    <w:rsid w:val="00F6742C"/>
    <w:rsid w:val="00F67634"/>
    <w:rsid w:val="00F7065B"/>
    <w:rsid w:val="00F717F9"/>
    <w:rsid w:val="00F71DC0"/>
    <w:rsid w:val="00F71E7E"/>
    <w:rsid w:val="00F72260"/>
    <w:rsid w:val="00F72345"/>
    <w:rsid w:val="00F72B57"/>
    <w:rsid w:val="00F72BDA"/>
    <w:rsid w:val="00F72E44"/>
    <w:rsid w:val="00F72F83"/>
    <w:rsid w:val="00F736AD"/>
    <w:rsid w:val="00F73899"/>
    <w:rsid w:val="00F73A09"/>
    <w:rsid w:val="00F73C74"/>
    <w:rsid w:val="00F73CA3"/>
    <w:rsid w:val="00F74C80"/>
    <w:rsid w:val="00F7544A"/>
    <w:rsid w:val="00F75DF4"/>
    <w:rsid w:val="00F75E66"/>
    <w:rsid w:val="00F7620F"/>
    <w:rsid w:val="00F76239"/>
    <w:rsid w:val="00F76717"/>
    <w:rsid w:val="00F76AB9"/>
    <w:rsid w:val="00F76E2C"/>
    <w:rsid w:val="00F7703F"/>
    <w:rsid w:val="00F770AB"/>
    <w:rsid w:val="00F77E2E"/>
    <w:rsid w:val="00F81200"/>
    <w:rsid w:val="00F81407"/>
    <w:rsid w:val="00F81812"/>
    <w:rsid w:val="00F81EBF"/>
    <w:rsid w:val="00F81F02"/>
    <w:rsid w:val="00F8206A"/>
    <w:rsid w:val="00F82375"/>
    <w:rsid w:val="00F82533"/>
    <w:rsid w:val="00F82744"/>
    <w:rsid w:val="00F82BEE"/>
    <w:rsid w:val="00F82F81"/>
    <w:rsid w:val="00F831C6"/>
    <w:rsid w:val="00F835A3"/>
    <w:rsid w:val="00F839E2"/>
    <w:rsid w:val="00F839FD"/>
    <w:rsid w:val="00F83F5B"/>
    <w:rsid w:val="00F83F74"/>
    <w:rsid w:val="00F843C4"/>
    <w:rsid w:val="00F848FB"/>
    <w:rsid w:val="00F84AB0"/>
    <w:rsid w:val="00F84AF5"/>
    <w:rsid w:val="00F84C6D"/>
    <w:rsid w:val="00F84C7A"/>
    <w:rsid w:val="00F853A3"/>
    <w:rsid w:val="00F85471"/>
    <w:rsid w:val="00F85E0B"/>
    <w:rsid w:val="00F85EA1"/>
    <w:rsid w:val="00F863E4"/>
    <w:rsid w:val="00F864F9"/>
    <w:rsid w:val="00F86806"/>
    <w:rsid w:val="00F870A4"/>
    <w:rsid w:val="00F875F3"/>
    <w:rsid w:val="00F8768F"/>
    <w:rsid w:val="00F876F9"/>
    <w:rsid w:val="00F87A7D"/>
    <w:rsid w:val="00F90533"/>
    <w:rsid w:val="00F906BB"/>
    <w:rsid w:val="00F9072C"/>
    <w:rsid w:val="00F909DC"/>
    <w:rsid w:val="00F90B13"/>
    <w:rsid w:val="00F91CAD"/>
    <w:rsid w:val="00F91FA4"/>
    <w:rsid w:val="00F9215B"/>
    <w:rsid w:val="00F9248B"/>
    <w:rsid w:val="00F925CE"/>
    <w:rsid w:val="00F9278C"/>
    <w:rsid w:val="00F92AB6"/>
    <w:rsid w:val="00F92AF1"/>
    <w:rsid w:val="00F92EEB"/>
    <w:rsid w:val="00F93025"/>
    <w:rsid w:val="00F930BD"/>
    <w:rsid w:val="00F932CB"/>
    <w:rsid w:val="00F9375D"/>
    <w:rsid w:val="00F938A0"/>
    <w:rsid w:val="00F93B0A"/>
    <w:rsid w:val="00F93BAD"/>
    <w:rsid w:val="00F94284"/>
    <w:rsid w:val="00F94814"/>
    <w:rsid w:val="00F94F38"/>
    <w:rsid w:val="00F952FF"/>
    <w:rsid w:val="00F96242"/>
    <w:rsid w:val="00F966E2"/>
    <w:rsid w:val="00F97022"/>
    <w:rsid w:val="00F971CE"/>
    <w:rsid w:val="00F97252"/>
    <w:rsid w:val="00F973D7"/>
    <w:rsid w:val="00F9779B"/>
    <w:rsid w:val="00F978CE"/>
    <w:rsid w:val="00F97DA3"/>
    <w:rsid w:val="00F97F21"/>
    <w:rsid w:val="00FA082A"/>
    <w:rsid w:val="00FA0EA4"/>
    <w:rsid w:val="00FA0F9D"/>
    <w:rsid w:val="00FA16F5"/>
    <w:rsid w:val="00FA1A08"/>
    <w:rsid w:val="00FA1CB7"/>
    <w:rsid w:val="00FA1EEB"/>
    <w:rsid w:val="00FA2030"/>
    <w:rsid w:val="00FA21FF"/>
    <w:rsid w:val="00FA22A6"/>
    <w:rsid w:val="00FA240A"/>
    <w:rsid w:val="00FA2E8E"/>
    <w:rsid w:val="00FA2FE2"/>
    <w:rsid w:val="00FA3003"/>
    <w:rsid w:val="00FA3507"/>
    <w:rsid w:val="00FA35AA"/>
    <w:rsid w:val="00FA36BF"/>
    <w:rsid w:val="00FA405F"/>
    <w:rsid w:val="00FA42DA"/>
    <w:rsid w:val="00FA4685"/>
    <w:rsid w:val="00FA4851"/>
    <w:rsid w:val="00FA4A0F"/>
    <w:rsid w:val="00FA4ACC"/>
    <w:rsid w:val="00FA4AEC"/>
    <w:rsid w:val="00FA5236"/>
    <w:rsid w:val="00FA52E5"/>
    <w:rsid w:val="00FA5401"/>
    <w:rsid w:val="00FA6573"/>
    <w:rsid w:val="00FA7067"/>
    <w:rsid w:val="00FA748C"/>
    <w:rsid w:val="00FA7959"/>
    <w:rsid w:val="00FA79D9"/>
    <w:rsid w:val="00FA7D74"/>
    <w:rsid w:val="00FA7F3A"/>
    <w:rsid w:val="00FB01E3"/>
    <w:rsid w:val="00FB053E"/>
    <w:rsid w:val="00FB0587"/>
    <w:rsid w:val="00FB07C8"/>
    <w:rsid w:val="00FB0ABF"/>
    <w:rsid w:val="00FB1108"/>
    <w:rsid w:val="00FB144D"/>
    <w:rsid w:val="00FB14F7"/>
    <w:rsid w:val="00FB177E"/>
    <w:rsid w:val="00FB1E85"/>
    <w:rsid w:val="00FB27AD"/>
    <w:rsid w:val="00FB2973"/>
    <w:rsid w:val="00FB29AD"/>
    <w:rsid w:val="00FB2DBA"/>
    <w:rsid w:val="00FB31C4"/>
    <w:rsid w:val="00FB360C"/>
    <w:rsid w:val="00FB3980"/>
    <w:rsid w:val="00FB41B6"/>
    <w:rsid w:val="00FB444D"/>
    <w:rsid w:val="00FB4D87"/>
    <w:rsid w:val="00FB4DC4"/>
    <w:rsid w:val="00FB4FF4"/>
    <w:rsid w:val="00FB52CF"/>
    <w:rsid w:val="00FB5380"/>
    <w:rsid w:val="00FB5581"/>
    <w:rsid w:val="00FB682B"/>
    <w:rsid w:val="00FB6F19"/>
    <w:rsid w:val="00FB7021"/>
    <w:rsid w:val="00FB7077"/>
    <w:rsid w:val="00FB70A0"/>
    <w:rsid w:val="00FB7466"/>
    <w:rsid w:val="00FB7F83"/>
    <w:rsid w:val="00FB7FA4"/>
    <w:rsid w:val="00FC0178"/>
    <w:rsid w:val="00FC043D"/>
    <w:rsid w:val="00FC0702"/>
    <w:rsid w:val="00FC0F4C"/>
    <w:rsid w:val="00FC1684"/>
    <w:rsid w:val="00FC2117"/>
    <w:rsid w:val="00FC21FA"/>
    <w:rsid w:val="00FC2BDE"/>
    <w:rsid w:val="00FC2C19"/>
    <w:rsid w:val="00FC2CA1"/>
    <w:rsid w:val="00FC2CE3"/>
    <w:rsid w:val="00FC3402"/>
    <w:rsid w:val="00FC34AC"/>
    <w:rsid w:val="00FC35FF"/>
    <w:rsid w:val="00FC366C"/>
    <w:rsid w:val="00FC3E5B"/>
    <w:rsid w:val="00FC4A8C"/>
    <w:rsid w:val="00FC5048"/>
    <w:rsid w:val="00FC55FE"/>
    <w:rsid w:val="00FC5A6D"/>
    <w:rsid w:val="00FC5C6B"/>
    <w:rsid w:val="00FC6521"/>
    <w:rsid w:val="00FC6856"/>
    <w:rsid w:val="00FC6951"/>
    <w:rsid w:val="00FC69AB"/>
    <w:rsid w:val="00FC6CEA"/>
    <w:rsid w:val="00FC6E10"/>
    <w:rsid w:val="00FC6FEC"/>
    <w:rsid w:val="00FC7241"/>
    <w:rsid w:val="00FC7684"/>
    <w:rsid w:val="00FC77F9"/>
    <w:rsid w:val="00FC7F7E"/>
    <w:rsid w:val="00FD0549"/>
    <w:rsid w:val="00FD08E8"/>
    <w:rsid w:val="00FD0F9D"/>
    <w:rsid w:val="00FD11A9"/>
    <w:rsid w:val="00FD140D"/>
    <w:rsid w:val="00FD18AD"/>
    <w:rsid w:val="00FD1A35"/>
    <w:rsid w:val="00FD1E73"/>
    <w:rsid w:val="00FD2423"/>
    <w:rsid w:val="00FD334D"/>
    <w:rsid w:val="00FD38E2"/>
    <w:rsid w:val="00FD3A0D"/>
    <w:rsid w:val="00FD3B61"/>
    <w:rsid w:val="00FD3C67"/>
    <w:rsid w:val="00FD4215"/>
    <w:rsid w:val="00FD4303"/>
    <w:rsid w:val="00FD4760"/>
    <w:rsid w:val="00FD4873"/>
    <w:rsid w:val="00FD48BB"/>
    <w:rsid w:val="00FD4DFC"/>
    <w:rsid w:val="00FD4E18"/>
    <w:rsid w:val="00FD4F9E"/>
    <w:rsid w:val="00FD50E6"/>
    <w:rsid w:val="00FD51AC"/>
    <w:rsid w:val="00FD5BCF"/>
    <w:rsid w:val="00FD5FE4"/>
    <w:rsid w:val="00FD65BE"/>
    <w:rsid w:val="00FD73DA"/>
    <w:rsid w:val="00FD754E"/>
    <w:rsid w:val="00FD7B83"/>
    <w:rsid w:val="00FD7BFF"/>
    <w:rsid w:val="00FD7EB1"/>
    <w:rsid w:val="00FE0146"/>
    <w:rsid w:val="00FE0327"/>
    <w:rsid w:val="00FE07E7"/>
    <w:rsid w:val="00FE0845"/>
    <w:rsid w:val="00FE0924"/>
    <w:rsid w:val="00FE0BE7"/>
    <w:rsid w:val="00FE134F"/>
    <w:rsid w:val="00FE15F5"/>
    <w:rsid w:val="00FE1894"/>
    <w:rsid w:val="00FE190E"/>
    <w:rsid w:val="00FE1941"/>
    <w:rsid w:val="00FE1A2A"/>
    <w:rsid w:val="00FE1A47"/>
    <w:rsid w:val="00FE1FD7"/>
    <w:rsid w:val="00FE21FE"/>
    <w:rsid w:val="00FE249D"/>
    <w:rsid w:val="00FE2B78"/>
    <w:rsid w:val="00FE2C6A"/>
    <w:rsid w:val="00FE2D55"/>
    <w:rsid w:val="00FE300E"/>
    <w:rsid w:val="00FE4010"/>
    <w:rsid w:val="00FE413F"/>
    <w:rsid w:val="00FE45E0"/>
    <w:rsid w:val="00FE4A40"/>
    <w:rsid w:val="00FE56F2"/>
    <w:rsid w:val="00FE5DDA"/>
    <w:rsid w:val="00FE6402"/>
    <w:rsid w:val="00FE66FA"/>
    <w:rsid w:val="00FE6FC7"/>
    <w:rsid w:val="00FE764E"/>
    <w:rsid w:val="00FE7BD7"/>
    <w:rsid w:val="00FE7D75"/>
    <w:rsid w:val="00FE7E1E"/>
    <w:rsid w:val="00FE7F0D"/>
    <w:rsid w:val="00FF0132"/>
    <w:rsid w:val="00FF0C08"/>
    <w:rsid w:val="00FF1172"/>
    <w:rsid w:val="00FF191E"/>
    <w:rsid w:val="00FF23AD"/>
    <w:rsid w:val="00FF2C0D"/>
    <w:rsid w:val="00FF2EE9"/>
    <w:rsid w:val="00FF2F2E"/>
    <w:rsid w:val="00FF3120"/>
    <w:rsid w:val="00FF338D"/>
    <w:rsid w:val="00FF3411"/>
    <w:rsid w:val="00FF3A4A"/>
    <w:rsid w:val="00FF3C87"/>
    <w:rsid w:val="00FF4026"/>
    <w:rsid w:val="00FF40B4"/>
    <w:rsid w:val="00FF4B41"/>
    <w:rsid w:val="00FF4BFA"/>
    <w:rsid w:val="00FF4E3A"/>
    <w:rsid w:val="00FF5A2C"/>
    <w:rsid w:val="00FF5E36"/>
    <w:rsid w:val="00FF6429"/>
    <w:rsid w:val="00FF6715"/>
    <w:rsid w:val="00FF6894"/>
    <w:rsid w:val="00FF6FC2"/>
    <w:rsid w:val="00FF7719"/>
    <w:rsid w:val="00FF7899"/>
    <w:rsid w:val="00FF79A5"/>
    <w:rsid w:val="00FF7A04"/>
    <w:rsid w:val="00FF7A92"/>
    <w:rsid w:val="00FF7CCB"/>
    <w:rsid w:val="00FF7D8E"/>
    <w:rsid w:val="0E8EE120"/>
    <w:rsid w:val="122372D5"/>
    <w:rsid w:val="48CAD833"/>
    <w:rsid w:val="599310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EBD86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0"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2" w:uiPriority="42"/>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21A53"/>
    <w:rPr>
      <w:rFonts w:ascii="Times New Roman" w:hAnsi="Times New Roman"/>
      <w:lang w:eastAsia="zh-CN"/>
    </w:rPr>
  </w:style>
  <w:style w:type="paragraph" w:styleId="Heading1">
    <w:name w:val="heading 1"/>
    <w:basedOn w:val="Normal"/>
    <w:next w:val="Normal"/>
    <w:link w:val="Heading1Char"/>
    <w:qFormat/>
    <w:rsid w:val="00F4772E"/>
    <w:pPr>
      <w:keepNext/>
      <w:ind w:firstLine="720"/>
      <w:outlineLvl w:val="0"/>
    </w:pPr>
    <w:rPr>
      <w:b/>
      <w:bCs/>
      <w:sz w:val="22"/>
    </w:rPr>
  </w:style>
  <w:style w:type="paragraph" w:styleId="Heading2">
    <w:name w:val="heading 2"/>
    <w:basedOn w:val="Normal"/>
    <w:next w:val="Normal"/>
    <w:link w:val="Heading2Char"/>
    <w:qFormat/>
    <w:rsid w:val="00F4772E"/>
    <w:pPr>
      <w:keepNext/>
      <w:outlineLvl w:val="1"/>
    </w:pPr>
    <w:rPr>
      <w:b/>
      <w:bCs/>
    </w:rPr>
  </w:style>
  <w:style w:type="paragraph" w:styleId="Heading6">
    <w:name w:val="heading 6"/>
    <w:basedOn w:val="Normal"/>
    <w:next w:val="Normal"/>
    <w:link w:val="Heading6Char"/>
    <w:qFormat/>
    <w:rsid w:val="00F4772E"/>
    <w:pPr>
      <w:keepNext/>
      <w:outlineLvl w:val="5"/>
    </w:pPr>
    <w:rPr>
      <w:b/>
      <w:sz w:val="20"/>
    </w:rPr>
  </w:style>
  <w:style w:type="paragraph" w:styleId="Heading9">
    <w:name w:val="heading 9"/>
    <w:basedOn w:val="Normal"/>
    <w:next w:val="Normal"/>
    <w:link w:val="Heading9Char"/>
    <w:uiPriority w:val="9"/>
    <w:semiHidden/>
    <w:unhideWhenUsed/>
    <w:qFormat/>
    <w:rsid w:val="00414AD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4772E"/>
    <w:rPr>
      <w:rFonts w:ascii="Times New Roman" w:eastAsia="Times New Roman" w:hAnsi="Times New Roman" w:cs="Times New Roman"/>
      <w:b/>
      <w:bCs/>
      <w:szCs w:val="20"/>
      <w:lang w:val="en-GB"/>
    </w:rPr>
  </w:style>
  <w:style w:type="character" w:customStyle="1" w:styleId="Heading2Char">
    <w:name w:val="Heading 2 Char"/>
    <w:link w:val="Heading2"/>
    <w:rsid w:val="00F4772E"/>
    <w:rPr>
      <w:rFonts w:ascii="Times New Roman" w:eastAsia="Times New Roman" w:hAnsi="Times New Roman" w:cs="Times New Roman"/>
      <w:b/>
      <w:bCs/>
      <w:sz w:val="24"/>
      <w:szCs w:val="20"/>
      <w:lang w:val="en-GB"/>
    </w:rPr>
  </w:style>
  <w:style w:type="character" w:customStyle="1" w:styleId="Heading6Char">
    <w:name w:val="Heading 6 Char"/>
    <w:link w:val="Heading6"/>
    <w:rsid w:val="00F4772E"/>
    <w:rPr>
      <w:rFonts w:ascii="Times New Roman" w:eastAsia="Times New Roman" w:hAnsi="Times New Roman" w:cs="Times New Roman"/>
      <w:b/>
      <w:sz w:val="20"/>
      <w:szCs w:val="20"/>
      <w:lang w:val="en-GB"/>
    </w:rPr>
  </w:style>
  <w:style w:type="paragraph" w:styleId="FootnoteText">
    <w:name w:val="footnote text"/>
    <w:aliases w:val="Footnote Text Char1,Footnote Text Char2,Footnote Text Char1 Char1,Footnote Text Char Char Char1,Footnote Text Char1 Char Char,Footnote Text Char Char Char Char,Footnote Text Char Char1 Char,Footnote Text Char Char2,ft,single space,Char,f"/>
    <w:basedOn w:val="Normal"/>
    <w:link w:val="FootnoteTextChar"/>
    <w:uiPriority w:val="99"/>
    <w:rsid w:val="00F4772E"/>
    <w:rPr>
      <w:sz w:val="20"/>
    </w:rPr>
  </w:style>
  <w:style w:type="character" w:customStyle="1" w:styleId="FootnoteTextChar">
    <w:name w:val="Footnote Text Char"/>
    <w:aliases w:val="Footnote Text Char1 Char,Footnote Text Char2 Char,Footnote Text Char1 Char1 Char,Footnote Text Char Char Char1 Char,Footnote Text Char1 Char Char Char,Footnote Text Char Char Char Char Char,Footnote Text Char Char1 Char Char,ft Char"/>
    <w:link w:val="FootnoteText"/>
    <w:uiPriority w:val="99"/>
    <w:rsid w:val="00F4772E"/>
    <w:rPr>
      <w:rFonts w:ascii="Times New Roman" w:eastAsia="Times New Roman" w:hAnsi="Times New Roman" w:cs="Times New Roman"/>
      <w:sz w:val="20"/>
      <w:szCs w:val="20"/>
    </w:rPr>
  </w:style>
  <w:style w:type="paragraph" w:styleId="Header">
    <w:name w:val="header"/>
    <w:basedOn w:val="Normal"/>
    <w:link w:val="HeaderChar"/>
    <w:rsid w:val="00F4772E"/>
    <w:pPr>
      <w:tabs>
        <w:tab w:val="center" w:pos="4320"/>
        <w:tab w:val="right" w:pos="8640"/>
      </w:tabs>
    </w:pPr>
    <w:rPr>
      <w:sz w:val="20"/>
    </w:rPr>
  </w:style>
  <w:style w:type="character" w:customStyle="1" w:styleId="HeaderChar">
    <w:name w:val="Header Char"/>
    <w:link w:val="Header"/>
    <w:uiPriority w:val="99"/>
    <w:rsid w:val="00F4772E"/>
    <w:rPr>
      <w:rFonts w:ascii="Times New Roman" w:eastAsia="Times New Roman" w:hAnsi="Times New Roman" w:cs="Times New Roman"/>
      <w:sz w:val="20"/>
      <w:szCs w:val="20"/>
    </w:rPr>
  </w:style>
  <w:style w:type="paragraph" w:customStyle="1" w:styleId="HCh">
    <w:name w:val="_ H _Ch"/>
    <w:basedOn w:val="Normal"/>
    <w:next w:val="Normal"/>
    <w:rsid w:val="00F4772E"/>
    <w:pPr>
      <w:keepNext/>
      <w:keepLines/>
      <w:suppressAutoHyphens/>
      <w:spacing w:line="300" w:lineRule="exact"/>
      <w:outlineLvl w:val="0"/>
    </w:pPr>
    <w:rPr>
      <w:b/>
      <w:spacing w:val="-2"/>
      <w:w w:val="103"/>
      <w:kern w:val="14"/>
      <w:sz w:val="28"/>
    </w:rPr>
  </w:style>
  <w:style w:type="paragraph" w:customStyle="1" w:styleId="XLarge">
    <w:name w:val="XLarge"/>
    <w:basedOn w:val="Normal"/>
    <w:rsid w:val="00F4772E"/>
    <w:pPr>
      <w:keepNext/>
      <w:keepLines/>
      <w:tabs>
        <w:tab w:val="right" w:leader="dot" w:pos="360"/>
      </w:tabs>
      <w:suppressAutoHyphens/>
      <w:spacing w:line="390" w:lineRule="exact"/>
      <w:outlineLvl w:val="0"/>
    </w:pPr>
    <w:rPr>
      <w:b/>
      <w:spacing w:val="-4"/>
      <w:w w:val="98"/>
      <w:kern w:val="14"/>
      <w:sz w:val="40"/>
    </w:rPr>
  </w:style>
  <w:style w:type="paragraph" w:styleId="BodyText">
    <w:name w:val="Body Text"/>
    <w:basedOn w:val="Normal"/>
    <w:link w:val="BodyTextChar"/>
    <w:rsid w:val="00F4772E"/>
    <w:pPr>
      <w:spacing w:after="120"/>
    </w:pPr>
    <w:rPr>
      <w:sz w:val="20"/>
    </w:rPr>
  </w:style>
  <w:style w:type="character" w:customStyle="1" w:styleId="BodyTextChar">
    <w:name w:val="Body Text Char"/>
    <w:link w:val="BodyText"/>
    <w:rsid w:val="00F4772E"/>
    <w:rPr>
      <w:rFonts w:ascii="Times New Roman" w:eastAsia="Times New Roman" w:hAnsi="Times New Roman" w:cs="Times New Roman"/>
      <w:sz w:val="20"/>
      <w:szCs w:val="20"/>
    </w:rPr>
  </w:style>
  <w:style w:type="paragraph" w:styleId="Footer">
    <w:name w:val="footer"/>
    <w:basedOn w:val="Normal"/>
    <w:link w:val="FooterChar"/>
    <w:uiPriority w:val="99"/>
    <w:rsid w:val="00F4772E"/>
    <w:pPr>
      <w:tabs>
        <w:tab w:val="center" w:pos="4320"/>
        <w:tab w:val="right" w:pos="8640"/>
      </w:tabs>
    </w:pPr>
  </w:style>
  <w:style w:type="character" w:customStyle="1" w:styleId="FooterChar">
    <w:name w:val="Footer Char"/>
    <w:link w:val="Footer"/>
    <w:uiPriority w:val="99"/>
    <w:rsid w:val="00F4772E"/>
    <w:rPr>
      <w:rFonts w:ascii="Times New Roman" w:eastAsia="Times New Roman" w:hAnsi="Times New Roman" w:cs="Times New Roman"/>
      <w:sz w:val="24"/>
      <w:szCs w:val="20"/>
      <w:lang w:val="en-GB"/>
    </w:rPr>
  </w:style>
  <w:style w:type="character" w:styleId="PageNumber">
    <w:name w:val="page number"/>
    <w:basedOn w:val="DefaultParagraphFont"/>
    <w:rsid w:val="00F4772E"/>
  </w:style>
  <w:style w:type="character" w:styleId="FootnoteReference">
    <w:name w:val="footnote reference"/>
    <w:aliases w:val="ftref,Carattere Char1,Carattere Char Char Carattere Carattere Char Char, Carattere Char1, Carattere Char Char Carattere Carattere Char Char,16 Point,Superscript 6 Point,fr,referencia nota al pie,Ref. de nota al pie2,BVI fnr"/>
    <w:uiPriority w:val="99"/>
    <w:rsid w:val="00F4772E"/>
    <w:rPr>
      <w:vertAlign w:val="superscript"/>
    </w:rPr>
  </w:style>
  <w:style w:type="character" w:styleId="Hyperlink">
    <w:name w:val="Hyperlink"/>
    <w:rsid w:val="00F4772E"/>
    <w:rPr>
      <w:color w:val="0000FF"/>
      <w:u w:val="none"/>
    </w:rPr>
  </w:style>
  <w:style w:type="paragraph" w:styleId="BodyTextIndent">
    <w:name w:val="Body Text Indent"/>
    <w:basedOn w:val="Normal"/>
    <w:link w:val="BodyTextIndentChar"/>
    <w:rsid w:val="00F4772E"/>
    <w:pPr>
      <w:spacing w:line="240" w:lineRule="exact"/>
    </w:pPr>
    <w:rPr>
      <w:rFonts w:ascii="Courier New" w:hAnsi="Courier New"/>
      <w:color w:val="FF0000"/>
      <w:sz w:val="20"/>
    </w:rPr>
  </w:style>
  <w:style w:type="character" w:customStyle="1" w:styleId="BodyTextIndentChar">
    <w:name w:val="Body Text Indent Char"/>
    <w:link w:val="BodyTextIndent"/>
    <w:rsid w:val="00F4772E"/>
    <w:rPr>
      <w:rFonts w:ascii="Courier New" w:eastAsia="Times New Roman" w:hAnsi="Courier New" w:cs="Times New Roman"/>
      <w:color w:val="FF0000"/>
      <w:sz w:val="20"/>
      <w:szCs w:val="20"/>
    </w:rPr>
  </w:style>
  <w:style w:type="paragraph" w:customStyle="1" w:styleId="SingleTxt">
    <w:name w:val="__Single Txt"/>
    <w:basedOn w:val="Normal"/>
    <w:link w:val="SingleTxtChar"/>
    <w:qFormat/>
    <w:rsid w:val="00F4772E"/>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sz w:val="20"/>
    </w:rPr>
  </w:style>
  <w:style w:type="character" w:styleId="CommentReference">
    <w:name w:val="annotation reference"/>
    <w:rsid w:val="00F4772E"/>
    <w:rPr>
      <w:sz w:val="16"/>
      <w:szCs w:val="16"/>
    </w:rPr>
  </w:style>
  <w:style w:type="paragraph" w:styleId="CommentText">
    <w:name w:val="annotation text"/>
    <w:aliases w:val=" Char"/>
    <w:basedOn w:val="Normal"/>
    <w:link w:val="CommentTextChar"/>
    <w:uiPriority w:val="99"/>
    <w:rsid w:val="00F4772E"/>
    <w:rPr>
      <w:sz w:val="20"/>
    </w:rPr>
  </w:style>
  <w:style w:type="character" w:customStyle="1" w:styleId="CommentTextChar">
    <w:name w:val="Comment Text Char"/>
    <w:aliases w:val=" Char Char"/>
    <w:link w:val="CommentText"/>
    <w:uiPriority w:val="99"/>
    <w:rsid w:val="00F4772E"/>
    <w:rPr>
      <w:rFonts w:ascii="Times New Roman" w:eastAsia="Times New Roman" w:hAnsi="Times New Roman" w:cs="Times New Roman"/>
      <w:sz w:val="20"/>
      <w:szCs w:val="20"/>
      <w:lang w:val="en-GB"/>
    </w:rPr>
  </w:style>
  <w:style w:type="table" w:styleId="TableGrid">
    <w:name w:val="Table Grid"/>
    <w:basedOn w:val="TableNormal"/>
    <w:rsid w:val="00F4772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singletxt">
    <w:name w:val="x_singletxt"/>
    <w:basedOn w:val="Normal"/>
    <w:rsid w:val="00F4772E"/>
    <w:pPr>
      <w:spacing w:before="100" w:beforeAutospacing="1" w:after="100" w:afterAutospacing="1"/>
    </w:pPr>
    <w:rPr>
      <w:rFonts w:ascii="Times" w:hAnsi="Times"/>
      <w:sz w:val="20"/>
    </w:rPr>
  </w:style>
  <w:style w:type="character" w:customStyle="1" w:styleId="bodytextchar0">
    <w:name w:val="bodytextchar"/>
    <w:basedOn w:val="DefaultParagraphFont"/>
    <w:rsid w:val="00F4772E"/>
  </w:style>
  <w:style w:type="paragraph" w:styleId="BalloonText">
    <w:name w:val="Balloon Text"/>
    <w:basedOn w:val="Normal"/>
    <w:link w:val="BalloonTextChar"/>
    <w:uiPriority w:val="99"/>
    <w:semiHidden/>
    <w:unhideWhenUsed/>
    <w:rsid w:val="00F4772E"/>
    <w:rPr>
      <w:rFonts w:ascii="Tahoma" w:hAnsi="Tahoma" w:cs="Tahoma"/>
      <w:sz w:val="16"/>
      <w:szCs w:val="16"/>
    </w:rPr>
  </w:style>
  <w:style w:type="character" w:customStyle="1" w:styleId="BalloonTextChar">
    <w:name w:val="Balloon Text Char"/>
    <w:link w:val="BalloonText"/>
    <w:uiPriority w:val="99"/>
    <w:semiHidden/>
    <w:rsid w:val="00F4772E"/>
    <w:rPr>
      <w:rFonts w:ascii="Tahoma" w:eastAsia="Times New Roman"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DB0AF4"/>
    <w:rPr>
      <w:b/>
      <w:bCs/>
    </w:rPr>
  </w:style>
  <w:style w:type="character" w:customStyle="1" w:styleId="CommentSubjectChar">
    <w:name w:val="Comment Subject Char"/>
    <w:link w:val="CommentSubject"/>
    <w:uiPriority w:val="99"/>
    <w:semiHidden/>
    <w:rsid w:val="00DB0AF4"/>
    <w:rPr>
      <w:rFonts w:ascii="Times New Roman" w:eastAsia="Times New Roman" w:hAnsi="Times New Roman" w:cs="Times New Roman"/>
      <w:b/>
      <w:bCs/>
      <w:sz w:val="20"/>
      <w:szCs w:val="20"/>
      <w:lang w:val="en-GB"/>
    </w:rPr>
  </w:style>
  <w:style w:type="paragraph" w:styleId="NormalWeb">
    <w:name w:val="Normal (Web)"/>
    <w:basedOn w:val="Normal"/>
    <w:uiPriority w:val="99"/>
    <w:unhideWhenUsed/>
    <w:rsid w:val="00FA4ACC"/>
    <w:pPr>
      <w:spacing w:after="240"/>
    </w:pPr>
    <w:rPr>
      <w:rFonts w:ascii="Arial" w:hAnsi="Arial" w:cs="Arial"/>
      <w:color w:val="000000"/>
    </w:rPr>
  </w:style>
  <w:style w:type="paragraph" w:customStyle="1" w:styleId="ColorfulList-Accent11">
    <w:name w:val="Colorful List - Accent 11"/>
    <w:basedOn w:val="Normal"/>
    <w:uiPriority w:val="34"/>
    <w:qFormat/>
    <w:rsid w:val="009122AB"/>
    <w:pPr>
      <w:spacing w:after="200" w:line="276" w:lineRule="auto"/>
      <w:ind w:left="720"/>
      <w:contextualSpacing/>
    </w:pPr>
    <w:rPr>
      <w:rFonts w:ascii="Calibri" w:hAnsi="Calibri"/>
      <w:sz w:val="22"/>
      <w:szCs w:val="22"/>
    </w:rPr>
  </w:style>
  <w:style w:type="character" w:styleId="FollowedHyperlink">
    <w:name w:val="FollowedHyperlink"/>
    <w:uiPriority w:val="99"/>
    <w:semiHidden/>
    <w:unhideWhenUsed/>
    <w:rsid w:val="006713F3"/>
    <w:rPr>
      <w:color w:val="0000FF"/>
      <w:u w:val="none"/>
    </w:rPr>
  </w:style>
  <w:style w:type="paragraph" w:customStyle="1" w:styleId="H56">
    <w:name w:val="_ H_5/6"/>
    <w:basedOn w:val="Normal"/>
    <w:next w:val="Normal"/>
    <w:rsid w:val="00EF510D"/>
    <w:pPr>
      <w:keepNext/>
      <w:keepLines/>
      <w:tabs>
        <w:tab w:val="right" w:pos="360"/>
      </w:tabs>
      <w:suppressAutoHyphens/>
      <w:spacing w:line="240" w:lineRule="exact"/>
      <w:outlineLvl w:val="4"/>
    </w:pPr>
    <w:rPr>
      <w:rFonts w:eastAsia="Malgun Gothic"/>
      <w:spacing w:val="4"/>
      <w:w w:val="103"/>
      <w:kern w:val="14"/>
      <w:sz w:val="20"/>
    </w:rPr>
  </w:style>
  <w:style w:type="paragraph" w:customStyle="1" w:styleId="ColorfulShading-Accent11">
    <w:name w:val="Colorful Shading - Accent 11"/>
    <w:hidden/>
    <w:uiPriority w:val="99"/>
    <w:semiHidden/>
    <w:rsid w:val="004A5583"/>
    <w:rPr>
      <w:rFonts w:ascii="Times New Roman" w:eastAsia="Times New Roman" w:hAnsi="Times New Roman"/>
      <w:lang w:val="en-GB" w:eastAsia="en-US"/>
    </w:rPr>
  </w:style>
  <w:style w:type="paragraph" w:styleId="DocumentMap">
    <w:name w:val="Document Map"/>
    <w:basedOn w:val="Normal"/>
    <w:link w:val="DocumentMapChar"/>
    <w:uiPriority w:val="99"/>
    <w:semiHidden/>
    <w:unhideWhenUsed/>
    <w:rsid w:val="004A5583"/>
    <w:rPr>
      <w:rFonts w:ascii="Lucida Grande" w:hAnsi="Lucida Grande"/>
    </w:rPr>
  </w:style>
  <w:style w:type="character" w:customStyle="1" w:styleId="DocumentMapChar">
    <w:name w:val="Document Map Char"/>
    <w:link w:val="DocumentMap"/>
    <w:uiPriority w:val="99"/>
    <w:semiHidden/>
    <w:rsid w:val="004A5583"/>
    <w:rPr>
      <w:rFonts w:ascii="Lucida Grande" w:eastAsia="Times New Roman" w:hAnsi="Lucida Grande"/>
      <w:sz w:val="24"/>
      <w:szCs w:val="24"/>
      <w:lang w:val="en-GB"/>
    </w:rPr>
  </w:style>
  <w:style w:type="paragraph" w:customStyle="1" w:styleId="ColorfulGrid-Accent61">
    <w:name w:val="Colorful Grid - Accent 61"/>
    <w:hidden/>
    <w:uiPriority w:val="99"/>
    <w:rsid w:val="00982811"/>
    <w:rPr>
      <w:rFonts w:ascii="Times New Roman" w:eastAsia="Times New Roman" w:hAnsi="Times New Roman"/>
      <w:lang w:val="en-GB" w:eastAsia="en-US"/>
    </w:rPr>
  </w:style>
  <w:style w:type="character" w:customStyle="1" w:styleId="highlight">
    <w:name w:val="highlight"/>
    <w:basedOn w:val="DefaultParagraphFont"/>
    <w:rsid w:val="009D6542"/>
  </w:style>
  <w:style w:type="paragraph" w:customStyle="1" w:styleId="SubtleEmphasis1">
    <w:name w:val="Subtle Emphasis1"/>
    <w:aliases w:val="List Paragraph (numbered (a)),Lapis Bulleted List,Dot pt,F5 List Paragraph,List Paragraph1,No Spacing1,List Paragraph Char Char Char,Indicator Text,Numbered Para 1,Bullet 1,List Paragraph12,Bullet Points,MAIN CONTENT,List 100"/>
    <w:basedOn w:val="Normal"/>
    <w:link w:val="SubtleEmphasisChar"/>
    <w:qFormat/>
    <w:rsid w:val="009E0A8E"/>
    <w:pPr>
      <w:ind w:left="720"/>
      <w:contextualSpacing/>
    </w:pPr>
  </w:style>
  <w:style w:type="character" w:customStyle="1" w:styleId="SubtleEmphasisChar">
    <w:name w:val="Subtle Emphasis Char"/>
    <w:aliases w:val="List Paragraph (numbered (a)) Char,Lapis Bulleted List Char,Dot pt Char,F5 List Paragraph Char,List Paragraph1 Char,No Spacing1 Char,List Paragraph Char Char Char Char,Indicator Text Char,Numbered Para 1 Char,Bullet 1 Char,L Char"/>
    <w:link w:val="SubtleEmphasis1"/>
    <w:uiPriority w:val="34"/>
    <w:qFormat/>
    <w:rsid w:val="00FB41B6"/>
    <w:rPr>
      <w:rFonts w:ascii="Times New Roman" w:eastAsia="Times New Roman" w:hAnsi="Times New Roman"/>
      <w:sz w:val="24"/>
      <w:lang w:val="en-GB"/>
    </w:rPr>
  </w:style>
  <w:style w:type="paragraph" w:styleId="EndnoteText">
    <w:name w:val="endnote text"/>
    <w:basedOn w:val="Normal"/>
    <w:link w:val="EndnoteTextChar"/>
    <w:uiPriority w:val="99"/>
    <w:unhideWhenUsed/>
    <w:rsid w:val="0046432A"/>
    <w:rPr>
      <w:sz w:val="20"/>
    </w:rPr>
  </w:style>
  <w:style w:type="character" w:customStyle="1" w:styleId="EndnoteTextChar">
    <w:name w:val="Endnote Text Char"/>
    <w:link w:val="EndnoteText"/>
    <w:uiPriority w:val="99"/>
    <w:rsid w:val="0046432A"/>
    <w:rPr>
      <w:rFonts w:ascii="Times New Roman" w:eastAsia="Times New Roman" w:hAnsi="Times New Roman"/>
      <w:lang w:val="en-GB"/>
    </w:rPr>
  </w:style>
  <w:style w:type="character" w:styleId="EndnoteReference">
    <w:name w:val="endnote reference"/>
    <w:uiPriority w:val="99"/>
    <w:unhideWhenUsed/>
    <w:rsid w:val="0046432A"/>
    <w:rPr>
      <w:vertAlign w:val="superscript"/>
    </w:rPr>
  </w:style>
  <w:style w:type="paragraph" w:styleId="PlainText">
    <w:name w:val="Plain Text"/>
    <w:basedOn w:val="Normal"/>
    <w:link w:val="PlainTextChar"/>
    <w:uiPriority w:val="99"/>
    <w:semiHidden/>
    <w:unhideWhenUsed/>
    <w:rsid w:val="00B81373"/>
    <w:rPr>
      <w:rFonts w:ascii="Calibri" w:hAnsi="Calibri"/>
      <w:sz w:val="22"/>
      <w:szCs w:val="22"/>
    </w:rPr>
  </w:style>
  <w:style w:type="character" w:customStyle="1" w:styleId="PlainTextChar">
    <w:name w:val="Plain Text Char"/>
    <w:link w:val="PlainText"/>
    <w:uiPriority w:val="99"/>
    <w:semiHidden/>
    <w:rsid w:val="00B81373"/>
    <w:rPr>
      <w:rFonts w:eastAsia="Calibri"/>
      <w:sz w:val="22"/>
      <w:szCs w:val="22"/>
    </w:rPr>
  </w:style>
  <w:style w:type="paragraph" w:customStyle="1" w:styleId="ColorfulList-Accent12">
    <w:name w:val="Colorful List - Accent 12"/>
    <w:basedOn w:val="Normal"/>
    <w:uiPriority w:val="34"/>
    <w:qFormat/>
    <w:rsid w:val="006343B2"/>
    <w:pPr>
      <w:spacing w:after="160" w:line="259" w:lineRule="auto"/>
      <w:ind w:left="720"/>
      <w:contextualSpacing/>
    </w:pPr>
    <w:rPr>
      <w:rFonts w:ascii="Calibri" w:hAnsi="Calibri"/>
      <w:sz w:val="22"/>
      <w:szCs w:val="22"/>
    </w:rPr>
  </w:style>
  <w:style w:type="paragraph" w:customStyle="1" w:styleId="paragraph">
    <w:name w:val="paragraph"/>
    <w:basedOn w:val="Normal"/>
    <w:rsid w:val="00153B6C"/>
    <w:pPr>
      <w:spacing w:before="100" w:beforeAutospacing="1" w:after="100" w:afterAutospacing="1"/>
    </w:pPr>
  </w:style>
  <w:style w:type="paragraph" w:customStyle="1" w:styleId="H23">
    <w:name w:val="_ H_2/3"/>
    <w:basedOn w:val="Normal"/>
    <w:next w:val="Normal"/>
    <w:rsid w:val="00D4051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hanging="1267"/>
      <w:outlineLvl w:val="1"/>
    </w:pPr>
    <w:rPr>
      <w:rFonts w:eastAsiaTheme="minorHAnsi"/>
      <w:b/>
      <w:spacing w:val="2"/>
      <w:w w:val="103"/>
      <w:kern w:val="14"/>
      <w:sz w:val="20"/>
    </w:rPr>
  </w:style>
  <w:style w:type="paragraph" w:styleId="ListParagraph">
    <w:name w:val="List Paragraph"/>
    <w:aliases w:val="WB Para,List 100s,L,3,Paragraphe de liste1"/>
    <w:basedOn w:val="Normal"/>
    <w:uiPriority w:val="34"/>
    <w:qFormat/>
    <w:rsid w:val="009C48E8"/>
    <w:pPr>
      <w:ind w:left="720"/>
      <w:contextualSpacing/>
    </w:pPr>
  </w:style>
  <w:style w:type="paragraph" w:styleId="Revision">
    <w:name w:val="Revision"/>
    <w:hidden/>
    <w:uiPriority w:val="62"/>
    <w:semiHidden/>
    <w:rsid w:val="00E9150E"/>
    <w:rPr>
      <w:rFonts w:ascii="Times New Roman" w:eastAsia="Times New Roman" w:hAnsi="Times New Roman"/>
      <w:lang w:val="en-GB" w:eastAsia="en-US"/>
    </w:rPr>
  </w:style>
  <w:style w:type="character" w:styleId="Strong">
    <w:name w:val="Strong"/>
    <w:basedOn w:val="DefaultParagraphFont"/>
    <w:uiPriority w:val="22"/>
    <w:qFormat/>
    <w:rsid w:val="00E13084"/>
    <w:rPr>
      <w:b/>
      <w:bCs/>
    </w:rPr>
  </w:style>
  <w:style w:type="character" w:customStyle="1" w:styleId="apple-converted-space">
    <w:name w:val="apple-converted-space"/>
    <w:basedOn w:val="DefaultParagraphFont"/>
    <w:rsid w:val="001F4343"/>
  </w:style>
  <w:style w:type="table" w:customStyle="1" w:styleId="GridTable5Dark-Accent51">
    <w:name w:val="Grid Table 5 Dark - Accent 51"/>
    <w:basedOn w:val="TableNormal"/>
    <w:uiPriority w:val="50"/>
    <w:rsid w:val="000F5E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ListTable6Colorful-Accent11">
    <w:name w:val="List Table 6 Colorful - Accent 11"/>
    <w:basedOn w:val="TableNormal"/>
    <w:uiPriority w:val="51"/>
    <w:rsid w:val="00954735"/>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rsid w:val="00F6134F"/>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41">
    <w:name w:val="List Table 6 Colorful - Accent 41"/>
    <w:basedOn w:val="TableNormal"/>
    <w:uiPriority w:val="51"/>
    <w:rsid w:val="00F6134F"/>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61">
    <w:name w:val="List Table 6 Colorful - Accent 61"/>
    <w:basedOn w:val="TableNormal"/>
    <w:uiPriority w:val="51"/>
    <w:rsid w:val="000111FD"/>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SingleTxtChar">
    <w:name w:val="__Single Txt Char"/>
    <w:link w:val="SingleTxt"/>
    <w:rsid w:val="006D361C"/>
    <w:rPr>
      <w:rFonts w:ascii="Times New Roman" w:eastAsia="Times New Roman" w:hAnsi="Times New Roman"/>
      <w:spacing w:val="4"/>
      <w:w w:val="103"/>
      <w:kern w:val="14"/>
      <w:sz w:val="20"/>
      <w:lang w:val="en-GB" w:eastAsia="en-US"/>
    </w:rPr>
  </w:style>
  <w:style w:type="character" w:customStyle="1" w:styleId="normaltextrun">
    <w:name w:val="normaltextrun"/>
    <w:basedOn w:val="DefaultParagraphFont"/>
    <w:rsid w:val="007D4B45"/>
  </w:style>
  <w:style w:type="paragraph" w:styleId="NoSpacing">
    <w:name w:val="No Spacing"/>
    <w:uiPriority w:val="1"/>
    <w:qFormat/>
    <w:rsid w:val="00A13B77"/>
    <w:rPr>
      <w:rFonts w:asciiTheme="minorHAnsi" w:eastAsiaTheme="minorEastAsia" w:hAnsiTheme="minorHAnsi" w:cstheme="minorBidi"/>
      <w:sz w:val="22"/>
      <w:szCs w:val="22"/>
      <w:lang w:eastAsia="ko-KR"/>
    </w:rPr>
  </w:style>
  <w:style w:type="character" w:customStyle="1" w:styleId="webbibref">
    <w:name w:val="web_bibref"/>
    <w:basedOn w:val="DefaultParagraphFont"/>
    <w:rsid w:val="00421A53"/>
  </w:style>
  <w:style w:type="character" w:customStyle="1" w:styleId="eop">
    <w:name w:val="eop"/>
    <w:basedOn w:val="DefaultParagraphFont"/>
    <w:rsid w:val="00BC2A1F"/>
  </w:style>
  <w:style w:type="table" w:styleId="PlainTable2">
    <w:name w:val="Plain Table 2"/>
    <w:basedOn w:val="TableNormal"/>
    <w:uiPriority w:val="42"/>
    <w:rsid w:val="00B2377C"/>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9Char">
    <w:name w:val="Heading 9 Char"/>
    <w:basedOn w:val="DefaultParagraphFont"/>
    <w:link w:val="Heading9"/>
    <w:semiHidden/>
    <w:rsid w:val="00414ADC"/>
    <w:rPr>
      <w:rFonts w:asciiTheme="majorHAnsi" w:eastAsiaTheme="majorEastAsia" w:hAnsiTheme="majorHAnsi" w:cstheme="majorBidi"/>
      <w:i/>
      <w:iCs/>
      <w:color w:val="272727" w:themeColor="text1" w:themeTint="D8"/>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9779">
      <w:bodyDiv w:val="1"/>
      <w:marLeft w:val="0"/>
      <w:marRight w:val="0"/>
      <w:marTop w:val="0"/>
      <w:marBottom w:val="0"/>
      <w:divBdr>
        <w:top w:val="none" w:sz="0" w:space="0" w:color="auto"/>
        <w:left w:val="none" w:sz="0" w:space="0" w:color="auto"/>
        <w:bottom w:val="none" w:sz="0" w:space="0" w:color="auto"/>
        <w:right w:val="none" w:sz="0" w:space="0" w:color="auto"/>
      </w:divBdr>
    </w:div>
    <w:div w:id="28336485">
      <w:bodyDiv w:val="1"/>
      <w:marLeft w:val="0"/>
      <w:marRight w:val="0"/>
      <w:marTop w:val="0"/>
      <w:marBottom w:val="0"/>
      <w:divBdr>
        <w:top w:val="none" w:sz="0" w:space="0" w:color="auto"/>
        <w:left w:val="none" w:sz="0" w:space="0" w:color="auto"/>
        <w:bottom w:val="none" w:sz="0" w:space="0" w:color="auto"/>
        <w:right w:val="none" w:sz="0" w:space="0" w:color="auto"/>
      </w:divBdr>
    </w:div>
    <w:div w:id="40399054">
      <w:bodyDiv w:val="1"/>
      <w:marLeft w:val="0"/>
      <w:marRight w:val="0"/>
      <w:marTop w:val="0"/>
      <w:marBottom w:val="0"/>
      <w:divBdr>
        <w:top w:val="none" w:sz="0" w:space="0" w:color="auto"/>
        <w:left w:val="none" w:sz="0" w:space="0" w:color="auto"/>
        <w:bottom w:val="none" w:sz="0" w:space="0" w:color="auto"/>
        <w:right w:val="none" w:sz="0" w:space="0" w:color="auto"/>
      </w:divBdr>
    </w:div>
    <w:div w:id="48381228">
      <w:bodyDiv w:val="1"/>
      <w:marLeft w:val="0"/>
      <w:marRight w:val="0"/>
      <w:marTop w:val="0"/>
      <w:marBottom w:val="0"/>
      <w:divBdr>
        <w:top w:val="none" w:sz="0" w:space="0" w:color="auto"/>
        <w:left w:val="none" w:sz="0" w:space="0" w:color="auto"/>
        <w:bottom w:val="none" w:sz="0" w:space="0" w:color="auto"/>
        <w:right w:val="none" w:sz="0" w:space="0" w:color="auto"/>
      </w:divBdr>
    </w:div>
    <w:div w:id="57214739">
      <w:bodyDiv w:val="1"/>
      <w:marLeft w:val="0"/>
      <w:marRight w:val="0"/>
      <w:marTop w:val="0"/>
      <w:marBottom w:val="0"/>
      <w:divBdr>
        <w:top w:val="none" w:sz="0" w:space="0" w:color="auto"/>
        <w:left w:val="none" w:sz="0" w:space="0" w:color="auto"/>
        <w:bottom w:val="none" w:sz="0" w:space="0" w:color="auto"/>
        <w:right w:val="none" w:sz="0" w:space="0" w:color="auto"/>
      </w:divBdr>
    </w:div>
    <w:div w:id="109008297">
      <w:bodyDiv w:val="1"/>
      <w:marLeft w:val="0"/>
      <w:marRight w:val="0"/>
      <w:marTop w:val="0"/>
      <w:marBottom w:val="0"/>
      <w:divBdr>
        <w:top w:val="none" w:sz="0" w:space="0" w:color="auto"/>
        <w:left w:val="none" w:sz="0" w:space="0" w:color="auto"/>
        <w:bottom w:val="none" w:sz="0" w:space="0" w:color="auto"/>
        <w:right w:val="none" w:sz="0" w:space="0" w:color="auto"/>
      </w:divBdr>
    </w:div>
    <w:div w:id="130368447">
      <w:bodyDiv w:val="1"/>
      <w:marLeft w:val="0"/>
      <w:marRight w:val="0"/>
      <w:marTop w:val="0"/>
      <w:marBottom w:val="0"/>
      <w:divBdr>
        <w:top w:val="none" w:sz="0" w:space="0" w:color="auto"/>
        <w:left w:val="none" w:sz="0" w:space="0" w:color="auto"/>
        <w:bottom w:val="none" w:sz="0" w:space="0" w:color="auto"/>
        <w:right w:val="none" w:sz="0" w:space="0" w:color="auto"/>
      </w:divBdr>
    </w:div>
    <w:div w:id="137259659">
      <w:bodyDiv w:val="1"/>
      <w:marLeft w:val="0"/>
      <w:marRight w:val="0"/>
      <w:marTop w:val="0"/>
      <w:marBottom w:val="0"/>
      <w:divBdr>
        <w:top w:val="none" w:sz="0" w:space="0" w:color="auto"/>
        <w:left w:val="none" w:sz="0" w:space="0" w:color="auto"/>
        <w:bottom w:val="none" w:sz="0" w:space="0" w:color="auto"/>
        <w:right w:val="none" w:sz="0" w:space="0" w:color="auto"/>
      </w:divBdr>
    </w:div>
    <w:div w:id="144974284">
      <w:bodyDiv w:val="1"/>
      <w:marLeft w:val="0"/>
      <w:marRight w:val="0"/>
      <w:marTop w:val="0"/>
      <w:marBottom w:val="0"/>
      <w:divBdr>
        <w:top w:val="none" w:sz="0" w:space="0" w:color="auto"/>
        <w:left w:val="none" w:sz="0" w:space="0" w:color="auto"/>
        <w:bottom w:val="none" w:sz="0" w:space="0" w:color="auto"/>
        <w:right w:val="none" w:sz="0" w:space="0" w:color="auto"/>
      </w:divBdr>
    </w:div>
    <w:div w:id="219294429">
      <w:bodyDiv w:val="1"/>
      <w:marLeft w:val="0"/>
      <w:marRight w:val="0"/>
      <w:marTop w:val="0"/>
      <w:marBottom w:val="0"/>
      <w:divBdr>
        <w:top w:val="none" w:sz="0" w:space="0" w:color="auto"/>
        <w:left w:val="none" w:sz="0" w:space="0" w:color="auto"/>
        <w:bottom w:val="none" w:sz="0" w:space="0" w:color="auto"/>
        <w:right w:val="none" w:sz="0" w:space="0" w:color="auto"/>
      </w:divBdr>
    </w:div>
    <w:div w:id="231237061">
      <w:bodyDiv w:val="1"/>
      <w:marLeft w:val="0"/>
      <w:marRight w:val="0"/>
      <w:marTop w:val="0"/>
      <w:marBottom w:val="0"/>
      <w:divBdr>
        <w:top w:val="none" w:sz="0" w:space="0" w:color="auto"/>
        <w:left w:val="none" w:sz="0" w:space="0" w:color="auto"/>
        <w:bottom w:val="none" w:sz="0" w:space="0" w:color="auto"/>
        <w:right w:val="none" w:sz="0" w:space="0" w:color="auto"/>
      </w:divBdr>
    </w:div>
    <w:div w:id="261886363">
      <w:bodyDiv w:val="1"/>
      <w:marLeft w:val="0"/>
      <w:marRight w:val="0"/>
      <w:marTop w:val="0"/>
      <w:marBottom w:val="0"/>
      <w:divBdr>
        <w:top w:val="none" w:sz="0" w:space="0" w:color="auto"/>
        <w:left w:val="none" w:sz="0" w:space="0" w:color="auto"/>
        <w:bottom w:val="none" w:sz="0" w:space="0" w:color="auto"/>
        <w:right w:val="none" w:sz="0" w:space="0" w:color="auto"/>
      </w:divBdr>
    </w:div>
    <w:div w:id="269317377">
      <w:bodyDiv w:val="1"/>
      <w:marLeft w:val="0"/>
      <w:marRight w:val="0"/>
      <w:marTop w:val="0"/>
      <w:marBottom w:val="0"/>
      <w:divBdr>
        <w:top w:val="none" w:sz="0" w:space="0" w:color="auto"/>
        <w:left w:val="none" w:sz="0" w:space="0" w:color="auto"/>
        <w:bottom w:val="none" w:sz="0" w:space="0" w:color="auto"/>
        <w:right w:val="none" w:sz="0" w:space="0" w:color="auto"/>
      </w:divBdr>
    </w:div>
    <w:div w:id="304626784">
      <w:bodyDiv w:val="1"/>
      <w:marLeft w:val="0"/>
      <w:marRight w:val="0"/>
      <w:marTop w:val="0"/>
      <w:marBottom w:val="0"/>
      <w:divBdr>
        <w:top w:val="none" w:sz="0" w:space="0" w:color="auto"/>
        <w:left w:val="none" w:sz="0" w:space="0" w:color="auto"/>
        <w:bottom w:val="none" w:sz="0" w:space="0" w:color="auto"/>
        <w:right w:val="none" w:sz="0" w:space="0" w:color="auto"/>
      </w:divBdr>
      <w:divsChild>
        <w:div w:id="67046488">
          <w:marLeft w:val="0"/>
          <w:marRight w:val="0"/>
          <w:marTop w:val="0"/>
          <w:marBottom w:val="0"/>
          <w:divBdr>
            <w:top w:val="none" w:sz="0" w:space="0" w:color="auto"/>
            <w:left w:val="none" w:sz="0" w:space="0" w:color="auto"/>
            <w:bottom w:val="none" w:sz="0" w:space="0" w:color="auto"/>
            <w:right w:val="none" w:sz="0" w:space="0" w:color="auto"/>
          </w:divBdr>
        </w:div>
        <w:div w:id="116339615">
          <w:marLeft w:val="0"/>
          <w:marRight w:val="0"/>
          <w:marTop w:val="0"/>
          <w:marBottom w:val="0"/>
          <w:divBdr>
            <w:top w:val="none" w:sz="0" w:space="0" w:color="auto"/>
            <w:left w:val="none" w:sz="0" w:space="0" w:color="auto"/>
            <w:bottom w:val="none" w:sz="0" w:space="0" w:color="auto"/>
            <w:right w:val="none" w:sz="0" w:space="0" w:color="auto"/>
          </w:divBdr>
        </w:div>
        <w:div w:id="345710967">
          <w:marLeft w:val="0"/>
          <w:marRight w:val="0"/>
          <w:marTop w:val="0"/>
          <w:marBottom w:val="0"/>
          <w:divBdr>
            <w:top w:val="none" w:sz="0" w:space="0" w:color="auto"/>
            <w:left w:val="none" w:sz="0" w:space="0" w:color="auto"/>
            <w:bottom w:val="none" w:sz="0" w:space="0" w:color="auto"/>
            <w:right w:val="none" w:sz="0" w:space="0" w:color="auto"/>
          </w:divBdr>
        </w:div>
        <w:div w:id="449664703">
          <w:marLeft w:val="0"/>
          <w:marRight w:val="0"/>
          <w:marTop w:val="0"/>
          <w:marBottom w:val="0"/>
          <w:divBdr>
            <w:top w:val="none" w:sz="0" w:space="0" w:color="auto"/>
            <w:left w:val="none" w:sz="0" w:space="0" w:color="auto"/>
            <w:bottom w:val="none" w:sz="0" w:space="0" w:color="auto"/>
            <w:right w:val="none" w:sz="0" w:space="0" w:color="auto"/>
          </w:divBdr>
        </w:div>
        <w:div w:id="457604739">
          <w:marLeft w:val="0"/>
          <w:marRight w:val="0"/>
          <w:marTop w:val="0"/>
          <w:marBottom w:val="0"/>
          <w:divBdr>
            <w:top w:val="none" w:sz="0" w:space="0" w:color="auto"/>
            <w:left w:val="none" w:sz="0" w:space="0" w:color="auto"/>
            <w:bottom w:val="none" w:sz="0" w:space="0" w:color="auto"/>
            <w:right w:val="none" w:sz="0" w:space="0" w:color="auto"/>
          </w:divBdr>
        </w:div>
        <w:div w:id="767387639">
          <w:marLeft w:val="0"/>
          <w:marRight w:val="0"/>
          <w:marTop w:val="0"/>
          <w:marBottom w:val="0"/>
          <w:divBdr>
            <w:top w:val="none" w:sz="0" w:space="0" w:color="auto"/>
            <w:left w:val="none" w:sz="0" w:space="0" w:color="auto"/>
            <w:bottom w:val="none" w:sz="0" w:space="0" w:color="auto"/>
            <w:right w:val="none" w:sz="0" w:space="0" w:color="auto"/>
          </w:divBdr>
        </w:div>
        <w:div w:id="1136531293">
          <w:marLeft w:val="0"/>
          <w:marRight w:val="0"/>
          <w:marTop w:val="0"/>
          <w:marBottom w:val="0"/>
          <w:divBdr>
            <w:top w:val="none" w:sz="0" w:space="0" w:color="auto"/>
            <w:left w:val="none" w:sz="0" w:space="0" w:color="auto"/>
            <w:bottom w:val="none" w:sz="0" w:space="0" w:color="auto"/>
            <w:right w:val="none" w:sz="0" w:space="0" w:color="auto"/>
          </w:divBdr>
        </w:div>
        <w:div w:id="1281571330">
          <w:marLeft w:val="0"/>
          <w:marRight w:val="0"/>
          <w:marTop w:val="0"/>
          <w:marBottom w:val="0"/>
          <w:divBdr>
            <w:top w:val="none" w:sz="0" w:space="0" w:color="auto"/>
            <w:left w:val="none" w:sz="0" w:space="0" w:color="auto"/>
            <w:bottom w:val="none" w:sz="0" w:space="0" w:color="auto"/>
            <w:right w:val="none" w:sz="0" w:space="0" w:color="auto"/>
          </w:divBdr>
        </w:div>
        <w:div w:id="1364358737">
          <w:marLeft w:val="0"/>
          <w:marRight w:val="0"/>
          <w:marTop w:val="0"/>
          <w:marBottom w:val="0"/>
          <w:divBdr>
            <w:top w:val="none" w:sz="0" w:space="0" w:color="auto"/>
            <w:left w:val="none" w:sz="0" w:space="0" w:color="auto"/>
            <w:bottom w:val="none" w:sz="0" w:space="0" w:color="auto"/>
            <w:right w:val="none" w:sz="0" w:space="0" w:color="auto"/>
          </w:divBdr>
        </w:div>
        <w:div w:id="1444760834">
          <w:marLeft w:val="0"/>
          <w:marRight w:val="0"/>
          <w:marTop w:val="0"/>
          <w:marBottom w:val="0"/>
          <w:divBdr>
            <w:top w:val="none" w:sz="0" w:space="0" w:color="auto"/>
            <w:left w:val="none" w:sz="0" w:space="0" w:color="auto"/>
            <w:bottom w:val="none" w:sz="0" w:space="0" w:color="auto"/>
            <w:right w:val="none" w:sz="0" w:space="0" w:color="auto"/>
          </w:divBdr>
        </w:div>
        <w:div w:id="1754472212">
          <w:marLeft w:val="0"/>
          <w:marRight w:val="0"/>
          <w:marTop w:val="0"/>
          <w:marBottom w:val="0"/>
          <w:divBdr>
            <w:top w:val="none" w:sz="0" w:space="0" w:color="auto"/>
            <w:left w:val="none" w:sz="0" w:space="0" w:color="auto"/>
            <w:bottom w:val="none" w:sz="0" w:space="0" w:color="auto"/>
            <w:right w:val="none" w:sz="0" w:space="0" w:color="auto"/>
          </w:divBdr>
        </w:div>
        <w:div w:id="1869641872">
          <w:marLeft w:val="0"/>
          <w:marRight w:val="0"/>
          <w:marTop w:val="0"/>
          <w:marBottom w:val="0"/>
          <w:divBdr>
            <w:top w:val="none" w:sz="0" w:space="0" w:color="auto"/>
            <w:left w:val="none" w:sz="0" w:space="0" w:color="auto"/>
            <w:bottom w:val="none" w:sz="0" w:space="0" w:color="auto"/>
            <w:right w:val="none" w:sz="0" w:space="0" w:color="auto"/>
          </w:divBdr>
        </w:div>
        <w:div w:id="1915428022">
          <w:marLeft w:val="0"/>
          <w:marRight w:val="0"/>
          <w:marTop w:val="0"/>
          <w:marBottom w:val="0"/>
          <w:divBdr>
            <w:top w:val="none" w:sz="0" w:space="0" w:color="auto"/>
            <w:left w:val="none" w:sz="0" w:space="0" w:color="auto"/>
            <w:bottom w:val="none" w:sz="0" w:space="0" w:color="auto"/>
            <w:right w:val="none" w:sz="0" w:space="0" w:color="auto"/>
          </w:divBdr>
        </w:div>
        <w:div w:id="1929192659">
          <w:marLeft w:val="0"/>
          <w:marRight w:val="0"/>
          <w:marTop w:val="0"/>
          <w:marBottom w:val="0"/>
          <w:divBdr>
            <w:top w:val="none" w:sz="0" w:space="0" w:color="auto"/>
            <w:left w:val="none" w:sz="0" w:space="0" w:color="auto"/>
            <w:bottom w:val="none" w:sz="0" w:space="0" w:color="auto"/>
            <w:right w:val="none" w:sz="0" w:space="0" w:color="auto"/>
          </w:divBdr>
        </w:div>
      </w:divsChild>
    </w:div>
    <w:div w:id="347215212">
      <w:bodyDiv w:val="1"/>
      <w:marLeft w:val="0"/>
      <w:marRight w:val="0"/>
      <w:marTop w:val="0"/>
      <w:marBottom w:val="0"/>
      <w:divBdr>
        <w:top w:val="none" w:sz="0" w:space="0" w:color="auto"/>
        <w:left w:val="none" w:sz="0" w:space="0" w:color="auto"/>
        <w:bottom w:val="none" w:sz="0" w:space="0" w:color="auto"/>
        <w:right w:val="none" w:sz="0" w:space="0" w:color="auto"/>
      </w:divBdr>
    </w:div>
    <w:div w:id="371072981">
      <w:bodyDiv w:val="1"/>
      <w:marLeft w:val="0"/>
      <w:marRight w:val="0"/>
      <w:marTop w:val="0"/>
      <w:marBottom w:val="0"/>
      <w:divBdr>
        <w:top w:val="none" w:sz="0" w:space="0" w:color="auto"/>
        <w:left w:val="none" w:sz="0" w:space="0" w:color="auto"/>
        <w:bottom w:val="none" w:sz="0" w:space="0" w:color="auto"/>
        <w:right w:val="none" w:sz="0" w:space="0" w:color="auto"/>
      </w:divBdr>
    </w:div>
    <w:div w:id="377779367">
      <w:bodyDiv w:val="1"/>
      <w:marLeft w:val="0"/>
      <w:marRight w:val="0"/>
      <w:marTop w:val="0"/>
      <w:marBottom w:val="0"/>
      <w:divBdr>
        <w:top w:val="none" w:sz="0" w:space="0" w:color="auto"/>
        <w:left w:val="none" w:sz="0" w:space="0" w:color="auto"/>
        <w:bottom w:val="none" w:sz="0" w:space="0" w:color="auto"/>
        <w:right w:val="none" w:sz="0" w:space="0" w:color="auto"/>
      </w:divBdr>
    </w:div>
    <w:div w:id="417605508">
      <w:bodyDiv w:val="1"/>
      <w:marLeft w:val="0"/>
      <w:marRight w:val="0"/>
      <w:marTop w:val="0"/>
      <w:marBottom w:val="0"/>
      <w:divBdr>
        <w:top w:val="none" w:sz="0" w:space="0" w:color="auto"/>
        <w:left w:val="none" w:sz="0" w:space="0" w:color="auto"/>
        <w:bottom w:val="none" w:sz="0" w:space="0" w:color="auto"/>
        <w:right w:val="none" w:sz="0" w:space="0" w:color="auto"/>
      </w:divBdr>
    </w:div>
    <w:div w:id="422990681">
      <w:bodyDiv w:val="1"/>
      <w:marLeft w:val="0"/>
      <w:marRight w:val="0"/>
      <w:marTop w:val="0"/>
      <w:marBottom w:val="0"/>
      <w:divBdr>
        <w:top w:val="none" w:sz="0" w:space="0" w:color="auto"/>
        <w:left w:val="none" w:sz="0" w:space="0" w:color="auto"/>
        <w:bottom w:val="none" w:sz="0" w:space="0" w:color="auto"/>
        <w:right w:val="none" w:sz="0" w:space="0" w:color="auto"/>
      </w:divBdr>
    </w:div>
    <w:div w:id="444538526">
      <w:bodyDiv w:val="1"/>
      <w:marLeft w:val="0"/>
      <w:marRight w:val="0"/>
      <w:marTop w:val="0"/>
      <w:marBottom w:val="0"/>
      <w:divBdr>
        <w:top w:val="none" w:sz="0" w:space="0" w:color="auto"/>
        <w:left w:val="none" w:sz="0" w:space="0" w:color="auto"/>
        <w:bottom w:val="none" w:sz="0" w:space="0" w:color="auto"/>
        <w:right w:val="none" w:sz="0" w:space="0" w:color="auto"/>
      </w:divBdr>
    </w:div>
    <w:div w:id="459686455">
      <w:bodyDiv w:val="1"/>
      <w:marLeft w:val="0"/>
      <w:marRight w:val="0"/>
      <w:marTop w:val="0"/>
      <w:marBottom w:val="0"/>
      <w:divBdr>
        <w:top w:val="none" w:sz="0" w:space="0" w:color="auto"/>
        <w:left w:val="none" w:sz="0" w:space="0" w:color="auto"/>
        <w:bottom w:val="none" w:sz="0" w:space="0" w:color="auto"/>
        <w:right w:val="none" w:sz="0" w:space="0" w:color="auto"/>
      </w:divBdr>
      <w:divsChild>
        <w:div w:id="404692011">
          <w:marLeft w:val="0"/>
          <w:marRight w:val="0"/>
          <w:marTop w:val="0"/>
          <w:marBottom w:val="0"/>
          <w:divBdr>
            <w:top w:val="none" w:sz="0" w:space="0" w:color="auto"/>
            <w:left w:val="none" w:sz="0" w:space="0" w:color="auto"/>
            <w:bottom w:val="none" w:sz="0" w:space="0" w:color="auto"/>
            <w:right w:val="none" w:sz="0" w:space="0" w:color="auto"/>
          </w:divBdr>
          <w:divsChild>
            <w:div w:id="1205364907">
              <w:marLeft w:val="0"/>
              <w:marRight w:val="0"/>
              <w:marTop w:val="0"/>
              <w:marBottom w:val="0"/>
              <w:divBdr>
                <w:top w:val="none" w:sz="0" w:space="0" w:color="auto"/>
                <w:left w:val="none" w:sz="0" w:space="0" w:color="auto"/>
                <w:bottom w:val="none" w:sz="0" w:space="0" w:color="auto"/>
                <w:right w:val="none" w:sz="0" w:space="0" w:color="auto"/>
              </w:divBdr>
              <w:divsChild>
                <w:div w:id="200095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2581">
      <w:bodyDiv w:val="1"/>
      <w:marLeft w:val="0"/>
      <w:marRight w:val="0"/>
      <w:marTop w:val="0"/>
      <w:marBottom w:val="0"/>
      <w:divBdr>
        <w:top w:val="none" w:sz="0" w:space="0" w:color="auto"/>
        <w:left w:val="none" w:sz="0" w:space="0" w:color="auto"/>
        <w:bottom w:val="none" w:sz="0" w:space="0" w:color="auto"/>
        <w:right w:val="none" w:sz="0" w:space="0" w:color="auto"/>
      </w:divBdr>
    </w:div>
    <w:div w:id="521674455">
      <w:bodyDiv w:val="1"/>
      <w:marLeft w:val="0"/>
      <w:marRight w:val="0"/>
      <w:marTop w:val="0"/>
      <w:marBottom w:val="0"/>
      <w:divBdr>
        <w:top w:val="none" w:sz="0" w:space="0" w:color="auto"/>
        <w:left w:val="none" w:sz="0" w:space="0" w:color="auto"/>
        <w:bottom w:val="none" w:sz="0" w:space="0" w:color="auto"/>
        <w:right w:val="none" w:sz="0" w:space="0" w:color="auto"/>
      </w:divBdr>
    </w:div>
    <w:div w:id="572013432">
      <w:bodyDiv w:val="1"/>
      <w:marLeft w:val="0"/>
      <w:marRight w:val="0"/>
      <w:marTop w:val="0"/>
      <w:marBottom w:val="0"/>
      <w:divBdr>
        <w:top w:val="none" w:sz="0" w:space="0" w:color="auto"/>
        <w:left w:val="none" w:sz="0" w:space="0" w:color="auto"/>
        <w:bottom w:val="none" w:sz="0" w:space="0" w:color="auto"/>
        <w:right w:val="none" w:sz="0" w:space="0" w:color="auto"/>
      </w:divBdr>
    </w:div>
    <w:div w:id="583222825">
      <w:bodyDiv w:val="1"/>
      <w:marLeft w:val="0"/>
      <w:marRight w:val="0"/>
      <w:marTop w:val="0"/>
      <w:marBottom w:val="0"/>
      <w:divBdr>
        <w:top w:val="none" w:sz="0" w:space="0" w:color="auto"/>
        <w:left w:val="none" w:sz="0" w:space="0" w:color="auto"/>
        <w:bottom w:val="none" w:sz="0" w:space="0" w:color="auto"/>
        <w:right w:val="none" w:sz="0" w:space="0" w:color="auto"/>
      </w:divBdr>
    </w:div>
    <w:div w:id="631520068">
      <w:bodyDiv w:val="1"/>
      <w:marLeft w:val="0"/>
      <w:marRight w:val="0"/>
      <w:marTop w:val="0"/>
      <w:marBottom w:val="0"/>
      <w:divBdr>
        <w:top w:val="none" w:sz="0" w:space="0" w:color="auto"/>
        <w:left w:val="none" w:sz="0" w:space="0" w:color="auto"/>
        <w:bottom w:val="none" w:sz="0" w:space="0" w:color="auto"/>
        <w:right w:val="none" w:sz="0" w:space="0" w:color="auto"/>
      </w:divBdr>
    </w:div>
    <w:div w:id="632373957">
      <w:bodyDiv w:val="1"/>
      <w:marLeft w:val="0"/>
      <w:marRight w:val="0"/>
      <w:marTop w:val="0"/>
      <w:marBottom w:val="0"/>
      <w:divBdr>
        <w:top w:val="none" w:sz="0" w:space="0" w:color="auto"/>
        <w:left w:val="none" w:sz="0" w:space="0" w:color="auto"/>
        <w:bottom w:val="none" w:sz="0" w:space="0" w:color="auto"/>
        <w:right w:val="none" w:sz="0" w:space="0" w:color="auto"/>
      </w:divBdr>
    </w:div>
    <w:div w:id="645932339">
      <w:bodyDiv w:val="1"/>
      <w:marLeft w:val="0"/>
      <w:marRight w:val="0"/>
      <w:marTop w:val="0"/>
      <w:marBottom w:val="0"/>
      <w:divBdr>
        <w:top w:val="none" w:sz="0" w:space="0" w:color="auto"/>
        <w:left w:val="none" w:sz="0" w:space="0" w:color="auto"/>
        <w:bottom w:val="none" w:sz="0" w:space="0" w:color="auto"/>
        <w:right w:val="none" w:sz="0" w:space="0" w:color="auto"/>
      </w:divBdr>
    </w:div>
    <w:div w:id="648441320">
      <w:bodyDiv w:val="1"/>
      <w:marLeft w:val="0"/>
      <w:marRight w:val="0"/>
      <w:marTop w:val="0"/>
      <w:marBottom w:val="0"/>
      <w:divBdr>
        <w:top w:val="none" w:sz="0" w:space="0" w:color="auto"/>
        <w:left w:val="none" w:sz="0" w:space="0" w:color="auto"/>
        <w:bottom w:val="none" w:sz="0" w:space="0" w:color="auto"/>
        <w:right w:val="none" w:sz="0" w:space="0" w:color="auto"/>
      </w:divBdr>
      <w:divsChild>
        <w:div w:id="791169657">
          <w:marLeft w:val="0"/>
          <w:marRight w:val="0"/>
          <w:marTop w:val="0"/>
          <w:marBottom w:val="0"/>
          <w:divBdr>
            <w:top w:val="none" w:sz="0" w:space="0" w:color="auto"/>
            <w:left w:val="none" w:sz="0" w:space="0" w:color="auto"/>
            <w:bottom w:val="none" w:sz="0" w:space="0" w:color="auto"/>
            <w:right w:val="none" w:sz="0" w:space="0" w:color="auto"/>
          </w:divBdr>
        </w:div>
        <w:div w:id="1166744947">
          <w:marLeft w:val="0"/>
          <w:marRight w:val="0"/>
          <w:marTop w:val="0"/>
          <w:marBottom w:val="0"/>
          <w:divBdr>
            <w:top w:val="none" w:sz="0" w:space="0" w:color="auto"/>
            <w:left w:val="none" w:sz="0" w:space="0" w:color="auto"/>
            <w:bottom w:val="none" w:sz="0" w:space="0" w:color="auto"/>
            <w:right w:val="none" w:sz="0" w:space="0" w:color="auto"/>
          </w:divBdr>
        </w:div>
        <w:div w:id="1593471452">
          <w:marLeft w:val="0"/>
          <w:marRight w:val="0"/>
          <w:marTop w:val="0"/>
          <w:marBottom w:val="0"/>
          <w:divBdr>
            <w:top w:val="none" w:sz="0" w:space="0" w:color="auto"/>
            <w:left w:val="none" w:sz="0" w:space="0" w:color="auto"/>
            <w:bottom w:val="none" w:sz="0" w:space="0" w:color="auto"/>
            <w:right w:val="none" w:sz="0" w:space="0" w:color="auto"/>
          </w:divBdr>
        </w:div>
      </w:divsChild>
    </w:div>
    <w:div w:id="649988242">
      <w:bodyDiv w:val="1"/>
      <w:marLeft w:val="0"/>
      <w:marRight w:val="0"/>
      <w:marTop w:val="0"/>
      <w:marBottom w:val="0"/>
      <w:divBdr>
        <w:top w:val="none" w:sz="0" w:space="0" w:color="auto"/>
        <w:left w:val="none" w:sz="0" w:space="0" w:color="auto"/>
        <w:bottom w:val="none" w:sz="0" w:space="0" w:color="auto"/>
        <w:right w:val="none" w:sz="0" w:space="0" w:color="auto"/>
      </w:divBdr>
    </w:div>
    <w:div w:id="666136277">
      <w:bodyDiv w:val="1"/>
      <w:marLeft w:val="0"/>
      <w:marRight w:val="0"/>
      <w:marTop w:val="0"/>
      <w:marBottom w:val="0"/>
      <w:divBdr>
        <w:top w:val="none" w:sz="0" w:space="0" w:color="auto"/>
        <w:left w:val="none" w:sz="0" w:space="0" w:color="auto"/>
        <w:bottom w:val="none" w:sz="0" w:space="0" w:color="auto"/>
        <w:right w:val="none" w:sz="0" w:space="0" w:color="auto"/>
      </w:divBdr>
    </w:div>
    <w:div w:id="667365480">
      <w:bodyDiv w:val="1"/>
      <w:marLeft w:val="0"/>
      <w:marRight w:val="0"/>
      <w:marTop w:val="0"/>
      <w:marBottom w:val="0"/>
      <w:divBdr>
        <w:top w:val="none" w:sz="0" w:space="0" w:color="auto"/>
        <w:left w:val="none" w:sz="0" w:space="0" w:color="auto"/>
        <w:bottom w:val="none" w:sz="0" w:space="0" w:color="auto"/>
        <w:right w:val="none" w:sz="0" w:space="0" w:color="auto"/>
      </w:divBdr>
    </w:div>
    <w:div w:id="671612945">
      <w:bodyDiv w:val="1"/>
      <w:marLeft w:val="0"/>
      <w:marRight w:val="0"/>
      <w:marTop w:val="0"/>
      <w:marBottom w:val="0"/>
      <w:divBdr>
        <w:top w:val="none" w:sz="0" w:space="0" w:color="auto"/>
        <w:left w:val="none" w:sz="0" w:space="0" w:color="auto"/>
        <w:bottom w:val="none" w:sz="0" w:space="0" w:color="auto"/>
        <w:right w:val="none" w:sz="0" w:space="0" w:color="auto"/>
      </w:divBdr>
    </w:div>
    <w:div w:id="675571604">
      <w:bodyDiv w:val="1"/>
      <w:marLeft w:val="0"/>
      <w:marRight w:val="0"/>
      <w:marTop w:val="0"/>
      <w:marBottom w:val="0"/>
      <w:divBdr>
        <w:top w:val="none" w:sz="0" w:space="0" w:color="auto"/>
        <w:left w:val="none" w:sz="0" w:space="0" w:color="auto"/>
        <w:bottom w:val="none" w:sz="0" w:space="0" w:color="auto"/>
        <w:right w:val="none" w:sz="0" w:space="0" w:color="auto"/>
      </w:divBdr>
    </w:div>
    <w:div w:id="684552322">
      <w:bodyDiv w:val="1"/>
      <w:marLeft w:val="0"/>
      <w:marRight w:val="0"/>
      <w:marTop w:val="0"/>
      <w:marBottom w:val="0"/>
      <w:divBdr>
        <w:top w:val="none" w:sz="0" w:space="0" w:color="auto"/>
        <w:left w:val="none" w:sz="0" w:space="0" w:color="auto"/>
        <w:bottom w:val="none" w:sz="0" w:space="0" w:color="auto"/>
        <w:right w:val="none" w:sz="0" w:space="0" w:color="auto"/>
      </w:divBdr>
    </w:div>
    <w:div w:id="697506101">
      <w:bodyDiv w:val="1"/>
      <w:marLeft w:val="0"/>
      <w:marRight w:val="0"/>
      <w:marTop w:val="0"/>
      <w:marBottom w:val="0"/>
      <w:divBdr>
        <w:top w:val="none" w:sz="0" w:space="0" w:color="auto"/>
        <w:left w:val="none" w:sz="0" w:space="0" w:color="auto"/>
        <w:bottom w:val="none" w:sz="0" w:space="0" w:color="auto"/>
        <w:right w:val="none" w:sz="0" w:space="0" w:color="auto"/>
      </w:divBdr>
    </w:div>
    <w:div w:id="758525260">
      <w:bodyDiv w:val="1"/>
      <w:marLeft w:val="0"/>
      <w:marRight w:val="0"/>
      <w:marTop w:val="0"/>
      <w:marBottom w:val="0"/>
      <w:divBdr>
        <w:top w:val="none" w:sz="0" w:space="0" w:color="auto"/>
        <w:left w:val="none" w:sz="0" w:space="0" w:color="auto"/>
        <w:bottom w:val="none" w:sz="0" w:space="0" w:color="auto"/>
        <w:right w:val="none" w:sz="0" w:space="0" w:color="auto"/>
      </w:divBdr>
    </w:div>
    <w:div w:id="759789097">
      <w:bodyDiv w:val="1"/>
      <w:marLeft w:val="0"/>
      <w:marRight w:val="0"/>
      <w:marTop w:val="0"/>
      <w:marBottom w:val="0"/>
      <w:divBdr>
        <w:top w:val="none" w:sz="0" w:space="0" w:color="auto"/>
        <w:left w:val="none" w:sz="0" w:space="0" w:color="auto"/>
        <w:bottom w:val="none" w:sz="0" w:space="0" w:color="auto"/>
        <w:right w:val="none" w:sz="0" w:space="0" w:color="auto"/>
      </w:divBdr>
    </w:div>
    <w:div w:id="786318324">
      <w:bodyDiv w:val="1"/>
      <w:marLeft w:val="0"/>
      <w:marRight w:val="0"/>
      <w:marTop w:val="0"/>
      <w:marBottom w:val="0"/>
      <w:divBdr>
        <w:top w:val="none" w:sz="0" w:space="0" w:color="auto"/>
        <w:left w:val="none" w:sz="0" w:space="0" w:color="auto"/>
        <w:bottom w:val="none" w:sz="0" w:space="0" w:color="auto"/>
        <w:right w:val="none" w:sz="0" w:space="0" w:color="auto"/>
      </w:divBdr>
    </w:div>
    <w:div w:id="802313356">
      <w:bodyDiv w:val="1"/>
      <w:marLeft w:val="0"/>
      <w:marRight w:val="0"/>
      <w:marTop w:val="0"/>
      <w:marBottom w:val="0"/>
      <w:divBdr>
        <w:top w:val="none" w:sz="0" w:space="0" w:color="auto"/>
        <w:left w:val="none" w:sz="0" w:space="0" w:color="auto"/>
        <w:bottom w:val="none" w:sz="0" w:space="0" w:color="auto"/>
        <w:right w:val="none" w:sz="0" w:space="0" w:color="auto"/>
      </w:divBdr>
    </w:div>
    <w:div w:id="818301804">
      <w:bodyDiv w:val="1"/>
      <w:marLeft w:val="0"/>
      <w:marRight w:val="0"/>
      <w:marTop w:val="0"/>
      <w:marBottom w:val="0"/>
      <w:divBdr>
        <w:top w:val="none" w:sz="0" w:space="0" w:color="auto"/>
        <w:left w:val="none" w:sz="0" w:space="0" w:color="auto"/>
        <w:bottom w:val="none" w:sz="0" w:space="0" w:color="auto"/>
        <w:right w:val="none" w:sz="0" w:space="0" w:color="auto"/>
      </w:divBdr>
    </w:div>
    <w:div w:id="840001777">
      <w:bodyDiv w:val="1"/>
      <w:marLeft w:val="0"/>
      <w:marRight w:val="0"/>
      <w:marTop w:val="0"/>
      <w:marBottom w:val="0"/>
      <w:divBdr>
        <w:top w:val="none" w:sz="0" w:space="0" w:color="auto"/>
        <w:left w:val="none" w:sz="0" w:space="0" w:color="auto"/>
        <w:bottom w:val="none" w:sz="0" w:space="0" w:color="auto"/>
        <w:right w:val="none" w:sz="0" w:space="0" w:color="auto"/>
      </w:divBdr>
    </w:div>
    <w:div w:id="854882854">
      <w:bodyDiv w:val="1"/>
      <w:marLeft w:val="0"/>
      <w:marRight w:val="0"/>
      <w:marTop w:val="0"/>
      <w:marBottom w:val="0"/>
      <w:divBdr>
        <w:top w:val="none" w:sz="0" w:space="0" w:color="auto"/>
        <w:left w:val="none" w:sz="0" w:space="0" w:color="auto"/>
        <w:bottom w:val="none" w:sz="0" w:space="0" w:color="auto"/>
        <w:right w:val="none" w:sz="0" w:space="0" w:color="auto"/>
      </w:divBdr>
      <w:divsChild>
        <w:div w:id="413938583">
          <w:marLeft w:val="0"/>
          <w:marRight w:val="0"/>
          <w:marTop w:val="0"/>
          <w:marBottom w:val="0"/>
          <w:divBdr>
            <w:top w:val="none" w:sz="0" w:space="0" w:color="auto"/>
            <w:left w:val="none" w:sz="0" w:space="0" w:color="auto"/>
            <w:bottom w:val="none" w:sz="0" w:space="0" w:color="auto"/>
            <w:right w:val="none" w:sz="0" w:space="0" w:color="auto"/>
          </w:divBdr>
        </w:div>
        <w:div w:id="1036203193">
          <w:marLeft w:val="0"/>
          <w:marRight w:val="0"/>
          <w:marTop w:val="0"/>
          <w:marBottom w:val="0"/>
          <w:divBdr>
            <w:top w:val="none" w:sz="0" w:space="0" w:color="auto"/>
            <w:left w:val="none" w:sz="0" w:space="0" w:color="auto"/>
            <w:bottom w:val="none" w:sz="0" w:space="0" w:color="auto"/>
            <w:right w:val="none" w:sz="0" w:space="0" w:color="auto"/>
          </w:divBdr>
        </w:div>
      </w:divsChild>
    </w:div>
    <w:div w:id="855267670">
      <w:bodyDiv w:val="1"/>
      <w:marLeft w:val="0"/>
      <w:marRight w:val="0"/>
      <w:marTop w:val="0"/>
      <w:marBottom w:val="0"/>
      <w:divBdr>
        <w:top w:val="none" w:sz="0" w:space="0" w:color="auto"/>
        <w:left w:val="none" w:sz="0" w:space="0" w:color="auto"/>
        <w:bottom w:val="none" w:sz="0" w:space="0" w:color="auto"/>
        <w:right w:val="none" w:sz="0" w:space="0" w:color="auto"/>
      </w:divBdr>
    </w:div>
    <w:div w:id="915748576">
      <w:bodyDiv w:val="1"/>
      <w:marLeft w:val="0"/>
      <w:marRight w:val="0"/>
      <w:marTop w:val="0"/>
      <w:marBottom w:val="0"/>
      <w:divBdr>
        <w:top w:val="none" w:sz="0" w:space="0" w:color="auto"/>
        <w:left w:val="none" w:sz="0" w:space="0" w:color="auto"/>
        <w:bottom w:val="none" w:sz="0" w:space="0" w:color="auto"/>
        <w:right w:val="none" w:sz="0" w:space="0" w:color="auto"/>
      </w:divBdr>
    </w:div>
    <w:div w:id="933243267">
      <w:bodyDiv w:val="1"/>
      <w:marLeft w:val="0"/>
      <w:marRight w:val="0"/>
      <w:marTop w:val="0"/>
      <w:marBottom w:val="0"/>
      <w:divBdr>
        <w:top w:val="none" w:sz="0" w:space="0" w:color="auto"/>
        <w:left w:val="none" w:sz="0" w:space="0" w:color="auto"/>
        <w:bottom w:val="none" w:sz="0" w:space="0" w:color="auto"/>
        <w:right w:val="none" w:sz="0" w:space="0" w:color="auto"/>
      </w:divBdr>
    </w:div>
    <w:div w:id="934628191">
      <w:bodyDiv w:val="1"/>
      <w:marLeft w:val="0"/>
      <w:marRight w:val="0"/>
      <w:marTop w:val="0"/>
      <w:marBottom w:val="0"/>
      <w:divBdr>
        <w:top w:val="none" w:sz="0" w:space="0" w:color="auto"/>
        <w:left w:val="none" w:sz="0" w:space="0" w:color="auto"/>
        <w:bottom w:val="none" w:sz="0" w:space="0" w:color="auto"/>
        <w:right w:val="none" w:sz="0" w:space="0" w:color="auto"/>
      </w:divBdr>
      <w:divsChild>
        <w:div w:id="2010326654">
          <w:marLeft w:val="0"/>
          <w:marRight w:val="0"/>
          <w:marTop w:val="0"/>
          <w:marBottom w:val="0"/>
          <w:divBdr>
            <w:top w:val="none" w:sz="0" w:space="0" w:color="auto"/>
            <w:left w:val="none" w:sz="0" w:space="0" w:color="auto"/>
            <w:bottom w:val="none" w:sz="0" w:space="0" w:color="auto"/>
            <w:right w:val="none" w:sz="0" w:space="0" w:color="auto"/>
          </w:divBdr>
          <w:divsChild>
            <w:div w:id="1483159622">
              <w:marLeft w:val="0"/>
              <w:marRight w:val="0"/>
              <w:marTop w:val="0"/>
              <w:marBottom w:val="0"/>
              <w:divBdr>
                <w:top w:val="none" w:sz="0" w:space="0" w:color="auto"/>
                <w:left w:val="none" w:sz="0" w:space="0" w:color="auto"/>
                <w:bottom w:val="none" w:sz="0" w:space="0" w:color="auto"/>
                <w:right w:val="none" w:sz="0" w:space="0" w:color="auto"/>
              </w:divBdr>
              <w:divsChild>
                <w:div w:id="58762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59690">
      <w:bodyDiv w:val="1"/>
      <w:marLeft w:val="0"/>
      <w:marRight w:val="0"/>
      <w:marTop w:val="0"/>
      <w:marBottom w:val="0"/>
      <w:divBdr>
        <w:top w:val="none" w:sz="0" w:space="0" w:color="auto"/>
        <w:left w:val="none" w:sz="0" w:space="0" w:color="auto"/>
        <w:bottom w:val="none" w:sz="0" w:space="0" w:color="auto"/>
        <w:right w:val="none" w:sz="0" w:space="0" w:color="auto"/>
      </w:divBdr>
    </w:div>
    <w:div w:id="989410214">
      <w:bodyDiv w:val="1"/>
      <w:marLeft w:val="0"/>
      <w:marRight w:val="0"/>
      <w:marTop w:val="0"/>
      <w:marBottom w:val="0"/>
      <w:divBdr>
        <w:top w:val="none" w:sz="0" w:space="0" w:color="auto"/>
        <w:left w:val="none" w:sz="0" w:space="0" w:color="auto"/>
        <w:bottom w:val="none" w:sz="0" w:space="0" w:color="auto"/>
        <w:right w:val="none" w:sz="0" w:space="0" w:color="auto"/>
      </w:divBdr>
    </w:div>
    <w:div w:id="1038240424">
      <w:bodyDiv w:val="1"/>
      <w:marLeft w:val="0"/>
      <w:marRight w:val="0"/>
      <w:marTop w:val="0"/>
      <w:marBottom w:val="0"/>
      <w:divBdr>
        <w:top w:val="none" w:sz="0" w:space="0" w:color="auto"/>
        <w:left w:val="none" w:sz="0" w:space="0" w:color="auto"/>
        <w:bottom w:val="none" w:sz="0" w:space="0" w:color="auto"/>
        <w:right w:val="none" w:sz="0" w:space="0" w:color="auto"/>
      </w:divBdr>
    </w:div>
    <w:div w:id="1077090629">
      <w:bodyDiv w:val="1"/>
      <w:marLeft w:val="0"/>
      <w:marRight w:val="0"/>
      <w:marTop w:val="0"/>
      <w:marBottom w:val="0"/>
      <w:divBdr>
        <w:top w:val="none" w:sz="0" w:space="0" w:color="auto"/>
        <w:left w:val="none" w:sz="0" w:space="0" w:color="auto"/>
        <w:bottom w:val="none" w:sz="0" w:space="0" w:color="auto"/>
        <w:right w:val="none" w:sz="0" w:space="0" w:color="auto"/>
      </w:divBdr>
    </w:div>
    <w:div w:id="1079323560">
      <w:bodyDiv w:val="1"/>
      <w:marLeft w:val="0"/>
      <w:marRight w:val="0"/>
      <w:marTop w:val="0"/>
      <w:marBottom w:val="0"/>
      <w:divBdr>
        <w:top w:val="none" w:sz="0" w:space="0" w:color="auto"/>
        <w:left w:val="none" w:sz="0" w:space="0" w:color="auto"/>
        <w:bottom w:val="none" w:sz="0" w:space="0" w:color="auto"/>
        <w:right w:val="none" w:sz="0" w:space="0" w:color="auto"/>
      </w:divBdr>
    </w:div>
    <w:div w:id="1080908307">
      <w:bodyDiv w:val="1"/>
      <w:marLeft w:val="0"/>
      <w:marRight w:val="0"/>
      <w:marTop w:val="0"/>
      <w:marBottom w:val="0"/>
      <w:divBdr>
        <w:top w:val="none" w:sz="0" w:space="0" w:color="auto"/>
        <w:left w:val="none" w:sz="0" w:space="0" w:color="auto"/>
        <w:bottom w:val="none" w:sz="0" w:space="0" w:color="auto"/>
        <w:right w:val="none" w:sz="0" w:space="0" w:color="auto"/>
      </w:divBdr>
      <w:divsChild>
        <w:div w:id="1797792745">
          <w:marLeft w:val="0"/>
          <w:marRight w:val="0"/>
          <w:marTop w:val="0"/>
          <w:marBottom w:val="0"/>
          <w:divBdr>
            <w:top w:val="none" w:sz="0" w:space="0" w:color="auto"/>
            <w:left w:val="none" w:sz="0" w:space="0" w:color="auto"/>
            <w:bottom w:val="none" w:sz="0" w:space="0" w:color="auto"/>
            <w:right w:val="none" w:sz="0" w:space="0" w:color="auto"/>
          </w:divBdr>
          <w:divsChild>
            <w:div w:id="580870911">
              <w:marLeft w:val="0"/>
              <w:marRight w:val="0"/>
              <w:marTop w:val="0"/>
              <w:marBottom w:val="0"/>
              <w:divBdr>
                <w:top w:val="none" w:sz="0" w:space="0" w:color="auto"/>
                <w:left w:val="none" w:sz="0" w:space="0" w:color="auto"/>
                <w:bottom w:val="none" w:sz="0" w:space="0" w:color="auto"/>
                <w:right w:val="none" w:sz="0" w:space="0" w:color="auto"/>
              </w:divBdr>
            </w:div>
            <w:div w:id="603728714">
              <w:marLeft w:val="0"/>
              <w:marRight w:val="0"/>
              <w:marTop w:val="0"/>
              <w:marBottom w:val="0"/>
              <w:divBdr>
                <w:top w:val="none" w:sz="0" w:space="0" w:color="auto"/>
                <w:left w:val="none" w:sz="0" w:space="0" w:color="auto"/>
                <w:bottom w:val="none" w:sz="0" w:space="0" w:color="auto"/>
                <w:right w:val="none" w:sz="0" w:space="0" w:color="auto"/>
              </w:divBdr>
              <w:divsChild>
                <w:div w:id="18900793">
                  <w:marLeft w:val="0"/>
                  <w:marRight w:val="0"/>
                  <w:marTop w:val="0"/>
                  <w:marBottom w:val="0"/>
                  <w:divBdr>
                    <w:top w:val="none" w:sz="0" w:space="0" w:color="auto"/>
                    <w:left w:val="none" w:sz="0" w:space="0" w:color="auto"/>
                    <w:bottom w:val="none" w:sz="0" w:space="0" w:color="auto"/>
                    <w:right w:val="none" w:sz="0" w:space="0" w:color="auto"/>
                  </w:divBdr>
                </w:div>
              </w:divsChild>
            </w:div>
            <w:div w:id="1045718221">
              <w:marLeft w:val="0"/>
              <w:marRight w:val="0"/>
              <w:marTop w:val="0"/>
              <w:marBottom w:val="0"/>
              <w:divBdr>
                <w:top w:val="none" w:sz="0" w:space="0" w:color="auto"/>
                <w:left w:val="none" w:sz="0" w:space="0" w:color="auto"/>
                <w:bottom w:val="none" w:sz="0" w:space="0" w:color="auto"/>
                <w:right w:val="none" w:sz="0" w:space="0" w:color="auto"/>
              </w:divBdr>
            </w:div>
            <w:div w:id="1250196635">
              <w:marLeft w:val="0"/>
              <w:marRight w:val="0"/>
              <w:marTop w:val="0"/>
              <w:marBottom w:val="0"/>
              <w:divBdr>
                <w:top w:val="none" w:sz="0" w:space="0" w:color="auto"/>
                <w:left w:val="none" w:sz="0" w:space="0" w:color="auto"/>
                <w:bottom w:val="none" w:sz="0" w:space="0" w:color="auto"/>
                <w:right w:val="none" w:sz="0" w:space="0" w:color="auto"/>
              </w:divBdr>
            </w:div>
            <w:div w:id="1606814116">
              <w:marLeft w:val="0"/>
              <w:marRight w:val="0"/>
              <w:marTop w:val="0"/>
              <w:marBottom w:val="0"/>
              <w:divBdr>
                <w:top w:val="none" w:sz="0" w:space="0" w:color="auto"/>
                <w:left w:val="none" w:sz="0" w:space="0" w:color="auto"/>
                <w:bottom w:val="none" w:sz="0" w:space="0" w:color="auto"/>
                <w:right w:val="none" w:sz="0" w:space="0" w:color="auto"/>
              </w:divBdr>
            </w:div>
            <w:div w:id="198508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93174">
      <w:bodyDiv w:val="1"/>
      <w:marLeft w:val="0"/>
      <w:marRight w:val="0"/>
      <w:marTop w:val="0"/>
      <w:marBottom w:val="0"/>
      <w:divBdr>
        <w:top w:val="none" w:sz="0" w:space="0" w:color="auto"/>
        <w:left w:val="none" w:sz="0" w:space="0" w:color="auto"/>
        <w:bottom w:val="none" w:sz="0" w:space="0" w:color="auto"/>
        <w:right w:val="none" w:sz="0" w:space="0" w:color="auto"/>
      </w:divBdr>
    </w:div>
    <w:div w:id="1099451963">
      <w:bodyDiv w:val="1"/>
      <w:marLeft w:val="0"/>
      <w:marRight w:val="0"/>
      <w:marTop w:val="0"/>
      <w:marBottom w:val="0"/>
      <w:divBdr>
        <w:top w:val="none" w:sz="0" w:space="0" w:color="auto"/>
        <w:left w:val="none" w:sz="0" w:space="0" w:color="auto"/>
        <w:bottom w:val="none" w:sz="0" w:space="0" w:color="auto"/>
        <w:right w:val="none" w:sz="0" w:space="0" w:color="auto"/>
      </w:divBdr>
    </w:div>
    <w:div w:id="1140003589">
      <w:bodyDiv w:val="1"/>
      <w:marLeft w:val="0"/>
      <w:marRight w:val="0"/>
      <w:marTop w:val="0"/>
      <w:marBottom w:val="0"/>
      <w:divBdr>
        <w:top w:val="none" w:sz="0" w:space="0" w:color="auto"/>
        <w:left w:val="none" w:sz="0" w:space="0" w:color="auto"/>
        <w:bottom w:val="none" w:sz="0" w:space="0" w:color="auto"/>
        <w:right w:val="none" w:sz="0" w:space="0" w:color="auto"/>
      </w:divBdr>
    </w:div>
    <w:div w:id="1175532639">
      <w:bodyDiv w:val="1"/>
      <w:marLeft w:val="0"/>
      <w:marRight w:val="0"/>
      <w:marTop w:val="0"/>
      <w:marBottom w:val="0"/>
      <w:divBdr>
        <w:top w:val="none" w:sz="0" w:space="0" w:color="auto"/>
        <w:left w:val="none" w:sz="0" w:space="0" w:color="auto"/>
        <w:bottom w:val="none" w:sz="0" w:space="0" w:color="auto"/>
        <w:right w:val="none" w:sz="0" w:space="0" w:color="auto"/>
      </w:divBdr>
      <w:divsChild>
        <w:div w:id="1309437191">
          <w:marLeft w:val="0"/>
          <w:marRight w:val="0"/>
          <w:marTop w:val="0"/>
          <w:marBottom w:val="0"/>
          <w:divBdr>
            <w:top w:val="none" w:sz="0" w:space="0" w:color="auto"/>
            <w:left w:val="none" w:sz="0" w:space="0" w:color="auto"/>
            <w:bottom w:val="none" w:sz="0" w:space="0" w:color="auto"/>
            <w:right w:val="none" w:sz="0" w:space="0" w:color="auto"/>
          </w:divBdr>
        </w:div>
        <w:div w:id="1460876315">
          <w:marLeft w:val="0"/>
          <w:marRight w:val="0"/>
          <w:marTop w:val="0"/>
          <w:marBottom w:val="0"/>
          <w:divBdr>
            <w:top w:val="none" w:sz="0" w:space="0" w:color="auto"/>
            <w:left w:val="none" w:sz="0" w:space="0" w:color="auto"/>
            <w:bottom w:val="none" w:sz="0" w:space="0" w:color="auto"/>
            <w:right w:val="none" w:sz="0" w:space="0" w:color="auto"/>
          </w:divBdr>
        </w:div>
        <w:div w:id="1826893615">
          <w:marLeft w:val="0"/>
          <w:marRight w:val="0"/>
          <w:marTop w:val="0"/>
          <w:marBottom w:val="0"/>
          <w:divBdr>
            <w:top w:val="none" w:sz="0" w:space="0" w:color="auto"/>
            <w:left w:val="none" w:sz="0" w:space="0" w:color="auto"/>
            <w:bottom w:val="none" w:sz="0" w:space="0" w:color="auto"/>
            <w:right w:val="none" w:sz="0" w:space="0" w:color="auto"/>
          </w:divBdr>
        </w:div>
        <w:div w:id="2145149621">
          <w:marLeft w:val="0"/>
          <w:marRight w:val="0"/>
          <w:marTop w:val="0"/>
          <w:marBottom w:val="0"/>
          <w:divBdr>
            <w:top w:val="none" w:sz="0" w:space="0" w:color="auto"/>
            <w:left w:val="none" w:sz="0" w:space="0" w:color="auto"/>
            <w:bottom w:val="none" w:sz="0" w:space="0" w:color="auto"/>
            <w:right w:val="none" w:sz="0" w:space="0" w:color="auto"/>
          </w:divBdr>
        </w:div>
      </w:divsChild>
    </w:div>
    <w:div w:id="1178154102">
      <w:bodyDiv w:val="1"/>
      <w:marLeft w:val="0"/>
      <w:marRight w:val="0"/>
      <w:marTop w:val="0"/>
      <w:marBottom w:val="0"/>
      <w:divBdr>
        <w:top w:val="none" w:sz="0" w:space="0" w:color="auto"/>
        <w:left w:val="none" w:sz="0" w:space="0" w:color="auto"/>
        <w:bottom w:val="none" w:sz="0" w:space="0" w:color="auto"/>
        <w:right w:val="none" w:sz="0" w:space="0" w:color="auto"/>
      </w:divBdr>
    </w:div>
    <w:div w:id="1181360460">
      <w:bodyDiv w:val="1"/>
      <w:marLeft w:val="0"/>
      <w:marRight w:val="0"/>
      <w:marTop w:val="0"/>
      <w:marBottom w:val="0"/>
      <w:divBdr>
        <w:top w:val="none" w:sz="0" w:space="0" w:color="auto"/>
        <w:left w:val="none" w:sz="0" w:space="0" w:color="auto"/>
        <w:bottom w:val="none" w:sz="0" w:space="0" w:color="auto"/>
        <w:right w:val="none" w:sz="0" w:space="0" w:color="auto"/>
      </w:divBdr>
    </w:div>
    <w:div w:id="1187061799">
      <w:bodyDiv w:val="1"/>
      <w:marLeft w:val="0"/>
      <w:marRight w:val="0"/>
      <w:marTop w:val="0"/>
      <w:marBottom w:val="0"/>
      <w:divBdr>
        <w:top w:val="none" w:sz="0" w:space="0" w:color="auto"/>
        <w:left w:val="none" w:sz="0" w:space="0" w:color="auto"/>
        <w:bottom w:val="none" w:sz="0" w:space="0" w:color="auto"/>
        <w:right w:val="none" w:sz="0" w:space="0" w:color="auto"/>
      </w:divBdr>
    </w:div>
    <w:div w:id="1190877857">
      <w:bodyDiv w:val="1"/>
      <w:marLeft w:val="0"/>
      <w:marRight w:val="0"/>
      <w:marTop w:val="0"/>
      <w:marBottom w:val="0"/>
      <w:divBdr>
        <w:top w:val="none" w:sz="0" w:space="0" w:color="auto"/>
        <w:left w:val="none" w:sz="0" w:space="0" w:color="auto"/>
        <w:bottom w:val="none" w:sz="0" w:space="0" w:color="auto"/>
        <w:right w:val="none" w:sz="0" w:space="0" w:color="auto"/>
      </w:divBdr>
    </w:div>
    <w:div w:id="1199975394">
      <w:bodyDiv w:val="1"/>
      <w:marLeft w:val="0"/>
      <w:marRight w:val="0"/>
      <w:marTop w:val="0"/>
      <w:marBottom w:val="0"/>
      <w:divBdr>
        <w:top w:val="none" w:sz="0" w:space="0" w:color="auto"/>
        <w:left w:val="none" w:sz="0" w:space="0" w:color="auto"/>
        <w:bottom w:val="none" w:sz="0" w:space="0" w:color="auto"/>
        <w:right w:val="none" w:sz="0" w:space="0" w:color="auto"/>
      </w:divBdr>
    </w:div>
    <w:div w:id="1207258484">
      <w:bodyDiv w:val="1"/>
      <w:marLeft w:val="0"/>
      <w:marRight w:val="0"/>
      <w:marTop w:val="0"/>
      <w:marBottom w:val="0"/>
      <w:divBdr>
        <w:top w:val="none" w:sz="0" w:space="0" w:color="auto"/>
        <w:left w:val="none" w:sz="0" w:space="0" w:color="auto"/>
        <w:bottom w:val="none" w:sz="0" w:space="0" w:color="auto"/>
        <w:right w:val="none" w:sz="0" w:space="0" w:color="auto"/>
      </w:divBdr>
      <w:divsChild>
        <w:div w:id="1516458925">
          <w:marLeft w:val="0"/>
          <w:marRight w:val="0"/>
          <w:marTop w:val="0"/>
          <w:marBottom w:val="0"/>
          <w:divBdr>
            <w:top w:val="none" w:sz="0" w:space="0" w:color="auto"/>
            <w:left w:val="none" w:sz="0" w:space="0" w:color="auto"/>
            <w:bottom w:val="none" w:sz="0" w:space="0" w:color="auto"/>
            <w:right w:val="none" w:sz="0" w:space="0" w:color="auto"/>
          </w:divBdr>
          <w:divsChild>
            <w:div w:id="4033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6862">
      <w:bodyDiv w:val="1"/>
      <w:marLeft w:val="0"/>
      <w:marRight w:val="0"/>
      <w:marTop w:val="0"/>
      <w:marBottom w:val="0"/>
      <w:divBdr>
        <w:top w:val="none" w:sz="0" w:space="0" w:color="auto"/>
        <w:left w:val="none" w:sz="0" w:space="0" w:color="auto"/>
        <w:bottom w:val="none" w:sz="0" w:space="0" w:color="auto"/>
        <w:right w:val="none" w:sz="0" w:space="0" w:color="auto"/>
      </w:divBdr>
    </w:div>
    <w:div w:id="1223828285">
      <w:bodyDiv w:val="1"/>
      <w:marLeft w:val="0"/>
      <w:marRight w:val="0"/>
      <w:marTop w:val="0"/>
      <w:marBottom w:val="0"/>
      <w:divBdr>
        <w:top w:val="none" w:sz="0" w:space="0" w:color="auto"/>
        <w:left w:val="none" w:sz="0" w:space="0" w:color="auto"/>
        <w:bottom w:val="none" w:sz="0" w:space="0" w:color="auto"/>
        <w:right w:val="none" w:sz="0" w:space="0" w:color="auto"/>
      </w:divBdr>
      <w:divsChild>
        <w:div w:id="781464165">
          <w:marLeft w:val="0"/>
          <w:marRight w:val="0"/>
          <w:marTop w:val="0"/>
          <w:marBottom w:val="0"/>
          <w:divBdr>
            <w:top w:val="none" w:sz="0" w:space="0" w:color="auto"/>
            <w:left w:val="none" w:sz="0" w:space="0" w:color="auto"/>
            <w:bottom w:val="none" w:sz="0" w:space="0" w:color="auto"/>
            <w:right w:val="none" w:sz="0" w:space="0" w:color="auto"/>
          </w:divBdr>
        </w:div>
        <w:div w:id="1255743937">
          <w:marLeft w:val="0"/>
          <w:marRight w:val="0"/>
          <w:marTop w:val="0"/>
          <w:marBottom w:val="0"/>
          <w:divBdr>
            <w:top w:val="none" w:sz="0" w:space="0" w:color="auto"/>
            <w:left w:val="none" w:sz="0" w:space="0" w:color="auto"/>
            <w:bottom w:val="none" w:sz="0" w:space="0" w:color="auto"/>
            <w:right w:val="none" w:sz="0" w:space="0" w:color="auto"/>
          </w:divBdr>
        </w:div>
        <w:div w:id="1413159665">
          <w:marLeft w:val="0"/>
          <w:marRight w:val="0"/>
          <w:marTop w:val="0"/>
          <w:marBottom w:val="0"/>
          <w:divBdr>
            <w:top w:val="none" w:sz="0" w:space="0" w:color="auto"/>
            <w:left w:val="none" w:sz="0" w:space="0" w:color="auto"/>
            <w:bottom w:val="none" w:sz="0" w:space="0" w:color="auto"/>
            <w:right w:val="none" w:sz="0" w:space="0" w:color="auto"/>
          </w:divBdr>
        </w:div>
        <w:div w:id="1727022567">
          <w:marLeft w:val="0"/>
          <w:marRight w:val="0"/>
          <w:marTop w:val="0"/>
          <w:marBottom w:val="0"/>
          <w:divBdr>
            <w:top w:val="none" w:sz="0" w:space="0" w:color="auto"/>
            <w:left w:val="none" w:sz="0" w:space="0" w:color="auto"/>
            <w:bottom w:val="none" w:sz="0" w:space="0" w:color="auto"/>
            <w:right w:val="none" w:sz="0" w:space="0" w:color="auto"/>
          </w:divBdr>
        </w:div>
        <w:div w:id="1877152831">
          <w:marLeft w:val="0"/>
          <w:marRight w:val="0"/>
          <w:marTop w:val="0"/>
          <w:marBottom w:val="0"/>
          <w:divBdr>
            <w:top w:val="none" w:sz="0" w:space="0" w:color="auto"/>
            <w:left w:val="none" w:sz="0" w:space="0" w:color="auto"/>
            <w:bottom w:val="none" w:sz="0" w:space="0" w:color="auto"/>
            <w:right w:val="none" w:sz="0" w:space="0" w:color="auto"/>
          </w:divBdr>
        </w:div>
      </w:divsChild>
    </w:div>
    <w:div w:id="1234506381">
      <w:bodyDiv w:val="1"/>
      <w:marLeft w:val="0"/>
      <w:marRight w:val="0"/>
      <w:marTop w:val="0"/>
      <w:marBottom w:val="0"/>
      <w:divBdr>
        <w:top w:val="none" w:sz="0" w:space="0" w:color="auto"/>
        <w:left w:val="none" w:sz="0" w:space="0" w:color="auto"/>
        <w:bottom w:val="none" w:sz="0" w:space="0" w:color="auto"/>
        <w:right w:val="none" w:sz="0" w:space="0" w:color="auto"/>
      </w:divBdr>
    </w:div>
    <w:div w:id="1237666566">
      <w:bodyDiv w:val="1"/>
      <w:marLeft w:val="0"/>
      <w:marRight w:val="0"/>
      <w:marTop w:val="0"/>
      <w:marBottom w:val="0"/>
      <w:divBdr>
        <w:top w:val="none" w:sz="0" w:space="0" w:color="auto"/>
        <w:left w:val="none" w:sz="0" w:space="0" w:color="auto"/>
        <w:bottom w:val="none" w:sz="0" w:space="0" w:color="auto"/>
        <w:right w:val="none" w:sz="0" w:space="0" w:color="auto"/>
      </w:divBdr>
    </w:div>
    <w:div w:id="1261068168">
      <w:bodyDiv w:val="1"/>
      <w:marLeft w:val="0"/>
      <w:marRight w:val="0"/>
      <w:marTop w:val="0"/>
      <w:marBottom w:val="0"/>
      <w:divBdr>
        <w:top w:val="none" w:sz="0" w:space="0" w:color="auto"/>
        <w:left w:val="none" w:sz="0" w:space="0" w:color="auto"/>
        <w:bottom w:val="none" w:sz="0" w:space="0" w:color="auto"/>
        <w:right w:val="none" w:sz="0" w:space="0" w:color="auto"/>
      </w:divBdr>
    </w:div>
    <w:div w:id="1308825928">
      <w:bodyDiv w:val="1"/>
      <w:marLeft w:val="0"/>
      <w:marRight w:val="0"/>
      <w:marTop w:val="0"/>
      <w:marBottom w:val="0"/>
      <w:divBdr>
        <w:top w:val="none" w:sz="0" w:space="0" w:color="auto"/>
        <w:left w:val="none" w:sz="0" w:space="0" w:color="auto"/>
        <w:bottom w:val="none" w:sz="0" w:space="0" w:color="auto"/>
        <w:right w:val="none" w:sz="0" w:space="0" w:color="auto"/>
      </w:divBdr>
      <w:divsChild>
        <w:div w:id="1345589831">
          <w:marLeft w:val="0"/>
          <w:marRight w:val="0"/>
          <w:marTop w:val="0"/>
          <w:marBottom w:val="0"/>
          <w:divBdr>
            <w:top w:val="none" w:sz="0" w:space="0" w:color="auto"/>
            <w:left w:val="none" w:sz="0" w:space="0" w:color="auto"/>
            <w:bottom w:val="none" w:sz="0" w:space="0" w:color="auto"/>
            <w:right w:val="none" w:sz="0" w:space="0" w:color="auto"/>
          </w:divBdr>
          <w:divsChild>
            <w:div w:id="1860197524">
              <w:marLeft w:val="0"/>
              <w:marRight w:val="0"/>
              <w:marTop w:val="0"/>
              <w:marBottom w:val="0"/>
              <w:divBdr>
                <w:top w:val="none" w:sz="0" w:space="0" w:color="auto"/>
                <w:left w:val="none" w:sz="0" w:space="0" w:color="auto"/>
                <w:bottom w:val="none" w:sz="0" w:space="0" w:color="auto"/>
                <w:right w:val="none" w:sz="0" w:space="0" w:color="auto"/>
              </w:divBdr>
              <w:divsChild>
                <w:div w:id="8504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640416">
      <w:bodyDiv w:val="1"/>
      <w:marLeft w:val="0"/>
      <w:marRight w:val="0"/>
      <w:marTop w:val="0"/>
      <w:marBottom w:val="0"/>
      <w:divBdr>
        <w:top w:val="none" w:sz="0" w:space="0" w:color="auto"/>
        <w:left w:val="none" w:sz="0" w:space="0" w:color="auto"/>
        <w:bottom w:val="none" w:sz="0" w:space="0" w:color="auto"/>
        <w:right w:val="none" w:sz="0" w:space="0" w:color="auto"/>
      </w:divBdr>
    </w:div>
    <w:div w:id="1353342416">
      <w:bodyDiv w:val="1"/>
      <w:marLeft w:val="0"/>
      <w:marRight w:val="0"/>
      <w:marTop w:val="0"/>
      <w:marBottom w:val="0"/>
      <w:divBdr>
        <w:top w:val="none" w:sz="0" w:space="0" w:color="auto"/>
        <w:left w:val="none" w:sz="0" w:space="0" w:color="auto"/>
        <w:bottom w:val="none" w:sz="0" w:space="0" w:color="auto"/>
        <w:right w:val="none" w:sz="0" w:space="0" w:color="auto"/>
      </w:divBdr>
    </w:div>
    <w:div w:id="1354919637">
      <w:bodyDiv w:val="1"/>
      <w:marLeft w:val="0"/>
      <w:marRight w:val="0"/>
      <w:marTop w:val="0"/>
      <w:marBottom w:val="0"/>
      <w:divBdr>
        <w:top w:val="none" w:sz="0" w:space="0" w:color="auto"/>
        <w:left w:val="none" w:sz="0" w:space="0" w:color="auto"/>
        <w:bottom w:val="none" w:sz="0" w:space="0" w:color="auto"/>
        <w:right w:val="none" w:sz="0" w:space="0" w:color="auto"/>
      </w:divBdr>
    </w:div>
    <w:div w:id="1378166771">
      <w:bodyDiv w:val="1"/>
      <w:marLeft w:val="0"/>
      <w:marRight w:val="0"/>
      <w:marTop w:val="0"/>
      <w:marBottom w:val="0"/>
      <w:divBdr>
        <w:top w:val="none" w:sz="0" w:space="0" w:color="auto"/>
        <w:left w:val="none" w:sz="0" w:space="0" w:color="auto"/>
        <w:bottom w:val="none" w:sz="0" w:space="0" w:color="auto"/>
        <w:right w:val="none" w:sz="0" w:space="0" w:color="auto"/>
      </w:divBdr>
    </w:div>
    <w:div w:id="1378550624">
      <w:bodyDiv w:val="1"/>
      <w:marLeft w:val="0"/>
      <w:marRight w:val="0"/>
      <w:marTop w:val="0"/>
      <w:marBottom w:val="0"/>
      <w:divBdr>
        <w:top w:val="none" w:sz="0" w:space="0" w:color="auto"/>
        <w:left w:val="none" w:sz="0" w:space="0" w:color="auto"/>
        <w:bottom w:val="none" w:sz="0" w:space="0" w:color="auto"/>
        <w:right w:val="none" w:sz="0" w:space="0" w:color="auto"/>
      </w:divBdr>
    </w:div>
    <w:div w:id="1387803183">
      <w:bodyDiv w:val="1"/>
      <w:marLeft w:val="0"/>
      <w:marRight w:val="0"/>
      <w:marTop w:val="0"/>
      <w:marBottom w:val="0"/>
      <w:divBdr>
        <w:top w:val="none" w:sz="0" w:space="0" w:color="auto"/>
        <w:left w:val="none" w:sz="0" w:space="0" w:color="auto"/>
        <w:bottom w:val="none" w:sz="0" w:space="0" w:color="auto"/>
        <w:right w:val="none" w:sz="0" w:space="0" w:color="auto"/>
      </w:divBdr>
    </w:div>
    <w:div w:id="1414082998">
      <w:bodyDiv w:val="1"/>
      <w:marLeft w:val="0"/>
      <w:marRight w:val="0"/>
      <w:marTop w:val="0"/>
      <w:marBottom w:val="0"/>
      <w:divBdr>
        <w:top w:val="none" w:sz="0" w:space="0" w:color="auto"/>
        <w:left w:val="none" w:sz="0" w:space="0" w:color="auto"/>
        <w:bottom w:val="none" w:sz="0" w:space="0" w:color="auto"/>
        <w:right w:val="none" w:sz="0" w:space="0" w:color="auto"/>
      </w:divBdr>
    </w:div>
    <w:div w:id="1427194011">
      <w:bodyDiv w:val="1"/>
      <w:marLeft w:val="0"/>
      <w:marRight w:val="0"/>
      <w:marTop w:val="0"/>
      <w:marBottom w:val="0"/>
      <w:divBdr>
        <w:top w:val="none" w:sz="0" w:space="0" w:color="auto"/>
        <w:left w:val="none" w:sz="0" w:space="0" w:color="auto"/>
        <w:bottom w:val="none" w:sz="0" w:space="0" w:color="auto"/>
        <w:right w:val="none" w:sz="0" w:space="0" w:color="auto"/>
      </w:divBdr>
    </w:div>
    <w:div w:id="1453985343">
      <w:bodyDiv w:val="1"/>
      <w:marLeft w:val="0"/>
      <w:marRight w:val="0"/>
      <w:marTop w:val="0"/>
      <w:marBottom w:val="0"/>
      <w:divBdr>
        <w:top w:val="none" w:sz="0" w:space="0" w:color="auto"/>
        <w:left w:val="none" w:sz="0" w:space="0" w:color="auto"/>
        <w:bottom w:val="none" w:sz="0" w:space="0" w:color="auto"/>
        <w:right w:val="none" w:sz="0" w:space="0" w:color="auto"/>
      </w:divBdr>
      <w:divsChild>
        <w:div w:id="78258257">
          <w:marLeft w:val="0"/>
          <w:marRight w:val="0"/>
          <w:marTop w:val="0"/>
          <w:marBottom w:val="0"/>
          <w:divBdr>
            <w:top w:val="none" w:sz="0" w:space="0" w:color="auto"/>
            <w:left w:val="none" w:sz="0" w:space="0" w:color="auto"/>
            <w:bottom w:val="none" w:sz="0" w:space="0" w:color="auto"/>
            <w:right w:val="none" w:sz="0" w:space="0" w:color="auto"/>
          </w:divBdr>
        </w:div>
        <w:div w:id="289019468">
          <w:marLeft w:val="0"/>
          <w:marRight w:val="0"/>
          <w:marTop w:val="0"/>
          <w:marBottom w:val="0"/>
          <w:divBdr>
            <w:top w:val="none" w:sz="0" w:space="0" w:color="auto"/>
            <w:left w:val="none" w:sz="0" w:space="0" w:color="auto"/>
            <w:bottom w:val="none" w:sz="0" w:space="0" w:color="auto"/>
            <w:right w:val="none" w:sz="0" w:space="0" w:color="auto"/>
          </w:divBdr>
        </w:div>
        <w:div w:id="1267887217">
          <w:marLeft w:val="0"/>
          <w:marRight w:val="0"/>
          <w:marTop w:val="0"/>
          <w:marBottom w:val="0"/>
          <w:divBdr>
            <w:top w:val="none" w:sz="0" w:space="0" w:color="auto"/>
            <w:left w:val="none" w:sz="0" w:space="0" w:color="auto"/>
            <w:bottom w:val="none" w:sz="0" w:space="0" w:color="auto"/>
            <w:right w:val="none" w:sz="0" w:space="0" w:color="auto"/>
          </w:divBdr>
        </w:div>
        <w:div w:id="1688407235">
          <w:marLeft w:val="0"/>
          <w:marRight w:val="0"/>
          <w:marTop w:val="0"/>
          <w:marBottom w:val="0"/>
          <w:divBdr>
            <w:top w:val="none" w:sz="0" w:space="0" w:color="auto"/>
            <w:left w:val="none" w:sz="0" w:space="0" w:color="auto"/>
            <w:bottom w:val="none" w:sz="0" w:space="0" w:color="auto"/>
            <w:right w:val="none" w:sz="0" w:space="0" w:color="auto"/>
          </w:divBdr>
        </w:div>
        <w:div w:id="2083915897">
          <w:marLeft w:val="0"/>
          <w:marRight w:val="0"/>
          <w:marTop w:val="0"/>
          <w:marBottom w:val="0"/>
          <w:divBdr>
            <w:top w:val="none" w:sz="0" w:space="0" w:color="auto"/>
            <w:left w:val="none" w:sz="0" w:space="0" w:color="auto"/>
            <w:bottom w:val="none" w:sz="0" w:space="0" w:color="auto"/>
            <w:right w:val="none" w:sz="0" w:space="0" w:color="auto"/>
          </w:divBdr>
        </w:div>
        <w:div w:id="2119792473">
          <w:marLeft w:val="0"/>
          <w:marRight w:val="0"/>
          <w:marTop w:val="0"/>
          <w:marBottom w:val="0"/>
          <w:divBdr>
            <w:top w:val="none" w:sz="0" w:space="0" w:color="auto"/>
            <w:left w:val="none" w:sz="0" w:space="0" w:color="auto"/>
            <w:bottom w:val="none" w:sz="0" w:space="0" w:color="auto"/>
            <w:right w:val="none" w:sz="0" w:space="0" w:color="auto"/>
          </w:divBdr>
        </w:div>
      </w:divsChild>
    </w:div>
    <w:div w:id="1464540831">
      <w:bodyDiv w:val="1"/>
      <w:marLeft w:val="0"/>
      <w:marRight w:val="0"/>
      <w:marTop w:val="0"/>
      <w:marBottom w:val="0"/>
      <w:divBdr>
        <w:top w:val="none" w:sz="0" w:space="0" w:color="auto"/>
        <w:left w:val="none" w:sz="0" w:space="0" w:color="auto"/>
        <w:bottom w:val="none" w:sz="0" w:space="0" w:color="auto"/>
        <w:right w:val="none" w:sz="0" w:space="0" w:color="auto"/>
      </w:divBdr>
    </w:div>
    <w:div w:id="1494836185">
      <w:bodyDiv w:val="1"/>
      <w:marLeft w:val="0"/>
      <w:marRight w:val="0"/>
      <w:marTop w:val="0"/>
      <w:marBottom w:val="0"/>
      <w:divBdr>
        <w:top w:val="none" w:sz="0" w:space="0" w:color="auto"/>
        <w:left w:val="none" w:sz="0" w:space="0" w:color="auto"/>
        <w:bottom w:val="none" w:sz="0" w:space="0" w:color="auto"/>
        <w:right w:val="none" w:sz="0" w:space="0" w:color="auto"/>
      </w:divBdr>
    </w:div>
    <w:div w:id="1525174353">
      <w:bodyDiv w:val="1"/>
      <w:marLeft w:val="0"/>
      <w:marRight w:val="0"/>
      <w:marTop w:val="0"/>
      <w:marBottom w:val="0"/>
      <w:divBdr>
        <w:top w:val="none" w:sz="0" w:space="0" w:color="auto"/>
        <w:left w:val="none" w:sz="0" w:space="0" w:color="auto"/>
        <w:bottom w:val="none" w:sz="0" w:space="0" w:color="auto"/>
        <w:right w:val="none" w:sz="0" w:space="0" w:color="auto"/>
      </w:divBdr>
    </w:div>
    <w:div w:id="1527408013">
      <w:bodyDiv w:val="1"/>
      <w:marLeft w:val="0"/>
      <w:marRight w:val="0"/>
      <w:marTop w:val="0"/>
      <w:marBottom w:val="0"/>
      <w:divBdr>
        <w:top w:val="none" w:sz="0" w:space="0" w:color="auto"/>
        <w:left w:val="none" w:sz="0" w:space="0" w:color="auto"/>
        <w:bottom w:val="none" w:sz="0" w:space="0" w:color="auto"/>
        <w:right w:val="none" w:sz="0" w:space="0" w:color="auto"/>
      </w:divBdr>
      <w:divsChild>
        <w:div w:id="153379204">
          <w:marLeft w:val="0"/>
          <w:marRight w:val="0"/>
          <w:marTop w:val="0"/>
          <w:marBottom w:val="0"/>
          <w:divBdr>
            <w:top w:val="none" w:sz="0" w:space="0" w:color="auto"/>
            <w:left w:val="none" w:sz="0" w:space="0" w:color="auto"/>
            <w:bottom w:val="none" w:sz="0" w:space="0" w:color="auto"/>
            <w:right w:val="none" w:sz="0" w:space="0" w:color="auto"/>
          </w:divBdr>
        </w:div>
        <w:div w:id="178744466">
          <w:marLeft w:val="0"/>
          <w:marRight w:val="0"/>
          <w:marTop w:val="0"/>
          <w:marBottom w:val="0"/>
          <w:divBdr>
            <w:top w:val="none" w:sz="0" w:space="0" w:color="auto"/>
            <w:left w:val="none" w:sz="0" w:space="0" w:color="auto"/>
            <w:bottom w:val="none" w:sz="0" w:space="0" w:color="auto"/>
            <w:right w:val="none" w:sz="0" w:space="0" w:color="auto"/>
          </w:divBdr>
        </w:div>
        <w:div w:id="654647690">
          <w:marLeft w:val="0"/>
          <w:marRight w:val="0"/>
          <w:marTop w:val="0"/>
          <w:marBottom w:val="0"/>
          <w:divBdr>
            <w:top w:val="none" w:sz="0" w:space="0" w:color="auto"/>
            <w:left w:val="none" w:sz="0" w:space="0" w:color="auto"/>
            <w:bottom w:val="none" w:sz="0" w:space="0" w:color="auto"/>
            <w:right w:val="none" w:sz="0" w:space="0" w:color="auto"/>
          </w:divBdr>
        </w:div>
        <w:div w:id="727533641">
          <w:marLeft w:val="0"/>
          <w:marRight w:val="0"/>
          <w:marTop w:val="0"/>
          <w:marBottom w:val="0"/>
          <w:divBdr>
            <w:top w:val="none" w:sz="0" w:space="0" w:color="auto"/>
            <w:left w:val="none" w:sz="0" w:space="0" w:color="auto"/>
            <w:bottom w:val="none" w:sz="0" w:space="0" w:color="auto"/>
            <w:right w:val="none" w:sz="0" w:space="0" w:color="auto"/>
          </w:divBdr>
        </w:div>
        <w:div w:id="840967764">
          <w:marLeft w:val="0"/>
          <w:marRight w:val="0"/>
          <w:marTop w:val="0"/>
          <w:marBottom w:val="0"/>
          <w:divBdr>
            <w:top w:val="none" w:sz="0" w:space="0" w:color="auto"/>
            <w:left w:val="none" w:sz="0" w:space="0" w:color="auto"/>
            <w:bottom w:val="none" w:sz="0" w:space="0" w:color="auto"/>
            <w:right w:val="none" w:sz="0" w:space="0" w:color="auto"/>
          </w:divBdr>
        </w:div>
        <w:div w:id="908923207">
          <w:marLeft w:val="0"/>
          <w:marRight w:val="0"/>
          <w:marTop w:val="0"/>
          <w:marBottom w:val="0"/>
          <w:divBdr>
            <w:top w:val="none" w:sz="0" w:space="0" w:color="auto"/>
            <w:left w:val="none" w:sz="0" w:space="0" w:color="auto"/>
            <w:bottom w:val="none" w:sz="0" w:space="0" w:color="auto"/>
            <w:right w:val="none" w:sz="0" w:space="0" w:color="auto"/>
          </w:divBdr>
        </w:div>
        <w:div w:id="976842396">
          <w:marLeft w:val="0"/>
          <w:marRight w:val="0"/>
          <w:marTop w:val="0"/>
          <w:marBottom w:val="0"/>
          <w:divBdr>
            <w:top w:val="none" w:sz="0" w:space="0" w:color="auto"/>
            <w:left w:val="none" w:sz="0" w:space="0" w:color="auto"/>
            <w:bottom w:val="none" w:sz="0" w:space="0" w:color="auto"/>
            <w:right w:val="none" w:sz="0" w:space="0" w:color="auto"/>
          </w:divBdr>
        </w:div>
        <w:div w:id="1003970139">
          <w:marLeft w:val="0"/>
          <w:marRight w:val="0"/>
          <w:marTop w:val="0"/>
          <w:marBottom w:val="0"/>
          <w:divBdr>
            <w:top w:val="none" w:sz="0" w:space="0" w:color="auto"/>
            <w:left w:val="none" w:sz="0" w:space="0" w:color="auto"/>
            <w:bottom w:val="none" w:sz="0" w:space="0" w:color="auto"/>
            <w:right w:val="none" w:sz="0" w:space="0" w:color="auto"/>
          </w:divBdr>
        </w:div>
        <w:div w:id="1261140786">
          <w:marLeft w:val="0"/>
          <w:marRight w:val="0"/>
          <w:marTop w:val="0"/>
          <w:marBottom w:val="0"/>
          <w:divBdr>
            <w:top w:val="none" w:sz="0" w:space="0" w:color="auto"/>
            <w:left w:val="none" w:sz="0" w:space="0" w:color="auto"/>
            <w:bottom w:val="none" w:sz="0" w:space="0" w:color="auto"/>
            <w:right w:val="none" w:sz="0" w:space="0" w:color="auto"/>
          </w:divBdr>
        </w:div>
        <w:div w:id="1485390563">
          <w:marLeft w:val="0"/>
          <w:marRight w:val="0"/>
          <w:marTop w:val="0"/>
          <w:marBottom w:val="0"/>
          <w:divBdr>
            <w:top w:val="none" w:sz="0" w:space="0" w:color="auto"/>
            <w:left w:val="none" w:sz="0" w:space="0" w:color="auto"/>
            <w:bottom w:val="none" w:sz="0" w:space="0" w:color="auto"/>
            <w:right w:val="none" w:sz="0" w:space="0" w:color="auto"/>
          </w:divBdr>
        </w:div>
        <w:div w:id="1835948446">
          <w:marLeft w:val="0"/>
          <w:marRight w:val="0"/>
          <w:marTop w:val="0"/>
          <w:marBottom w:val="0"/>
          <w:divBdr>
            <w:top w:val="none" w:sz="0" w:space="0" w:color="auto"/>
            <w:left w:val="none" w:sz="0" w:space="0" w:color="auto"/>
            <w:bottom w:val="none" w:sz="0" w:space="0" w:color="auto"/>
            <w:right w:val="none" w:sz="0" w:space="0" w:color="auto"/>
          </w:divBdr>
        </w:div>
      </w:divsChild>
    </w:div>
    <w:div w:id="1550068803">
      <w:bodyDiv w:val="1"/>
      <w:marLeft w:val="0"/>
      <w:marRight w:val="0"/>
      <w:marTop w:val="0"/>
      <w:marBottom w:val="0"/>
      <w:divBdr>
        <w:top w:val="none" w:sz="0" w:space="0" w:color="auto"/>
        <w:left w:val="none" w:sz="0" w:space="0" w:color="auto"/>
        <w:bottom w:val="none" w:sz="0" w:space="0" w:color="auto"/>
        <w:right w:val="none" w:sz="0" w:space="0" w:color="auto"/>
      </w:divBdr>
    </w:div>
    <w:div w:id="1598168729">
      <w:bodyDiv w:val="1"/>
      <w:marLeft w:val="0"/>
      <w:marRight w:val="0"/>
      <w:marTop w:val="0"/>
      <w:marBottom w:val="0"/>
      <w:divBdr>
        <w:top w:val="none" w:sz="0" w:space="0" w:color="auto"/>
        <w:left w:val="none" w:sz="0" w:space="0" w:color="auto"/>
        <w:bottom w:val="none" w:sz="0" w:space="0" w:color="auto"/>
        <w:right w:val="none" w:sz="0" w:space="0" w:color="auto"/>
      </w:divBdr>
    </w:div>
    <w:div w:id="1625576011">
      <w:bodyDiv w:val="1"/>
      <w:marLeft w:val="0"/>
      <w:marRight w:val="0"/>
      <w:marTop w:val="0"/>
      <w:marBottom w:val="0"/>
      <w:divBdr>
        <w:top w:val="none" w:sz="0" w:space="0" w:color="auto"/>
        <w:left w:val="none" w:sz="0" w:space="0" w:color="auto"/>
        <w:bottom w:val="none" w:sz="0" w:space="0" w:color="auto"/>
        <w:right w:val="none" w:sz="0" w:space="0" w:color="auto"/>
      </w:divBdr>
      <w:divsChild>
        <w:div w:id="207031756">
          <w:marLeft w:val="0"/>
          <w:marRight w:val="0"/>
          <w:marTop w:val="0"/>
          <w:marBottom w:val="0"/>
          <w:divBdr>
            <w:top w:val="none" w:sz="0" w:space="0" w:color="auto"/>
            <w:left w:val="none" w:sz="0" w:space="0" w:color="auto"/>
            <w:bottom w:val="none" w:sz="0" w:space="0" w:color="auto"/>
            <w:right w:val="none" w:sz="0" w:space="0" w:color="auto"/>
          </w:divBdr>
          <w:divsChild>
            <w:div w:id="774832181">
              <w:marLeft w:val="0"/>
              <w:marRight w:val="0"/>
              <w:marTop w:val="0"/>
              <w:marBottom w:val="0"/>
              <w:divBdr>
                <w:top w:val="none" w:sz="0" w:space="0" w:color="auto"/>
                <w:left w:val="none" w:sz="0" w:space="0" w:color="auto"/>
                <w:bottom w:val="none" w:sz="0" w:space="0" w:color="auto"/>
                <w:right w:val="none" w:sz="0" w:space="0" w:color="auto"/>
              </w:divBdr>
              <w:divsChild>
                <w:div w:id="17694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963956">
      <w:bodyDiv w:val="1"/>
      <w:marLeft w:val="0"/>
      <w:marRight w:val="0"/>
      <w:marTop w:val="0"/>
      <w:marBottom w:val="0"/>
      <w:divBdr>
        <w:top w:val="none" w:sz="0" w:space="0" w:color="auto"/>
        <w:left w:val="none" w:sz="0" w:space="0" w:color="auto"/>
        <w:bottom w:val="none" w:sz="0" w:space="0" w:color="auto"/>
        <w:right w:val="none" w:sz="0" w:space="0" w:color="auto"/>
      </w:divBdr>
    </w:div>
    <w:div w:id="1686785249">
      <w:bodyDiv w:val="1"/>
      <w:marLeft w:val="0"/>
      <w:marRight w:val="0"/>
      <w:marTop w:val="0"/>
      <w:marBottom w:val="0"/>
      <w:divBdr>
        <w:top w:val="none" w:sz="0" w:space="0" w:color="auto"/>
        <w:left w:val="none" w:sz="0" w:space="0" w:color="auto"/>
        <w:bottom w:val="none" w:sz="0" w:space="0" w:color="auto"/>
        <w:right w:val="none" w:sz="0" w:space="0" w:color="auto"/>
      </w:divBdr>
    </w:div>
    <w:div w:id="1697342960">
      <w:bodyDiv w:val="1"/>
      <w:marLeft w:val="0"/>
      <w:marRight w:val="0"/>
      <w:marTop w:val="0"/>
      <w:marBottom w:val="0"/>
      <w:divBdr>
        <w:top w:val="none" w:sz="0" w:space="0" w:color="auto"/>
        <w:left w:val="none" w:sz="0" w:space="0" w:color="auto"/>
        <w:bottom w:val="none" w:sz="0" w:space="0" w:color="auto"/>
        <w:right w:val="none" w:sz="0" w:space="0" w:color="auto"/>
      </w:divBdr>
    </w:div>
    <w:div w:id="1706952069">
      <w:bodyDiv w:val="1"/>
      <w:marLeft w:val="0"/>
      <w:marRight w:val="0"/>
      <w:marTop w:val="0"/>
      <w:marBottom w:val="0"/>
      <w:divBdr>
        <w:top w:val="none" w:sz="0" w:space="0" w:color="auto"/>
        <w:left w:val="none" w:sz="0" w:space="0" w:color="auto"/>
        <w:bottom w:val="none" w:sz="0" w:space="0" w:color="auto"/>
        <w:right w:val="none" w:sz="0" w:space="0" w:color="auto"/>
      </w:divBdr>
    </w:div>
    <w:div w:id="1713386890">
      <w:bodyDiv w:val="1"/>
      <w:marLeft w:val="0"/>
      <w:marRight w:val="0"/>
      <w:marTop w:val="0"/>
      <w:marBottom w:val="0"/>
      <w:divBdr>
        <w:top w:val="none" w:sz="0" w:space="0" w:color="auto"/>
        <w:left w:val="none" w:sz="0" w:space="0" w:color="auto"/>
        <w:bottom w:val="none" w:sz="0" w:space="0" w:color="auto"/>
        <w:right w:val="none" w:sz="0" w:space="0" w:color="auto"/>
      </w:divBdr>
    </w:div>
    <w:div w:id="1744914625">
      <w:bodyDiv w:val="1"/>
      <w:marLeft w:val="0"/>
      <w:marRight w:val="0"/>
      <w:marTop w:val="0"/>
      <w:marBottom w:val="0"/>
      <w:divBdr>
        <w:top w:val="none" w:sz="0" w:space="0" w:color="auto"/>
        <w:left w:val="none" w:sz="0" w:space="0" w:color="auto"/>
        <w:bottom w:val="none" w:sz="0" w:space="0" w:color="auto"/>
        <w:right w:val="none" w:sz="0" w:space="0" w:color="auto"/>
      </w:divBdr>
    </w:div>
    <w:div w:id="1785269764">
      <w:bodyDiv w:val="1"/>
      <w:marLeft w:val="0"/>
      <w:marRight w:val="0"/>
      <w:marTop w:val="0"/>
      <w:marBottom w:val="0"/>
      <w:divBdr>
        <w:top w:val="none" w:sz="0" w:space="0" w:color="auto"/>
        <w:left w:val="none" w:sz="0" w:space="0" w:color="auto"/>
        <w:bottom w:val="none" w:sz="0" w:space="0" w:color="auto"/>
        <w:right w:val="none" w:sz="0" w:space="0" w:color="auto"/>
      </w:divBdr>
    </w:div>
    <w:div w:id="1785423739">
      <w:bodyDiv w:val="1"/>
      <w:marLeft w:val="0"/>
      <w:marRight w:val="0"/>
      <w:marTop w:val="0"/>
      <w:marBottom w:val="0"/>
      <w:divBdr>
        <w:top w:val="none" w:sz="0" w:space="0" w:color="auto"/>
        <w:left w:val="none" w:sz="0" w:space="0" w:color="auto"/>
        <w:bottom w:val="none" w:sz="0" w:space="0" w:color="auto"/>
        <w:right w:val="none" w:sz="0" w:space="0" w:color="auto"/>
      </w:divBdr>
    </w:div>
    <w:div w:id="1799839298">
      <w:bodyDiv w:val="1"/>
      <w:marLeft w:val="0"/>
      <w:marRight w:val="0"/>
      <w:marTop w:val="0"/>
      <w:marBottom w:val="0"/>
      <w:divBdr>
        <w:top w:val="none" w:sz="0" w:space="0" w:color="auto"/>
        <w:left w:val="none" w:sz="0" w:space="0" w:color="auto"/>
        <w:bottom w:val="none" w:sz="0" w:space="0" w:color="auto"/>
        <w:right w:val="none" w:sz="0" w:space="0" w:color="auto"/>
      </w:divBdr>
    </w:div>
    <w:div w:id="1816528602">
      <w:bodyDiv w:val="1"/>
      <w:marLeft w:val="0"/>
      <w:marRight w:val="0"/>
      <w:marTop w:val="0"/>
      <w:marBottom w:val="0"/>
      <w:divBdr>
        <w:top w:val="none" w:sz="0" w:space="0" w:color="auto"/>
        <w:left w:val="none" w:sz="0" w:space="0" w:color="auto"/>
        <w:bottom w:val="none" w:sz="0" w:space="0" w:color="auto"/>
        <w:right w:val="none" w:sz="0" w:space="0" w:color="auto"/>
      </w:divBdr>
    </w:div>
    <w:div w:id="1830443446">
      <w:bodyDiv w:val="1"/>
      <w:marLeft w:val="0"/>
      <w:marRight w:val="0"/>
      <w:marTop w:val="0"/>
      <w:marBottom w:val="0"/>
      <w:divBdr>
        <w:top w:val="none" w:sz="0" w:space="0" w:color="auto"/>
        <w:left w:val="none" w:sz="0" w:space="0" w:color="auto"/>
        <w:bottom w:val="none" w:sz="0" w:space="0" w:color="auto"/>
        <w:right w:val="none" w:sz="0" w:space="0" w:color="auto"/>
      </w:divBdr>
    </w:div>
    <w:div w:id="1878616942">
      <w:bodyDiv w:val="1"/>
      <w:marLeft w:val="0"/>
      <w:marRight w:val="0"/>
      <w:marTop w:val="0"/>
      <w:marBottom w:val="0"/>
      <w:divBdr>
        <w:top w:val="none" w:sz="0" w:space="0" w:color="auto"/>
        <w:left w:val="none" w:sz="0" w:space="0" w:color="auto"/>
        <w:bottom w:val="none" w:sz="0" w:space="0" w:color="auto"/>
        <w:right w:val="none" w:sz="0" w:space="0" w:color="auto"/>
      </w:divBdr>
    </w:div>
    <w:div w:id="1891839062">
      <w:bodyDiv w:val="1"/>
      <w:marLeft w:val="0"/>
      <w:marRight w:val="0"/>
      <w:marTop w:val="0"/>
      <w:marBottom w:val="0"/>
      <w:divBdr>
        <w:top w:val="none" w:sz="0" w:space="0" w:color="auto"/>
        <w:left w:val="none" w:sz="0" w:space="0" w:color="auto"/>
        <w:bottom w:val="none" w:sz="0" w:space="0" w:color="auto"/>
        <w:right w:val="none" w:sz="0" w:space="0" w:color="auto"/>
      </w:divBdr>
    </w:div>
    <w:div w:id="1898274327">
      <w:bodyDiv w:val="1"/>
      <w:marLeft w:val="0"/>
      <w:marRight w:val="0"/>
      <w:marTop w:val="0"/>
      <w:marBottom w:val="0"/>
      <w:divBdr>
        <w:top w:val="none" w:sz="0" w:space="0" w:color="auto"/>
        <w:left w:val="none" w:sz="0" w:space="0" w:color="auto"/>
        <w:bottom w:val="none" w:sz="0" w:space="0" w:color="auto"/>
        <w:right w:val="none" w:sz="0" w:space="0" w:color="auto"/>
      </w:divBdr>
    </w:div>
    <w:div w:id="1912812533">
      <w:bodyDiv w:val="1"/>
      <w:marLeft w:val="0"/>
      <w:marRight w:val="0"/>
      <w:marTop w:val="0"/>
      <w:marBottom w:val="0"/>
      <w:divBdr>
        <w:top w:val="none" w:sz="0" w:space="0" w:color="auto"/>
        <w:left w:val="none" w:sz="0" w:space="0" w:color="auto"/>
        <w:bottom w:val="none" w:sz="0" w:space="0" w:color="auto"/>
        <w:right w:val="none" w:sz="0" w:space="0" w:color="auto"/>
      </w:divBdr>
    </w:div>
    <w:div w:id="1921019725">
      <w:bodyDiv w:val="1"/>
      <w:marLeft w:val="0"/>
      <w:marRight w:val="0"/>
      <w:marTop w:val="0"/>
      <w:marBottom w:val="0"/>
      <w:divBdr>
        <w:top w:val="none" w:sz="0" w:space="0" w:color="auto"/>
        <w:left w:val="none" w:sz="0" w:space="0" w:color="auto"/>
        <w:bottom w:val="none" w:sz="0" w:space="0" w:color="auto"/>
        <w:right w:val="none" w:sz="0" w:space="0" w:color="auto"/>
      </w:divBdr>
      <w:divsChild>
        <w:div w:id="1841113250">
          <w:marLeft w:val="0"/>
          <w:marRight w:val="0"/>
          <w:marTop w:val="0"/>
          <w:marBottom w:val="0"/>
          <w:divBdr>
            <w:top w:val="none" w:sz="0" w:space="0" w:color="auto"/>
            <w:left w:val="none" w:sz="0" w:space="0" w:color="auto"/>
            <w:bottom w:val="none" w:sz="0" w:space="0" w:color="auto"/>
            <w:right w:val="none" w:sz="0" w:space="0" w:color="auto"/>
          </w:divBdr>
        </w:div>
      </w:divsChild>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89509036">
      <w:bodyDiv w:val="1"/>
      <w:marLeft w:val="0"/>
      <w:marRight w:val="0"/>
      <w:marTop w:val="0"/>
      <w:marBottom w:val="0"/>
      <w:divBdr>
        <w:top w:val="none" w:sz="0" w:space="0" w:color="auto"/>
        <w:left w:val="none" w:sz="0" w:space="0" w:color="auto"/>
        <w:bottom w:val="none" w:sz="0" w:space="0" w:color="auto"/>
        <w:right w:val="none" w:sz="0" w:space="0" w:color="auto"/>
      </w:divBdr>
    </w:div>
    <w:div w:id="1992975552">
      <w:bodyDiv w:val="1"/>
      <w:marLeft w:val="0"/>
      <w:marRight w:val="0"/>
      <w:marTop w:val="0"/>
      <w:marBottom w:val="0"/>
      <w:divBdr>
        <w:top w:val="none" w:sz="0" w:space="0" w:color="auto"/>
        <w:left w:val="none" w:sz="0" w:space="0" w:color="auto"/>
        <w:bottom w:val="none" w:sz="0" w:space="0" w:color="auto"/>
        <w:right w:val="none" w:sz="0" w:space="0" w:color="auto"/>
      </w:divBdr>
    </w:div>
    <w:div w:id="2016228063">
      <w:bodyDiv w:val="1"/>
      <w:marLeft w:val="0"/>
      <w:marRight w:val="0"/>
      <w:marTop w:val="0"/>
      <w:marBottom w:val="0"/>
      <w:divBdr>
        <w:top w:val="none" w:sz="0" w:space="0" w:color="auto"/>
        <w:left w:val="none" w:sz="0" w:space="0" w:color="auto"/>
        <w:bottom w:val="none" w:sz="0" w:space="0" w:color="auto"/>
        <w:right w:val="none" w:sz="0" w:space="0" w:color="auto"/>
      </w:divBdr>
    </w:div>
    <w:div w:id="2016640051">
      <w:bodyDiv w:val="1"/>
      <w:marLeft w:val="0"/>
      <w:marRight w:val="0"/>
      <w:marTop w:val="0"/>
      <w:marBottom w:val="0"/>
      <w:divBdr>
        <w:top w:val="none" w:sz="0" w:space="0" w:color="auto"/>
        <w:left w:val="none" w:sz="0" w:space="0" w:color="auto"/>
        <w:bottom w:val="none" w:sz="0" w:space="0" w:color="auto"/>
        <w:right w:val="none" w:sz="0" w:space="0" w:color="auto"/>
      </w:divBdr>
    </w:div>
    <w:div w:id="2062703310">
      <w:bodyDiv w:val="1"/>
      <w:marLeft w:val="0"/>
      <w:marRight w:val="0"/>
      <w:marTop w:val="0"/>
      <w:marBottom w:val="0"/>
      <w:divBdr>
        <w:top w:val="none" w:sz="0" w:space="0" w:color="auto"/>
        <w:left w:val="none" w:sz="0" w:space="0" w:color="auto"/>
        <w:bottom w:val="none" w:sz="0" w:space="0" w:color="auto"/>
        <w:right w:val="none" w:sz="0" w:space="0" w:color="auto"/>
      </w:divBdr>
    </w:div>
    <w:div w:id="2115249226">
      <w:bodyDiv w:val="1"/>
      <w:marLeft w:val="0"/>
      <w:marRight w:val="0"/>
      <w:marTop w:val="0"/>
      <w:marBottom w:val="0"/>
      <w:divBdr>
        <w:top w:val="none" w:sz="0" w:space="0" w:color="auto"/>
        <w:left w:val="none" w:sz="0" w:space="0" w:color="auto"/>
        <w:bottom w:val="none" w:sz="0" w:space="0" w:color="auto"/>
        <w:right w:val="none" w:sz="0" w:space="0" w:color="auto"/>
      </w:divBdr>
    </w:div>
    <w:div w:id="2128506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dit-public-disclosure.undp.or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eval.org/evaluation/repor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326F7258C0D9C48A73D796DA2A1D1E9" ma:contentTypeVersion="12" ma:contentTypeDescription="Create a new document." ma:contentTypeScope="" ma:versionID="30a3b40efe04a29a7203f1858eed27d3">
  <xsd:schema xmlns:xsd="http://www.w3.org/2001/XMLSchema" xmlns:xs="http://www.w3.org/2001/XMLSchema" xmlns:p="http://schemas.microsoft.com/office/2006/metadata/properties" xmlns:ns3="b21eb0b8-1a99-45c4-bd4c-3060a4ea6ca6" xmlns:ns4="1c7c6c28-29c2-4d8e-8073-272ba1fb7a47" targetNamespace="http://schemas.microsoft.com/office/2006/metadata/properties" ma:root="true" ma:fieldsID="1bff75e30d9cbc2797d5de2dd29ee9ba" ns3:_="" ns4:_="">
    <xsd:import namespace="b21eb0b8-1a99-45c4-bd4c-3060a4ea6ca6"/>
    <xsd:import namespace="1c7c6c28-29c2-4d8e-8073-272ba1fb7a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eb0b8-1a99-45c4-bd4c-3060a4ea6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7c6c28-29c2-4d8e-8073-272ba1fb7a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8E5BD1-127A-4B32-9189-8C814032E9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3AB3E1-DE74-4C5C-8BC9-4259F9BFCF05}">
  <ds:schemaRefs>
    <ds:schemaRef ds:uri="http://schemas.microsoft.com/sharepoint/v3/contenttype/forms"/>
  </ds:schemaRefs>
</ds:datastoreItem>
</file>

<file path=customXml/itemProps3.xml><?xml version="1.0" encoding="utf-8"?>
<ds:datastoreItem xmlns:ds="http://schemas.openxmlformats.org/officeDocument/2006/customXml" ds:itemID="{65CE8539-DED3-774E-8C50-5041833065B9}">
  <ds:schemaRefs>
    <ds:schemaRef ds:uri="http://schemas.openxmlformats.org/officeDocument/2006/bibliography"/>
  </ds:schemaRefs>
</ds:datastoreItem>
</file>

<file path=customXml/itemProps4.xml><?xml version="1.0" encoding="utf-8"?>
<ds:datastoreItem xmlns:ds="http://schemas.openxmlformats.org/officeDocument/2006/customXml" ds:itemID="{640B78CF-8577-44E5-91E4-5DE11A932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eb0b8-1a99-45c4-bd4c-3060a4ea6ca6"/>
    <ds:schemaRef ds:uri="1c7c6c28-29c2-4d8e-8073-272ba1fb7a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3352</Words>
  <Characters>19108</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22416</CharactersWithSpaces>
  <SharedDoc>false</SharedDoc>
  <HLinks>
    <vt:vector size="6" baseType="variant">
      <vt:variant>
        <vt:i4>2818141</vt:i4>
      </vt:variant>
      <vt:variant>
        <vt:i4>-1</vt:i4>
      </vt:variant>
      <vt:variant>
        <vt:i4>2049</vt:i4>
      </vt:variant>
      <vt:variant>
        <vt:i4>1</vt:i4>
      </vt:variant>
      <vt:variant>
        <vt:lpwstr>21&amp;Size =1&amp;Lang = 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 H. Khanam, Ext. 5762;Yvonne Helle</dc:creator>
  <cp:keywords/>
  <dc:description/>
  <cp:lastModifiedBy>Annette Froese</cp:lastModifiedBy>
  <cp:revision>2</cp:revision>
  <cp:lastPrinted>2019-07-10T17:24:00Z</cp:lastPrinted>
  <dcterms:created xsi:type="dcterms:W3CDTF">2023-07-18T17:36:00Z</dcterms:created>
  <dcterms:modified xsi:type="dcterms:W3CDTF">2023-07-18T17:36:00Z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1458577</vt:lpwstr>
  </property>
  <property fmtid="{D5CDD505-2E9C-101B-9397-08002B2CF9AE}" pid="3" name="ODSRefJobNo">
    <vt:lpwstr>1449034</vt:lpwstr>
  </property>
  <property fmtid="{D5CDD505-2E9C-101B-9397-08002B2CF9AE}" pid="4" name="Symbol1">
    <vt:lpwstr>DP/2014/21</vt:lpwstr>
  </property>
  <property fmtid="{D5CDD505-2E9C-101B-9397-08002B2CF9AE}" pid="5" name="ContentTypeId">
    <vt:lpwstr>0x010100D326F7258C0D9C48A73D796DA2A1D1E9</vt:lpwstr>
  </property>
  <property fmtid="{D5CDD505-2E9C-101B-9397-08002B2CF9AE}" pid="6" name="GrammarlyDocumentId">
    <vt:lpwstr>e6d949358753c73000ca45df03a862025a6bbe5b1d4bebd751cbf06b1de5dd4d</vt:lpwstr>
  </property>
</Properties>
</file>