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3FC4F981" w:rsidR="00C80B71" w:rsidRPr="00D97BE6" w:rsidRDefault="00911AD9" w:rsidP="000959DC">
      <w:pPr>
        <w:spacing w:after="0" w:line="240" w:lineRule="auto"/>
        <w:rPr>
          <w:color w:val="000000"/>
        </w:rPr>
      </w:pPr>
      <w:r w:rsidRPr="00D97BE6">
        <w:rPr>
          <w:b/>
          <w:bCs/>
          <w:color w:val="000000"/>
        </w:rPr>
        <w:t>ANNEX</w:t>
      </w:r>
      <w:r w:rsidRPr="00D97BE6">
        <w:rPr>
          <w:bCs/>
          <w:color w:val="000000"/>
        </w:rPr>
        <w:t xml:space="preserve">. </w:t>
      </w:r>
      <w:r w:rsidRPr="00D97BE6">
        <w:rPr>
          <w:b/>
          <w:bCs/>
          <w:color w:val="000000"/>
        </w:rPr>
        <w:t>FULLY-</w:t>
      </w:r>
      <w:r w:rsidRPr="00D97BE6">
        <w:rPr>
          <w:b/>
          <w:color w:val="000000"/>
        </w:rPr>
        <w:t xml:space="preserve">COSTED EVALUATION PLAN </w:t>
      </w:r>
    </w:p>
    <w:tbl>
      <w:tblPr>
        <w:tblpPr w:leftFromText="180" w:rightFromText="180" w:vertAnchor="text" w:horzAnchor="margin" w:tblpXSpec="center" w:tblpY="143"/>
        <w:tblW w:w="13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1710"/>
        <w:gridCol w:w="1530"/>
        <w:gridCol w:w="1440"/>
        <w:gridCol w:w="1530"/>
        <w:gridCol w:w="1260"/>
        <w:gridCol w:w="1086"/>
        <w:gridCol w:w="1380"/>
      </w:tblGrid>
      <w:tr w:rsidR="00C80B71" w:rsidRPr="00D97BE6" w14:paraId="6BFC8C35" w14:textId="77777777" w:rsidTr="28548320">
        <w:trPr>
          <w:trHeight w:val="845"/>
        </w:trPr>
        <w:tc>
          <w:tcPr>
            <w:tcW w:w="1710" w:type="dxa"/>
            <w:shd w:val="clear" w:color="auto" w:fill="DBE5F1" w:themeFill="accent1" w:themeFillTint="33"/>
            <w:vAlign w:val="center"/>
          </w:tcPr>
          <w:p w14:paraId="0EB023A6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UNDAF (or equivalent)</w:t>
            </w:r>
          </w:p>
          <w:p w14:paraId="401C6BF1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 xml:space="preserve">Outcome 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15EF4F45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UNDP Strategic Plan Outcome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14:paraId="7E0E736D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Evaluation Title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34A28013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Partners (joint evaluation)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5505170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Evaluation commissioned by (if not UNDP)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74AF6499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Type of evaluation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3F09D8AA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Planned Evaluation Completion Date</w:t>
            </w:r>
          </w:p>
        </w:tc>
        <w:tc>
          <w:tcPr>
            <w:tcW w:w="1086" w:type="dxa"/>
            <w:shd w:val="clear" w:color="auto" w:fill="DBE5F1" w:themeFill="accent1" w:themeFillTint="33"/>
            <w:vAlign w:val="center"/>
          </w:tcPr>
          <w:p w14:paraId="54CD58B5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Estimated Cost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60B2E0FE" w14:textId="77777777" w:rsidR="00C80B71" w:rsidRPr="00D97BE6" w:rsidRDefault="00911AD9" w:rsidP="000959D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7BE6">
              <w:rPr>
                <w:b/>
                <w:bCs/>
                <w:sz w:val="16"/>
                <w:szCs w:val="16"/>
              </w:rPr>
              <w:t>Provisional Source of Funding</w:t>
            </w:r>
          </w:p>
        </w:tc>
      </w:tr>
      <w:tr w:rsidR="00AD7F58" w:rsidRPr="00D97BE6" w14:paraId="77D40787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C2C418D" w14:textId="0A2790F5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Outcome 1: By 2025, more people in China throughout the lifecycle, especially left-behind groups, benefit from the transition from  a 'high-speed' to a 'high-quality' development model through equitable and higher quality public services and social security systems, and are better able to live their lives with well-being, dignity and free from gender and all kinds discrimination.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DB7419" w14:textId="2AF0B6E2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1.2.3  Institutions and systems enabled to address awareness, prevention and enforcement of anti-corruption measures to maximize availability of resources for poverty eradication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01AD90" w14:textId="6FA4D88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28548320">
              <w:rPr>
                <w:sz w:val="16"/>
                <w:szCs w:val="16"/>
                <w:lang w:eastAsia="zh-CN"/>
              </w:rPr>
              <w:t>Final Evaluation of Inclusive Development Cooperation on Poverty Reduction - Phase III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6C35EA" w14:textId="2214EBB3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CICETE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5D5296" w14:textId="77777777" w:rsidR="00AD7F58" w:rsidRPr="00D97BE6" w:rsidRDefault="00AD7F58" w:rsidP="00AD7F58"/>
        </w:tc>
        <w:tc>
          <w:tcPr>
            <w:tcW w:w="1530" w:type="dxa"/>
            <w:shd w:val="clear" w:color="auto" w:fill="auto"/>
            <w:vAlign w:val="center"/>
          </w:tcPr>
          <w:p w14:paraId="623612A4" w14:textId="17A2EE59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7608BA" w14:textId="0287E883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31-Dec-22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3997AA" w14:textId="73CA9FBB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10,000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7C5BA2" w14:textId="4A28770C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47AE1536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FEF04A9" w14:textId="7BC84F6B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Outcome 2: By 2025, more people in China, especially left-behind groups, benefit from sustainable, innovative and inclusive 'high-quality' economic development through rural vitalization and access to business opportunities and the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labour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market, enjoying decent work and sustainable livelihoods, with equal opportunities for women and men.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9291A6" w14:textId="4E9BA572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3.3.1. Evidence-based assessment and planning tools and mechanisms applied to enable implementation of gender-sensitive and risk-informed prevention and preparedness to limit the impact of natural hazards and pandemics and promote peaceful, just and inclusive societies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EA675F" w14:textId="4426DDB5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Final Evaluation of Resilient Community and Rural Sustainable Dev in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Zhouqu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8C67B9" w14:textId="221433A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CICETE, Government of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Zhouqu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8741799" w14:textId="7C0F8CA0" w:rsidR="00AD7F58" w:rsidRPr="00D97BE6" w:rsidRDefault="00AD7F58" w:rsidP="00AD7F58">
            <w:r w:rsidRPr="00D97BE6">
              <w:rPr>
                <w:sz w:val="16"/>
                <w:szCs w:val="16"/>
                <w:lang w:eastAsia="zh-CN"/>
              </w:rPr>
              <w:t>CICETE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BA17EF" w14:textId="7B92BDF9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34ED04" w14:textId="32EF8A09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31-Dec-22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7566FB" w14:textId="3F5EC45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  <w:r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,</w:t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>000</w:t>
            </w:r>
            <w:r w:rsidRPr="00D97BE6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FC6B53" w14:textId="3B66ECF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50BCA35E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63AE2975" w14:textId="769EB4A5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Outcome 2: By 2025, more people in China, especially left-behind groups, benefit from sustainable, innovative and inclusive 'high-quality' economic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development through rural vitalization and access to business opportunities and the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labour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market, enjoying decent work and sustainable livelihoods, with equal opportunities for women and men.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79659E" w14:textId="41851F1E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1.1.2 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Marginalised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groups, particularly the poor, women, people with disabilities and displaced are empowered to gain universal access to basic services and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financial and non-financial assets to build productive capacities and benefit from sustainable livelihoods and jobs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3C1864" w14:textId="2B07A16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>Final evaluation of Poverty Alleviation and Sustainable Development in China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80A4CB" w14:textId="5EC8E980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CICETE MOFCOM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3EF251" w14:textId="77777777" w:rsidR="00AD7F58" w:rsidRPr="00D97BE6" w:rsidRDefault="00AD7F58" w:rsidP="00AD7F58"/>
        </w:tc>
        <w:tc>
          <w:tcPr>
            <w:tcW w:w="1530" w:type="dxa"/>
            <w:shd w:val="clear" w:color="auto" w:fill="auto"/>
            <w:vAlign w:val="center"/>
          </w:tcPr>
          <w:p w14:paraId="36E2B690" w14:textId="5CB2CCF5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828170" w14:textId="2A8F47B3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31-Dec-21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3AC7855" w14:textId="319F1DBD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</w:t>
            </w:r>
            <w:r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,</w:t>
            </w:r>
            <w:r>
              <w:rPr>
                <w:sz w:val="16"/>
                <w:szCs w:val="16"/>
                <w:lang w:eastAsia="zh-CN"/>
              </w:rPr>
              <w:t>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A913C22" w14:textId="1F97CBDE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26CF29EA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BF5C67E" w14:textId="1D74D972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Outcome 2: By 2025, more people in China, especially left-behind groups, benefit from sustainable, innovative and inclusive 'high-quality' economic development through rural vitalization and access to business opportunities and the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labour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market, enjoying decent work and sustainable livelihoods, with equal opportunities for women and men.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CC74B6" w14:textId="26C69D11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1.1.1  Capacities developed across the whole of government to integrate the 2030 Agenda, the Paris Agreement and other international agreements in development plans and budgets, and to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analyse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progress towards the SDGs, using innovative and data-driven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A65903" w14:textId="2C8466ED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Final Evaluation of Establishing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Neixiang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SDG Demonstration County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B19B55" w14:textId="6E6D4C1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CICETE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Neixiang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4A10483" w14:textId="77777777" w:rsidR="00AD7F58" w:rsidRPr="00D97BE6" w:rsidRDefault="00AD7F58" w:rsidP="00AD7F58"/>
        </w:tc>
        <w:tc>
          <w:tcPr>
            <w:tcW w:w="1530" w:type="dxa"/>
            <w:shd w:val="clear" w:color="auto" w:fill="auto"/>
            <w:vAlign w:val="center"/>
          </w:tcPr>
          <w:p w14:paraId="60370083" w14:textId="720CFED2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B8339" w14:textId="66B4B1B3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31-Dec-22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F85EF2E" w14:textId="37C5910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10,000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035B0E0" w14:textId="315ABBA6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02754C58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80342FD" w14:textId="00DDA8EC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Outcome 2: By 2025, more people in China, especially left-behind groups, benefit from sustainable, innovative and inclusive 'high-quality' economic development through rural vitalization and access to business opportunities and the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labour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market, enjoying decent work and sustainable livelihoods, with equal opportunities for women and men.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D8EC6" w14:textId="52A62280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1.2.2  Enabling environment strengthened to expand public and private financing for the achievement of the SDGs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CAF182" w14:textId="4A866E41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Final Evaluation of Research and Promotion on SDGs Impact Financing in China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9FEF2D" w14:textId="22408C2E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CICETE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A78F9A" w14:textId="77777777" w:rsidR="00AD7F58" w:rsidRPr="00D97BE6" w:rsidRDefault="00AD7F58" w:rsidP="00AD7F58"/>
        </w:tc>
        <w:tc>
          <w:tcPr>
            <w:tcW w:w="1530" w:type="dxa"/>
            <w:shd w:val="clear" w:color="auto" w:fill="auto"/>
            <w:vAlign w:val="center"/>
          </w:tcPr>
          <w:p w14:paraId="0B3CE356" w14:textId="214E8F03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EA0C4C" w14:textId="3D120FF9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31-Dec-22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E67FF9" w14:textId="4044B739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10,000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C84E6C" w14:textId="67C32920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61658993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1E9CA89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DFA4A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2.1.1  Low emission and climate resilient objectives addressed in national, sub-national and sectoral development plans and policies to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promote economic diversification and green growth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391F8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Terminal Evaluation for Energy Efficiency </w:t>
            </w:r>
            <w:r w:rsidRPr="00D97BE6">
              <w:rPr>
                <w:sz w:val="16"/>
                <w:szCs w:val="16"/>
                <w:lang w:eastAsia="zh-CN"/>
              </w:rPr>
              <w:br/>
              <w:t>Improvement of Public Buildings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3E139A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UNDP, MOHURD, GEF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3CED38" w14:textId="77777777" w:rsidR="00AD7F58" w:rsidRPr="00D97BE6" w:rsidRDefault="00AD7F58" w:rsidP="00AD7F58">
            <w:r w:rsidRPr="00D97BE6"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7347B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2016F7" w14:textId="77777777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July 2022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4A6E1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40B19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project budget </w:t>
            </w:r>
          </w:p>
        </w:tc>
      </w:tr>
      <w:tr w:rsidR="00AD7F58" w:rsidRPr="00D97BE6" w14:paraId="2EDA2DA3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649CBA7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7C870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2.1.1  Low emission and climate resilient objectives </w:t>
            </w:r>
            <w:r w:rsidRPr="00D97BE6">
              <w:rPr>
                <w:sz w:val="16"/>
                <w:szCs w:val="16"/>
                <w:lang w:eastAsia="zh-CN"/>
              </w:rPr>
              <w:br/>
              <w:t>addressed in national, sub-national and sectoral development plans and policies to promote economic diversification and green growth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F61CB5" w14:textId="589A11DC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Mid-term Evaluation for Zero Carbon</w:t>
            </w:r>
            <w:r w:rsidRPr="00D97BE6">
              <w:rPr>
                <w:sz w:val="16"/>
                <w:szCs w:val="16"/>
                <w:lang w:eastAsia="zh-CN"/>
              </w:rPr>
              <w:br/>
              <w:t xml:space="preserve"> Energy in Rural Towns and Villages in China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5EC6B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UNDP, MARA,GEF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B0DF1" w14:textId="77777777" w:rsidR="00AD7F58" w:rsidRPr="00D97BE6" w:rsidRDefault="00AD7F58" w:rsidP="00AD7F58">
            <w:r w:rsidRPr="00D97BE6"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D8F6B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9CEEB" w14:textId="77777777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June 2023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FDAFE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3324EE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project budget </w:t>
            </w:r>
          </w:p>
        </w:tc>
      </w:tr>
      <w:tr w:rsidR="00AD7F58" w:rsidRPr="00D97BE6" w14:paraId="10077BDA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275B077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93657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2.1.1  Low emission and climate resilient objectives </w:t>
            </w:r>
            <w:r w:rsidRPr="00D97BE6">
              <w:rPr>
                <w:sz w:val="16"/>
                <w:szCs w:val="16"/>
                <w:lang w:eastAsia="zh-CN"/>
              </w:rPr>
              <w:br/>
              <w:t>addressed in national, sub-national and sectoral development plans and policies to promote economic diversification and green growth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4028CB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Terminal Evaluation for Zero Carbon</w:t>
            </w:r>
            <w:r w:rsidRPr="00D97BE6">
              <w:rPr>
                <w:sz w:val="16"/>
                <w:szCs w:val="16"/>
                <w:lang w:eastAsia="zh-CN"/>
              </w:rPr>
              <w:br/>
              <w:t xml:space="preserve"> Energy in Rural Towns and Villages in China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98D388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UNDP, MARA,GEF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0D3BAA" w14:textId="77777777" w:rsidR="00AD7F58" w:rsidRPr="00D97BE6" w:rsidRDefault="00AD7F58" w:rsidP="00AD7F58">
            <w:r w:rsidRPr="00D97BE6"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1702F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A1F328" w14:textId="77777777" w:rsidR="00AD7F58" w:rsidRPr="00D97BE6" w:rsidRDefault="00AD7F58" w:rsidP="00AD7F5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September 2025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254CDE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B806BF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project budget </w:t>
            </w:r>
          </w:p>
        </w:tc>
      </w:tr>
      <w:tr w:rsidR="00AD7F58" w:rsidRPr="00D97BE6" w14:paraId="4A299FDF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3649F95B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F2E83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2.1.1  Low emission and climate resilient objectives addressed in national, sub-national and sectoral development plans and policies to promote economic diversification and green growth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EA160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Terminal Evaluation of Project Secondary Copper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451DE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FECO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386B2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GEF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09189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5188A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May 2021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5C536D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50,000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D6147E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713EEEAA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66AB0DA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60EC7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2.1.1  Low emission and climate resilient objectives addressed in national, sub-national and sectoral development plans and policies to promote economic diversification and green growth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7AE48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Terminal Evaluation of Project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Endosulfan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2D7CE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FECO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B8A98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767E2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0AF4B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Mar 2021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81D22C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6B8FE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56D48098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3C75C3BA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30B0CD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1.4.1  Solutions scaled up for sustainable management of natural resources, including 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82D80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Terminal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Evaluaton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for the ABS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7F654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FECO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64BD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CC9C7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0E8118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Sep 2021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FB07E7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06120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687E94D3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18DE760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Outcome 3: People in China and the region benefit from a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6E2A1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1.4.1  Solutions scaled up for sustainable management of natural resources, including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DA67C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Mid-Term Review for China's Protected Area Reform (C-PAR)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ED986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FECO (for C-PAR), Gansu Grassland and Forestry Bureau (for C-PAR 2),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Qinghai Grassland and Forestry Bureau (for C-PAR 3), National Forestry and Grassland Administration (NFGA) (for C-PAR 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1ACEF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693A1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CAFC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Sep 2022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7EDE8F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160,000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15CBE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18973D33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56665CA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1E805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1.4.1  Solutions scaled up for sustainable management of natural resources, including 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7B51A7" w14:textId="29ABFBC4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Mid-Term Review for China Sustainable Agricultural Partnership </w:t>
            </w:r>
            <w:r>
              <w:rPr>
                <w:sz w:val="16"/>
                <w:szCs w:val="16"/>
                <w:lang w:eastAsia="zh-CN"/>
              </w:rPr>
              <w:t>(IAS, Hainan, Hubei)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97673D" w14:textId="7C80FBE8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Ministry of Agriculture and Rural Affairs (MARA)</w:t>
            </w:r>
            <w:r>
              <w:rPr>
                <w:sz w:val="16"/>
                <w:szCs w:val="16"/>
                <w:lang w:eastAsia="zh-CN"/>
              </w:rPr>
              <w:t xml:space="preserve">; </w:t>
            </w:r>
            <w:r w:rsidRPr="00D97BE6">
              <w:rPr>
                <w:sz w:val="16"/>
                <w:szCs w:val="16"/>
                <w:lang w:eastAsia="zh-CN"/>
              </w:rPr>
              <w:t xml:space="preserve"> Hainan Department of Agriculture and Rural Affairs</w:t>
            </w:r>
            <w:r>
              <w:rPr>
                <w:sz w:val="16"/>
                <w:szCs w:val="16"/>
                <w:lang w:eastAsia="zh-CN"/>
              </w:rPr>
              <w:t xml:space="preserve">; </w:t>
            </w:r>
            <w:r w:rsidRPr="00D97BE6">
              <w:rPr>
                <w:sz w:val="16"/>
                <w:szCs w:val="16"/>
                <w:lang w:eastAsia="zh-CN"/>
              </w:rPr>
              <w:t xml:space="preserve"> Hubei Department of Agriculture and Rural Affairs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FD127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55AD2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FA34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June 2023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981966" w14:textId="45E655AF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12</w:t>
            </w:r>
            <w:r w:rsidRPr="00D97BE6">
              <w:rPr>
                <w:sz w:val="16"/>
                <w:szCs w:val="16"/>
                <w:lang w:eastAsia="zh-CN"/>
              </w:rPr>
              <w:t xml:space="preserve">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3A434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234150EA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0CBDF9B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DF549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1.4.1  Solutions scaled up for sustainable management of natural resources, including 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78813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Mid-Term Review for Flyway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03E18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NFGA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8CC62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C89E6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0207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June 2023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7A95E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CDF634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207B9E55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42DAE58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EF9EA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1.4.1  Solutions scaled up for sustainable management of natural resources, including 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7570FA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Terminal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Evaluaton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for the China's Protected Area Reform (C-PAR)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F1A30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FECO (for C-PAR), Gansu Grassland and Forestry Bureau (for C-PAR 2), Qinghai Grassland and Forestry Bureau (for C-PAR 3), National Forestry and Grassland Administration (NFGA) (for C-PAR 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80EDF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2606F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D0A0C4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May 2025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B812F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160,000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E8D0F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37AAE296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61D5204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75A02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1.4.1  Solutions scaled up for sustainable management of natural resources, including sustainable commodities 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424C8B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Mid-Term Evaluation for Land Degradation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65553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NFGA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F731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292A4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FEBC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May 2024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96E59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40,000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558B15B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11A3194C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74BA79D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3: People in China and the region benefit from a healthier and more resilient environment.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7FA30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1.4.1  Solutions scaled up for sustainable management of natural resources, including sustainable commodities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and green and inclusive value chains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1D11E0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 xml:space="preserve">Terminal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Evaluaton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for the China Sustainable Agricultural Partnership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EFF670" w14:textId="3071FF5B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Ministry of Agriculture and Rural Affairs (MARA), Hainan Department of Agriculture and </w:t>
            </w:r>
            <w:r w:rsidRPr="00D97BE6">
              <w:rPr>
                <w:sz w:val="16"/>
                <w:szCs w:val="16"/>
                <w:lang w:eastAsia="zh-CN"/>
              </w:rPr>
              <w:lastRenderedPageBreak/>
              <w:t>Rural Affairs,  Hubei Department of Agriculture and Rural Affairs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B9E8BF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lastRenderedPageBreak/>
              <w:t>GEF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24B9B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F00EF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June 2025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88682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120,000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49C733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7FCE46D1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1389EF87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4: China accelerates its transition to an inclusive, people-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centred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>, low carbon, and circular economy.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82120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2.5.1  Solutions developed, financed and applied at scale for energy efficiency and transformation to clean energy and zero-carbon development, for poverty eradication and structural transformation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2939DE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Final evaluation of Hydrogen Economy Pilot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853D2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CICETE, Economic and Technological Development Zone of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Rugao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City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C5A958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CICETE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304FFB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1C5FCE" w14:textId="205E054D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Jan-22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E3183C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6,000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BE81F3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AD7F58" w:rsidRPr="00D97BE6" w14:paraId="4676E990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36D8FB22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Outcome 4: China accelerates its transition to an inclusive, people-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centred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>, low carbon, and circular economy.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B1A39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2.5.1  Solutions developed, financed and applied at scale for energy efficiency and transformation to clean energy and zero-carbon development, for poverty eradication and structural transformation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CDF688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Final Evaluation of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Accelarating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the Development and Commercialization of Fuel Cell Vehicles in China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A3A98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MOST, CATARC, PMOs in Beijing, Shanghai, Foshan, Zhengzhou,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Yancheng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>, Changshu and Zhangjiakou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37501D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7B6496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Evaluation, GEF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564E51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31-Jul-21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34BBB69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 21,000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A85BA5" w14:textId="77777777" w:rsidR="00AD7F58" w:rsidRPr="00D97BE6" w:rsidRDefault="00AD7F58" w:rsidP="00AD7F58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680858" w:rsidRPr="00D97BE6" w14:paraId="08BA61BE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744CE29D" w14:textId="247B715D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AD7F58">
              <w:rPr>
                <w:sz w:val="16"/>
                <w:szCs w:val="16"/>
                <w:lang w:eastAsia="zh-CN"/>
              </w:rPr>
              <w:t>Outcome 6: China’s international development cooperation and humanitarian assistance more effectively contributes to SDG attainment and aligns with the principles of the 2030 Agenda, including reaching those furthest behind.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9E9BD8" w14:textId="46A8FC24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1.1.1  Capacities developed across the whole of government to integrate the 2030 Agenda, the Paris Agreement and other international agreements in development plans and budgets, and to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analyse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progress towards the SDGs, using innovative and data-driven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CD9326" w14:textId="10043353" w:rsidR="00680858" w:rsidRPr="28548320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Evaluation of </w:t>
            </w:r>
            <w:r w:rsidRPr="00680858">
              <w:rPr>
                <w:sz w:val="16"/>
                <w:szCs w:val="16"/>
                <w:lang w:eastAsia="zh-CN"/>
              </w:rPr>
              <w:t>Ethiopia-Sri Lanka- China Triangular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92DEF0" w14:textId="474D7C2A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MOFCOM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7F77A1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E1D182F" w14:textId="10557EA9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357B80" w14:textId="746286A4" w:rsidR="00680858" w:rsidRDefault="00BC3771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Jan</w:t>
            </w:r>
            <w:r w:rsidR="00680858">
              <w:rPr>
                <w:sz w:val="16"/>
                <w:szCs w:val="16"/>
                <w:lang w:eastAsia="zh-CN"/>
              </w:rPr>
              <w:t>-2</w:t>
            </w: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7CF885C" w14:textId="755C3414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AF075D" w14:textId="7E7FEDC2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680858" w:rsidRPr="00D97BE6" w14:paraId="2260E021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381F22E3" w14:textId="06457379" w:rsidR="00680858" w:rsidRPr="00AD7F58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AD7F58">
              <w:rPr>
                <w:sz w:val="16"/>
                <w:szCs w:val="16"/>
                <w:lang w:eastAsia="zh-CN"/>
              </w:rPr>
              <w:t>Outcome 6: China’s international development cooperation and humanitarian assistance more effectively contributes to SDG attainment and aligns with the principles of the 2030 Agenda, including reaching those furthest behind.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D8A32D6" w14:textId="316B8BE0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1.1.1  Capacities developed across the whole of government to integrate the 2030 Agenda, the Paris Agreement and other international agreements in development plans and budgets, and to </w:t>
            </w:r>
            <w:proofErr w:type="spellStart"/>
            <w:r w:rsidRPr="00D97BE6">
              <w:rPr>
                <w:sz w:val="16"/>
                <w:szCs w:val="16"/>
                <w:lang w:eastAsia="zh-CN"/>
              </w:rPr>
              <w:t>analyse</w:t>
            </w:r>
            <w:proofErr w:type="spellEnd"/>
            <w:r w:rsidRPr="00D97BE6">
              <w:rPr>
                <w:sz w:val="16"/>
                <w:szCs w:val="16"/>
                <w:lang w:eastAsia="zh-CN"/>
              </w:rPr>
              <w:t xml:space="preserve"> progress towards the SDGs, using innovative and data-driven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CD0373" w14:textId="0D56A433" w:rsidR="00680858" w:rsidRPr="00680858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680858">
              <w:rPr>
                <w:sz w:val="16"/>
                <w:szCs w:val="16"/>
                <w:lang w:eastAsia="zh-CN"/>
              </w:rPr>
              <w:t xml:space="preserve">South-South Cooperation Assistance Fund </w:t>
            </w:r>
            <w:r>
              <w:rPr>
                <w:sz w:val="16"/>
                <w:szCs w:val="16"/>
                <w:lang w:eastAsia="zh-CN"/>
              </w:rPr>
              <w:t>(SSCAF) projects Review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0A2619" w14:textId="51582F31" w:rsidR="00680858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CICETE, CIDCA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646653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B63E70" w14:textId="426C3C28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Portfolio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6490C" w14:textId="7482913D" w:rsidR="00680858" w:rsidRDefault="00BC3771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Jan</w:t>
            </w:r>
            <w:r w:rsidR="00680858">
              <w:rPr>
                <w:sz w:val="16"/>
                <w:szCs w:val="16"/>
                <w:lang w:eastAsia="zh-CN"/>
              </w:rPr>
              <w:t>-2</w:t>
            </w:r>
            <w:r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BAD1CAA" w14:textId="70775451" w:rsidR="00680858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316E4A" w14:textId="7FCFF899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00D97BE6">
              <w:rPr>
                <w:sz w:val="16"/>
                <w:szCs w:val="16"/>
                <w:lang w:eastAsia="zh-CN"/>
              </w:rPr>
              <w:t>Project budget</w:t>
            </w:r>
          </w:p>
        </w:tc>
      </w:tr>
      <w:tr w:rsidR="00680858" w:rsidRPr="00D97BE6" w14:paraId="2F21A7A1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7907CF00" w14:textId="55F8A3B5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lastRenderedPageBreak/>
              <w:t>N/A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9D2FAE" w14:textId="55DEA18B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3B09A5" w14:textId="748741B2" w:rsidR="00680858" w:rsidRPr="28548320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Independent Country Programme Evaluation (ICPE)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EDB3D8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192216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43D7DCF" w14:textId="3A6E9F03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Programme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10438B" w14:textId="516AD47C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May 24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8FC0111" w14:textId="58A82808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6C1AD49" w14:textId="421FD3A1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IEO</w:t>
            </w:r>
          </w:p>
        </w:tc>
      </w:tr>
      <w:tr w:rsidR="00680858" w14:paraId="6F98BE11" w14:textId="77777777" w:rsidTr="28548320">
        <w:trPr>
          <w:trHeight w:val="60"/>
        </w:trPr>
        <w:tc>
          <w:tcPr>
            <w:tcW w:w="1710" w:type="dxa"/>
            <w:shd w:val="clear" w:color="auto" w:fill="auto"/>
            <w:vAlign w:val="center"/>
          </w:tcPr>
          <w:p w14:paraId="41C8F396" w14:textId="51FE1A23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9D792A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EF0120" w14:textId="1C3D8F47" w:rsidR="00680858" w:rsidRPr="00D97BE6" w:rsidRDefault="00680858" w:rsidP="00680858">
            <w:pPr>
              <w:spacing w:after="0" w:line="240" w:lineRule="auto"/>
            </w:pPr>
            <w:r>
              <w:rPr>
                <w:sz w:val="16"/>
                <w:szCs w:val="16"/>
              </w:rPr>
              <w:t>UNSDCF Final Independent Evaluation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824FA9" w14:textId="2FDBC72A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 w:rsidRPr="28548320">
              <w:rPr>
                <w:sz w:val="16"/>
                <w:szCs w:val="16"/>
                <w:lang w:eastAsia="zh-CN"/>
              </w:rPr>
              <w:t>UN Country Team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A3D3EC" w14:textId="1C7090DC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 w:rsidRPr="28548320">
              <w:rPr>
                <w:sz w:val="16"/>
                <w:szCs w:val="16"/>
              </w:rPr>
              <w:t>UN Country Team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5978C1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Programme Evaluation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56929C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>Jun-24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506610" w14:textId="77777777" w:rsidR="00680858" w:rsidRPr="00D97BE6" w:rsidRDefault="00680858" w:rsidP="00680858">
            <w:pPr>
              <w:spacing w:after="0" w:line="240" w:lineRule="auto"/>
              <w:rPr>
                <w:sz w:val="16"/>
                <w:szCs w:val="16"/>
              </w:rPr>
            </w:pPr>
            <w:r w:rsidRPr="00D97BE6">
              <w:rPr>
                <w:sz w:val="16"/>
                <w:szCs w:val="16"/>
                <w:lang w:eastAsia="zh-CN"/>
              </w:rPr>
              <w:t xml:space="preserve">50,000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9E9CAB" w14:textId="00AE531D" w:rsidR="00680858" w:rsidRDefault="00680858" w:rsidP="00680858">
            <w:pPr>
              <w:spacing w:after="0" w:line="240" w:lineRule="auto"/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</w:tr>
    </w:tbl>
    <w:p w14:paraId="0D0B940D" w14:textId="77777777" w:rsidR="00C80B71" w:rsidRDefault="00C80B71" w:rsidP="000959DC">
      <w:pPr>
        <w:spacing w:after="0" w:line="240" w:lineRule="auto"/>
        <w:rPr>
          <w:color w:val="000000"/>
        </w:rPr>
      </w:pPr>
    </w:p>
    <w:sectPr w:rsidR="00C80B71">
      <w:headerReference w:type="even" r:id="rId10"/>
      <w:footerReference w:type="even" r:id="rId11"/>
      <w:footerReference w:type="default" r:id="rId12"/>
      <w:pgSz w:w="15840" w:h="12240" w:orient="landscape"/>
      <w:pgMar w:top="144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43124" w14:textId="77777777" w:rsidR="005E1F3B" w:rsidRDefault="005E1F3B">
      <w:pPr>
        <w:spacing w:after="0" w:line="240" w:lineRule="auto"/>
      </w:pPr>
      <w:r>
        <w:separator/>
      </w:r>
    </w:p>
  </w:endnote>
  <w:endnote w:type="continuationSeparator" w:id="0">
    <w:p w14:paraId="3C01F972" w14:textId="77777777" w:rsidR="005E1F3B" w:rsidRDefault="005E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133C" w14:textId="77777777" w:rsidR="00C80B71" w:rsidRDefault="00911A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4B94D5A5" w14:textId="77777777" w:rsidR="00C80B71" w:rsidRDefault="00C80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22F8" w14:textId="77777777" w:rsidR="00C80B71" w:rsidRDefault="00911A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</w:p>
  <w:p w14:paraId="44EAFD9C" w14:textId="77777777" w:rsidR="00C80B71" w:rsidRDefault="00C80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ED03B" w14:textId="77777777" w:rsidR="005E1F3B" w:rsidRDefault="005E1F3B">
      <w:pPr>
        <w:spacing w:after="0" w:line="240" w:lineRule="auto"/>
      </w:pPr>
      <w:r>
        <w:separator/>
      </w:r>
    </w:p>
  </w:footnote>
  <w:footnote w:type="continuationSeparator" w:id="0">
    <w:p w14:paraId="650156D5" w14:textId="77777777" w:rsidR="005E1F3B" w:rsidRDefault="005E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34E1" w14:textId="77777777" w:rsidR="00C80B71" w:rsidRDefault="00911AD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9A591D8" wp14:editId="07777777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38"/>
                            <w:gridCol w:w="8276"/>
                          </w:tblGrid>
                          <w:tr w:rsidR="00C80B71" w14:paraId="2A2EC339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10A7A0BA" w14:textId="77777777" w:rsidR="00C80B71" w:rsidRDefault="00911AD9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45FB0818" w14:textId="77777777" w:rsidR="00C80B71" w:rsidRDefault="00C80B71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049F31CB" w14:textId="77777777" w:rsidR="00C80B71" w:rsidRDefault="00C80B71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59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38"/>
                      <w:gridCol w:w="8276"/>
                    </w:tblGrid>
                    <w:tr w:rsidR="00C80B71" w14:paraId="2A2EC339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10A7A0BA" w14:textId="77777777" w:rsidR="00C80B71" w:rsidRDefault="00911AD9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45FB0818" w14:textId="77777777" w:rsidR="00C80B71" w:rsidRDefault="00C80B71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049F31CB" w14:textId="77777777" w:rsidR="00C80B71" w:rsidRDefault="00C80B7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comments" w:formatting="1" w:enforcement="0"/>
  <w:defaultTabStop w:val="720"/>
  <w:doNotHyphenateCaps/>
  <w:evenAndOddHeaders/>
  <w:drawingGridHorizontalSpacing w:val="10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3B"/>
    <w:rsid w:val="FFAF273B"/>
    <w:rsid w:val="000010B5"/>
    <w:rsid w:val="000027D2"/>
    <w:rsid w:val="0000312F"/>
    <w:rsid w:val="00003E8B"/>
    <w:rsid w:val="00005E26"/>
    <w:rsid w:val="00006E59"/>
    <w:rsid w:val="0001309E"/>
    <w:rsid w:val="000153EB"/>
    <w:rsid w:val="00015FDE"/>
    <w:rsid w:val="00016217"/>
    <w:rsid w:val="00016861"/>
    <w:rsid w:val="00017D05"/>
    <w:rsid w:val="000200CF"/>
    <w:rsid w:val="000205F1"/>
    <w:rsid w:val="00022047"/>
    <w:rsid w:val="00023AEE"/>
    <w:rsid w:val="000274B9"/>
    <w:rsid w:val="0002758B"/>
    <w:rsid w:val="000276A0"/>
    <w:rsid w:val="0003257C"/>
    <w:rsid w:val="000330DB"/>
    <w:rsid w:val="0003429F"/>
    <w:rsid w:val="0003562A"/>
    <w:rsid w:val="00036095"/>
    <w:rsid w:val="000367E0"/>
    <w:rsid w:val="00036AF4"/>
    <w:rsid w:val="00037DD8"/>
    <w:rsid w:val="00041C10"/>
    <w:rsid w:val="00043804"/>
    <w:rsid w:val="000441A1"/>
    <w:rsid w:val="00050869"/>
    <w:rsid w:val="00051E3C"/>
    <w:rsid w:val="00055596"/>
    <w:rsid w:val="00056014"/>
    <w:rsid w:val="000561C1"/>
    <w:rsid w:val="00056204"/>
    <w:rsid w:val="000570D1"/>
    <w:rsid w:val="000571A9"/>
    <w:rsid w:val="00060290"/>
    <w:rsid w:val="000611AB"/>
    <w:rsid w:val="00063E24"/>
    <w:rsid w:val="00072229"/>
    <w:rsid w:val="000728F8"/>
    <w:rsid w:val="00073CF1"/>
    <w:rsid w:val="00074BD0"/>
    <w:rsid w:val="00074D9A"/>
    <w:rsid w:val="00074DB9"/>
    <w:rsid w:val="000753C4"/>
    <w:rsid w:val="00075DF0"/>
    <w:rsid w:val="000762CA"/>
    <w:rsid w:val="000803A4"/>
    <w:rsid w:val="000806E3"/>
    <w:rsid w:val="0008339E"/>
    <w:rsid w:val="00090AD1"/>
    <w:rsid w:val="00090F4F"/>
    <w:rsid w:val="00091476"/>
    <w:rsid w:val="00091984"/>
    <w:rsid w:val="00092879"/>
    <w:rsid w:val="00094E87"/>
    <w:rsid w:val="000959DC"/>
    <w:rsid w:val="00097FB2"/>
    <w:rsid w:val="000A151D"/>
    <w:rsid w:val="000A24C5"/>
    <w:rsid w:val="000A30A1"/>
    <w:rsid w:val="000A3A38"/>
    <w:rsid w:val="000A3F7F"/>
    <w:rsid w:val="000A47FD"/>
    <w:rsid w:val="000A7192"/>
    <w:rsid w:val="000B0228"/>
    <w:rsid w:val="000B2E16"/>
    <w:rsid w:val="000B3A13"/>
    <w:rsid w:val="000B4BB2"/>
    <w:rsid w:val="000B6379"/>
    <w:rsid w:val="000C4E54"/>
    <w:rsid w:val="000C6DDB"/>
    <w:rsid w:val="000C76B0"/>
    <w:rsid w:val="000C7BBE"/>
    <w:rsid w:val="000D2475"/>
    <w:rsid w:val="000D442C"/>
    <w:rsid w:val="000D4DC4"/>
    <w:rsid w:val="000E55D6"/>
    <w:rsid w:val="000E612D"/>
    <w:rsid w:val="000E6AB1"/>
    <w:rsid w:val="000E745A"/>
    <w:rsid w:val="000E7E9E"/>
    <w:rsid w:val="000F0044"/>
    <w:rsid w:val="000F0EFD"/>
    <w:rsid w:val="000F23DD"/>
    <w:rsid w:val="000F5541"/>
    <w:rsid w:val="000F703B"/>
    <w:rsid w:val="000F72ED"/>
    <w:rsid w:val="000F7A4C"/>
    <w:rsid w:val="00103698"/>
    <w:rsid w:val="00106EF8"/>
    <w:rsid w:val="001079CD"/>
    <w:rsid w:val="001101A2"/>
    <w:rsid w:val="00111489"/>
    <w:rsid w:val="00111792"/>
    <w:rsid w:val="00111797"/>
    <w:rsid w:val="00111B19"/>
    <w:rsid w:val="00114A64"/>
    <w:rsid w:val="00115F59"/>
    <w:rsid w:val="00116C1A"/>
    <w:rsid w:val="00121554"/>
    <w:rsid w:val="00121F3E"/>
    <w:rsid w:val="0012229E"/>
    <w:rsid w:val="00123849"/>
    <w:rsid w:val="00123A5E"/>
    <w:rsid w:val="00125010"/>
    <w:rsid w:val="001251C8"/>
    <w:rsid w:val="00125266"/>
    <w:rsid w:val="00125B82"/>
    <w:rsid w:val="001305E6"/>
    <w:rsid w:val="001315CD"/>
    <w:rsid w:val="0013239A"/>
    <w:rsid w:val="00132D93"/>
    <w:rsid w:val="001334D3"/>
    <w:rsid w:val="0013761A"/>
    <w:rsid w:val="0014423A"/>
    <w:rsid w:val="00147042"/>
    <w:rsid w:val="001471A7"/>
    <w:rsid w:val="001506F6"/>
    <w:rsid w:val="001508E6"/>
    <w:rsid w:val="00154032"/>
    <w:rsid w:val="001547D3"/>
    <w:rsid w:val="001559BD"/>
    <w:rsid w:val="00157F09"/>
    <w:rsid w:val="00157F79"/>
    <w:rsid w:val="00163E84"/>
    <w:rsid w:val="00165A12"/>
    <w:rsid w:val="001668AA"/>
    <w:rsid w:val="001675B1"/>
    <w:rsid w:val="0016789D"/>
    <w:rsid w:val="00167C87"/>
    <w:rsid w:val="00171F01"/>
    <w:rsid w:val="00172EE3"/>
    <w:rsid w:val="00174F19"/>
    <w:rsid w:val="00177E7E"/>
    <w:rsid w:val="00180BB5"/>
    <w:rsid w:val="0018356F"/>
    <w:rsid w:val="001874A7"/>
    <w:rsid w:val="001876C5"/>
    <w:rsid w:val="00187D68"/>
    <w:rsid w:val="00190155"/>
    <w:rsid w:val="001906B5"/>
    <w:rsid w:val="001913A7"/>
    <w:rsid w:val="00192198"/>
    <w:rsid w:val="00194163"/>
    <w:rsid w:val="00194359"/>
    <w:rsid w:val="00194FEB"/>
    <w:rsid w:val="001970A4"/>
    <w:rsid w:val="00197AD1"/>
    <w:rsid w:val="001A17DA"/>
    <w:rsid w:val="001B0020"/>
    <w:rsid w:val="001B3F87"/>
    <w:rsid w:val="001B4026"/>
    <w:rsid w:val="001B598C"/>
    <w:rsid w:val="001B6419"/>
    <w:rsid w:val="001B76A6"/>
    <w:rsid w:val="001C07F8"/>
    <w:rsid w:val="001C1147"/>
    <w:rsid w:val="001C2D7D"/>
    <w:rsid w:val="001C2F59"/>
    <w:rsid w:val="001C6C08"/>
    <w:rsid w:val="001D0646"/>
    <w:rsid w:val="001D1B55"/>
    <w:rsid w:val="001D2056"/>
    <w:rsid w:val="001D220F"/>
    <w:rsid w:val="001D42D1"/>
    <w:rsid w:val="001D547F"/>
    <w:rsid w:val="001D5F99"/>
    <w:rsid w:val="001D64E5"/>
    <w:rsid w:val="001D6EB8"/>
    <w:rsid w:val="001E05EC"/>
    <w:rsid w:val="001E2165"/>
    <w:rsid w:val="001E39CB"/>
    <w:rsid w:val="001E4809"/>
    <w:rsid w:val="001E4F4F"/>
    <w:rsid w:val="001F27F4"/>
    <w:rsid w:val="001F3DC0"/>
    <w:rsid w:val="001F4C5A"/>
    <w:rsid w:val="001F4EA9"/>
    <w:rsid w:val="001F4F73"/>
    <w:rsid w:val="001F6425"/>
    <w:rsid w:val="001F6772"/>
    <w:rsid w:val="001F7421"/>
    <w:rsid w:val="00200195"/>
    <w:rsid w:val="00200B5F"/>
    <w:rsid w:val="00201EEF"/>
    <w:rsid w:val="00202476"/>
    <w:rsid w:val="00202B58"/>
    <w:rsid w:val="002047C8"/>
    <w:rsid w:val="002052B3"/>
    <w:rsid w:val="00205453"/>
    <w:rsid w:val="002058F9"/>
    <w:rsid w:val="0020650A"/>
    <w:rsid w:val="00207F32"/>
    <w:rsid w:val="00212B1F"/>
    <w:rsid w:val="00213340"/>
    <w:rsid w:val="00213D7C"/>
    <w:rsid w:val="00214513"/>
    <w:rsid w:val="002155B7"/>
    <w:rsid w:val="0021766A"/>
    <w:rsid w:val="00220C88"/>
    <w:rsid w:val="002225D3"/>
    <w:rsid w:val="00222A35"/>
    <w:rsid w:val="0022301D"/>
    <w:rsid w:val="002236F0"/>
    <w:rsid w:val="00224B2C"/>
    <w:rsid w:val="00226F3A"/>
    <w:rsid w:val="002272E2"/>
    <w:rsid w:val="00227E55"/>
    <w:rsid w:val="00232AA0"/>
    <w:rsid w:val="00234CDF"/>
    <w:rsid w:val="00236B91"/>
    <w:rsid w:val="00236BF6"/>
    <w:rsid w:val="002424C0"/>
    <w:rsid w:val="00242617"/>
    <w:rsid w:val="00242CAA"/>
    <w:rsid w:val="0024503B"/>
    <w:rsid w:val="0024573D"/>
    <w:rsid w:val="00245D74"/>
    <w:rsid w:val="00246D03"/>
    <w:rsid w:val="00246DDF"/>
    <w:rsid w:val="002573CC"/>
    <w:rsid w:val="00260FAA"/>
    <w:rsid w:val="00262338"/>
    <w:rsid w:val="00263694"/>
    <w:rsid w:val="00263938"/>
    <w:rsid w:val="002646D7"/>
    <w:rsid w:val="00264990"/>
    <w:rsid w:val="002671D7"/>
    <w:rsid w:val="0027259C"/>
    <w:rsid w:val="00273543"/>
    <w:rsid w:val="00274C82"/>
    <w:rsid w:val="0027654D"/>
    <w:rsid w:val="002810DF"/>
    <w:rsid w:val="002812AB"/>
    <w:rsid w:val="002816D8"/>
    <w:rsid w:val="00281F8F"/>
    <w:rsid w:val="00282A8C"/>
    <w:rsid w:val="002854EE"/>
    <w:rsid w:val="0028565C"/>
    <w:rsid w:val="002875DE"/>
    <w:rsid w:val="00287E07"/>
    <w:rsid w:val="00290EB3"/>
    <w:rsid w:val="00292846"/>
    <w:rsid w:val="00292A90"/>
    <w:rsid w:val="002971D6"/>
    <w:rsid w:val="002A2F08"/>
    <w:rsid w:val="002A3641"/>
    <w:rsid w:val="002A495F"/>
    <w:rsid w:val="002A4CE1"/>
    <w:rsid w:val="002A706F"/>
    <w:rsid w:val="002A70EA"/>
    <w:rsid w:val="002A7363"/>
    <w:rsid w:val="002A7F43"/>
    <w:rsid w:val="002B365E"/>
    <w:rsid w:val="002B3E6C"/>
    <w:rsid w:val="002B489A"/>
    <w:rsid w:val="002B6341"/>
    <w:rsid w:val="002C031A"/>
    <w:rsid w:val="002C0526"/>
    <w:rsid w:val="002C27A8"/>
    <w:rsid w:val="002C333E"/>
    <w:rsid w:val="002C36C8"/>
    <w:rsid w:val="002C51A0"/>
    <w:rsid w:val="002C57E0"/>
    <w:rsid w:val="002C7971"/>
    <w:rsid w:val="002D0584"/>
    <w:rsid w:val="002D2E2A"/>
    <w:rsid w:val="002D4274"/>
    <w:rsid w:val="002D4F19"/>
    <w:rsid w:val="002D5295"/>
    <w:rsid w:val="002D52BF"/>
    <w:rsid w:val="002D6630"/>
    <w:rsid w:val="002D68FA"/>
    <w:rsid w:val="002D7ECA"/>
    <w:rsid w:val="002E0141"/>
    <w:rsid w:val="002E0B5D"/>
    <w:rsid w:val="002E0B76"/>
    <w:rsid w:val="002E1495"/>
    <w:rsid w:val="002E2466"/>
    <w:rsid w:val="002E2900"/>
    <w:rsid w:val="002E3C0D"/>
    <w:rsid w:val="002E43EC"/>
    <w:rsid w:val="002E4883"/>
    <w:rsid w:val="002E5B3C"/>
    <w:rsid w:val="002E7A79"/>
    <w:rsid w:val="002F1D9E"/>
    <w:rsid w:val="002F2C6E"/>
    <w:rsid w:val="002F3C88"/>
    <w:rsid w:val="002F4067"/>
    <w:rsid w:val="002F47EB"/>
    <w:rsid w:val="002F7339"/>
    <w:rsid w:val="002F7461"/>
    <w:rsid w:val="003025E2"/>
    <w:rsid w:val="00303CB0"/>
    <w:rsid w:val="00306D24"/>
    <w:rsid w:val="00307712"/>
    <w:rsid w:val="0031404A"/>
    <w:rsid w:val="00314B7C"/>
    <w:rsid w:val="00314E49"/>
    <w:rsid w:val="00315445"/>
    <w:rsid w:val="00317183"/>
    <w:rsid w:val="003204AE"/>
    <w:rsid w:val="003208EF"/>
    <w:rsid w:val="00323D35"/>
    <w:rsid w:val="00324846"/>
    <w:rsid w:val="00324ABD"/>
    <w:rsid w:val="00324D9B"/>
    <w:rsid w:val="003272A6"/>
    <w:rsid w:val="003273CB"/>
    <w:rsid w:val="0033125E"/>
    <w:rsid w:val="00332ED2"/>
    <w:rsid w:val="0033325E"/>
    <w:rsid w:val="00335C99"/>
    <w:rsid w:val="00336913"/>
    <w:rsid w:val="0033718C"/>
    <w:rsid w:val="00337407"/>
    <w:rsid w:val="00337BB8"/>
    <w:rsid w:val="00340E02"/>
    <w:rsid w:val="00341F33"/>
    <w:rsid w:val="00342E94"/>
    <w:rsid w:val="00343E6E"/>
    <w:rsid w:val="00343E9A"/>
    <w:rsid w:val="003450C8"/>
    <w:rsid w:val="00345BA7"/>
    <w:rsid w:val="0034782B"/>
    <w:rsid w:val="00351E5C"/>
    <w:rsid w:val="00351F5A"/>
    <w:rsid w:val="003538F7"/>
    <w:rsid w:val="0035580F"/>
    <w:rsid w:val="00357CB4"/>
    <w:rsid w:val="003604EE"/>
    <w:rsid w:val="0036286B"/>
    <w:rsid w:val="00363371"/>
    <w:rsid w:val="00364989"/>
    <w:rsid w:val="003664C0"/>
    <w:rsid w:val="00366769"/>
    <w:rsid w:val="00367A28"/>
    <w:rsid w:val="00367E04"/>
    <w:rsid w:val="003761F2"/>
    <w:rsid w:val="00376A05"/>
    <w:rsid w:val="003774FE"/>
    <w:rsid w:val="00390E30"/>
    <w:rsid w:val="00392823"/>
    <w:rsid w:val="003938AC"/>
    <w:rsid w:val="00393ABE"/>
    <w:rsid w:val="0039458D"/>
    <w:rsid w:val="00394D61"/>
    <w:rsid w:val="00395201"/>
    <w:rsid w:val="003A05FC"/>
    <w:rsid w:val="003A1F5A"/>
    <w:rsid w:val="003A20C4"/>
    <w:rsid w:val="003A2ECE"/>
    <w:rsid w:val="003A4252"/>
    <w:rsid w:val="003A539A"/>
    <w:rsid w:val="003A62A4"/>
    <w:rsid w:val="003A7476"/>
    <w:rsid w:val="003A7D86"/>
    <w:rsid w:val="003B0AA1"/>
    <w:rsid w:val="003B243D"/>
    <w:rsid w:val="003B304F"/>
    <w:rsid w:val="003B5D18"/>
    <w:rsid w:val="003B795D"/>
    <w:rsid w:val="003C26A6"/>
    <w:rsid w:val="003C26C1"/>
    <w:rsid w:val="003C5C11"/>
    <w:rsid w:val="003C6A5A"/>
    <w:rsid w:val="003C6AAD"/>
    <w:rsid w:val="003C76E4"/>
    <w:rsid w:val="003D1D4D"/>
    <w:rsid w:val="003D2D68"/>
    <w:rsid w:val="003D3682"/>
    <w:rsid w:val="003D37DD"/>
    <w:rsid w:val="003D45DF"/>
    <w:rsid w:val="003D47C6"/>
    <w:rsid w:val="003D7E38"/>
    <w:rsid w:val="003D7EAC"/>
    <w:rsid w:val="003E0350"/>
    <w:rsid w:val="003E1AFA"/>
    <w:rsid w:val="003E375F"/>
    <w:rsid w:val="003E379A"/>
    <w:rsid w:val="003E52B0"/>
    <w:rsid w:val="003E64DC"/>
    <w:rsid w:val="003E7A43"/>
    <w:rsid w:val="003F0B58"/>
    <w:rsid w:val="003F0D40"/>
    <w:rsid w:val="003F2236"/>
    <w:rsid w:val="003F27B7"/>
    <w:rsid w:val="003F4051"/>
    <w:rsid w:val="003F5812"/>
    <w:rsid w:val="003F625A"/>
    <w:rsid w:val="003F6AA4"/>
    <w:rsid w:val="003F6EA1"/>
    <w:rsid w:val="00400E4A"/>
    <w:rsid w:val="004028E7"/>
    <w:rsid w:val="00402E9A"/>
    <w:rsid w:val="00403FA8"/>
    <w:rsid w:val="00404040"/>
    <w:rsid w:val="00404213"/>
    <w:rsid w:val="004048AC"/>
    <w:rsid w:val="00404B8E"/>
    <w:rsid w:val="004068C2"/>
    <w:rsid w:val="00406E61"/>
    <w:rsid w:val="00407DD6"/>
    <w:rsid w:val="00412559"/>
    <w:rsid w:val="004145F0"/>
    <w:rsid w:val="00415E7F"/>
    <w:rsid w:val="00420288"/>
    <w:rsid w:val="00421C78"/>
    <w:rsid w:val="004224CE"/>
    <w:rsid w:val="00423D5E"/>
    <w:rsid w:val="00424A78"/>
    <w:rsid w:val="004254DB"/>
    <w:rsid w:val="00427EEA"/>
    <w:rsid w:val="00431836"/>
    <w:rsid w:val="004321E6"/>
    <w:rsid w:val="0043278E"/>
    <w:rsid w:val="004332A4"/>
    <w:rsid w:val="004360AC"/>
    <w:rsid w:val="00436B83"/>
    <w:rsid w:val="00441061"/>
    <w:rsid w:val="0044560C"/>
    <w:rsid w:val="004501C9"/>
    <w:rsid w:val="00450C70"/>
    <w:rsid w:val="00453344"/>
    <w:rsid w:val="00454E76"/>
    <w:rsid w:val="00457080"/>
    <w:rsid w:val="00460891"/>
    <w:rsid w:val="00464FB2"/>
    <w:rsid w:val="004662A8"/>
    <w:rsid w:val="00466CDC"/>
    <w:rsid w:val="0046745E"/>
    <w:rsid w:val="004725ED"/>
    <w:rsid w:val="004736BE"/>
    <w:rsid w:val="0047556D"/>
    <w:rsid w:val="00475789"/>
    <w:rsid w:val="00476170"/>
    <w:rsid w:val="004801D4"/>
    <w:rsid w:val="00480284"/>
    <w:rsid w:val="004820B0"/>
    <w:rsid w:val="00482117"/>
    <w:rsid w:val="00482E2F"/>
    <w:rsid w:val="00484BE0"/>
    <w:rsid w:val="004859B4"/>
    <w:rsid w:val="00486ACD"/>
    <w:rsid w:val="00490B8D"/>
    <w:rsid w:val="0049255A"/>
    <w:rsid w:val="00492C65"/>
    <w:rsid w:val="0049403F"/>
    <w:rsid w:val="00494323"/>
    <w:rsid w:val="00494349"/>
    <w:rsid w:val="00494485"/>
    <w:rsid w:val="0049682B"/>
    <w:rsid w:val="0049762B"/>
    <w:rsid w:val="004A0F27"/>
    <w:rsid w:val="004A0F37"/>
    <w:rsid w:val="004A0F68"/>
    <w:rsid w:val="004A3608"/>
    <w:rsid w:val="004A4FBD"/>
    <w:rsid w:val="004A76FF"/>
    <w:rsid w:val="004A7810"/>
    <w:rsid w:val="004A7E93"/>
    <w:rsid w:val="004B021E"/>
    <w:rsid w:val="004B3CFB"/>
    <w:rsid w:val="004B5D6B"/>
    <w:rsid w:val="004B76F8"/>
    <w:rsid w:val="004C1FA6"/>
    <w:rsid w:val="004C2869"/>
    <w:rsid w:val="004C5CFD"/>
    <w:rsid w:val="004D12C0"/>
    <w:rsid w:val="004D18EA"/>
    <w:rsid w:val="004D2B29"/>
    <w:rsid w:val="004D3713"/>
    <w:rsid w:val="004D6254"/>
    <w:rsid w:val="004D70FD"/>
    <w:rsid w:val="004D7E99"/>
    <w:rsid w:val="004E00CE"/>
    <w:rsid w:val="004E2BDB"/>
    <w:rsid w:val="004E307B"/>
    <w:rsid w:val="004F0966"/>
    <w:rsid w:val="004F50AF"/>
    <w:rsid w:val="004F681D"/>
    <w:rsid w:val="004F6E14"/>
    <w:rsid w:val="0050228C"/>
    <w:rsid w:val="00502857"/>
    <w:rsid w:val="005044A9"/>
    <w:rsid w:val="00504F68"/>
    <w:rsid w:val="005054DC"/>
    <w:rsid w:val="00505994"/>
    <w:rsid w:val="00505FD4"/>
    <w:rsid w:val="005062F0"/>
    <w:rsid w:val="00506E25"/>
    <w:rsid w:val="0051132C"/>
    <w:rsid w:val="005119D0"/>
    <w:rsid w:val="00513483"/>
    <w:rsid w:val="00514A55"/>
    <w:rsid w:val="00514EF5"/>
    <w:rsid w:val="0051782D"/>
    <w:rsid w:val="0052087E"/>
    <w:rsid w:val="0052315E"/>
    <w:rsid w:val="00523892"/>
    <w:rsid w:val="00523B73"/>
    <w:rsid w:val="00530ED3"/>
    <w:rsid w:val="00533D2D"/>
    <w:rsid w:val="0053438E"/>
    <w:rsid w:val="005343E5"/>
    <w:rsid w:val="005346B7"/>
    <w:rsid w:val="005355EE"/>
    <w:rsid w:val="00535B16"/>
    <w:rsid w:val="005366D0"/>
    <w:rsid w:val="00537E27"/>
    <w:rsid w:val="00540B4D"/>
    <w:rsid w:val="00540FFA"/>
    <w:rsid w:val="00542930"/>
    <w:rsid w:val="005435B3"/>
    <w:rsid w:val="00545568"/>
    <w:rsid w:val="00550849"/>
    <w:rsid w:val="00550866"/>
    <w:rsid w:val="00554BF3"/>
    <w:rsid w:val="0055655F"/>
    <w:rsid w:val="0055657D"/>
    <w:rsid w:val="005579B9"/>
    <w:rsid w:val="00560D0D"/>
    <w:rsid w:val="005632F1"/>
    <w:rsid w:val="005644AD"/>
    <w:rsid w:val="00565FB1"/>
    <w:rsid w:val="005662FB"/>
    <w:rsid w:val="00567781"/>
    <w:rsid w:val="00567ECC"/>
    <w:rsid w:val="0057019C"/>
    <w:rsid w:val="005713B1"/>
    <w:rsid w:val="0057363E"/>
    <w:rsid w:val="0057624B"/>
    <w:rsid w:val="0057644D"/>
    <w:rsid w:val="0057649A"/>
    <w:rsid w:val="00583090"/>
    <w:rsid w:val="005835F4"/>
    <w:rsid w:val="00583EFE"/>
    <w:rsid w:val="00584076"/>
    <w:rsid w:val="005841A3"/>
    <w:rsid w:val="00586D9A"/>
    <w:rsid w:val="00590EAE"/>
    <w:rsid w:val="0059112A"/>
    <w:rsid w:val="0059116B"/>
    <w:rsid w:val="00591B65"/>
    <w:rsid w:val="00592A14"/>
    <w:rsid w:val="00593216"/>
    <w:rsid w:val="00594BC3"/>
    <w:rsid w:val="00596CA7"/>
    <w:rsid w:val="00596DC8"/>
    <w:rsid w:val="00596E16"/>
    <w:rsid w:val="00597A78"/>
    <w:rsid w:val="00597DC7"/>
    <w:rsid w:val="005A16A3"/>
    <w:rsid w:val="005A1C48"/>
    <w:rsid w:val="005A253A"/>
    <w:rsid w:val="005A2AD8"/>
    <w:rsid w:val="005A3152"/>
    <w:rsid w:val="005A40AF"/>
    <w:rsid w:val="005A64BF"/>
    <w:rsid w:val="005B0565"/>
    <w:rsid w:val="005B4421"/>
    <w:rsid w:val="005B4552"/>
    <w:rsid w:val="005B513F"/>
    <w:rsid w:val="005B7483"/>
    <w:rsid w:val="005B7929"/>
    <w:rsid w:val="005C0643"/>
    <w:rsid w:val="005C23AF"/>
    <w:rsid w:val="005C25D1"/>
    <w:rsid w:val="005C35A9"/>
    <w:rsid w:val="005C464B"/>
    <w:rsid w:val="005C4E5F"/>
    <w:rsid w:val="005C74A0"/>
    <w:rsid w:val="005D052C"/>
    <w:rsid w:val="005D16FE"/>
    <w:rsid w:val="005D4084"/>
    <w:rsid w:val="005D4777"/>
    <w:rsid w:val="005D4C2B"/>
    <w:rsid w:val="005D5784"/>
    <w:rsid w:val="005E1F3B"/>
    <w:rsid w:val="005E22CD"/>
    <w:rsid w:val="005E6B93"/>
    <w:rsid w:val="005E7953"/>
    <w:rsid w:val="005E7E82"/>
    <w:rsid w:val="005F2C42"/>
    <w:rsid w:val="005F6BAB"/>
    <w:rsid w:val="005F6C28"/>
    <w:rsid w:val="005F7AB6"/>
    <w:rsid w:val="005F7E3C"/>
    <w:rsid w:val="00600FA8"/>
    <w:rsid w:val="006063DA"/>
    <w:rsid w:val="00606CD0"/>
    <w:rsid w:val="00606CE3"/>
    <w:rsid w:val="00611DD3"/>
    <w:rsid w:val="00611EF0"/>
    <w:rsid w:val="00612219"/>
    <w:rsid w:val="00612E04"/>
    <w:rsid w:val="006173A4"/>
    <w:rsid w:val="00617C44"/>
    <w:rsid w:val="00620086"/>
    <w:rsid w:val="00622074"/>
    <w:rsid w:val="00622CE4"/>
    <w:rsid w:val="006234A7"/>
    <w:rsid w:val="00623F8E"/>
    <w:rsid w:val="00625917"/>
    <w:rsid w:val="0062789F"/>
    <w:rsid w:val="006301BE"/>
    <w:rsid w:val="0063096E"/>
    <w:rsid w:val="00632DB2"/>
    <w:rsid w:val="00633349"/>
    <w:rsid w:val="00633D61"/>
    <w:rsid w:val="0063402B"/>
    <w:rsid w:val="00636570"/>
    <w:rsid w:val="00637859"/>
    <w:rsid w:val="00637901"/>
    <w:rsid w:val="00637E1B"/>
    <w:rsid w:val="006402DF"/>
    <w:rsid w:val="0064164B"/>
    <w:rsid w:val="0064416A"/>
    <w:rsid w:val="00644468"/>
    <w:rsid w:val="00645F5E"/>
    <w:rsid w:val="00647B1E"/>
    <w:rsid w:val="00647C55"/>
    <w:rsid w:val="0065008B"/>
    <w:rsid w:val="00653721"/>
    <w:rsid w:val="00653A3B"/>
    <w:rsid w:val="00653FD9"/>
    <w:rsid w:val="006543A2"/>
    <w:rsid w:val="00654D42"/>
    <w:rsid w:val="00656328"/>
    <w:rsid w:val="00660279"/>
    <w:rsid w:val="00660A94"/>
    <w:rsid w:val="006622B9"/>
    <w:rsid w:val="00662E1E"/>
    <w:rsid w:val="0066371E"/>
    <w:rsid w:val="0066455B"/>
    <w:rsid w:val="00670BC4"/>
    <w:rsid w:val="006718ED"/>
    <w:rsid w:val="006724AD"/>
    <w:rsid w:val="00672BAB"/>
    <w:rsid w:val="0067314A"/>
    <w:rsid w:val="00673D1E"/>
    <w:rsid w:val="0067557E"/>
    <w:rsid w:val="00675E9D"/>
    <w:rsid w:val="006779CF"/>
    <w:rsid w:val="00677A8F"/>
    <w:rsid w:val="00677D63"/>
    <w:rsid w:val="00677F8A"/>
    <w:rsid w:val="00680858"/>
    <w:rsid w:val="006821E3"/>
    <w:rsid w:val="00683AD6"/>
    <w:rsid w:val="006842AE"/>
    <w:rsid w:val="006875BA"/>
    <w:rsid w:val="0069097D"/>
    <w:rsid w:val="00693FEA"/>
    <w:rsid w:val="00694C68"/>
    <w:rsid w:val="006A5773"/>
    <w:rsid w:val="006A5804"/>
    <w:rsid w:val="006A58F0"/>
    <w:rsid w:val="006A6262"/>
    <w:rsid w:val="006B0372"/>
    <w:rsid w:val="006B0764"/>
    <w:rsid w:val="006B081C"/>
    <w:rsid w:val="006B4467"/>
    <w:rsid w:val="006B6C46"/>
    <w:rsid w:val="006B6E78"/>
    <w:rsid w:val="006B7970"/>
    <w:rsid w:val="006C0039"/>
    <w:rsid w:val="006C1927"/>
    <w:rsid w:val="006C2585"/>
    <w:rsid w:val="006C4008"/>
    <w:rsid w:val="006C4E2C"/>
    <w:rsid w:val="006C5931"/>
    <w:rsid w:val="006C73EF"/>
    <w:rsid w:val="006D1723"/>
    <w:rsid w:val="006D5D3F"/>
    <w:rsid w:val="006D60ED"/>
    <w:rsid w:val="006E1166"/>
    <w:rsid w:val="006E24D9"/>
    <w:rsid w:val="006E25BA"/>
    <w:rsid w:val="006E596E"/>
    <w:rsid w:val="006E65E0"/>
    <w:rsid w:val="006F033F"/>
    <w:rsid w:val="006F24D8"/>
    <w:rsid w:val="006F33B8"/>
    <w:rsid w:val="006F4C9C"/>
    <w:rsid w:val="006F640F"/>
    <w:rsid w:val="006F762A"/>
    <w:rsid w:val="0070040F"/>
    <w:rsid w:val="00701B6B"/>
    <w:rsid w:val="007026CB"/>
    <w:rsid w:val="00702D07"/>
    <w:rsid w:val="0070384F"/>
    <w:rsid w:val="00703A9E"/>
    <w:rsid w:val="00703D6D"/>
    <w:rsid w:val="00704095"/>
    <w:rsid w:val="00704152"/>
    <w:rsid w:val="00704FB5"/>
    <w:rsid w:val="00706B71"/>
    <w:rsid w:val="0071022A"/>
    <w:rsid w:val="0071277A"/>
    <w:rsid w:val="00712EE5"/>
    <w:rsid w:val="00713493"/>
    <w:rsid w:val="00713494"/>
    <w:rsid w:val="00713EA7"/>
    <w:rsid w:val="00714031"/>
    <w:rsid w:val="0071466E"/>
    <w:rsid w:val="00714A6C"/>
    <w:rsid w:val="00714CD3"/>
    <w:rsid w:val="0071582C"/>
    <w:rsid w:val="00716174"/>
    <w:rsid w:val="007203D8"/>
    <w:rsid w:val="007206A8"/>
    <w:rsid w:val="0072116D"/>
    <w:rsid w:val="0072226F"/>
    <w:rsid w:val="00725B78"/>
    <w:rsid w:val="00727082"/>
    <w:rsid w:val="0073233C"/>
    <w:rsid w:val="00732D0C"/>
    <w:rsid w:val="00733EAD"/>
    <w:rsid w:val="00734F54"/>
    <w:rsid w:val="00736D93"/>
    <w:rsid w:val="00737C04"/>
    <w:rsid w:val="00737F64"/>
    <w:rsid w:val="007422C9"/>
    <w:rsid w:val="00744110"/>
    <w:rsid w:val="00744595"/>
    <w:rsid w:val="0074695A"/>
    <w:rsid w:val="00747A52"/>
    <w:rsid w:val="00750F1E"/>
    <w:rsid w:val="00751C12"/>
    <w:rsid w:val="00752691"/>
    <w:rsid w:val="007528F2"/>
    <w:rsid w:val="007575C4"/>
    <w:rsid w:val="00757D63"/>
    <w:rsid w:val="00762A1B"/>
    <w:rsid w:val="00762D6D"/>
    <w:rsid w:val="00763700"/>
    <w:rsid w:val="0076427C"/>
    <w:rsid w:val="00765217"/>
    <w:rsid w:val="007659AA"/>
    <w:rsid w:val="00766334"/>
    <w:rsid w:val="0077266C"/>
    <w:rsid w:val="00772802"/>
    <w:rsid w:val="00775066"/>
    <w:rsid w:val="00776406"/>
    <w:rsid w:val="0078005A"/>
    <w:rsid w:val="00781B6F"/>
    <w:rsid w:val="00781F9C"/>
    <w:rsid w:val="007820ED"/>
    <w:rsid w:val="00782DFD"/>
    <w:rsid w:val="00784424"/>
    <w:rsid w:val="00785474"/>
    <w:rsid w:val="0078772C"/>
    <w:rsid w:val="00787B99"/>
    <w:rsid w:val="007907C8"/>
    <w:rsid w:val="007925B6"/>
    <w:rsid w:val="007934F5"/>
    <w:rsid w:val="0079421C"/>
    <w:rsid w:val="0079526D"/>
    <w:rsid w:val="00795A2C"/>
    <w:rsid w:val="00797039"/>
    <w:rsid w:val="00797309"/>
    <w:rsid w:val="00797390"/>
    <w:rsid w:val="007A05B6"/>
    <w:rsid w:val="007A1C0A"/>
    <w:rsid w:val="007A1C59"/>
    <w:rsid w:val="007A4397"/>
    <w:rsid w:val="007A5B41"/>
    <w:rsid w:val="007B20F5"/>
    <w:rsid w:val="007B3A76"/>
    <w:rsid w:val="007B5792"/>
    <w:rsid w:val="007C2934"/>
    <w:rsid w:val="007C31E2"/>
    <w:rsid w:val="007C5CE1"/>
    <w:rsid w:val="007C6F85"/>
    <w:rsid w:val="007D0569"/>
    <w:rsid w:val="007D16B1"/>
    <w:rsid w:val="007D19E4"/>
    <w:rsid w:val="007D2001"/>
    <w:rsid w:val="007D7400"/>
    <w:rsid w:val="007D7761"/>
    <w:rsid w:val="007D79FF"/>
    <w:rsid w:val="007E02A7"/>
    <w:rsid w:val="007E468A"/>
    <w:rsid w:val="007E51A5"/>
    <w:rsid w:val="007E5629"/>
    <w:rsid w:val="007E7F4C"/>
    <w:rsid w:val="007F2EC6"/>
    <w:rsid w:val="007F3018"/>
    <w:rsid w:val="007F6862"/>
    <w:rsid w:val="008013FC"/>
    <w:rsid w:val="008060C3"/>
    <w:rsid w:val="008063A1"/>
    <w:rsid w:val="00807F00"/>
    <w:rsid w:val="00812095"/>
    <w:rsid w:val="008134BD"/>
    <w:rsid w:val="008139A5"/>
    <w:rsid w:val="00814656"/>
    <w:rsid w:val="00820E45"/>
    <w:rsid w:val="00821E2C"/>
    <w:rsid w:val="00822835"/>
    <w:rsid w:val="0082459B"/>
    <w:rsid w:val="00826758"/>
    <w:rsid w:val="008313D1"/>
    <w:rsid w:val="00833261"/>
    <w:rsid w:val="008353E0"/>
    <w:rsid w:val="008365F0"/>
    <w:rsid w:val="00841534"/>
    <w:rsid w:val="008462F1"/>
    <w:rsid w:val="00846930"/>
    <w:rsid w:val="00850FDE"/>
    <w:rsid w:val="00852876"/>
    <w:rsid w:val="008543F5"/>
    <w:rsid w:val="00855004"/>
    <w:rsid w:val="008572C4"/>
    <w:rsid w:val="0085733E"/>
    <w:rsid w:val="0085765A"/>
    <w:rsid w:val="008604A8"/>
    <w:rsid w:val="00860E64"/>
    <w:rsid w:val="008616F7"/>
    <w:rsid w:val="00861AFA"/>
    <w:rsid w:val="00863C61"/>
    <w:rsid w:val="008641F9"/>
    <w:rsid w:val="00865522"/>
    <w:rsid w:val="00865ADF"/>
    <w:rsid w:val="0086644C"/>
    <w:rsid w:val="008666B5"/>
    <w:rsid w:val="008703B3"/>
    <w:rsid w:val="00871F13"/>
    <w:rsid w:val="00876985"/>
    <w:rsid w:val="008771AF"/>
    <w:rsid w:val="008808E6"/>
    <w:rsid w:val="00883780"/>
    <w:rsid w:val="00883B99"/>
    <w:rsid w:val="00885066"/>
    <w:rsid w:val="00885F85"/>
    <w:rsid w:val="0088665E"/>
    <w:rsid w:val="00887F48"/>
    <w:rsid w:val="008907BF"/>
    <w:rsid w:val="008923C8"/>
    <w:rsid w:val="008924B5"/>
    <w:rsid w:val="00893260"/>
    <w:rsid w:val="008932A8"/>
    <w:rsid w:val="00893756"/>
    <w:rsid w:val="00894A9E"/>
    <w:rsid w:val="008950F6"/>
    <w:rsid w:val="00896815"/>
    <w:rsid w:val="008A0744"/>
    <w:rsid w:val="008A0A6E"/>
    <w:rsid w:val="008A0D0F"/>
    <w:rsid w:val="008A2FB3"/>
    <w:rsid w:val="008A398B"/>
    <w:rsid w:val="008A5601"/>
    <w:rsid w:val="008A59AD"/>
    <w:rsid w:val="008B0EEB"/>
    <w:rsid w:val="008B431D"/>
    <w:rsid w:val="008B51FD"/>
    <w:rsid w:val="008B6269"/>
    <w:rsid w:val="008B6766"/>
    <w:rsid w:val="008B70F5"/>
    <w:rsid w:val="008B7186"/>
    <w:rsid w:val="008B7192"/>
    <w:rsid w:val="008C1939"/>
    <w:rsid w:val="008C3396"/>
    <w:rsid w:val="008C621C"/>
    <w:rsid w:val="008C697C"/>
    <w:rsid w:val="008C7448"/>
    <w:rsid w:val="008C75ED"/>
    <w:rsid w:val="008C7649"/>
    <w:rsid w:val="008E03B0"/>
    <w:rsid w:val="008E0991"/>
    <w:rsid w:val="008E338E"/>
    <w:rsid w:val="008E57FE"/>
    <w:rsid w:val="008F1818"/>
    <w:rsid w:val="008F2665"/>
    <w:rsid w:val="008F507E"/>
    <w:rsid w:val="008F5251"/>
    <w:rsid w:val="008F6376"/>
    <w:rsid w:val="00900CC2"/>
    <w:rsid w:val="00901770"/>
    <w:rsid w:val="009019FB"/>
    <w:rsid w:val="00902AA5"/>
    <w:rsid w:val="009052B7"/>
    <w:rsid w:val="00905B05"/>
    <w:rsid w:val="0090753C"/>
    <w:rsid w:val="0090759D"/>
    <w:rsid w:val="0091156F"/>
    <w:rsid w:val="00911AD9"/>
    <w:rsid w:val="00911B66"/>
    <w:rsid w:val="00912A7E"/>
    <w:rsid w:val="00915330"/>
    <w:rsid w:val="00916E69"/>
    <w:rsid w:val="00917525"/>
    <w:rsid w:val="0091777D"/>
    <w:rsid w:val="00917C39"/>
    <w:rsid w:val="0092057D"/>
    <w:rsid w:val="0092113B"/>
    <w:rsid w:val="009218DE"/>
    <w:rsid w:val="00922D00"/>
    <w:rsid w:val="009233CC"/>
    <w:rsid w:val="00923F17"/>
    <w:rsid w:val="009266DA"/>
    <w:rsid w:val="00927F35"/>
    <w:rsid w:val="00930DE8"/>
    <w:rsid w:val="009318DD"/>
    <w:rsid w:val="009352C3"/>
    <w:rsid w:val="00935413"/>
    <w:rsid w:val="00935F5D"/>
    <w:rsid w:val="0093669F"/>
    <w:rsid w:val="009368E0"/>
    <w:rsid w:val="0094260B"/>
    <w:rsid w:val="00942661"/>
    <w:rsid w:val="00945307"/>
    <w:rsid w:val="0094558D"/>
    <w:rsid w:val="0094697C"/>
    <w:rsid w:val="00946FCE"/>
    <w:rsid w:val="009515BC"/>
    <w:rsid w:val="0095349A"/>
    <w:rsid w:val="00953B5B"/>
    <w:rsid w:val="00953ED0"/>
    <w:rsid w:val="0095492E"/>
    <w:rsid w:val="00955F7D"/>
    <w:rsid w:val="00957A8F"/>
    <w:rsid w:val="0096242F"/>
    <w:rsid w:val="00962E3B"/>
    <w:rsid w:val="00962FF5"/>
    <w:rsid w:val="00964A4E"/>
    <w:rsid w:val="00965B02"/>
    <w:rsid w:val="00965C07"/>
    <w:rsid w:val="00965D2D"/>
    <w:rsid w:val="00970A16"/>
    <w:rsid w:val="00971847"/>
    <w:rsid w:val="00972964"/>
    <w:rsid w:val="0097762F"/>
    <w:rsid w:val="00977C0A"/>
    <w:rsid w:val="009816B8"/>
    <w:rsid w:val="00983B45"/>
    <w:rsid w:val="00983B5C"/>
    <w:rsid w:val="0098766F"/>
    <w:rsid w:val="00993912"/>
    <w:rsid w:val="00994050"/>
    <w:rsid w:val="009962CF"/>
    <w:rsid w:val="009969D6"/>
    <w:rsid w:val="009A4543"/>
    <w:rsid w:val="009A5DB1"/>
    <w:rsid w:val="009A7C5A"/>
    <w:rsid w:val="009A7E51"/>
    <w:rsid w:val="009B21B9"/>
    <w:rsid w:val="009B2FAD"/>
    <w:rsid w:val="009B4CD0"/>
    <w:rsid w:val="009B4DA7"/>
    <w:rsid w:val="009C21C6"/>
    <w:rsid w:val="009C383B"/>
    <w:rsid w:val="009C3A80"/>
    <w:rsid w:val="009C41EC"/>
    <w:rsid w:val="009C5238"/>
    <w:rsid w:val="009D12B4"/>
    <w:rsid w:val="009D1E70"/>
    <w:rsid w:val="009D2135"/>
    <w:rsid w:val="009D2FA7"/>
    <w:rsid w:val="009D3673"/>
    <w:rsid w:val="009D4166"/>
    <w:rsid w:val="009D4624"/>
    <w:rsid w:val="009D4CAE"/>
    <w:rsid w:val="009D55F9"/>
    <w:rsid w:val="009D5837"/>
    <w:rsid w:val="009D5A11"/>
    <w:rsid w:val="009D765F"/>
    <w:rsid w:val="009D7760"/>
    <w:rsid w:val="009E16E6"/>
    <w:rsid w:val="009E1C0D"/>
    <w:rsid w:val="009E1E62"/>
    <w:rsid w:val="009E2953"/>
    <w:rsid w:val="009E30CE"/>
    <w:rsid w:val="009E4BA2"/>
    <w:rsid w:val="009E4CDF"/>
    <w:rsid w:val="009F04C3"/>
    <w:rsid w:val="009F0760"/>
    <w:rsid w:val="009F3B29"/>
    <w:rsid w:val="009F4860"/>
    <w:rsid w:val="00A00057"/>
    <w:rsid w:val="00A00485"/>
    <w:rsid w:val="00A01A5F"/>
    <w:rsid w:val="00A025AC"/>
    <w:rsid w:val="00A02C96"/>
    <w:rsid w:val="00A02E65"/>
    <w:rsid w:val="00A0340A"/>
    <w:rsid w:val="00A0440C"/>
    <w:rsid w:val="00A047AE"/>
    <w:rsid w:val="00A04C82"/>
    <w:rsid w:val="00A0585F"/>
    <w:rsid w:val="00A0694A"/>
    <w:rsid w:val="00A077AC"/>
    <w:rsid w:val="00A07A33"/>
    <w:rsid w:val="00A10A30"/>
    <w:rsid w:val="00A1137C"/>
    <w:rsid w:val="00A113D7"/>
    <w:rsid w:val="00A11F0F"/>
    <w:rsid w:val="00A16126"/>
    <w:rsid w:val="00A165DB"/>
    <w:rsid w:val="00A20043"/>
    <w:rsid w:val="00A2083D"/>
    <w:rsid w:val="00A21C6C"/>
    <w:rsid w:val="00A2365A"/>
    <w:rsid w:val="00A24133"/>
    <w:rsid w:val="00A24B81"/>
    <w:rsid w:val="00A262BF"/>
    <w:rsid w:val="00A27809"/>
    <w:rsid w:val="00A30533"/>
    <w:rsid w:val="00A317B0"/>
    <w:rsid w:val="00A31BF6"/>
    <w:rsid w:val="00A34591"/>
    <w:rsid w:val="00A34E44"/>
    <w:rsid w:val="00A35B8F"/>
    <w:rsid w:val="00A3640F"/>
    <w:rsid w:val="00A37ECF"/>
    <w:rsid w:val="00A40CE2"/>
    <w:rsid w:val="00A42FAE"/>
    <w:rsid w:val="00A43553"/>
    <w:rsid w:val="00A47176"/>
    <w:rsid w:val="00A475C5"/>
    <w:rsid w:val="00A4768C"/>
    <w:rsid w:val="00A50A68"/>
    <w:rsid w:val="00A50D3B"/>
    <w:rsid w:val="00A50E38"/>
    <w:rsid w:val="00A510C6"/>
    <w:rsid w:val="00A518AA"/>
    <w:rsid w:val="00A525E7"/>
    <w:rsid w:val="00A52F9E"/>
    <w:rsid w:val="00A539ED"/>
    <w:rsid w:val="00A56348"/>
    <w:rsid w:val="00A5703F"/>
    <w:rsid w:val="00A57D39"/>
    <w:rsid w:val="00A61825"/>
    <w:rsid w:val="00A6316B"/>
    <w:rsid w:val="00A64C43"/>
    <w:rsid w:val="00A65316"/>
    <w:rsid w:val="00A674FF"/>
    <w:rsid w:val="00A70F69"/>
    <w:rsid w:val="00A72611"/>
    <w:rsid w:val="00A73ABB"/>
    <w:rsid w:val="00A751A1"/>
    <w:rsid w:val="00A76D2C"/>
    <w:rsid w:val="00A77746"/>
    <w:rsid w:val="00A806AA"/>
    <w:rsid w:val="00A83BF6"/>
    <w:rsid w:val="00A84BAC"/>
    <w:rsid w:val="00A87B4F"/>
    <w:rsid w:val="00A87F31"/>
    <w:rsid w:val="00A90D27"/>
    <w:rsid w:val="00A9103B"/>
    <w:rsid w:val="00A91284"/>
    <w:rsid w:val="00A918A7"/>
    <w:rsid w:val="00A92871"/>
    <w:rsid w:val="00A955EB"/>
    <w:rsid w:val="00A9591E"/>
    <w:rsid w:val="00AA1F49"/>
    <w:rsid w:val="00AA3A2E"/>
    <w:rsid w:val="00AA4099"/>
    <w:rsid w:val="00AA4D5A"/>
    <w:rsid w:val="00AA6913"/>
    <w:rsid w:val="00AB2190"/>
    <w:rsid w:val="00AB39EB"/>
    <w:rsid w:val="00AB3F27"/>
    <w:rsid w:val="00AB3FD9"/>
    <w:rsid w:val="00AB7DE7"/>
    <w:rsid w:val="00AC01D4"/>
    <w:rsid w:val="00AC03AB"/>
    <w:rsid w:val="00AC0650"/>
    <w:rsid w:val="00AC1BE7"/>
    <w:rsid w:val="00AC275F"/>
    <w:rsid w:val="00AC3EE4"/>
    <w:rsid w:val="00AC50A4"/>
    <w:rsid w:val="00AC5A95"/>
    <w:rsid w:val="00AC6074"/>
    <w:rsid w:val="00AC6471"/>
    <w:rsid w:val="00AD1751"/>
    <w:rsid w:val="00AD2B6E"/>
    <w:rsid w:val="00AD340D"/>
    <w:rsid w:val="00AD3443"/>
    <w:rsid w:val="00AD3E9B"/>
    <w:rsid w:val="00AD4B3C"/>
    <w:rsid w:val="00AD66C0"/>
    <w:rsid w:val="00AD68A5"/>
    <w:rsid w:val="00AD7F58"/>
    <w:rsid w:val="00AE185D"/>
    <w:rsid w:val="00AE1BFE"/>
    <w:rsid w:val="00AE22F5"/>
    <w:rsid w:val="00AE3842"/>
    <w:rsid w:val="00AE3D83"/>
    <w:rsid w:val="00AE4374"/>
    <w:rsid w:val="00AE466A"/>
    <w:rsid w:val="00AE47E9"/>
    <w:rsid w:val="00AE485C"/>
    <w:rsid w:val="00AE7D4F"/>
    <w:rsid w:val="00AE7FE4"/>
    <w:rsid w:val="00AF0117"/>
    <w:rsid w:val="00AF17D3"/>
    <w:rsid w:val="00AF1D77"/>
    <w:rsid w:val="00AF1E50"/>
    <w:rsid w:val="00AF38BA"/>
    <w:rsid w:val="00AF4F67"/>
    <w:rsid w:val="00AF5811"/>
    <w:rsid w:val="00AF6509"/>
    <w:rsid w:val="00B00BBE"/>
    <w:rsid w:val="00B0456E"/>
    <w:rsid w:val="00B06A05"/>
    <w:rsid w:val="00B06BF6"/>
    <w:rsid w:val="00B06F7F"/>
    <w:rsid w:val="00B100F0"/>
    <w:rsid w:val="00B1402E"/>
    <w:rsid w:val="00B142FD"/>
    <w:rsid w:val="00B14865"/>
    <w:rsid w:val="00B21D50"/>
    <w:rsid w:val="00B229BE"/>
    <w:rsid w:val="00B22F9B"/>
    <w:rsid w:val="00B23747"/>
    <w:rsid w:val="00B23E0A"/>
    <w:rsid w:val="00B24090"/>
    <w:rsid w:val="00B257E3"/>
    <w:rsid w:val="00B260C7"/>
    <w:rsid w:val="00B27494"/>
    <w:rsid w:val="00B279B9"/>
    <w:rsid w:val="00B27BFD"/>
    <w:rsid w:val="00B307CA"/>
    <w:rsid w:val="00B30FD0"/>
    <w:rsid w:val="00B34F48"/>
    <w:rsid w:val="00B45DF2"/>
    <w:rsid w:val="00B51BA0"/>
    <w:rsid w:val="00B535BD"/>
    <w:rsid w:val="00B53701"/>
    <w:rsid w:val="00B5509D"/>
    <w:rsid w:val="00B56A26"/>
    <w:rsid w:val="00B573E6"/>
    <w:rsid w:val="00B6110A"/>
    <w:rsid w:val="00B6176A"/>
    <w:rsid w:val="00B6301A"/>
    <w:rsid w:val="00B64799"/>
    <w:rsid w:val="00B64CAD"/>
    <w:rsid w:val="00B651FA"/>
    <w:rsid w:val="00B66751"/>
    <w:rsid w:val="00B66B7C"/>
    <w:rsid w:val="00B66CD7"/>
    <w:rsid w:val="00B67AA6"/>
    <w:rsid w:val="00B7066C"/>
    <w:rsid w:val="00B717D8"/>
    <w:rsid w:val="00B718E0"/>
    <w:rsid w:val="00B72DF3"/>
    <w:rsid w:val="00B74146"/>
    <w:rsid w:val="00B747A3"/>
    <w:rsid w:val="00B75A27"/>
    <w:rsid w:val="00B75E52"/>
    <w:rsid w:val="00B76F6C"/>
    <w:rsid w:val="00B8080B"/>
    <w:rsid w:val="00B811EF"/>
    <w:rsid w:val="00B81568"/>
    <w:rsid w:val="00B8310D"/>
    <w:rsid w:val="00B831B9"/>
    <w:rsid w:val="00B86EF1"/>
    <w:rsid w:val="00B90674"/>
    <w:rsid w:val="00B91F77"/>
    <w:rsid w:val="00B91FFF"/>
    <w:rsid w:val="00B934E3"/>
    <w:rsid w:val="00B94323"/>
    <w:rsid w:val="00B94444"/>
    <w:rsid w:val="00B9566B"/>
    <w:rsid w:val="00B95F92"/>
    <w:rsid w:val="00B961B7"/>
    <w:rsid w:val="00B963D4"/>
    <w:rsid w:val="00B9772B"/>
    <w:rsid w:val="00BA2DEF"/>
    <w:rsid w:val="00BA35F2"/>
    <w:rsid w:val="00BA42FB"/>
    <w:rsid w:val="00BA4768"/>
    <w:rsid w:val="00BA4861"/>
    <w:rsid w:val="00BA4A92"/>
    <w:rsid w:val="00BA516F"/>
    <w:rsid w:val="00BA628C"/>
    <w:rsid w:val="00BA7059"/>
    <w:rsid w:val="00BB0051"/>
    <w:rsid w:val="00BB02C6"/>
    <w:rsid w:val="00BB1082"/>
    <w:rsid w:val="00BB2127"/>
    <w:rsid w:val="00BB3805"/>
    <w:rsid w:val="00BB4589"/>
    <w:rsid w:val="00BB52A5"/>
    <w:rsid w:val="00BB5893"/>
    <w:rsid w:val="00BB6740"/>
    <w:rsid w:val="00BB7EA1"/>
    <w:rsid w:val="00BB7F81"/>
    <w:rsid w:val="00BC269B"/>
    <w:rsid w:val="00BC27D2"/>
    <w:rsid w:val="00BC299D"/>
    <w:rsid w:val="00BC3771"/>
    <w:rsid w:val="00BC6D0F"/>
    <w:rsid w:val="00BD35E1"/>
    <w:rsid w:val="00BD3A56"/>
    <w:rsid w:val="00BD54FC"/>
    <w:rsid w:val="00BD63C3"/>
    <w:rsid w:val="00BD67CE"/>
    <w:rsid w:val="00BD76A4"/>
    <w:rsid w:val="00BE0186"/>
    <w:rsid w:val="00BE1C8A"/>
    <w:rsid w:val="00BE4857"/>
    <w:rsid w:val="00BE5847"/>
    <w:rsid w:val="00BE5BE0"/>
    <w:rsid w:val="00BE5D1D"/>
    <w:rsid w:val="00BE697B"/>
    <w:rsid w:val="00BE70E8"/>
    <w:rsid w:val="00BF0E76"/>
    <w:rsid w:val="00BF19DC"/>
    <w:rsid w:val="00BF2B3E"/>
    <w:rsid w:val="00BF2DAF"/>
    <w:rsid w:val="00BF4E1B"/>
    <w:rsid w:val="00BF5AB9"/>
    <w:rsid w:val="00C01083"/>
    <w:rsid w:val="00C0480F"/>
    <w:rsid w:val="00C04C9A"/>
    <w:rsid w:val="00C1043C"/>
    <w:rsid w:val="00C10D90"/>
    <w:rsid w:val="00C12A51"/>
    <w:rsid w:val="00C12C65"/>
    <w:rsid w:val="00C12CD1"/>
    <w:rsid w:val="00C1591E"/>
    <w:rsid w:val="00C173EE"/>
    <w:rsid w:val="00C20D36"/>
    <w:rsid w:val="00C21038"/>
    <w:rsid w:val="00C2286B"/>
    <w:rsid w:val="00C2396B"/>
    <w:rsid w:val="00C26865"/>
    <w:rsid w:val="00C2785F"/>
    <w:rsid w:val="00C30BA6"/>
    <w:rsid w:val="00C31467"/>
    <w:rsid w:val="00C3291E"/>
    <w:rsid w:val="00C33F0C"/>
    <w:rsid w:val="00C34CCB"/>
    <w:rsid w:val="00C34D57"/>
    <w:rsid w:val="00C35515"/>
    <w:rsid w:val="00C35807"/>
    <w:rsid w:val="00C35A4B"/>
    <w:rsid w:val="00C36696"/>
    <w:rsid w:val="00C36720"/>
    <w:rsid w:val="00C36777"/>
    <w:rsid w:val="00C37518"/>
    <w:rsid w:val="00C37F00"/>
    <w:rsid w:val="00C421C9"/>
    <w:rsid w:val="00C42A3A"/>
    <w:rsid w:val="00C437C6"/>
    <w:rsid w:val="00C4517F"/>
    <w:rsid w:val="00C45232"/>
    <w:rsid w:val="00C46E94"/>
    <w:rsid w:val="00C4713F"/>
    <w:rsid w:val="00C51509"/>
    <w:rsid w:val="00C52097"/>
    <w:rsid w:val="00C52BA5"/>
    <w:rsid w:val="00C52F47"/>
    <w:rsid w:val="00C53323"/>
    <w:rsid w:val="00C54D8C"/>
    <w:rsid w:val="00C57493"/>
    <w:rsid w:val="00C605E6"/>
    <w:rsid w:val="00C64D07"/>
    <w:rsid w:val="00C66CEF"/>
    <w:rsid w:val="00C670FE"/>
    <w:rsid w:val="00C71087"/>
    <w:rsid w:val="00C71E3C"/>
    <w:rsid w:val="00C73C17"/>
    <w:rsid w:val="00C75492"/>
    <w:rsid w:val="00C77C78"/>
    <w:rsid w:val="00C80B71"/>
    <w:rsid w:val="00C8146C"/>
    <w:rsid w:val="00C8231E"/>
    <w:rsid w:val="00C846DD"/>
    <w:rsid w:val="00C85CA6"/>
    <w:rsid w:val="00C873DA"/>
    <w:rsid w:val="00C90A7F"/>
    <w:rsid w:val="00C9147E"/>
    <w:rsid w:val="00C925ED"/>
    <w:rsid w:val="00C9339F"/>
    <w:rsid w:val="00C96618"/>
    <w:rsid w:val="00C96A10"/>
    <w:rsid w:val="00C9753B"/>
    <w:rsid w:val="00CA0C87"/>
    <w:rsid w:val="00CA19CD"/>
    <w:rsid w:val="00CA1F28"/>
    <w:rsid w:val="00CA20F3"/>
    <w:rsid w:val="00CA2747"/>
    <w:rsid w:val="00CA4A62"/>
    <w:rsid w:val="00CA561E"/>
    <w:rsid w:val="00CA5B58"/>
    <w:rsid w:val="00CA659E"/>
    <w:rsid w:val="00CA6A39"/>
    <w:rsid w:val="00CA7DAD"/>
    <w:rsid w:val="00CB23DD"/>
    <w:rsid w:val="00CB2616"/>
    <w:rsid w:val="00CB2757"/>
    <w:rsid w:val="00CB2FE7"/>
    <w:rsid w:val="00CB3B57"/>
    <w:rsid w:val="00CB42AE"/>
    <w:rsid w:val="00CB5100"/>
    <w:rsid w:val="00CB6768"/>
    <w:rsid w:val="00CB768F"/>
    <w:rsid w:val="00CC0848"/>
    <w:rsid w:val="00CC17DB"/>
    <w:rsid w:val="00CC2F01"/>
    <w:rsid w:val="00CC586C"/>
    <w:rsid w:val="00CC6453"/>
    <w:rsid w:val="00CD2D8A"/>
    <w:rsid w:val="00CD31EA"/>
    <w:rsid w:val="00CD4B6F"/>
    <w:rsid w:val="00CD692F"/>
    <w:rsid w:val="00CE0392"/>
    <w:rsid w:val="00CE2303"/>
    <w:rsid w:val="00CE5481"/>
    <w:rsid w:val="00CE5866"/>
    <w:rsid w:val="00CF003F"/>
    <w:rsid w:val="00CF0045"/>
    <w:rsid w:val="00CF7194"/>
    <w:rsid w:val="00CF74AE"/>
    <w:rsid w:val="00CF7C90"/>
    <w:rsid w:val="00CF7EA0"/>
    <w:rsid w:val="00D00600"/>
    <w:rsid w:val="00D00A29"/>
    <w:rsid w:val="00D02612"/>
    <w:rsid w:val="00D0329F"/>
    <w:rsid w:val="00D04372"/>
    <w:rsid w:val="00D04F9C"/>
    <w:rsid w:val="00D05DB1"/>
    <w:rsid w:val="00D06299"/>
    <w:rsid w:val="00D1045D"/>
    <w:rsid w:val="00D133AA"/>
    <w:rsid w:val="00D13B0B"/>
    <w:rsid w:val="00D13CCF"/>
    <w:rsid w:val="00D14CF7"/>
    <w:rsid w:val="00D1576E"/>
    <w:rsid w:val="00D15BBC"/>
    <w:rsid w:val="00D15E67"/>
    <w:rsid w:val="00D20ABB"/>
    <w:rsid w:val="00D24AEE"/>
    <w:rsid w:val="00D25315"/>
    <w:rsid w:val="00D26A33"/>
    <w:rsid w:val="00D3073E"/>
    <w:rsid w:val="00D31676"/>
    <w:rsid w:val="00D316C8"/>
    <w:rsid w:val="00D337D5"/>
    <w:rsid w:val="00D33FB9"/>
    <w:rsid w:val="00D34817"/>
    <w:rsid w:val="00D365BB"/>
    <w:rsid w:val="00D3795A"/>
    <w:rsid w:val="00D37AB5"/>
    <w:rsid w:val="00D40C74"/>
    <w:rsid w:val="00D43282"/>
    <w:rsid w:val="00D43EA4"/>
    <w:rsid w:val="00D44508"/>
    <w:rsid w:val="00D47810"/>
    <w:rsid w:val="00D5128E"/>
    <w:rsid w:val="00D51AB3"/>
    <w:rsid w:val="00D52FD0"/>
    <w:rsid w:val="00D54385"/>
    <w:rsid w:val="00D606D9"/>
    <w:rsid w:val="00D6259C"/>
    <w:rsid w:val="00D63B91"/>
    <w:rsid w:val="00D64A4A"/>
    <w:rsid w:val="00D6679C"/>
    <w:rsid w:val="00D72F5D"/>
    <w:rsid w:val="00D7370C"/>
    <w:rsid w:val="00D73EE6"/>
    <w:rsid w:val="00D742D2"/>
    <w:rsid w:val="00D744DC"/>
    <w:rsid w:val="00D74556"/>
    <w:rsid w:val="00D75CF7"/>
    <w:rsid w:val="00D75F59"/>
    <w:rsid w:val="00D776C3"/>
    <w:rsid w:val="00D80153"/>
    <w:rsid w:val="00D814BC"/>
    <w:rsid w:val="00D81AC7"/>
    <w:rsid w:val="00D83E45"/>
    <w:rsid w:val="00D842CD"/>
    <w:rsid w:val="00D8495C"/>
    <w:rsid w:val="00D86737"/>
    <w:rsid w:val="00D8696A"/>
    <w:rsid w:val="00D90419"/>
    <w:rsid w:val="00D90551"/>
    <w:rsid w:val="00D90F5A"/>
    <w:rsid w:val="00D9153B"/>
    <w:rsid w:val="00D9160A"/>
    <w:rsid w:val="00D95903"/>
    <w:rsid w:val="00D95D78"/>
    <w:rsid w:val="00D97BE6"/>
    <w:rsid w:val="00DA0810"/>
    <w:rsid w:val="00DA3FCE"/>
    <w:rsid w:val="00DA4B42"/>
    <w:rsid w:val="00DB2BE7"/>
    <w:rsid w:val="00DB4203"/>
    <w:rsid w:val="00DB6B88"/>
    <w:rsid w:val="00DB7CA1"/>
    <w:rsid w:val="00DC094F"/>
    <w:rsid w:val="00DC24B5"/>
    <w:rsid w:val="00DC25DA"/>
    <w:rsid w:val="00DC4325"/>
    <w:rsid w:val="00DC4915"/>
    <w:rsid w:val="00DC4C59"/>
    <w:rsid w:val="00DC5149"/>
    <w:rsid w:val="00DC5B77"/>
    <w:rsid w:val="00DC68E1"/>
    <w:rsid w:val="00DC7FCE"/>
    <w:rsid w:val="00DD0452"/>
    <w:rsid w:val="00DD1B88"/>
    <w:rsid w:val="00DD334C"/>
    <w:rsid w:val="00DD3C08"/>
    <w:rsid w:val="00DE0476"/>
    <w:rsid w:val="00DE1B2F"/>
    <w:rsid w:val="00DE1C5A"/>
    <w:rsid w:val="00DE2AAC"/>
    <w:rsid w:val="00DE5E04"/>
    <w:rsid w:val="00DE6634"/>
    <w:rsid w:val="00DF1125"/>
    <w:rsid w:val="00DF22E5"/>
    <w:rsid w:val="00DF27AC"/>
    <w:rsid w:val="00DF28E7"/>
    <w:rsid w:val="00DF2FD1"/>
    <w:rsid w:val="00DF399A"/>
    <w:rsid w:val="00DF447B"/>
    <w:rsid w:val="00DF4DCA"/>
    <w:rsid w:val="00DF6280"/>
    <w:rsid w:val="00DF7B14"/>
    <w:rsid w:val="00DF7B16"/>
    <w:rsid w:val="00E00009"/>
    <w:rsid w:val="00E01EF4"/>
    <w:rsid w:val="00E02CF2"/>
    <w:rsid w:val="00E04947"/>
    <w:rsid w:val="00E069F7"/>
    <w:rsid w:val="00E06C35"/>
    <w:rsid w:val="00E0710D"/>
    <w:rsid w:val="00E07F71"/>
    <w:rsid w:val="00E101C6"/>
    <w:rsid w:val="00E114D8"/>
    <w:rsid w:val="00E1256E"/>
    <w:rsid w:val="00E1347F"/>
    <w:rsid w:val="00E1621B"/>
    <w:rsid w:val="00E21114"/>
    <w:rsid w:val="00E22B84"/>
    <w:rsid w:val="00E25E8A"/>
    <w:rsid w:val="00E26045"/>
    <w:rsid w:val="00E26BDB"/>
    <w:rsid w:val="00E27304"/>
    <w:rsid w:val="00E304D5"/>
    <w:rsid w:val="00E33084"/>
    <w:rsid w:val="00E337F5"/>
    <w:rsid w:val="00E339E4"/>
    <w:rsid w:val="00E34EBC"/>
    <w:rsid w:val="00E3529F"/>
    <w:rsid w:val="00E352D0"/>
    <w:rsid w:val="00E37211"/>
    <w:rsid w:val="00E37848"/>
    <w:rsid w:val="00E4034D"/>
    <w:rsid w:val="00E404B3"/>
    <w:rsid w:val="00E40607"/>
    <w:rsid w:val="00E41EE7"/>
    <w:rsid w:val="00E42084"/>
    <w:rsid w:val="00E44854"/>
    <w:rsid w:val="00E4540D"/>
    <w:rsid w:val="00E50B82"/>
    <w:rsid w:val="00E51630"/>
    <w:rsid w:val="00E552CC"/>
    <w:rsid w:val="00E55808"/>
    <w:rsid w:val="00E559EA"/>
    <w:rsid w:val="00E5696D"/>
    <w:rsid w:val="00E56E45"/>
    <w:rsid w:val="00E6161C"/>
    <w:rsid w:val="00E62DEC"/>
    <w:rsid w:val="00E63233"/>
    <w:rsid w:val="00E63FE6"/>
    <w:rsid w:val="00E65960"/>
    <w:rsid w:val="00E65F8A"/>
    <w:rsid w:val="00E66ECB"/>
    <w:rsid w:val="00E67486"/>
    <w:rsid w:val="00E727CE"/>
    <w:rsid w:val="00E73D84"/>
    <w:rsid w:val="00E749E1"/>
    <w:rsid w:val="00E8007A"/>
    <w:rsid w:val="00E80578"/>
    <w:rsid w:val="00E80B43"/>
    <w:rsid w:val="00E833CB"/>
    <w:rsid w:val="00E83995"/>
    <w:rsid w:val="00E83CBA"/>
    <w:rsid w:val="00E83D2E"/>
    <w:rsid w:val="00E83FB2"/>
    <w:rsid w:val="00E844D4"/>
    <w:rsid w:val="00E90615"/>
    <w:rsid w:val="00E91FE0"/>
    <w:rsid w:val="00E95AC2"/>
    <w:rsid w:val="00E97167"/>
    <w:rsid w:val="00E97787"/>
    <w:rsid w:val="00E97DBB"/>
    <w:rsid w:val="00EA0169"/>
    <w:rsid w:val="00EA093A"/>
    <w:rsid w:val="00EA3781"/>
    <w:rsid w:val="00EA5023"/>
    <w:rsid w:val="00EA7061"/>
    <w:rsid w:val="00EA7C5B"/>
    <w:rsid w:val="00EB0F39"/>
    <w:rsid w:val="00EB13FE"/>
    <w:rsid w:val="00EB254B"/>
    <w:rsid w:val="00EB39F1"/>
    <w:rsid w:val="00EB460F"/>
    <w:rsid w:val="00EB472E"/>
    <w:rsid w:val="00EB5434"/>
    <w:rsid w:val="00EB5D6C"/>
    <w:rsid w:val="00EB6A9B"/>
    <w:rsid w:val="00EB76D6"/>
    <w:rsid w:val="00EC0178"/>
    <w:rsid w:val="00EC049F"/>
    <w:rsid w:val="00EC11E3"/>
    <w:rsid w:val="00ED024E"/>
    <w:rsid w:val="00ED194C"/>
    <w:rsid w:val="00ED2C26"/>
    <w:rsid w:val="00ED3898"/>
    <w:rsid w:val="00ED38BF"/>
    <w:rsid w:val="00ED5DB2"/>
    <w:rsid w:val="00ED5EC2"/>
    <w:rsid w:val="00EE0DF2"/>
    <w:rsid w:val="00EE1124"/>
    <w:rsid w:val="00EE21DD"/>
    <w:rsid w:val="00EE56DF"/>
    <w:rsid w:val="00EE587F"/>
    <w:rsid w:val="00EE5ED7"/>
    <w:rsid w:val="00EE64CC"/>
    <w:rsid w:val="00EE6D6B"/>
    <w:rsid w:val="00EF1A24"/>
    <w:rsid w:val="00EF1BF1"/>
    <w:rsid w:val="00EF5716"/>
    <w:rsid w:val="00EF71E1"/>
    <w:rsid w:val="00F003B9"/>
    <w:rsid w:val="00F01BD5"/>
    <w:rsid w:val="00F024E3"/>
    <w:rsid w:val="00F0264E"/>
    <w:rsid w:val="00F02815"/>
    <w:rsid w:val="00F041B2"/>
    <w:rsid w:val="00F0505F"/>
    <w:rsid w:val="00F05EAF"/>
    <w:rsid w:val="00F06D7C"/>
    <w:rsid w:val="00F1049D"/>
    <w:rsid w:val="00F119F0"/>
    <w:rsid w:val="00F147FD"/>
    <w:rsid w:val="00F15FC1"/>
    <w:rsid w:val="00F166CE"/>
    <w:rsid w:val="00F16779"/>
    <w:rsid w:val="00F17762"/>
    <w:rsid w:val="00F23C5A"/>
    <w:rsid w:val="00F23E91"/>
    <w:rsid w:val="00F261BC"/>
    <w:rsid w:val="00F26957"/>
    <w:rsid w:val="00F277D4"/>
    <w:rsid w:val="00F30A70"/>
    <w:rsid w:val="00F31104"/>
    <w:rsid w:val="00F33E65"/>
    <w:rsid w:val="00F34E93"/>
    <w:rsid w:val="00F43F5A"/>
    <w:rsid w:val="00F44511"/>
    <w:rsid w:val="00F4474B"/>
    <w:rsid w:val="00F5097D"/>
    <w:rsid w:val="00F513E5"/>
    <w:rsid w:val="00F5219B"/>
    <w:rsid w:val="00F527A6"/>
    <w:rsid w:val="00F53138"/>
    <w:rsid w:val="00F534C0"/>
    <w:rsid w:val="00F54930"/>
    <w:rsid w:val="00F5523B"/>
    <w:rsid w:val="00F623B6"/>
    <w:rsid w:val="00F6280F"/>
    <w:rsid w:val="00F62819"/>
    <w:rsid w:val="00F6394B"/>
    <w:rsid w:val="00F642FE"/>
    <w:rsid w:val="00F6653B"/>
    <w:rsid w:val="00F708D9"/>
    <w:rsid w:val="00F720FB"/>
    <w:rsid w:val="00F721C2"/>
    <w:rsid w:val="00F80602"/>
    <w:rsid w:val="00F81376"/>
    <w:rsid w:val="00F814DF"/>
    <w:rsid w:val="00F81E48"/>
    <w:rsid w:val="00F84C20"/>
    <w:rsid w:val="00F87614"/>
    <w:rsid w:val="00F92112"/>
    <w:rsid w:val="00F9230A"/>
    <w:rsid w:val="00F92366"/>
    <w:rsid w:val="00F92753"/>
    <w:rsid w:val="00F9598E"/>
    <w:rsid w:val="00F96B32"/>
    <w:rsid w:val="00F9735A"/>
    <w:rsid w:val="00FA42F4"/>
    <w:rsid w:val="00FA4EBA"/>
    <w:rsid w:val="00FA6502"/>
    <w:rsid w:val="00FA7B72"/>
    <w:rsid w:val="00FB0730"/>
    <w:rsid w:val="00FB0BC1"/>
    <w:rsid w:val="00FB14A0"/>
    <w:rsid w:val="00FB34A3"/>
    <w:rsid w:val="00FB4E4A"/>
    <w:rsid w:val="00FB6D3A"/>
    <w:rsid w:val="00FB760E"/>
    <w:rsid w:val="00FB7924"/>
    <w:rsid w:val="00FB7F35"/>
    <w:rsid w:val="00FC11D6"/>
    <w:rsid w:val="00FC48DD"/>
    <w:rsid w:val="00FC569E"/>
    <w:rsid w:val="00FC67E5"/>
    <w:rsid w:val="00FC6BFF"/>
    <w:rsid w:val="00FC7B5F"/>
    <w:rsid w:val="00FD04EB"/>
    <w:rsid w:val="00FD1036"/>
    <w:rsid w:val="00FD1062"/>
    <w:rsid w:val="00FD131D"/>
    <w:rsid w:val="00FD3049"/>
    <w:rsid w:val="00FD5177"/>
    <w:rsid w:val="00FD5398"/>
    <w:rsid w:val="00FE35E1"/>
    <w:rsid w:val="00FE3AFC"/>
    <w:rsid w:val="00FE6D86"/>
    <w:rsid w:val="00FE7FB0"/>
    <w:rsid w:val="00FF0DA7"/>
    <w:rsid w:val="00FF3276"/>
    <w:rsid w:val="00FF4397"/>
    <w:rsid w:val="00FF5B26"/>
    <w:rsid w:val="00FF69CB"/>
    <w:rsid w:val="00FF7DE7"/>
    <w:rsid w:val="11901713"/>
    <w:rsid w:val="28548320"/>
    <w:rsid w:val="33FB4960"/>
    <w:rsid w:val="56FB2730"/>
    <w:rsid w:val="57C2DE21"/>
    <w:rsid w:val="6BD0ADCE"/>
    <w:rsid w:val="6C738467"/>
    <w:rsid w:val="6D43533E"/>
    <w:rsid w:val="6DB8679E"/>
    <w:rsid w:val="77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CEDED5"/>
  <w15:docId w15:val="{4C3C75DD-559F-46D0-A629-ADB14EA3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qFormat="1"/>
    <w:lsdException w:name="Emphasis" w:locked="1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zh-CN" w:eastAsia="zh-C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lang w:val="zh-CN" w:eastAsia="zh-CN"/>
    </w:rPr>
  </w:style>
  <w:style w:type="paragraph" w:styleId="CommentText">
    <w:name w:val="annotation text"/>
    <w:basedOn w:val="Normal"/>
    <w:link w:val="CommentTextChar"/>
    <w:qFormat/>
  </w:style>
  <w:style w:type="paragraph" w:styleId="DocumentMap">
    <w:name w:val="Document Map"/>
    <w:basedOn w:val="Normal"/>
    <w:link w:val="DocumentMapChar"/>
    <w:semiHidden/>
    <w:qFormat/>
    <w:rPr>
      <w:rFonts w:ascii="Tahoma" w:hAnsi="Tahoma"/>
      <w:sz w:val="16"/>
      <w:szCs w:val="16"/>
      <w:lang w:val="zh-CN" w:eastAsia="zh-CN"/>
    </w:rPr>
  </w:style>
  <w:style w:type="paragraph" w:styleId="BodyText3">
    <w:name w:val="Body Text 3"/>
    <w:basedOn w:val="Normal"/>
    <w:link w:val="BodyText3Char"/>
    <w:semiHidden/>
    <w:qFormat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paragraph" w:styleId="BodyText">
    <w:name w:val="Body Text"/>
    <w:basedOn w:val="Normal"/>
    <w:link w:val="BodyTextChar"/>
    <w:semiHidden/>
    <w:qFormat/>
    <w:rPr>
      <w:b/>
      <w:bCs/>
      <w:sz w:val="24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zh-CN" w:eastAsia="zh-CN"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widowControl w:val="0"/>
    </w:pPr>
    <w:rPr>
      <w:rFonts w:ascii="Courier" w:hAnsi="Courier"/>
    </w:rPr>
  </w:style>
  <w:style w:type="paragraph" w:styleId="BodyText2">
    <w:name w:val="Body Text 2"/>
    <w:basedOn w:val="Normal"/>
    <w:link w:val="BodyText2Char"/>
    <w:semiHidden/>
    <w:qFormat/>
    <w:rPr>
      <w:sz w:val="24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Hyperlink">
    <w:name w:val="Hyperlink"/>
    <w:qFormat/>
    <w:rPr>
      <w:rFonts w:cs="Times New Roman"/>
      <w:color w:val="336699"/>
      <w:u w:val="none"/>
    </w:rPr>
  </w:style>
  <w:style w:type="character" w:styleId="CommentReference">
    <w:name w:val="annotation reference"/>
    <w:semiHidden/>
    <w:qFormat/>
    <w:rPr>
      <w:rFonts w:cs="Times New Roman"/>
      <w:sz w:val="6"/>
      <w:szCs w:val="6"/>
    </w:rPr>
  </w:style>
  <w:style w:type="character" w:styleId="FootnoteReference">
    <w:name w:val="footnote reference"/>
    <w:semiHidden/>
    <w:qFormat/>
    <w:rPr>
      <w:rFonts w:cs="Times New Roman"/>
      <w:vertAlign w:val="superscript"/>
    </w:rPr>
  </w:style>
  <w:style w:type="paragraph" w:customStyle="1" w:styleId="HCh">
    <w:name w:val="_ H _Ch"/>
    <w:basedOn w:val="Normal"/>
    <w:next w:val="Normal"/>
    <w:qFormat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lang w:val="en-GB"/>
    </w:rPr>
  </w:style>
  <w:style w:type="paragraph" w:customStyle="1" w:styleId="SingleTxt">
    <w:name w:val="__Single Txt"/>
    <w:basedOn w:val="Normal"/>
    <w:qFormat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lang w:val="en-GB"/>
    </w:rPr>
  </w:style>
  <w:style w:type="paragraph" w:customStyle="1" w:styleId="XLarge">
    <w:name w:val="XLarge"/>
    <w:basedOn w:val="Normal"/>
    <w:qFormat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</w:pPr>
  </w:style>
  <w:style w:type="character" w:customStyle="1" w:styleId="DocumentMapChar">
    <w:name w:val="Document Map Char"/>
    <w:link w:val="DocumentMap"/>
    <w:qFormat/>
    <w:locked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qFormat/>
    <w:locked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Heading1Char">
    <w:name w:val="Heading 1 Char"/>
    <w:link w:val="Heading1"/>
    <w:qFormat/>
    <w:rPr>
      <w:rFonts w:ascii="Courier" w:hAnsi="Courier"/>
      <w:b/>
      <w:spacing w:val="-3"/>
      <w:sz w:val="28"/>
    </w:rPr>
  </w:style>
  <w:style w:type="character" w:customStyle="1" w:styleId="HeaderChar">
    <w:name w:val="Header Char"/>
    <w:link w:val="Header"/>
    <w:uiPriority w:val="99"/>
    <w:qFormat/>
    <w:rPr>
      <w:rFonts w:ascii="Courier" w:hAnsi="Courier"/>
      <w:sz w:val="22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qFormat/>
    <w:rPr>
      <w:b/>
      <w:bCs/>
      <w:sz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sz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ourier" w:hAnsi="Courier"/>
      <w:lang w:val="en-US" w:eastAsia="en-US"/>
    </w:rPr>
  </w:style>
  <w:style w:type="character" w:customStyle="1" w:styleId="ListParagraphChar">
    <w:name w:val="List Paragraph Char"/>
    <w:link w:val="ListParagraph1"/>
    <w:uiPriority w:val="34"/>
    <w:qFormat/>
    <w:locked/>
    <w:rPr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d3ca32fa52f09c0323dfec7e4ef74cd5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511da7ce4939ea29eeac285f695c625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3D14D-9AB2-4DEE-BE9E-E4A6045B9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82861-9EE0-4E35-9E83-0D40AC23B565}">
  <ds:schemaRefs>
    <ds:schemaRef ds:uri="http://schemas.openxmlformats.org/package/2006/metadata/core-properties"/>
    <ds:schemaRef ds:uri="http://purl.org/dc/terms/"/>
    <ds:schemaRef ds:uri="a8946dc4-2e98-472c-b2e6-ca9019b8dfd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3856b32-dbbd-4996-9e5d-776de7c2e4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FD0154F-F9B2-4B53-9A71-D2F53643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1776</Words>
  <Characters>10124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Second/First/Annual session of (year)</vt:lpstr>
    </vt:vector>
  </TitlesOfParts>
  <Company>Microsoft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Second/First/Annual session of (year)</dc:title>
  <dc:creator>John Magoha</dc:creator>
  <cp:lastModifiedBy>Svetlana Iazykova</cp:lastModifiedBy>
  <cp:revision>2</cp:revision>
  <cp:lastPrinted>2014-09-17T11:01:00Z</cp:lastPrinted>
  <dcterms:created xsi:type="dcterms:W3CDTF">2020-06-08T17:03:00Z</dcterms:created>
  <dcterms:modified xsi:type="dcterms:W3CDTF">2020-06-08T17:03:00Z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355d54c3-2a15-4539-82bc-21d351bd519e</vt:lpwstr>
  </property>
  <property fmtid="{D5CDD505-2E9C-101B-9397-08002B2CF9AE}" pid="4" name="KSOProductBuildVer">
    <vt:lpwstr>2052-1.5.0.2161</vt:lpwstr>
  </property>
</Properties>
</file>