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4DDE" w14:textId="58615BC5" w:rsidR="00946941" w:rsidRPr="00913711" w:rsidRDefault="00946941" w:rsidP="0041413E">
      <w:pPr>
        <w:spacing w:after="120"/>
        <w:jc w:val="both"/>
        <w:rPr>
          <w:rFonts w:eastAsia="Times New Roman"/>
          <w:b/>
          <w:bCs/>
          <w:color w:val="0055AA"/>
          <w:sz w:val="28"/>
          <w:szCs w:val="28"/>
        </w:rPr>
      </w:pPr>
      <w:r w:rsidRPr="00913711">
        <w:rPr>
          <w:b/>
          <w:color w:val="0055AA"/>
          <w:sz w:val="28"/>
          <w:szCs w:val="28"/>
        </w:rPr>
        <w:t xml:space="preserve">Evaluation Plan – Gabon CPD (2023-2027) </w:t>
      </w:r>
    </w:p>
    <w:p w14:paraId="7796E3A0" w14:textId="797F45DD" w:rsidR="00204654" w:rsidRPr="00DC410F" w:rsidRDefault="00946941" w:rsidP="00DC410F">
      <w:pPr>
        <w:spacing w:after="240" w:line="259" w:lineRule="auto"/>
        <w:jc w:val="both"/>
        <w:rPr>
          <w:b/>
          <w:bCs/>
        </w:rPr>
      </w:pPr>
      <w:r w:rsidRPr="00E67861">
        <w:rPr>
          <w:b/>
        </w:rPr>
        <w:t>APPENDIX. BUDGETED EVALUATION PLAN</w:t>
      </w:r>
    </w:p>
    <w:tbl>
      <w:tblPr>
        <w:tblpPr w:leftFromText="180" w:rightFromText="180" w:vertAnchor="text" w:horzAnchor="margin" w:tblpXSpec="center" w:tblpY="143"/>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53"/>
        <w:gridCol w:w="2771"/>
        <w:gridCol w:w="1914"/>
        <w:gridCol w:w="2148"/>
        <w:gridCol w:w="1801"/>
        <w:gridCol w:w="1548"/>
        <w:gridCol w:w="1235"/>
        <w:gridCol w:w="1295"/>
        <w:gridCol w:w="1182"/>
        <w:gridCol w:w="1288"/>
      </w:tblGrid>
      <w:tr w:rsidR="00913711" w:rsidRPr="00E74AAA" w14:paraId="7A75BB34" w14:textId="77777777" w:rsidTr="00E44106">
        <w:trPr>
          <w:trHeight w:val="956"/>
        </w:trPr>
        <w:tc>
          <w:tcPr>
            <w:tcW w:w="145"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7D156B1" w14:textId="77777777" w:rsidR="00913711" w:rsidRPr="00E74AAA" w:rsidRDefault="00913711" w:rsidP="00E44106">
            <w:pPr>
              <w:jc w:val="center"/>
              <w:rPr>
                <w:rFonts w:asciiTheme="minorHAnsi" w:hAnsiTheme="minorHAnsi" w:cstheme="minorHAnsi"/>
                <w:b/>
                <w:bCs/>
              </w:rPr>
            </w:pPr>
            <w:r w:rsidRPr="00E74AAA">
              <w:rPr>
                <w:rFonts w:asciiTheme="minorHAnsi" w:hAnsiTheme="minorHAnsi" w:cstheme="minorHAnsi"/>
                <w:b/>
                <w:bCs/>
              </w:rPr>
              <w:t>#</w:t>
            </w:r>
          </w:p>
        </w:tc>
        <w:tc>
          <w:tcPr>
            <w:tcW w:w="886"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4F780EB" w14:textId="77777777" w:rsidR="00913711" w:rsidRPr="00E74AAA" w:rsidRDefault="00913711" w:rsidP="00E44106">
            <w:pPr>
              <w:jc w:val="center"/>
              <w:rPr>
                <w:rFonts w:asciiTheme="minorHAnsi" w:eastAsia="Calibri" w:hAnsiTheme="minorHAnsi" w:cstheme="minorHAnsi"/>
                <w:b/>
                <w:bCs/>
              </w:rPr>
            </w:pPr>
            <w:r w:rsidRPr="00E74AAA">
              <w:rPr>
                <w:rFonts w:asciiTheme="minorHAnsi" w:eastAsia="Calibri" w:hAnsiTheme="minorHAnsi" w:cstheme="minorHAnsi"/>
                <w:b/>
                <w:bCs/>
              </w:rPr>
              <w:t>UNSDCF (or equivalent)</w:t>
            </w:r>
          </w:p>
          <w:p w14:paraId="46198F30" w14:textId="77777777" w:rsidR="00913711" w:rsidRPr="00E74AAA" w:rsidRDefault="00913711" w:rsidP="00E44106">
            <w:pPr>
              <w:jc w:val="center"/>
              <w:rPr>
                <w:rFonts w:asciiTheme="minorHAnsi" w:hAnsiTheme="minorHAnsi" w:cstheme="minorHAnsi"/>
                <w:b/>
                <w:bCs/>
              </w:rPr>
            </w:pPr>
            <w:r w:rsidRPr="00E74AAA">
              <w:rPr>
                <w:rFonts w:asciiTheme="minorHAnsi" w:eastAsia="Calibri" w:hAnsiTheme="minorHAnsi" w:cstheme="minorHAnsi"/>
                <w:b/>
                <w:bCs/>
              </w:rPr>
              <w:t xml:space="preserve">Outcome </w:t>
            </w:r>
          </w:p>
        </w:tc>
        <w:tc>
          <w:tcPr>
            <w:tcW w:w="612"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D96F9C8" w14:textId="77777777" w:rsidR="00913711" w:rsidRPr="00E74AAA" w:rsidRDefault="00913711" w:rsidP="00E44106">
            <w:pPr>
              <w:jc w:val="center"/>
              <w:rPr>
                <w:rFonts w:asciiTheme="minorHAnsi" w:hAnsiTheme="minorHAnsi" w:cstheme="minorHAnsi"/>
                <w:b/>
                <w:bCs/>
              </w:rPr>
            </w:pPr>
            <w:r w:rsidRPr="00E74AAA">
              <w:rPr>
                <w:rFonts w:asciiTheme="minorHAnsi" w:eastAsia="Calibri" w:hAnsiTheme="minorHAnsi" w:cstheme="minorHAnsi"/>
                <w:b/>
                <w:bCs/>
              </w:rPr>
              <w:t>UNDP Strategic Plan Outcome</w:t>
            </w:r>
          </w:p>
        </w:tc>
        <w:tc>
          <w:tcPr>
            <w:tcW w:w="687"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3F9433A" w14:textId="77777777" w:rsidR="00913711" w:rsidRPr="00E74AAA" w:rsidRDefault="00913711" w:rsidP="00E44106">
            <w:pPr>
              <w:jc w:val="center"/>
              <w:rPr>
                <w:rFonts w:asciiTheme="minorHAnsi" w:hAnsiTheme="minorHAnsi" w:cstheme="minorHAnsi"/>
                <w:b/>
                <w:bCs/>
              </w:rPr>
            </w:pPr>
            <w:r w:rsidRPr="00E74AAA">
              <w:rPr>
                <w:rFonts w:asciiTheme="minorHAnsi" w:eastAsia="Calibri" w:hAnsiTheme="minorHAnsi" w:cstheme="minorHAnsi"/>
                <w:b/>
                <w:bCs/>
              </w:rPr>
              <w:t>Evaluation Title</w:t>
            </w:r>
          </w:p>
        </w:tc>
        <w:tc>
          <w:tcPr>
            <w:tcW w:w="576"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C94CC2F" w14:textId="77777777" w:rsidR="00913711" w:rsidRPr="00E74AAA" w:rsidDel="00BA628C" w:rsidRDefault="00913711" w:rsidP="00E44106">
            <w:pPr>
              <w:jc w:val="center"/>
              <w:rPr>
                <w:rFonts w:asciiTheme="minorHAnsi" w:hAnsiTheme="minorHAnsi" w:cstheme="minorHAnsi"/>
                <w:b/>
                <w:bCs/>
              </w:rPr>
            </w:pPr>
            <w:r w:rsidRPr="00E74AAA">
              <w:rPr>
                <w:rFonts w:asciiTheme="minorHAnsi" w:eastAsia="Calibri" w:hAnsiTheme="minorHAnsi" w:cstheme="minorHAnsi"/>
                <w:b/>
                <w:bCs/>
              </w:rPr>
              <w:t>Partners (joint evaluation)</w:t>
            </w:r>
          </w:p>
        </w:tc>
        <w:tc>
          <w:tcPr>
            <w:tcW w:w="495"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369DED2" w14:textId="77777777" w:rsidR="00913711" w:rsidRPr="00E74AAA" w:rsidRDefault="00913711" w:rsidP="00E44106">
            <w:pPr>
              <w:jc w:val="center"/>
              <w:rPr>
                <w:rFonts w:asciiTheme="minorHAnsi" w:hAnsiTheme="minorHAnsi" w:cstheme="minorHAnsi"/>
                <w:b/>
                <w:bCs/>
              </w:rPr>
            </w:pPr>
            <w:r w:rsidRPr="00E74AAA">
              <w:rPr>
                <w:rFonts w:asciiTheme="minorHAnsi" w:eastAsia="Calibri" w:hAnsiTheme="minorHAnsi" w:cstheme="minorHAnsi"/>
                <w:b/>
                <w:bCs/>
              </w:rPr>
              <w:t>Evaluation commissioned by (if not UNDP)</w:t>
            </w:r>
          </w:p>
        </w:tc>
        <w:tc>
          <w:tcPr>
            <w:tcW w:w="395"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F95FD86" w14:textId="77777777" w:rsidR="00913711" w:rsidRPr="00E74AAA" w:rsidRDefault="00913711" w:rsidP="00E44106">
            <w:pPr>
              <w:jc w:val="center"/>
              <w:rPr>
                <w:rFonts w:asciiTheme="minorHAnsi" w:hAnsiTheme="minorHAnsi" w:cstheme="minorHAnsi"/>
                <w:b/>
                <w:bCs/>
              </w:rPr>
            </w:pPr>
            <w:r w:rsidRPr="00E74AAA">
              <w:rPr>
                <w:rFonts w:asciiTheme="minorHAnsi" w:eastAsia="Calibri" w:hAnsiTheme="minorHAnsi" w:cstheme="minorHAnsi"/>
                <w:b/>
                <w:bCs/>
              </w:rPr>
              <w:t>Type of evaluation</w:t>
            </w:r>
          </w:p>
        </w:tc>
        <w:tc>
          <w:tcPr>
            <w:tcW w:w="414"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82BD259" w14:textId="77777777" w:rsidR="00913711" w:rsidRPr="00E74AAA" w:rsidRDefault="00913711" w:rsidP="00E44106">
            <w:pPr>
              <w:jc w:val="center"/>
              <w:rPr>
                <w:rFonts w:asciiTheme="minorHAnsi" w:hAnsiTheme="minorHAnsi" w:cstheme="minorHAnsi"/>
                <w:b/>
                <w:bCs/>
              </w:rPr>
            </w:pPr>
            <w:r w:rsidRPr="00E74AAA">
              <w:rPr>
                <w:rFonts w:asciiTheme="minorHAnsi" w:eastAsia="Calibri" w:hAnsiTheme="minorHAnsi" w:cstheme="minorHAnsi"/>
                <w:b/>
                <w:bCs/>
              </w:rPr>
              <w:t>Planned Evaluation Completion Date</w:t>
            </w:r>
          </w:p>
        </w:tc>
        <w:tc>
          <w:tcPr>
            <w:tcW w:w="378"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43183E9" w14:textId="77777777" w:rsidR="00913711" w:rsidRPr="00E74AAA" w:rsidRDefault="00913711" w:rsidP="00E44106">
            <w:pPr>
              <w:jc w:val="center"/>
              <w:rPr>
                <w:rFonts w:asciiTheme="minorHAnsi" w:hAnsiTheme="minorHAnsi" w:cstheme="minorHAnsi"/>
                <w:b/>
                <w:bCs/>
              </w:rPr>
            </w:pPr>
            <w:r w:rsidRPr="00E74AAA">
              <w:rPr>
                <w:rFonts w:asciiTheme="minorHAnsi" w:eastAsia="Calibri" w:hAnsiTheme="minorHAnsi" w:cstheme="minorHAnsi"/>
                <w:b/>
                <w:bCs/>
              </w:rPr>
              <w:t>Estimated Cost</w:t>
            </w:r>
          </w:p>
        </w:tc>
        <w:tc>
          <w:tcPr>
            <w:tcW w:w="412"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A9E6AD9" w14:textId="77777777" w:rsidR="00913711" w:rsidRPr="00E74AAA" w:rsidRDefault="00913711" w:rsidP="00E44106">
            <w:pPr>
              <w:jc w:val="center"/>
              <w:rPr>
                <w:rFonts w:asciiTheme="minorHAnsi" w:hAnsiTheme="minorHAnsi" w:cstheme="minorHAnsi"/>
                <w:b/>
                <w:bCs/>
              </w:rPr>
            </w:pPr>
            <w:r w:rsidRPr="00E74AAA">
              <w:rPr>
                <w:rFonts w:asciiTheme="minorHAnsi" w:eastAsia="Calibri" w:hAnsiTheme="minorHAnsi" w:cstheme="minorHAnsi"/>
                <w:b/>
                <w:bCs/>
              </w:rPr>
              <w:t>Provisional Source of Funding</w:t>
            </w:r>
          </w:p>
        </w:tc>
      </w:tr>
      <w:tr w:rsidR="00913711" w:rsidRPr="00E74AAA" w14:paraId="4B433BAE" w14:textId="77777777" w:rsidTr="00E44106">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BB8D3" w14:textId="77777777" w:rsidR="00913711" w:rsidRPr="00E74AAA" w:rsidRDefault="00913711" w:rsidP="00E44106">
            <w:pPr>
              <w:rPr>
                <w:rFonts w:asciiTheme="minorHAnsi" w:hAnsiTheme="minorHAnsi" w:cstheme="minorHAnsi"/>
              </w:rPr>
            </w:pPr>
            <w:r w:rsidRPr="00E74AAA">
              <w:rPr>
                <w:rFonts w:asciiTheme="minorHAnsi" w:hAnsiTheme="minorHAnsi" w:cstheme="minorHAnsi"/>
              </w:rPr>
              <w:t>1</w:t>
            </w:r>
          </w:p>
        </w:tc>
        <w:tc>
          <w:tcPr>
            <w:tcW w:w="886" w:type="pct"/>
            <w:tcBorders>
              <w:top w:val="single" w:sz="4" w:space="0" w:color="auto"/>
              <w:left w:val="single" w:sz="4" w:space="0" w:color="auto"/>
              <w:right w:val="single" w:sz="4" w:space="0" w:color="auto"/>
            </w:tcBorders>
            <w:shd w:val="clear" w:color="auto" w:fill="FFFFFF" w:themeFill="background1"/>
            <w:vAlign w:val="center"/>
          </w:tcPr>
          <w:p w14:paraId="1E0E1EBE" w14:textId="77777777" w:rsidR="00913711" w:rsidRPr="00E74AAA" w:rsidRDefault="00913711" w:rsidP="00E44106">
            <w:pPr>
              <w:rPr>
                <w:rFonts w:asciiTheme="minorHAnsi" w:hAnsiTheme="minorHAnsi" w:cstheme="minorHAnsi"/>
                <w:sz w:val="18"/>
                <w:szCs w:val="18"/>
              </w:rPr>
            </w:pPr>
            <w:r w:rsidRPr="00E67861">
              <w:rPr>
                <w:rFonts w:asciiTheme="minorHAnsi" w:hAnsiTheme="minorHAnsi" w:cstheme="minorHAnsi"/>
                <w:b/>
                <w:bCs/>
                <w:sz w:val="18"/>
                <w:szCs w:val="18"/>
              </w:rPr>
              <w:t>Outcome 1:</w:t>
            </w:r>
            <w:r w:rsidRPr="00E74AAA">
              <w:rPr>
                <w:rFonts w:asciiTheme="minorHAnsi" w:hAnsiTheme="minorHAnsi" w:cstheme="minorHAnsi"/>
                <w:sz w:val="18"/>
                <w:szCs w:val="18"/>
              </w:rPr>
              <w:t xml:space="preserve"> The legal and institutional framework is strengthened, and institutions are more accountable, transparent and efficient, ensuring inclusive governance and sustainable and equitable development in line with Gabon's national and international commitments (All 17 SDGs)</w:t>
            </w:r>
          </w:p>
          <w:p w14:paraId="1EBE1952" w14:textId="77777777" w:rsidR="00913711" w:rsidRPr="00E74AAA" w:rsidRDefault="00913711" w:rsidP="00E44106">
            <w:pPr>
              <w:rPr>
                <w:rFonts w:asciiTheme="minorHAnsi" w:hAnsiTheme="minorHAnsi" w:cstheme="minorHAnsi"/>
                <w:sz w:val="18"/>
                <w:szCs w:val="18"/>
              </w:rPr>
            </w:pPr>
            <w:r w:rsidRPr="00E74AAA">
              <w:rPr>
                <w:rFonts w:asciiTheme="minorHAnsi" w:hAnsiTheme="minorHAnsi" w:cstheme="minorHAnsi"/>
                <w:sz w:val="18"/>
                <w:szCs w:val="18"/>
              </w:rPr>
              <w:t xml:space="preserve">And </w:t>
            </w:r>
          </w:p>
          <w:p w14:paraId="7DDE1E66" w14:textId="77777777" w:rsidR="00913711" w:rsidRPr="00E74AAA" w:rsidRDefault="00913711" w:rsidP="00E44106">
            <w:pPr>
              <w:rPr>
                <w:rFonts w:asciiTheme="minorHAnsi" w:hAnsiTheme="minorHAnsi" w:cstheme="minorHAnsi"/>
              </w:rPr>
            </w:pPr>
            <w:r w:rsidRPr="00E67861">
              <w:rPr>
                <w:rFonts w:asciiTheme="minorHAnsi" w:hAnsiTheme="minorHAnsi" w:cstheme="minorHAnsi"/>
                <w:b/>
                <w:bCs/>
                <w:sz w:val="18"/>
                <w:szCs w:val="18"/>
              </w:rPr>
              <w:t>Outcome 2</w:t>
            </w:r>
            <w:r w:rsidRPr="00E74AAA">
              <w:rPr>
                <w:rFonts w:asciiTheme="minorHAnsi" w:hAnsiTheme="minorHAnsi" w:cstheme="minorHAnsi"/>
                <w:sz w:val="18"/>
                <w:szCs w:val="18"/>
              </w:rPr>
              <w:t>: By 2027, populations, especially youth and women, participate in the sustainable management of natural resources and benefit from the fruits of a controlled transition to a green and blue economy in an environment more resilient to climate change (SDGs 1, 5, 6, 8, 9, 10, 11, 12, 13, 14, 15, 17)</w:t>
            </w:r>
          </w:p>
        </w:tc>
        <w:tc>
          <w:tcPr>
            <w:tcW w:w="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376C" w14:textId="77777777" w:rsidR="00913711" w:rsidRPr="00E74AAA" w:rsidRDefault="00913711" w:rsidP="00E44106">
            <w:pPr>
              <w:rPr>
                <w:rFonts w:asciiTheme="minorHAnsi" w:hAnsiTheme="minorHAnsi" w:cstheme="minorHAnsi"/>
              </w:rPr>
            </w:pPr>
            <w:r w:rsidRPr="001C0F9F">
              <w:rPr>
                <w:rFonts w:asciiTheme="minorHAnsi" w:hAnsiTheme="minorHAnsi" w:cstheme="minorHAnsi"/>
              </w:rPr>
              <w:t>Outcomes 1 &amp;</w:t>
            </w:r>
            <w:r>
              <w:rPr>
                <w:rFonts w:asciiTheme="minorHAnsi" w:hAnsiTheme="minorHAnsi" w:cstheme="minorHAnsi"/>
              </w:rPr>
              <w:t xml:space="preserve"> </w:t>
            </w:r>
            <w:r w:rsidRPr="001C0F9F">
              <w:rPr>
                <w:rFonts w:asciiTheme="minorHAnsi" w:hAnsiTheme="minorHAnsi" w:cstheme="minorHAnsi"/>
              </w:rPr>
              <w:t>2</w:t>
            </w:r>
          </w:p>
        </w:tc>
        <w:tc>
          <w:tcPr>
            <w:tcW w:w="687" w:type="pct"/>
            <w:tcBorders>
              <w:top w:val="nil"/>
              <w:left w:val="single" w:sz="4" w:space="0" w:color="auto"/>
              <w:bottom w:val="single" w:sz="4" w:space="0" w:color="auto"/>
              <w:right w:val="single" w:sz="4" w:space="0" w:color="auto"/>
            </w:tcBorders>
            <w:shd w:val="clear" w:color="auto" w:fill="auto"/>
            <w:vAlign w:val="center"/>
          </w:tcPr>
          <w:p w14:paraId="59F81A8D" w14:textId="77777777" w:rsidR="00913711" w:rsidRPr="00E74AAA" w:rsidRDefault="00913711" w:rsidP="00E44106">
            <w:pPr>
              <w:rPr>
                <w:rFonts w:asciiTheme="minorHAnsi" w:hAnsiTheme="minorHAnsi" w:cstheme="minorHAnsi"/>
              </w:rPr>
            </w:pPr>
            <w:r w:rsidRPr="00E74AAA">
              <w:rPr>
                <w:rFonts w:asciiTheme="minorHAnsi" w:hAnsiTheme="minorHAnsi" w:cstheme="minorHAnsi"/>
              </w:rPr>
              <w:t>CPD mid-term evaluation</w:t>
            </w:r>
          </w:p>
        </w:tc>
        <w:tc>
          <w:tcPr>
            <w:tcW w:w="576" w:type="pct"/>
            <w:tcBorders>
              <w:top w:val="nil"/>
              <w:left w:val="single" w:sz="4" w:space="0" w:color="auto"/>
              <w:bottom w:val="single" w:sz="4" w:space="0" w:color="auto"/>
              <w:right w:val="single" w:sz="4" w:space="0" w:color="auto"/>
            </w:tcBorders>
            <w:shd w:val="clear" w:color="auto" w:fill="auto"/>
            <w:vAlign w:val="center"/>
          </w:tcPr>
          <w:p w14:paraId="1E1F77C7"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Ministries of Environment, Economy, Budget</w:t>
            </w:r>
          </w:p>
          <w:p w14:paraId="3842DDFE"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RCO</w:t>
            </w:r>
          </w:p>
          <w:p w14:paraId="784B24CC"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ANPN</w:t>
            </w:r>
          </w:p>
          <w:p w14:paraId="75CFA9E8"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CNC</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6169A"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UNDP</w:t>
            </w:r>
          </w:p>
        </w:tc>
        <w:tc>
          <w:tcPr>
            <w:tcW w:w="395" w:type="pct"/>
            <w:tcBorders>
              <w:top w:val="nil"/>
              <w:left w:val="single" w:sz="4" w:space="0" w:color="auto"/>
              <w:bottom w:val="single" w:sz="4" w:space="0" w:color="auto"/>
              <w:right w:val="single" w:sz="4" w:space="0" w:color="auto"/>
            </w:tcBorders>
            <w:shd w:val="clear" w:color="auto" w:fill="auto"/>
            <w:vAlign w:val="center"/>
          </w:tcPr>
          <w:p w14:paraId="768DEC61"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CPD Evaluation</w:t>
            </w:r>
          </w:p>
        </w:tc>
        <w:tc>
          <w:tcPr>
            <w:tcW w:w="414" w:type="pct"/>
            <w:tcBorders>
              <w:top w:val="nil"/>
              <w:left w:val="single" w:sz="4" w:space="0" w:color="auto"/>
              <w:bottom w:val="single" w:sz="4" w:space="0" w:color="auto"/>
              <w:right w:val="single" w:sz="4" w:space="0" w:color="auto"/>
            </w:tcBorders>
            <w:shd w:val="clear" w:color="auto" w:fill="auto"/>
            <w:vAlign w:val="center"/>
          </w:tcPr>
          <w:p w14:paraId="3DB24EA8"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April 2025</w:t>
            </w:r>
          </w:p>
        </w:tc>
        <w:tc>
          <w:tcPr>
            <w:tcW w:w="378" w:type="pct"/>
            <w:tcBorders>
              <w:top w:val="nil"/>
              <w:left w:val="single" w:sz="4" w:space="0" w:color="auto"/>
              <w:bottom w:val="single" w:sz="4" w:space="0" w:color="auto"/>
              <w:right w:val="single" w:sz="4" w:space="0" w:color="auto"/>
            </w:tcBorders>
            <w:shd w:val="clear" w:color="auto" w:fill="auto"/>
            <w:vAlign w:val="center"/>
          </w:tcPr>
          <w:p w14:paraId="7C8061F6"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USD 40,000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B1FE3"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TRAC1</w:t>
            </w:r>
          </w:p>
        </w:tc>
      </w:tr>
      <w:tr w:rsidR="00913711" w:rsidRPr="00E74AAA" w14:paraId="7BAC5F9D" w14:textId="77777777" w:rsidTr="00E44106">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5517C" w14:textId="77777777" w:rsidR="00913711" w:rsidRPr="00E74AAA" w:rsidRDefault="00913711" w:rsidP="00E44106">
            <w:pPr>
              <w:rPr>
                <w:rFonts w:asciiTheme="minorHAnsi" w:hAnsiTheme="minorHAnsi" w:cstheme="minorHAnsi"/>
              </w:rPr>
            </w:pPr>
            <w:r>
              <w:rPr>
                <w:rFonts w:asciiTheme="minorHAnsi" w:hAnsiTheme="minorHAnsi" w:cstheme="minorHAnsi"/>
              </w:rPr>
              <w:t>2</w:t>
            </w:r>
          </w:p>
        </w:tc>
        <w:tc>
          <w:tcPr>
            <w:tcW w:w="886" w:type="pct"/>
            <w:tcBorders>
              <w:top w:val="single" w:sz="4" w:space="0" w:color="auto"/>
              <w:left w:val="single" w:sz="4" w:space="0" w:color="auto"/>
              <w:right w:val="single" w:sz="4" w:space="0" w:color="auto"/>
            </w:tcBorders>
            <w:shd w:val="clear" w:color="auto" w:fill="FFFFFF" w:themeFill="background1"/>
            <w:vAlign w:val="center"/>
          </w:tcPr>
          <w:p w14:paraId="7D23E2A0" w14:textId="77777777" w:rsidR="00913711" w:rsidRPr="00E74AAA" w:rsidRDefault="00913711" w:rsidP="00E44106">
            <w:pPr>
              <w:rPr>
                <w:rFonts w:asciiTheme="minorHAnsi" w:hAnsiTheme="minorHAnsi" w:cstheme="minorHAnsi"/>
                <w:sz w:val="18"/>
                <w:szCs w:val="18"/>
              </w:rPr>
            </w:pPr>
            <w:r w:rsidRPr="00E74AAA">
              <w:rPr>
                <w:rFonts w:asciiTheme="minorHAnsi" w:hAnsiTheme="minorHAnsi" w:cstheme="minorHAnsi"/>
                <w:sz w:val="18"/>
                <w:szCs w:val="18"/>
              </w:rPr>
              <w:t xml:space="preserve">Outcome 2: By 2027, populations, especially youth and women, participate in the sustainable management of natural resources and benefit from the fruits of a controlled transition to a green and blue economy in an environment more resilient to </w:t>
            </w:r>
            <w:r w:rsidRPr="00E74AAA">
              <w:rPr>
                <w:rFonts w:asciiTheme="minorHAnsi" w:hAnsiTheme="minorHAnsi" w:cstheme="minorHAnsi"/>
                <w:sz w:val="18"/>
                <w:szCs w:val="18"/>
              </w:rPr>
              <w:lastRenderedPageBreak/>
              <w:t>climate change (SDGs 1, 5, 6, 8, 9, 10, 11, 12, 13, 14, 15, 17)</w:t>
            </w:r>
          </w:p>
        </w:tc>
        <w:tc>
          <w:tcPr>
            <w:tcW w:w="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1992" w14:textId="77777777" w:rsidR="00913711" w:rsidRPr="001C0F9F" w:rsidRDefault="00913711" w:rsidP="00E44106">
            <w:pPr>
              <w:rPr>
                <w:rFonts w:asciiTheme="minorHAnsi" w:hAnsiTheme="minorHAnsi" w:cstheme="minorHAnsi"/>
              </w:rPr>
            </w:pPr>
            <w:r w:rsidRPr="001C0F9F">
              <w:rPr>
                <w:rFonts w:asciiTheme="minorHAnsi" w:hAnsiTheme="minorHAnsi" w:cstheme="minorHAnsi"/>
              </w:rPr>
              <w:lastRenderedPageBreak/>
              <w:t>Outcome 1</w:t>
            </w:r>
          </w:p>
        </w:tc>
        <w:tc>
          <w:tcPr>
            <w:tcW w:w="687" w:type="pct"/>
            <w:tcBorders>
              <w:top w:val="nil"/>
              <w:left w:val="single" w:sz="4" w:space="0" w:color="auto"/>
              <w:bottom w:val="single" w:sz="4" w:space="0" w:color="auto"/>
              <w:right w:val="single" w:sz="4" w:space="0" w:color="auto"/>
            </w:tcBorders>
            <w:shd w:val="clear" w:color="auto" w:fill="auto"/>
            <w:vAlign w:val="center"/>
          </w:tcPr>
          <w:p w14:paraId="5273E335" w14:textId="77777777" w:rsidR="00913711" w:rsidRPr="00E74AAA" w:rsidRDefault="00913711" w:rsidP="00E44106">
            <w:pPr>
              <w:rPr>
                <w:rFonts w:asciiTheme="minorHAnsi" w:hAnsiTheme="minorHAnsi" w:cstheme="minorHAnsi"/>
              </w:rPr>
            </w:pPr>
            <w:r>
              <w:rPr>
                <w:rFonts w:asciiTheme="minorHAnsi" w:hAnsiTheme="minorHAnsi" w:cstheme="minorHAnsi"/>
              </w:rPr>
              <w:t>Evaluation of the Outcome 2</w:t>
            </w:r>
          </w:p>
        </w:tc>
        <w:tc>
          <w:tcPr>
            <w:tcW w:w="576" w:type="pct"/>
            <w:tcBorders>
              <w:top w:val="nil"/>
              <w:left w:val="single" w:sz="4" w:space="0" w:color="auto"/>
              <w:bottom w:val="single" w:sz="4" w:space="0" w:color="auto"/>
              <w:right w:val="single" w:sz="4" w:space="0" w:color="auto"/>
            </w:tcBorders>
            <w:shd w:val="clear" w:color="auto" w:fill="auto"/>
            <w:vAlign w:val="center"/>
          </w:tcPr>
          <w:p w14:paraId="42E05B0B"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Ministries of Environment, Economy, Budget</w:t>
            </w:r>
          </w:p>
          <w:p w14:paraId="34119953"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RCO</w:t>
            </w:r>
          </w:p>
          <w:p w14:paraId="2233E750"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ANPN</w:t>
            </w:r>
          </w:p>
          <w:p w14:paraId="3C3D9997"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CNC</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A122B" w14:textId="77777777" w:rsidR="00913711" w:rsidRPr="00E74AAA" w:rsidRDefault="00913711" w:rsidP="00E44106">
            <w:pPr>
              <w:jc w:val="center"/>
              <w:rPr>
                <w:rFonts w:asciiTheme="minorHAnsi" w:hAnsiTheme="minorHAnsi" w:cstheme="minorHAnsi"/>
              </w:rPr>
            </w:pPr>
            <w:r>
              <w:rPr>
                <w:rFonts w:asciiTheme="minorHAnsi" w:hAnsiTheme="minorHAnsi" w:cstheme="minorHAnsi"/>
              </w:rPr>
              <w:t>UNDP</w:t>
            </w:r>
          </w:p>
        </w:tc>
        <w:tc>
          <w:tcPr>
            <w:tcW w:w="395" w:type="pct"/>
            <w:tcBorders>
              <w:top w:val="nil"/>
              <w:left w:val="single" w:sz="4" w:space="0" w:color="auto"/>
              <w:bottom w:val="single" w:sz="4" w:space="0" w:color="auto"/>
              <w:right w:val="single" w:sz="4" w:space="0" w:color="auto"/>
            </w:tcBorders>
            <w:shd w:val="clear" w:color="auto" w:fill="auto"/>
            <w:vAlign w:val="center"/>
          </w:tcPr>
          <w:p w14:paraId="28D7CD12" w14:textId="77777777" w:rsidR="00913711" w:rsidRPr="00E74AAA" w:rsidRDefault="00913711" w:rsidP="00E44106">
            <w:pPr>
              <w:jc w:val="center"/>
              <w:rPr>
                <w:rFonts w:asciiTheme="minorHAnsi" w:hAnsiTheme="minorHAnsi" w:cstheme="minorHAnsi"/>
              </w:rPr>
            </w:pPr>
            <w:r>
              <w:rPr>
                <w:rFonts w:asciiTheme="minorHAnsi" w:hAnsiTheme="minorHAnsi" w:cstheme="minorHAnsi"/>
              </w:rPr>
              <w:t>Outcome Evaluation</w:t>
            </w:r>
          </w:p>
        </w:tc>
        <w:tc>
          <w:tcPr>
            <w:tcW w:w="414" w:type="pct"/>
            <w:tcBorders>
              <w:top w:val="nil"/>
              <w:left w:val="single" w:sz="4" w:space="0" w:color="auto"/>
              <w:bottom w:val="single" w:sz="4" w:space="0" w:color="auto"/>
              <w:right w:val="single" w:sz="4" w:space="0" w:color="auto"/>
            </w:tcBorders>
            <w:shd w:val="clear" w:color="auto" w:fill="auto"/>
            <w:vAlign w:val="center"/>
          </w:tcPr>
          <w:p w14:paraId="79E2F005" w14:textId="77777777" w:rsidR="00913711" w:rsidRPr="00E74AAA" w:rsidRDefault="00913711" w:rsidP="00E44106">
            <w:pPr>
              <w:jc w:val="center"/>
              <w:rPr>
                <w:rFonts w:asciiTheme="minorHAnsi" w:hAnsiTheme="minorHAnsi" w:cstheme="minorHAnsi"/>
              </w:rPr>
            </w:pPr>
            <w:r>
              <w:rPr>
                <w:rFonts w:asciiTheme="minorHAnsi" w:hAnsiTheme="minorHAnsi" w:cstheme="minorHAnsi"/>
              </w:rPr>
              <w:t>August 2026</w:t>
            </w:r>
          </w:p>
        </w:tc>
        <w:tc>
          <w:tcPr>
            <w:tcW w:w="378" w:type="pct"/>
            <w:tcBorders>
              <w:top w:val="nil"/>
              <w:left w:val="single" w:sz="4" w:space="0" w:color="auto"/>
              <w:bottom w:val="single" w:sz="4" w:space="0" w:color="auto"/>
              <w:right w:val="single" w:sz="4" w:space="0" w:color="auto"/>
            </w:tcBorders>
            <w:shd w:val="clear" w:color="auto" w:fill="auto"/>
            <w:vAlign w:val="center"/>
          </w:tcPr>
          <w:p w14:paraId="121EF0C5" w14:textId="77777777" w:rsidR="00913711" w:rsidRDefault="00913711" w:rsidP="00E44106">
            <w:pPr>
              <w:jc w:val="center"/>
              <w:rPr>
                <w:rFonts w:asciiTheme="minorHAnsi" w:hAnsiTheme="minorHAnsi" w:cstheme="minorHAnsi"/>
              </w:rPr>
            </w:pPr>
            <w:r>
              <w:rPr>
                <w:rFonts w:asciiTheme="minorHAnsi" w:hAnsiTheme="minorHAnsi" w:cstheme="minorHAnsi"/>
              </w:rPr>
              <w:t>USD</w:t>
            </w:r>
          </w:p>
          <w:p w14:paraId="48078045" w14:textId="77777777" w:rsidR="00913711" w:rsidRPr="00E74AAA" w:rsidRDefault="00913711" w:rsidP="00E44106">
            <w:pPr>
              <w:jc w:val="center"/>
              <w:rPr>
                <w:rFonts w:asciiTheme="minorHAnsi" w:hAnsiTheme="minorHAnsi" w:cstheme="minorHAnsi"/>
              </w:rPr>
            </w:pPr>
            <w:r>
              <w:rPr>
                <w:rFonts w:asciiTheme="minorHAnsi" w:hAnsiTheme="minorHAnsi" w:cstheme="minorHAnsi"/>
              </w:rPr>
              <w:t>30,000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B493"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Co-financing with Project funding</w:t>
            </w:r>
          </w:p>
        </w:tc>
      </w:tr>
      <w:tr w:rsidR="00913711" w:rsidRPr="00E74AAA" w14:paraId="28D297E8" w14:textId="77777777" w:rsidTr="00E44106">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CFFAD" w14:textId="77777777" w:rsidR="00913711" w:rsidRDefault="00913711" w:rsidP="00E44106">
            <w:pPr>
              <w:rPr>
                <w:rFonts w:asciiTheme="minorHAnsi" w:hAnsiTheme="minorHAnsi" w:cstheme="minorHAnsi"/>
              </w:rPr>
            </w:pPr>
            <w:r>
              <w:rPr>
                <w:rFonts w:asciiTheme="minorHAnsi" w:hAnsiTheme="minorHAnsi" w:cstheme="minorHAnsi"/>
              </w:rPr>
              <w:t>3</w:t>
            </w:r>
          </w:p>
        </w:tc>
        <w:tc>
          <w:tcPr>
            <w:tcW w:w="886" w:type="pct"/>
            <w:tcBorders>
              <w:top w:val="single" w:sz="4" w:space="0" w:color="auto"/>
              <w:left w:val="single" w:sz="4" w:space="0" w:color="auto"/>
              <w:right w:val="single" w:sz="4" w:space="0" w:color="auto"/>
            </w:tcBorders>
            <w:shd w:val="clear" w:color="auto" w:fill="FFFFFF" w:themeFill="background1"/>
            <w:vAlign w:val="center"/>
          </w:tcPr>
          <w:p w14:paraId="1F494A38" w14:textId="77777777" w:rsidR="00913711" w:rsidRPr="00E74AAA" w:rsidRDefault="00913711" w:rsidP="00E44106">
            <w:pPr>
              <w:rPr>
                <w:rFonts w:asciiTheme="minorHAnsi" w:hAnsiTheme="minorHAnsi" w:cstheme="minorHAnsi"/>
                <w:sz w:val="18"/>
                <w:szCs w:val="18"/>
              </w:rPr>
            </w:pPr>
            <w:r w:rsidRPr="00E74AAA">
              <w:rPr>
                <w:rFonts w:asciiTheme="minorHAnsi" w:hAnsiTheme="minorHAnsi" w:cstheme="minorHAnsi"/>
                <w:sz w:val="18"/>
                <w:szCs w:val="18"/>
              </w:rPr>
              <w:t>Outcome 1: The legal and institutional framework is strengthened, and institutions are more accountable, transparent and efficient, ensuring inclusive governance and sustainable and equitable development in line with Gabon's national and international commitments (All 17 SDGs)</w:t>
            </w:r>
          </w:p>
          <w:p w14:paraId="59B10CED" w14:textId="77777777" w:rsidR="00913711" w:rsidRPr="00E74AAA" w:rsidRDefault="00913711" w:rsidP="00E44106">
            <w:pPr>
              <w:rPr>
                <w:rFonts w:asciiTheme="minorHAnsi" w:hAnsiTheme="minorHAnsi" w:cstheme="minorHAnsi"/>
                <w:sz w:val="18"/>
                <w:szCs w:val="18"/>
              </w:rPr>
            </w:pPr>
            <w:r w:rsidRPr="00E74AAA">
              <w:rPr>
                <w:rFonts w:asciiTheme="minorHAnsi" w:hAnsiTheme="minorHAnsi" w:cstheme="minorHAnsi"/>
                <w:sz w:val="18"/>
                <w:szCs w:val="18"/>
              </w:rPr>
              <w:t xml:space="preserve">And </w:t>
            </w:r>
          </w:p>
          <w:p w14:paraId="7849BDFB" w14:textId="77777777" w:rsidR="00913711" w:rsidRPr="00E74AAA" w:rsidRDefault="00913711" w:rsidP="00E44106">
            <w:pPr>
              <w:rPr>
                <w:rFonts w:asciiTheme="minorHAnsi" w:hAnsiTheme="minorHAnsi" w:cstheme="minorHAnsi"/>
                <w:sz w:val="18"/>
                <w:szCs w:val="18"/>
              </w:rPr>
            </w:pPr>
            <w:r w:rsidRPr="00E74AAA">
              <w:rPr>
                <w:rFonts w:asciiTheme="minorHAnsi" w:hAnsiTheme="minorHAnsi" w:cstheme="minorHAnsi"/>
                <w:sz w:val="18"/>
                <w:szCs w:val="18"/>
              </w:rPr>
              <w:t>Outcome 2: By 2027, populations, especially youth and women, participate in the sustainable management of natural resources and benefit from the fruits of a controlled transition to a green and blue economy in an environment more resilient to climate change (SDGs 1, 5, 6, 8, 9, 10, 11, 12, 13, 14, 15, 17)</w:t>
            </w:r>
          </w:p>
        </w:tc>
        <w:tc>
          <w:tcPr>
            <w:tcW w:w="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A36E0" w14:textId="77777777" w:rsidR="00913711" w:rsidRPr="00E44106" w:rsidRDefault="00913711" w:rsidP="00E44106">
            <w:pPr>
              <w:rPr>
                <w:rFonts w:asciiTheme="minorHAnsi" w:hAnsiTheme="minorHAnsi" w:cstheme="minorHAnsi"/>
                <w:b/>
                <w:bCs/>
              </w:rPr>
            </w:pPr>
            <w:r w:rsidRPr="001C0F9F">
              <w:rPr>
                <w:rFonts w:asciiTheme="minorHAnsi" w:hAnsiTheme="minorHAnsi" w:cstheme="minorHAnsi"/>
              </w:rPr>
              <w:t>Outcomes 1 &amp;</w:t>
            </w:r>
            <w:r>
              <w:rPr>
                <w:rFonts w:asciiTheme="minorHAnsi" w:hAnsiTheme="minorHAnsi" w:cstheme="minorHAnsi"/>
              </w:rPr>
              <w:t xml:space="preserve"> </w:t>
            </w:r>
            <w:r w:rsidRPr="001C0F9F">
              <w:rPr>
                <w:rFonts w:asciiTheme="minorHAnsi" w:hAnsiTheme="minorHAnsi" w:cstheme="minorHAnsi"/>
              </w:rPr>
              <w:t>2</w:t>
            </w:r>
          </w:p>
        </w:tc>
        <w:tc>
          <w:tcPr>
            <w:tcW w:w="687" w:type="pct"/>
            <w:tcBorders>
              <w:top w:val="nil"/>
              <w:left w:val="single" w:sz="4" w:space="0" w:color="auto"/>
              <w:bottom w:val="single" w:sz="4" w:space="0" w:color="auto"/>
              <w:right w:val="single" w:sz="4" w:space="0" w:color="auto"/>
            </w:tcBorders>
            <w:shd w:val="clear" w:color="auto" w:fill="auto"/>
            <w:vAlign w:val="center"/>
          </w:tcPr>
          <w:p w14:paraId="62E81068" w14:textId="77777777" w:rsidR="00913711" w:rsidRDefault="00913711" w:rsidP="00E44106">
            <w:pPr>
              <w:rPr>
                <w:rFonts w:asciiTheme="minorHAnsi" w:hAnsiTheme="minorHAnsi" w:cstheme="minorHAnsi"/>
              </w:rPr>
            </w:pPr>
            <w:r w:rsidRPr="00E74AAA">
              <w:rPr>
                <w:rFonts w:asciiTheme="minorHAnsi" w:hAnsiTheme="minorHAnsi" w:cstheme="minorHAnsi"/>
              </w:rPr>
              <w:t>Thematic evaluation</w:t>
            </w:r>
            <w:r>
              <w:rPr>
                <w:rFonts w:asciiTheme="minorHAnsi" w:hAnsiTheme="minorHAnsi" w:cstheme="minorHAnsi"/>
              </w:rPr>
              <w:t>:</w:t>
            </w:r>
            <w:r w:rsidRPr="00E74AAA">
              <w:rPr>
                <w:rFonts w:asciiTheme="minorHAnsi" w:hAnsiTheme="minorHAnsi" w:cstheme="minorHAnsi"/>
              </w:rPr>
              <w:t xml:space="preserve"> </w:t>
            </w:r>
            <w:r>
              <w:rPr>
                <w:rFonts w:asciiTheme="minorHAnsi" w:hAnsiTheme="minorHAnsi" w:cstheme="minorHAnsi"/>
              </w:rPr>
              <w:t>Youth and Women Inclusion</w:t>
            </w:r>
          </w:p>
        </w:tc>
        <w:tc>
          <w:tcPr>
            <w:tcW w:w="576" w:type="pct"/>
            <w:tcBorders>
              <w:top w:val="nil"/>
              <w:left w:val="single" w:sz="4" w:space="0" w:color="auto"/>
              <w:bottom w:val="single" w:sz="4" w:space="0" w:color="auto"/>
              <w:right w:val="single" w:sz="4" w:space="0" w:color="auto"/>
            </w:tcBorders>
            <w:shd w:val="clear" w:color="auto" w:fill="auto"/>
            <w:vAlign w:val="center"/>
          </w:tcPr>
          <w:p w14:paraId="7BCA483C"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Ministry of Economy and Budget</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21990" w14:textId="77777777" w:rsidR="00913711" w:rsidRDefault="00913711" w:rsidP="00E44106">
            <w:pPr>
              <w:jc w:val="center"/>
              <w:rPr>
                <w:rFonts w:asciiTheme="minorHAnsi" w:hAnsiTheme="minorHAnsi" w:cstheme="minorHAnsi"/>
              </w:rPr>
            </w:pPr>
            <w:r w:rsidRPr="00E74AAA">
              <w:rPr>
                <w:rFonts w:asciiTheme="minorHAnsi" w:hAnsiTheme="minorHAnsi" w:cstheme="minorHAnsi"/>
              </w:rPr>
              <w:t>UNDP</w:t>
            </w:r>
          </w:p>
        </w:tc>
        <w:tc>
          <w:tcPr>
            <w:tcW w:w="395" w:type="pct"/>
            <w:tcBorders>
              <w:top w:val="nil"/>
              <w:left w:val="single" w:sz="4" w:space="0" w:color="auto"/>
              <w:bottom w:val="single" w:sz="4" w:space="0" w:color="auto"/>
              <w:right w:val="single" w:sz="4" w:space="0" w:color="auto"/>
            </w:tcBorders>
            <w:shd w:val="clear" w:color="auto" w:fill="auto"/>
            <w:vAlign w:val="center"/>
          </w:tcPr>
          <w:p w14:paraId="74DB7536" w14:textId="77777777" w:rsidR="00913711" w:rsidRDefault="00913711" w:rsidP="00E44106">
            <w:pPr>
              <w:jc w:val="center"/>
              <w:rPr>
                <w:rFonts w:asciiTheme="minorHAnsi" w:hAnsiTheme="minorHAnsi" w:cstheme="minorHAnsi"/>
              </w:rPr>
            </w:pPr>
            <w:r w:rsidRPr="00E74AAA">
              <w:rPr>
                <w:rFonts w:asciiTheme="minorHAnsi" w:hAnsiTheme="minorHAnsi" w:cstheme="minorHAnsi"/>
              </w:rPr>
              <w:t>Thematic evaluation</w:t>
            </w:r>
          </w:p>
        </w:tc>
        <w:tc>
          <w:tcPr>
            <w:tcW w:w="414" w:type="pct"/>
            <w:tcBorders>
              <w:top w:val="nil"/>
              <w:left w:val="single" w:sz="4" w:space="0" w:color="auto"/>
              <w:bottom w:val="single" w:sz="4" w:space="0" w:color="auto"/>
              <w:right w:val="single" w:sz="4" w:space="0" w:color="auto"/>
            </w:tcBorders>
            <w:shd w:val="clear" w:color="auto" w:fill="auto"/>
            <w:vAlign w:val="center"/>
          </w:tcPr>
          <w:p w14:paraId="222C98E6" w14:textId="77777777" w:rsidR="00913711" w:rsidRDefault="00913711" w:rsidP="00E44106">
            <w:pPr>
              <w:jc w:val="center"/>
              <w:rPr>
                <w:rFonts w:asciiTheme="minorHAnsi" w:hAnsiTheme="minorHAnsi" w:cstheme="minorHAnsi"/>
              </w:rPr>
            </w:pPr>
            <w:r>
              <w:rPr>
                <w:rFonts w:asciiTheme="minorHAnsi" w:hAnsiTheme="minorHAnsi" w:cstheme="minorHAnsi"/>
              </w:rPr>
              <w:t>February 2026</w:t>
            </w:r>
          </w:p>
        </w:tc>
        <w:tc>
          <w:tcPr>
            <w:tcW w:w="378" w:type="pct"/>
            <w:tcBorders>
              <w:top w:val="nil"/>
              <w:left w:val="single" w:sz="4" w:space="0" w:color="auto"/>
              <w:bottom w:val="single" w:sz="4" w:space="0" w:color="auto"/>
              <w:right w:val="single" w:sz="4" w:space="0" w:color="auto"/>
            </w:tcBorders>
            <w:shd w:val="clear" w:color="auto" w:fill="auto"/>
            <w:vAlign w:val="center"/>
          </w:tcPr>
          <w:p w14:paraId="23F261D5" w14:textId="77777777" w:rsidR="00913711" w:rsidRDefault="00913711" w:rsidP="00E44106">
            <w:pPr>
              <w:jc w:val="center"/>
              <w:rPr>
                <w:rFonts w:asciiTheme="minorHAnsi" w:hAnsiTheme="minorHAnsi" w:cstheme="minorHAnsi"/>
              </w:rPr>
            </w:pPr>
            <w:r w:rsidRPr="00E74AAA">
              <w:rPr>
                <w:rFonts w:asciiTheme="minorHAnsi" w:hAnsiTheme="minorHAnsi" w:cstheme="minorHAnsi"/>
              </w:rPr>
              <w:t>USD 30,000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FFDA6"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Co-financing with Project funding</w:t>
            </w:r>
          </w:p>
        </w:tc>
      </w:tr>
      <w:tr w:rsidR="00913711" w:rsidRPr="00E74AAA" w14:paraId="0B77E273" w14:textId="77777777" w:rsidTr="00E44106">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783" w14:textId="77777777" w:rsidR="00913711" w:rsidRPr="00E74AAA" w:rsidRDefault="00913711" w:rsidP="00E44106">
            <w:pPr>
              <w:rPr>
                <w:rFonts w:asciiTheme="minorHAnsi" w:hAnsiTheme="minorHAnsi" w:cstheme="minorHAnsi"/>
              </w:rPr>
            </w:pPr>
            <w:r>
              <w:rPr>
                <w:rFonts w:asciiTheme="minorHAnsi" w:hAnsiTheme="minorHAnsi" w:cstheme="minorHAnsi"/>
              </w:rPr>
              <w:t>4</w:t>
            </w:r>
          </w:p>
        </w:tc>
        <w:tc>
          <w:tcPr>
            <w:tcW w:w="886" w:type="pct"/>
            <w:tcBorders>
              <w:left w:val="single" w:sz="4" w:space="0" w:color="auto"/>
              <w:right w:val="single" w:sz="4" w:space="0" w:color="auto"/>
            </w:tcBorders>
            <w:shd w:val="clear" w:color="auto" w:fill="FFFFFF" w:themeFill="background1"/>
            <w:vAlign w:val="center"/>
          </w:tcPr>
          <w:p w14:paraId="3A01EA53" w14:textId="77777777" w:rsidR="00913711" w:rsidRPr="00E74AAA" w:rsidRDefault="00913711" w:rsidP="00E44106">
            <w:pPr>
              <w:rPr>
                <w:rFonts w:asciiTheme="minorHAnsi" w:hAnsiTheme="minorHAnsi" w:cstheme="minorHAnsi"/>
              </w:rPr>
            </w:pPr>
            <w:r w:rsidRPr="00E74AAA">
              <w:rPr>
                <w:rFonts w:asciiTheme="minorHAnsi" w:hAnsiTheme="minorHAnsi" w:cstheme="minorHAnsi"/>
                <w:sz w:val="18"/>
                <w:szCs w:val="18"/>
              </w:rPr>
              <w:t>Outcome 2: By 2027, populations, especially youth and women, participate in the sustainable management of natural resources and benefit from the fruits of a controlled transition to a green and blue economy in an environment more resilient to climate change (SDGs 1, 5, 6, 8, 9, 10, 11, 12, 13, 14, 15, 17)</w:t>
            </w:r>
          </w:p>
        </w:tc>
        <w:tc>
          <w:tcPr>
            <w:tcW w:w="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754E8" w14:textId="77777777" w:rsidR="00913711" w:rsidRPr="001C0F9F" w:rsidRDefault="00913711" w:rsidP="00E44106">
            <w:pPr>
              <w:rPr>
                <w:rFonts w:asciiTheme="minorHAnsi" w:hAnsiTheme="minorHAnsi" w:cstheme="minorHAnsi"/>
              </w:rPr>
            </w:pPr>
            <w:r w:rsidRPr="001C0F9F">
              <w:rPr>
                <w:rFonts w:asciiTheme="minorHAnsi" w:hAnsiTheme="minorHAnsi" w:cstheme="minorHAnsi"/>
              </w:rPr>
              <w:t>Outcome 1</w:t>
            </w:r>
          </w:p>
        </w:tc>
        <w:tc>
          <w:tcPr>
            <w:tcW w:w="687" w:type="pct"/>
            <w:tcBorders>
              <w:top w:val="nil"/>
              <w:left w:val="single" w:sz="4" w:space="0" w:color="auto"/>
              <w:bottom w:val="single" w:sz="4" w:space="0" w:color="auto"/>
              <w:right w:val="single" w:sz="4" w:space="0" w:color="auto"/>
            </w:tcBorders>
            <w:shd w:val="clear" w:color="auto" w:fill="auto"/>
            <w:vAlign w:val="center"/>
          </w:tcPr>
          <w:p w14:paraId="40D1318E" w14:textId="77777777" w:rsidR="00913711" w:rsidRPr="00E74AAA" w:rsidRDefault="00913711" w:rsidP="00E44106">
            <w:pPr>
              <w:rPr>
                <w:rFonts w:asciiTheme="minorHAnsi" w:hAnsiTheme="minorHAnsi" w:cstheme="minorHAnsi"/>
              </w:rPr>
            </w:pPr>
            <w:r w:rsidRPr="00E74AAA">
              <w:rPr>
                <w:rFonts w:asciiTheme="minorHAnsi" w:hAnsiTheme="minorHAnsi" w:cstheme="minorHAnsi"/>
              </w:rPr>
              <w:t>Mid-term evaluation of the GEF project: “</w:t>
            </w:r>
            <w:r w:rsidRPr="00E74AAA">
              <w:rPr>
                <w:rFonts w:asciiTheme="minorHAnsi" w:hAnsiTheme="minorHAnsi" w:cstheme="minorHAnsi"/>
                <w:i/>
                <w:iCs/>
              </w:rPr>
              <w:t xml:space="preserve">Transforming Forest Landscape Governance in the Lower </w:t>
            </w:r>
            <w:proofErr w:type="spellStart"/>
            <w:r w:rsidRPr="00E74AAA">
              <w:rPr>
                <w:rFonts w:asciiTheme="minorHAnsi" w:hAnsiTheme="minorHAnsi" w:cstheme="minorHAnsi"/>
                <w:i/>
                <w:iCs/>
              </w:rPr>
              <w:t>Ogooué</w:t>
            </w:r>
            <w:proofErr w:type="spellEnd"/>
            <w:r w:rsidRPr="00E74AAA">
              <w:rPr>
                <w:rFonts w:asciiTheme="minorHAnsi" w:hAnsiTheme="minorHAnsi" w:cstheme="minorHAnsi"/>
                <w:i/>
                <w:iCs/>
              </w:rPr>
              <w:t xml:space="preserve"> – Lower </w:t>
            </w:r>
            <w:proofErr w:type="spellStart"/>
            <w:r w:rsidRPr="00E74AAA">
              <w:rPr>
                <w:rFonts w:asciiTheme="minorHAnsi" w:hAnsiTheme="minorHAnsi" w:cstheme="minorHAnsi"/>
                <w:i/>
                <w:iCs/>
              </w:rPr>
              <w:t>Nyanga</w:t>
            </w:r>
            <w:proofErr w:type="spellEnd"/>
            <w:r w:rsidRPr="00E74AAA">
              <w:rPr>
                <w:rFonts w:asciiTheme="minorHAnsi" w:hAnsiTheme="minorHAnsi" w:cstheme="minorHAnsi"/>
                <w:i/>
                <w:iCs/>
              </w:rPr>
              <w:t xml:space="preserve"> Landscape Corridor, Gabon</w:t>
            </w:r>
            <w:r w:rsidRPr="00E74AAA">
              <w:rPr>
                <w:rFonts w:asciiTheme="minorHAnsi" w:hAnsiTheme="minorHAnsi" w:cstheme="minorHAnsi"/>
              </w:rPr>
              <w:t>”</w:t>
            </w:r>
          </w:p>
        </w:tc>
        <w:tc>
          <w:tcPr>
            <w:tcW w:w="576" w:type="pct"/>
            <w:tcBorders>
              <w:top w:val="nil"/>
              <w:left w:val="single" w:sz="4" w:space="0" w:color="auto"/>
              <w:bottom w:val="single" w:sz="4" w:space="0" w:color="auto"/>
              <w:right w:val="single" w:sz="4" w:space="0" w:color="auto"/>
            </w:tcBorders>
            <w:shd w:val="clear" w:color="auto" w:fill="auto"/>
            <w:vAlign w:val="center"/>
          </w:tcPr>
          <w:p w14:paraId="3466F65E"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Ministry of the Environment</w:t>
            </w:r>
          </w:p>
          <w:p w14:paraId="6D064F8F"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ANPN</w:t>
            </w:r>
          </w:p>
          <w:p w14:paraId="262711DE"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CNC</w:t>
            </w:r>
          </w:p>
          <w:p w14:paraId="43E5414C"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GEF</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DDAB"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UNDP</w:t>
            </w:r>
          </w:p>
        </w:tc>
        <w:tc>
          <w:tcPr>
            <w:tcW w:w="395" w:type="pct"/>
            <w:tcBorders>
              <w:top w:val="nil"/>
              <w:left w:val="single" w:sz="4" w:space="0" w:color="auto"/>
              <w:bottom w:val="single" w:sz="4" w:space="0" w:color="auto"/>
              <w:right w:val="single" w:sz="4" w:space="0" w:color="auto"/>
            </w:tcBorders>
            <w:shd w:val="clear" w:color="auto" w:fill="auto"/>
            <w:vAlign w:val="center"/>
          </w:tcPr>
          <w:p w14:paraId="1B72D9E4"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Project evaluation</w:t>
            </w:r>
          </w:p>
        </w:tc>
        <w:tc>
          <w:tcPr>
            <w:tcW w:w="414" w:type="pct"/>
            <w:tcBorders>
              <w:top w:val="nil"/>
              <w:left w:val="single" w:sz="4" w:space="0" w:color="auto"/>
              <w:bottom w:val="single" w:sz="4" w:space="0" w:color="auto"/>
              <w:right w:val="single" w:sz="4" w:space="0" w:color="auto"/>
            </w:tcBorders>
            <w:shd w:val="clear" w:color="auto" w:fill="auto"/>
            <w:vAlign w:val="center"/>
          </w:tcPr>
          <w:p w14:paraId="201DC178"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July 2025</w:t>
            </w:r>
          </w:p>
        </w:tc>
        <w:tc>
          <w:tcPr>
            <w:tcW w:w="378" w:type="pct"/>
            <w:tcBorders>
              <w:top w:val="nil"/>
              <w:left w:val="single" w:sz="4" w:space="0" w:color="auto"/>
              <w:bottom w:val="single" w:sz="4" w:space="0" w:color="auto"/>
              <w:right w:val="single" w:sz="4" w:space="0" w:color="auto"/>
            </w:tcBorders>
            <w:shd w:val="clear" w:color="auto" w:fill="auto"/>
            <w:vAlign w:val="center"/>
          </w:tcPr>
          <w:p w14:paraId="3093D091"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USD 25,000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51874"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Project funding</w:t>
            </w:r>
          </w:p>
        </w:tc>
      </w:tr>
      <w:tr w:rsidR="00913711" w:rsidRPr="00E74AAA" w14:paraId="6C82FF20" w14:textId="77777777" w:rsidTr="00E44106">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7141F" w14:textId="77777777" w:rsidR="00913711" w:rsidRPr="00E74AAA" w:rsidRDefault="00913711" w:rsidP="00E44106">
            <w:pPr>
              <w:rPr>
                <w:rFonts w:asciiTheme="minorHAnsi" w:hAnsiTheme="minorHAnsi" w:cstheme="minorHAnsi"/>
              </w:rPr>
            </w:pPr>
            <w:r>
              <w:rPr>
                <w:rFonts w:asciiTheme="minorHAnsi" w:hAnsiTheme="minorHAnsi" w:cstheme="minorHAnsi"/>
              </w:rPr>
              <w:t>5</w:t>
            </w:r>
          </w:p>
        </w:tc>
        <w:tc>
          <w:tcPr>
            <w:tcW w:w="886" w:type="pct"/>
            <w:tcBorders>
              <w:left w:val="single" w:sz="4" w:space="0" w:color="auto"/>
              <w:right w:val="single" w:sz="4" w:space="0" w:color="auto"/>
            </w:tcBorders>
            <w:shd w:val="clear" w:color="auto" w:fill="FFFFFF" w:themeFill="background1"/>
            <w:vAlign w:val="center"/>
          </w:tcPr>
          <w:p w14:paraId="090BA189" w14:textId="77777777" w:rsidR="00913711" w:rsidRPr="00E74AAA" w:rsidRDefault="00913711" w:rsidP="00E44106">
            <w:pPr>
              <w:rPr>
                <w:rFonts w:asciiTheme="minorHAnsi" w:hAnsiTheme="minorHAnsi" w:cstheme="minorHAnsi"/>
                <w:sz w:val="18"/>
                <w:szCs w:val="18"/>
              </w:rPr>
            </w:pPr>
            <w:r w:rsidRPr="00E74AAA">
              <w:rPr>
                <w:rFonts w:asciiTheme="minorHAnsi" w:hAnsiTheme="minorHAnsi" w:cstheme="minorHAnsi"/>
                <w:sz w:val="18"/>
                <w:szCs w:val="18"/>
              </w:rPr>
              <w:t xml:space="preserve">Outcome 2: By 2027, populations, especially youth and women, participate in the sustainable management of natural resources and benefit from the fruits of a controlled transition to a green </w:t>
            </w:r>
            <w:r w:rsidRPr="00E74AAA">
              <w:rPr>
                <w:rFonts w:asciiTheme="minorHAnsi" w:hAnsiTheme="minorHAnsi" w:cstheme="minorHAnsi"/>
                <w:sz w:val="18"/>
                <w:szCs w:val="18"/>
              </w:rPr>
              <w:lastRenderedPageBreak/>
              <w:t>and blue economy in an environment more resilient to climate change (SDGs 1, 5, 6, 8, 9, 10, 11, 12, 13, 14, 15, 17)</w:t>
            </w:r>
          </w:p>
        </w:tc>
        <w:tc>
          <w:tcPr>
            <w:tcW w:w="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0C80F" w14:textId="77777777" w:rsidR="00913711" w:rsidRPr="001C0F9F" w:rsidRDefault="00913711" w:rsidP="00E44106">
            <w:pPr>
              <w:rPr>
                <w:rFonts w:asciiTheme="minorHAnsi" w:hAnsiTheme="minorHAnsi" w:cstheme="minorHAnsi"/>
              </w:rPr>
            </w:pPr>
            <w:r w:rsidRPr="001C0F9F">
              <w:rPr>
                <w:rFonts w:asciiTheme="minorHAnsi" w:hAnsiTheme="minorHAnsi" w:cstheme="minorHAnsi"/>
              </w:rPr>
              <w:lastRenderedPageBreak/>
              <w:t>Outcome 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36479F46" w14:textId="77777777" w:rsidR="00913711" w:rsidRPr="00E74AAA" w:rsidRDefault="00913711" w:rsidP="00E44106">
            <w:pPr>
              <w:rPr>
                <w:rFonts w:asciiTheme="minorHAnsi" w:hAnsiTheme="minorHAnsi" w:cstheme="minorHAnsi"/>
              </w:rPr>
            </w:pPr>
            <w:r w:rsidRPr="00E74AAA">
              <w:rPr>
                <w:rFonts w:asciiTheme="minorHAnsi" w:hAnsiTheme="minorHAnsi" w:cstheme="minorHAnsi"/>
              </w:rPr>
              <w:t>Final GEF Project Evaluation: “</w:t>
            </w:r>
            <w:r w:rsidRPr="00E74AAA">
              <w:rPr>
                <w:rFonts w:asciiTheme="minorHAnsi" w:hAnsiTheme="minorHAnsi" w:cstheme="minorHAnsi"/>
                <w:i/>
                <w:iCs/>
              </w:rPr>
              <w:t xml:space="preserve">Transforming Forest Landscape Governance in the </w:t>
            </w:r>
            <w:r w:rsidRPr="00E74AAA">
              <w:rPr>
                <w:rFonts w:asciiTheme="minorHAnsi" w:hAnsiTheme="minorHAnsi" w:cstheme="minorHAnsi"/>
                <w:i/>
                <w:iCs/>
              </w:rPr>
              <w:lastRenderedPageBreak/>
              <w:t xml:space="preserve">Lower </w:t>
            </w:r>
            <w:proofErr w:type="spellStart"/>
            <w:r w:rsidRPr="00E74AAA">
              <w:rPr>
                <w:rFonts w:asciiTheme="minorHAnsi" w:hAnsiTheme="minorHAnsi" w:cstheme="minorHAnsi"/>
                <w:i/>
                <w:iCs/>
              </w:rPr>
              <w:t>Ogooué</w:t>
            </w:r>
            <w:proofErr w:type="spellEnd"/>
            <w:r w:rsidRPr="00E74AAA">
              <w:rPr>
                <w:rFonts w:asciiTheme="minorHAnsi" w:hAnsiTheme="minorHAnsi" w:cstheme="minorHAnsi"/>
                <w:i/>
                <w:iCs/>
              </w:rPr>
              <w:t xml:space="preserve"> – Lower </w:t>
            </w:r>
            <w:proofErr w:type="spellStart"/>
            <w:r w:rsidRPr="00E74AAA">
              <w:rPr>
                <w:rFonts w:asciiTheme="minorHAnsi" w:hAnsiTheme="minorHAnsi" w:cstheme="minorHAnsi"/>
                <w:i/>
                <w:iCs/>
              </w:rPr>
              <w:t>Nyanga</w:t>
            </w:r>
            <w:proofErr w:type="spellEnd"/>
            <w:r w:rsidRPr="00E74AAA">
              <w:rPr>
                <w:rFonts w:asciiTheme="minorHAnsi" w:hAnsiTheme="minorHAnsi" w:cstheme="minorHAnsi"/>
                <w:i/>
                <w:iCs/>
              </w:rPr>
              <w:t xml:space="preserve"> Landscape Corridor, Gabon</w:t>
            </w:r>
            <w:r w:rsidRPr="00E74AAA">
              <w:rPr>
                <w:rFonts w:asciiTheme="minorHAnsi" w:hAnsiTheme="minorHAnsi" w:cstheme="minorHAnsi"/>
              </w:rPr>
              <w:t>”</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74B60044"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lastRenderedPageBreak/>
              <w:t>Ministry of the Environment</w:t>
            </w:r>
          </w:p>
          <w:p w14:paraId="0535279E"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ANPN</w:t>
            </w:r>
          </w:p>
          <w:p w14:paraId="633D9610"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CDC</w:t>
            </w:r>
          </w:p>
          <w:p w14:paraId="4CB2D075"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lastRenderedPageBreak/>
              <w:t>CNC</w:t>
            </w:r>
          </w:p>
          <w:p w14:paraId="02F400E2"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GEF</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2928D"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lastRenderedPageBreak/>
              <w:t>UNDP</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A4D0AC2"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Project evaluation</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8A295A8"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July 2027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0543E6C"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USD 30,000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BA0C1"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Project funding</w:t>
            </w:r>
          </w:p>
        </w:tc>
      </w:tr>
      <w:tr w:rsidR="00913711" w:rsidRPr="00E74AAA" w14:paraId="698D6734" w14:textId="77777777" w:rsidTr="00E44106">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267EE" w14:textId="77777777" w:rsidR="00913711" w:rsidRPr="00E74AAA" w:rsidRDefault="00913711" w:rsidP="00E44106">
            <w:pPr>
              <w:rPr>
                <w:rFonts w:asciiTheme="minorHAnsi" w:hAnsiTheme="minorHAnsi" w:cstheme="minorHAnsi"/>
              </w:rPr>
            </w:pPr>
            <w:r>
              <w:rPr>
                <w:rFonts w:asciiTheme="minorHAnsi" w:hAnsiTheme="minorHAnsi" w:cstheme="minorHAnsi"/>
              </w:rPr>
              <w:t>6</w:t>
            </w:r>
          </w:p>
        </w:tc>
        <w:tc>
          <w:tcPr>
            <w:tcW w:w="886" w:type="pct"/>
            <w:tcBorders>
              <w:left w:val="single" w:sz="4" w:space="0" w:color="auto"/>
              <w:bottom w:val="single" w:sz="4" w:space="0" w:color="auto"/>
              <w:right w:val="single" w:sz="4" w:space="0" w:color="auto"/>
            </w:tcBorders>
            <w:shd w:val="clear" w:color="auto" w:fill="FFFFFF" w:themeFill="background1"/>
            <w:vAlign w:val="center"/>
          </w:tcPr>
          <w:p w14:paraId="3DDA18A9" w14:textId="77777777" w:rsidR="00913711" w:rsidRPr="00E74AAA" w:rsidRDefault="00913711" w:rsidP="00E44106">
            <w:pPr>
              <w:rPr>
                <w:rFonts w:asciiTheme="minorHAnsi" w:hAnsiTheme="minorHAnsi" w:cstheme="minorHAnsi"/>
                <w:sz w:val="18"/>
                <w:szCs w:val="18"/>
              </w:rPr>
            </w:pPr>
            <w:r w:rsidRPr="00E74AAA">
              <w:rPr>
                <w:rFonts w:asciiTheme="minorHAnsi" w:hAnsiTheme="minorHAnsi" w:cstheme="minorHAnsi"/>
                <w:sz w:val="18"/>
                <w:szCs w:val="18"/>
              </w:rPr>
              <w:t>Outcome 2: By 2027, populations, especially youth and women, participate in the sustainable management of natural resources and benefit from the fruits of a controlled transition to a green and blue economy in an environment more resilient to climate change (SDGs 1, 5, 6, 8, 9, 10, 11, 12, 13, 14, 15, 17)</w:t>
            </w:r>
          </w:p>
        </w:tc>
        <w:tc>
          <w:tcPr>
            <w:tcW w:w="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0E754" w14:textId="77777777" w:rsidR="00913711" w:rsidRPr="005A5F09" w:rsidRDefault="00913711" w:rsidP="00E44106">
            <w:pPr>
              <w:rPr>
                <w:rFonts w:asciiTheme="minorHAnsi" w:hAnsiTheme="minorHAnsi" w:cstheme="minorHAnsi"/>
              </w:rPr>
            </w:pPr>
            <w:r w:rsidRPr="005A5F09">
              <w:rPr>
                <w:rFonts w:asciiTheme="minorHAnsi" w:hAnsiTheme="minorHAnsi" w:cstheme="minorHAnsi"/>
              </w:rPr>
              <w:t>Outcome 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1EE77CDA" w14:textId="77777777" w:rsidR="00913711" w:rsidRPr="00E74AAA" w:rsidRDefault="00913711" w:rsidP="00E44106">
            <w:pPr>
              <w:rPr>
                <w:rFonts w:asciiTheme="minorHAnsi" w:hAnsiTheme="minorHAnsi" w:cstheme="minorHAnsi"/>
                <w:lang w:val="fr-SN"/>
              </w:rPr>
            </w:pPr>
            <w:r w:rsidRPr="00E74AAA">
              <w:rPr>
                <w:rFonts w:asciiTheme="minorHAnsi" w:hAnsiTheme="minorHAnsi" w:cstheme="minorHAnsi"/>
                <w:lang w:val="fr-SN"/>
              </w:rPr>
              <w:t xml:space="preserve">Final </w:t>
            </w:r>
            <w:proofErr w:type="spellStart"/>
            <w:r w:rsidRPr="00E74AAA">
              <w:rPr>
                <w:rFonts w:asciiTheme="minorHAnsi" w:hAnsiTheme="minorHAnsi" w:cstheme="minorHAnsi"/>
                <w:lang w:val="fr-SN"/>
              </w:rPr>
              <w:t>project</w:t>
            </w:r>
            <w:proofErr w:type="spellEnd"/>
            <w:r w:rsidRPr="00E74AAA">
              <w:rPr>
                <w:rFonts w:asciiTheme="minorHAnsi" w:hAnsiTheme="minorHAnsi" w:cstheme="minorHAnsi"/>
                <w:lang w:val="fr-SN"/>
              </w:rPr>
              <w:t xml:space="preserve"> </w:t>
            </w:r>
            <w:proofErr w:type="spellStart"/>
            <w:r w:rsidRPr="00E74AAA">
              <w:rPr>
                <w:rFonts w:asciiTheme="minorHAnsi" w:hAnsiTheme="minorHAnsi" w:cstheme="minorHAnsi"/>
                <w:lang w:val="fr-SN"/>
              </w:rPr>
              <w:t>evaluation</w:t>
            </w:r>
            <w:proofErr w:type="spellEnd"/>
            <w:r w:rsidRPr="00E74AAA">
              <w:rPr>
                <w:rFonts w:asciiTheme="minorHAnsi" w:hAnsiTheme="minorHAnsi" w:cstheme="minorHAnsi"/>
                <w:lang w:val="fr-SN"/>
              </w:rPr>
              <w:t>: «</w:t>
            </w:r>
            <w:r w:rsidRPr="00E74AAA">
              <w:rPr>
                <w:rFonts w:asciiTheme="minorHAnsi" w:hAnsiTheme="minorHAnsi" w:cstheme="minorHAnsi"/>
                <w:i/>
                <w:iCs/>
                <w:lang w:val="fr-SN"/>
              </w:rPr>
              <w:t> CAFI 3 : Offrir aux populations urbaines des possibilités d'éducation et d'accès aux jardins forestiers et aux parcs urbains</w:t>
            </w:r>
            <w:r w:rsidRPr="00E74AAA">
              <w:rPr>
                <w:rFonts w:asciiTheme="minorHAnsi" w:hAnsiTheme="minorHAnsi" w:cstheme="minorHAnsi"/>
                <w:lang w:val="fr-SN"/>
              </w:rPr>
              <w:t> »</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31AD6A13"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Ministries in charge of the Environment, Economy, Budget</w:t>
            </w:r>
          </w:p>
          <w:p w14:paraId="64CB1B30"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RCO</w:t>
            </w:r>
          </w:p>
          <w:p w14:paraId="5EDEFACB"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UNESCO</w:t>
            </w:r>
          </w:p>
          <w:p w14:paraId="2B482F57"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ANPN</w:t>
            </w:r>
          </w:p>
          <w:p w14:paraId="0B4CDE2C" w14:textId="77777777" w:rsidR="00913711" w:rsidRPr="00E74AAA" w:rsidRDefault="00913711" w:rsidP="00E44106">
            <w:pPr>
              <w:pStyle w:val="ListParagraph"/>
              <w:numPr>
                <w:ilvl w:val="0"/>
                <w:numId w:val="22"/>
              </w:numPr>
              <w:ind w:left="255" w:hanging="247"/>
              <w:rPr>
                <w:rFonts w:asciiTheme="minorHAnsi" w:hAnsiTheme="minorHAnsi" w:cstheme="minorHAnsi"/>
              </w:rPr>
            </w:pPr>
            <w:r w:rsidRPr="00E74AAA">
              <w:rPr>
                <w:rFonts w:asciiTheme="minorHAnsi" w:hAnsiTheme="minorHAnsi" w:cstheme="minorHAnsi"/>
              </w:rPr>
              <w:t>CNC</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3EEFD"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UNDP</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0F2431CF"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Project evaluation</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A979A21"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September 2027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500CC37"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USD 30,000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726EF" w14:textId="77777777" w:rsidR="00913711" w:rsidRPr="00E74AAA" w:rsidRDefault="00913711" w:rsidP="00E44106">
            <w:pPr>
              <w:jc w:val="center"/>
              <w:rPr>
                <w:rFonts w:asciiTheme="minorHAnsi" w:hAnsiTheme="minorHAnsi" w:cstheme="minorHAnsi"/>
              </w:rPr>
            </w:pPr>
            <w:r w:rsidRPr="00E74AAA">
              <w:rPr>
                <w:rFonts w:asciiTheme="minorHAnsi" w:hAnsiTheme="minorHAnsi" w:cstheme="minorHAnsi"/>
              </w:rPr>
              <w:t>Project funding</w:t>
            </w:r>
          </w:p>
        </w:tc>
      </w:tr>
    </w:tbl>
    <w:p w14:paraId="4F47A197" w14:textId="44309210" w:rsidR="004D059F" w:rsidRPr="00B939B5" w:rsidRDefault="004D059F" w:rsidP="00913711">
      <w:pPr>
        <w:spacing w:after="240" w:line="259" w:lineRule="auto"/>
        <w:jc w:val="both"/>
        <w:rPr>
          <w:rFonts w:ascii="Times New Roman" w:hAnsi="Times New Roman" w:cs="Times New Roman"/>
        </w:rPr>
      </w:pPr>
    </w:p>
    <w:sectPr w:rsidR="004D059F" w:rsidRPr="00B939B5" w:rsidSect="004D059F">
      <w:footerReference w:type="default" r:id="rId12"/>
      <w:pgSz w:w="16834" w:h="11909" w:orient="landscape" w:code="9"/>
      <w:pgMar w:top="1267" w:right="994"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E7F5" w14:textId="77777777" w:rsidR="00B0246E" w:rsidRDefault="00B0246E" w:rsidP="00222287">
      <w:r>
        <w:rPr>
          <w:lang w:val="fr"/>
        </w:rPr>
        <w:separator/>
      </w:r>
    </w:p>
  </w:endnote>
  <w:endnote w:type="continuationSeparator" w:id="0">
    <w:p w14:paraId="69999FEA" w14:textId="77777777" w:rsidR="00B0246E" w:rsidRDefault="00B0246E" w:rsidP="00222287">
      <w:r>
        <w:rPr>
          <w:lang w:val="fr"/>
        </w:rPr>
        <w:continuationSeparator/>
      </w:r>
    </w:p>
  </w:endnote>
  <w:endnote w:type="continuationNotice" w:id="1">
    <w:p w14:paraId="10F5859B" w14:textId="77777777" w:rsidR="00D17A3A" w:rsidRDefault="00D1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23140"/>
      <w:docPartObj>
        <w:docPartGallery w:val="Page Numbers (Bottom of Page)"/>
        <w:docPartUnique/>
      </w:docPartObj>
    </w:sdtPr>
    <w:sdtEndPr>
      <w:rPr>
        <w:color w:val="7F7F7F" w:themeColor="background1" w:themeShade="7F"/>
        <w:spacing w:val="60"/>
      </w:rPr>
    </w:sdtEndPr>
    <w:sdtContent>
      <w:p w14:paraId="526C4E80" w14:textId="2C6F2AFA" w:rsidR="00DB0737" w:rsidRDefault="00DB0737">
        <w:pPr>
          <w:pStyle w:val="Footer"/>
          <w:pBdr>
            <w:top w:val="single" w:sz="4" w:space="1" w:color="D9D9D9" w:themeColor="background1" w:themeShade="D9"/>
          </w:pBdr>
          <w:jc w:val="right"/>
        </w:pPr>
        <w:r>
          <w:rPr>
            <w:lang w:val="fr"/>
          </w:rPr>
          <w:fldChar w:fldCharType="begin"/>
        </w:r>
        <w:r>
          <w:rPr>
            <w:lang w:val="fr"/>
          </w:rPr>
          <w:instrText xml:space="preserve"> PAGE   \* MERGEFORMAT </w:instrText>
        </w:r>
        <w:r>
          <w:rPr>
            <w:lang w:val="fr"/>
          </w:rPr>
          <w:fldChar w:fldCharType="separate"/>
        </w:r>
        <w:r>
          <w:rPr>
            <w:noProof/>
            <w:lang w:val="fr"/>
          </w:rPr>
          <w:t>2</w:t>
        </w:r>
        <w:r>
          <w:rPr>
            <w:noProof/>
            <w:lang w:val="fr"/>
          </w:rPr>
          <w:fldChar w:fldCharType="end"/>
        </w:r>
        <w:r>
          <w:rPr>
            <w:lang w:val="fr"/>
          </w:rPr>
          <w:t xml:space="preserve"> | </w:t>
        </w:r>
        <w:r>
          <w:rPr>
            <w:color w:val="7F7F7F" w:themeColor="background1" w:themeShade="7F"/>
            <w:spacing w:val="60"/>
            <w:lang w:val="fr"/>
          </w:rPr>
          <w:t>Page</w:t>
        </w:r>
      </w:p>
    </w:sdtContent>
  </w:sdt>
  <w:p w14:paraId="49F8B771" w14:textId="77777777" w:rsidR="00074834" w:rsidRDefault="00074834" w:rsidP="004141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9FF1" w14:textId="77777777" w:rsidR="00B0246E" w:rsidRDefault="00B0246E" w:rsidP="00222287">
      <w:r>
        <w:rPr>
          <w:lang w:val="fr"/>
        </w:rPr>
        <w:separator/>
      </w:r>
    </w:p>
  </w:footnote>
  <w:footnote w:type="continuationSeparator" w:id="0">
    <w:p w14:paraId="6063E084" w14:textId="77777777" w:rsidR="00B0246E" w:rsidRDefault="00B0246E" w:rsidP="00222287">
      <w:r>
        <w:rPr>
          <w:lang w:val="fr"/>
        </w:rPr>
        <w:continuationSeparator/>
      </w:r>
    </w:p>
  </w:footnote>
  <w:footnote w:type="continuationNotice" w:id="1">
    <w:p w14:paraId="5B1DBEBE" w14:textId="77777777" w:rsidR="00D17A3A" w:rsidRDefault="00D17A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26"/>
    <w:multiLevelType w:val="hybridMultilevel"/>
    <w:tmpl w:val="070C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E7112"/>
    <w:multiLevelType w:val="hybridMultilevel"/>
    <w:tmpl w:val="8368C916"/>
    <w:lvl w:ilvl="0" w:tplc="E1D432F0">
      <w:start w:val="1"/>
      <w:numFmt w:val="decimal"/>
      <w:lvlText w:val="%1."/>
      <w:lvlJc w:val="left"/>
      <w:pPr>
        <w:ind w:left="645" w:hanging="360"/>
      </w:pPr>
      <w:rPr>
        <w:rFonts w:ascii="Times New Roman" w:hAnsi="Times New Roman" w:cs="Times New Roman" w:hint="default"/>
      </w:rPr>
    </w:lvl>
    <w:lvl w:ilvl="1" w:tplc="20000019" w:tentative="1">
      <w:start w:val="1"/>
      <w:numFmt w:val="lowerLetter"/>
      <w:lvlText w:val="%2."/>
      <w:lvlJc w:val="left"/>
      <w:pPr>
        <w:ind w:left="1365" w:hanging="360"/>
      </w:pPr>
    </w:lvl>
    <w:lvl w:ilvl="2" w:tplc="2000001B" w:tentative="1">
      <w:start w:val="1"/>
      <w:numFmt w:val="lowerRoman"/>
      <w:lvlText w:val="%3."/>
      <w:lvlJc w:val="right"/>
      <w:pPr>
        <w:ind w:left="2085" w:hanging="180"/>
      </w:pPr>
    </w:lvl>
    <w:lvl w:ilvl="3" w:tplc="2000000F" w:tentative="1">
      <w:start w:val="1"/>
      <w:numFmt w:val="decimal"/>
      <w:lvlText w:val="%4."/>
      <w:lvlJc w:val="left"/>
      <w:pPr>
        <w:ind w:left="2805" w:hanging="360"/>
      </w:pPr>
    </w:lvl>
    <w:lvl w:ilvl="4" w:tplc="20000019" w:tentative="1">
      <w:start w:val="1"/>
      <w:numFmt w:val="lowerLetter"/>
      <w:lvlText w:val="%5."/>
      <w:lvlJc w:val="left"/>
      <w:pPr>
        <w:ind w:left="3525" w:hanging="360"/>
      </w:pPr>
    </w:lvl>
    <w:lvl w:ilvl="5" w:tplc="2000001B" w:tentative="1">
      <w:start w:val="1"/>
      <w:numFmt w:val="lowerRoman"/>
      <w:lvlText w:val="%6."/>
      <w:lvlJc w:val="right"/>
      <w:pPr>
        <w:ind w:left="4245" w:hanging="180"/>
      </w:pPr>
    </w:lvl>
    <w:lvl w:ilvl="6" w:tplc="2000000F" w:tentative="1">
      <w:start w:val="1"/>
      <w:numFmt w:val="decimal"/>
      <w:lvlText w:val="%7."/>
      <w:lvlJc w:val="left"/>
      <w:pPr>
        <w:ind w:left="4965" w:hanging="360"/>
      </w:pPr>
    </w:lvl>
    <w:lvl w:ilvl="7" w:tplc="20000019" w:tentative="1">
      <w:start w:val="1"/>
      <w:numFmt w:val="lowerLetter"/>
      <w:lvlText w:val="%8."/>
      <w:lvlJc w:val="left"/>
      <w:pPr>
        <w:ind w:left="5685" w:hanging="360"/>
      </w:pPr>
    </w:lvl>
    <w:lvl w:ilvl="8" w:tplc="2000001B" w:tentative="1">
      <w:start w:val="1"/>
      <w:numFmt w:val="lowerRoman"/>
      <w:lvlText w:val="%9."/>
      <w:lvlJc w:val="right"/>
      <w:pPr>
        <w:ind w:left="6405" w:hanging="180"/>
      </w:pPr>
    </w:lvl>
  </w:abstractNum>
  <w:abstractNum w:abstractNumId="2" w15:restartNumberingAfterBreak="0">
    <w:nsid w:val="16E44F25"/>
    <w:multiLevelType w:val="hybridMultilevel"/>
    <w:tmpl w:val="EACC2660"/>
    <w:lvl w:ilvl="0" w:tplc="F8B0FE9C">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90F8F"/>
    <w:multiLevelType w:val="hybridMultilevel"/>
    <w:tmpl w:val="42C0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247C4"/>
    <w:multiLevelType w:val="hybridMultilevel"/>
    <w:tmpl w:val="EA66E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2335E0"/>
    <w:multiLevelType w:val="hybridMultilevel"/>
    <w:tmpl w:val="4720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34998"/>
    <w:multiLevelType w:val="hybridMultilevel"/>
    <w:tmpl w:val="A6F4800E"/>
    <w:lvl w:ilvl="0" w:tplc="7E2A8B5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262C5"/>
    <w:multiLevelType w:val="hybridMultilevel"/>
    <w:tmpl w:val="E69A4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920007"/>
    <w:multiLevelType w:val="hybridMultilevel"/>
    <w:tmpl w:val="77CE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C1E82"/>
    <w:multiLevelType w:val="hybridMultilevel"/>
    <w:tmpl w:val="193C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44708"/>
    <w:multiLevelType w:val="hybridMultilevel"/>
    <w:tmpl w:val="2D76780E"/>
    <w:lvl w:ilvl="0" w:tplc="A2DE87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82EC7"/>
    <w:multiLevelType w:val="hybridMultilevel"/>
    <w:tmpl w:val="3A48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E640E"/>
    <w:multiLevelType w:val="hybridMultilevel"/>
    <w:tmpl w:val="BE4CE5F4"/>
    <w:lvl w:ilvl="0" w:tplc="E802254C">
      <w:start w:val="1"/>
      <w:numFmt w:val="decimal"/>
      <w:lvlText w:val="%1."/>
      <w:lvlJc w:val="left"/>
      <w:pPr>
        <w:ind w:left="360" w:hanging="360"/>
      </w:pPr>
      <w:rPr>
        <w:rFonts w:ascii="Cambria" w:eastAsiaTheme="minorHAnsi" w:hAnsi="Cambria" w:cs="Calibri"/>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b w:val="0"/>
        <w:i w:val="0"/>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E1054C"/>
    <w:multiLevelType w:val="hybridMultilevel"/>
    <w:tmpl w:val="2F6A8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0E4EC8"/>
    <w:multiLevelType w:val="hybridMultilevel"/>
    <w:tmpl w:val="2950525C"/>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C93452"/>
    <w:multiLevelType w:val="hybridMultilevel"/>
    <w:tmpl w:val="F36280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52F0852"/>
    <w:multiLevelType w:val="hybridMultilevel"/>
    <w:tmpl w:val="C59EC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AB0248"/>
    <w:multiLevelType w:val="hybridMultilevel"/>
    <w:tmpl w:val="43BE4E58"/>
    <w:lvl w:ilvl="0" w:tplc="7E2A8B5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34919"/>
    <w:multiLevelType w:val="hybridMultilevel"/>
    <w:tmpl w:val="1598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1028C3"/>
    <w:multiLevelType w:val="hybridMultilevel"/>
    <w:tmpl w:val="DA08F8A8"/>
    <w:lvl w:ilvl="0" w:tplc="04090005">
      <w:start w:val="1"/>
      <w:numFmt w:val="bullet"/>
      <w:lvlText w:val=""/>
      <w:lvlJc w:val="left"/>
      <w:pPr>
        <w:ind w:left="726" w:hanging="720"/>
      </w:pPr>
      <w:rPr>
        <w:rFonts w:ascii="Wingdings" w:hAnsi="Wingdings" w:hint="default"/>
        <w:b/>
      </w:r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 w15:restartNumberingAfterBreak="0">
    <w:nsid w:val="74DC5DB9"/>
    <w:multiLevelType w:val="hybridMultilevel"/>
    <w:tmpl w:val="AA089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4C22A3"/>
    <w:multiLevelType w:val="hybridMultilevel"/>
    <w:tmpl w:val="F836EC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7B930A16"/>
    <w:multiLevelType w:val="hybridMultilevel"/>
    <w:tmpl w:val="27E27082"/>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081228"/>
    <w:multiLevelType w:val="hybridMultilevel"/>
    <w:tmpl w:val="64BE53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2"/>
  </w:num>
  <w:num w:numId="4">
    <w:abstractNumId w:val="11"/>
  </w:num>
  <w:num w:numId="5">
    <w:abstractNumId w:val="14"/>
  </w:num>
  <w:num w:numId="6">
    <w:abstractNumId w:val="0"/>
  </w:num>
  <w:num w:numId="7">
    <w:abstractNumId w:val="20"/>
  </w:num>
  <w:num w:numId="8">
    <w:abstractNumId w:val="5"/>
  </w:num>
  <w:num w:numId="9">
    <w:abstractNumId w:val="19"/>
  </w:num>
  <w:num w:numId="10">
    <w:abstractNumId w:val="1"/>
  </w:num>
  <w:num w:numId="11">
    <w:abstractNumId w:val="16"/>
  </w:num>
  <w:num w:numId="12">
    <w:abstractNumId w:val="18"/>
  </w:num>
  <w:num w:numId="13">
    <w:abstractNumId w:val="7"/>
  </w:num>
  <w:num w:numId="14">
    <w:abstractNumId w:val="13"/>
  </w:num>
  <w:num w:numId="15">
    <w:abstractNumId w:val="4"/>
  </w:num>
  <w:num w:numId="16">
    <w:abstractNumId w:val="8"/>
  </w:num>
  <w:num w:numId="17">
    <w:abstractNumId w:val="3"/>
  </w:num>
  <w:num w:numId="18">
    <w:abstractNumId w:val="6"/>
  </w:num>
  <w:num w:numId="19">
    <w:abstractNumId w:val="17"/>
  </w:num>
  <w:num w:numId="20">
    <w:abstractNumId w:val="10"/>
  </w:num>
  <w:num w:numId="21">
    <w:abstractNumId w:val="9"/>
  </w:num>
  <w:num w:numId="22">
    <w:abstractNumId w:val="21"/>
  </w:num>
  <w:num w:numId="23">
    <w:abstractNumId w:val="15"/>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F7"/>
    <w:rsid w:val="0000190E"/>
    <w:rsid w:val="00003A38"/>
    <w:rsid w:val="00013C87"/>
    <w:rsid w:val="0001620C"/>
    <w:rsid w:val="00017A03"/>
    <w:rsid w:val="00017C5D"/>
    <w:rsid w:val="00021F65"/>
    <w:rsid w:val="00026819"/>
    <w:rsid w:val="000272F9"/>
    <w:rsid w:val="0003174D"/>
    <w:rsid w:val="00031FCF"/>
    <w:rsid w:val="00033E09"/>
    <w:rsid w:val="00034C9E"/>
    <w:rsid w:val="00036DC3"/>
    <w:rsid w:val="00037C9B"/>
    <w:rsid w:val="000453CB"/>
    <w:rsid w:val="00047446"/>
    <w:rsid w:val="000477CC"/>
    <w:rsid w:val="00054D86"/>
    <w:rsid w:val="000570D2"/>
    <w:rsid w:val="000579C2"/>
    <w:rsid w:val="0006125D"/>
    <w:rsid w:val="000650F7"/>
    <w:rsid w:val="000704CE"/>
    <w:rsid w:val="00074834"/>
    <w:rsid w:val="00076573"/>
    <w:rsid w:val="000769F7"/>
    <w:rsid w:val="00082A4B"/>
    <w:rsid w:val="00084B84"/>
    <w:rsid w:val="00084D12"/>
    <w:rsid w:val="0008584E"/>
    <w:rsid w:val="000A71CD"/>
    <w:rsid w:val="000B09B1"/>
    <w:rsid w:val="000B58AD"/>
    <w:rsid w:val="000C0128"/>
    <w:rsid w:val="000C2303"/>
    <w:rsid w:val="000C70C7"/>
    <w:rsid w:val="000D0B84"/>
    <w:rsid w:val="000D308A"/>
    <w:rsid w:val="000D5654"/>
    <w:rsid w:val="000D68AA"/>
    <w:rsid w:val="000D7B7C"/>
    <w:rsid w:val="000E070A"/>
    <w:rsid w:val="000E1B3B"/>
    <w:rsid w:val="000E3BF3"/>
    <w:rsid w:val="000E5D00"/>
    <w:rsid w:val="000E6785"/>
    <w:rsid w:val="000F2135"/>
    <w:rsid w:val="000F7009"/>
    <w:rsid w:val="000F7329"/>
    <w:rsid w:val="00104A1A"/>
    <w:rsid w:val="0010522E"/>
    <w:rsid w:val="00112448"/>
    <w:rsid w:val="00114AD1"/>
    <w:rsid w:val="00117CE1"/>
    <w:rsid w:val="00125640"/>
    <w:rsid w:val="00130B41"/>
    <w:rsid w:val="00132123"/>
    <w:rsid w:val="00132D1A"/>
    <w:rsid w:val="001371B1"/>
    <w:rsid w:val="0013750A"/>
    <w:rsid w:val="0014181C"/>
    <w:rsid w:val="00152141"/>
    <w:rsid w:val="001548DA"/>
    <w:rsid w:val="00160357"/>
    <w:rsid w:val="00164CE8"/>
    <w:rsid w:val="00166253"/>
    <w:rsid w:val="00167D56"/>
    <w:rsid w:val="001746B8"/>
    <w:rsid w:val="001776E5"/>
    <w:rsid w:val="00184299"/>
    <w:rsid w:val="00191D1D"/>
    <w:rsid w:val="00193F9E"/>
    <w:rsid w:val="00194AC2"/>
    <w:rsid w:val="001977FD"/>
    <w:rsid w:val="001A5800"/>
    <w:rsid w:val="001B3F01"/>
    <w:rsid w:val="001C054F"/>
    <w:rsid w:val="001C0F9F"/>
    <w:rsid w:val="001C23D9"/>
    <w:rsid w:val="001D29EA"/>
    <w:rsid w:val="001D4047"/>
    <w:rsid w:val="001E6EBC"/>
    <w:rsid w:val="001E73D5"/>
    <w:rsid w:val="001F3AD3"/>
    <w:rsid w:val="001F59A4"/>
    <w:rsid w:val="0020376D"/>
    <w:rsid w:val="00203E6E"/>
    <w:rsid w:val="00204654"/>
    <w:rsid w:val="002148D1"/>
    <w:rsid w:val="00216FF2"/>
    <w:rsid w:val="00220C2F"/>
    <w:rsid w:val="0022141F"/>
    <w:rsid w:val="00222287"/>
    <w:rsid w:val="00223C61"/>
    <w:rsid w:val="00227503"/>
    <w:rsid w:val="00227DFD"/>
    <w:rsid w:val="002323F6"/>
    <w:rsid w:val="00252F18"/>
    <w:rsid w:val="002531EC"/>
    <w:rsid w:val="00265C0D"/>
    <w:rsid w:val="00280136"/>
    <w:rsid w:val="002811DC"/>
    <w:rsid w:val="002823C8"/>
    <w:rsid w:val="00283764"/>
    <w:rsid w:val="00284E3A"/>
    <w:rsid w:val="002903B2"/>
    <w:rsid w:val="00291D09"/>
    <w:rsid w:val="00292024"/>
    <w:rsid w:val="00293ED8"/>
    <w:rsid w:val="002974C9"/>
    <w:rsid w:val="002A4027"/>
    <w:rsid w:val="002A6B95"/>
    <w:rsid w:val="002B2261"/>
    <w:rsid w:val="002B441D"/>
    <w:rsid w:val="002C276C"/>
    <w:rsid w:val="002C4DD0"/>
    <w:rsid w:val="002C68E0"/>
    <w:rsid w:val="002D072A"/>
    <w:rsid w:val="002E0CA7"/>
    <w:rsid w:val="002E1614"/>
    <w:rsid w:val="002E3FCB"/>
    <w:rsid w:val="002E7347"/>
    <w:rsid w:val="002F03CE"/>
    <w:rsid w:val="002F362E"/>
    <w:rsid w:val="00300252"/>
    <w:rsid w:val="003014A5"/>
    <w:rsid w:val="00306D1A"/>
    <w:rsid w:val="0030720D"/>
    <w:rsid w:val="00310F67"/>
    <w:rsid w:val="00312A8D"/>
    <w:rsid w:val="00313415"/>
    <w:rsid w:val="00313681"/>
    <w:rsid w:val="00317645"/>
    <w:rsid w:val="00324079"/>
    <w:rsid w:val="00325BE3"/>
    <w:rsid w:val="00325DFF"/>
    <w:rsid w:val="00333075"/>
    <w:rsid w:val="003338B9"/>
    <w:rsid w:val="0033540F"/>
    <w:rsid w:val="0033745A"/>
    <w:rsid w:val="0033753A"/>
    <w:rsid w:val="003474DD"/>
    <w:rsid w:val="00352E48"/>
    <w:rsid w:val="00357744"/>
    <w:rsid w:val="0035785A"/>
    <w:rsid w:val="00374179"/>
    <w:rsid w:val="00376DBC"/>
    <w:rsid w:val="0038080C"/>
    <w:rsid w:val="00392E79"/>
    <w:rsid w:val="00393481"/>
    <w:rsid w:val="003958E1"/>
    <w:rsid w:val="003A37B0"/>
    <w:rsid w:val="003B0716"/>
    <w:rsid w:val="003B205E"/>
    <w:rsid w:val="003B24DA"/>
    <w:rsid w:val="003B52ED"/>
    <w:rsid w:val="003B7E3A"/>
    <w:rsid w:val="003C3204"/>
    <w:rsid w:val="003C5000"/>
    <w:rsid w:val="003D093E"/>
    <w:rsid w:val="003D5571"/>
    <w:rsid w:val="003D75E0"/>
    <w:rsid w:val="003E0B8F"/>
    <w:rsid w:val="003E2246"/>
    <w:rsid w:val="003E2DF7"/>
    <w:rsid w:val="003E59A3"/>
    <w:rsid w:val="003E5BAB"/>
    <w:rsid w:val="003E6B6F"/>
    <w:rsid w:val="003F0354"/>
    <w:rsid w:val="003F3253"/>
    <w:rsid w:val="003F523B"/>
    <w:rsid w:val="003F5E6E"/>
    <w:rsid w:val="003F63F8"/>
    <w:rsid w:val="00402C91"/>
    <w:rsid w:val="00404481"/>
    <w:rsid w:val="004069A2"/>
    <w:rsid w:val="00406ECC"/>
    <w:rsid w:val="0041413E"/>
    <w:rsid w:val="00414941"/>
    <w:rsid w:val="00414993"/>
    <w:rsid w:val="00425236"/>
    <w:rsid w:val="00425D6D"/>
    <w:rsid w:val="0043711C"/>
    <w:rsid w:val="00440389"/>
    <w:rsid w:val="00440D1D"/>
    <w:rsid w:val="00441544"/>
    <w:rsid w:val="00444F48"/>
    <w:rsid w:val="0044623F"/>
    <w:rsid w:val="004464B6"/>
    <w:rsid w:val="0045480A"/>
    <w:rsid w:val="004561B6"/>
    <w:rsid w:val="0045785B"/>
    <w:rsid w:val="00461926"/>
    <w:rsid w:val="00463E6A"/>
    <w:rsid w:val="0046406B"/>
    <w:rsid w:val="004666C9"/>
    <w:rsid w:val="0046726F"/>
    <w:rsid w:val="00476BCC"/>
    <w:rsid w:val="00483A2E"/>
    <w:rsid w:val="004842A5"/>
    <w:rsid w:val="004848C2"/>
    <w:rsid w:val="00485A93"/>
    <w:rsid w:val="00490B1C"/>
    <w:rsid w:val="0049458C"/>
    <w:rsid w:val="004971BD"/>
    <w:rsid w:val="004A04EF"/>
    <w:rsid w:val="004A6768"/>
    <w:rsid w:val="004A7DE7"/>
    <w:rsid w:val="004B08C4"/>
    <w:rsid w:val="004B2570"/>
    <w:rsid w:val="004B334E"/>
    <w:rsid w:val="004C0EEC"/>
    <w:rsid w:val="004C38EB"/>
    <w:rsid w:val="004C5709"/>
    <w:rsid w:val="004C7EFE"/>
    <w:rsid w:val="004D059F"/>
    <w:rsid w:val="004D3DFC"/>
    <w:rsid w:val="004D41ED"/>
    <w:rsid w:val="004E32DE"/>
    <w:rsid w:val="004E401C"/>
    <w:rsid w:val="004E5F8C"/>
    <w:rsid w:val="004E6F45"/>
    <w:rsid w:val="004E7BAC"/>
    <w:rsid w:val="004F06B1"/>
    <w:rsid w:val="004F2B94"/>
    <w:rsid w:val="004F3249"/>
    <w:rsid w:val="004F3D72"/>
    <w:rsid w:val="004F7446"/>
    <w:rsid w:val="00500418"/>
    <w:rsid w:val="00501C08"/>
    <w:rsid w:val="00502686"/>
    <w:rsid w:val="005045E1"/>
    <w:rsid w:val="00510D95"/>
    <w:rsid w:val="005124F3"/>
    <w:rsid w:val="0051559E"/>
    <w:rsid w:val="005170E8"/>
    <w:rsid w:val="005213EC"/>
    <w:rsid w:val="005228D2"/>
    <w:rsid w:val="00523AC7"/>
    <w:rsid w:val="00525262"/>
    <w:rsid w:val="00530211"/>
    <w:rsid w:val="005324E8"/>
    <w:rsid w:val="00534D09"/>
    <w:rsid w:val="00535801"/>
    <w:rsid w:val="005404C6"/>
    <w:rsid w:val="00540AC2"/>
    <w:rsid w:val="00540DDF"/>
    <w:rsid w:val="00543E47"/>
    <w:rsid w:val="005455B8"/>
    <w:rsid w:val="00546774"/>
    <w:rsid w:val="00547899"/>
    <w:rsid w:val="00552856"/>
    <w:rsid w:val="00557811"/>
    <w:rsid w:val="00557C75"/>
    <w:rsid w:val="00562A3C"/>
    <w:rsid w:val="00570CCD"/>
    <w:rsid w:val="00571C0C"/>
    <w:rsid w:val="00571C84"/>
    <w:rsid w:val="00575699"/>
    <w:rsid w:val="00575987"/>
    <w:rsid w:val="005824C9"/>
    <w:rsid w:val="005827AA"/>
    <w:rsid w:val="00583FAC"/>
    <w:rsid w:val="00585EAF"/>
    <w:rsid w:val="005861FA"/>
    <w:rsid w:val="00597AEE"/>
    <w:rsid w:val="005A184F"/>
    <w:rsid w:val="005A3A1A"/>
    <w:rsid w:val="005A5F09"/>
    <w:rsid w:val="005B44D3"/>
    <w:rsid w:val="005B7697"/>
    <w:rsid w:val="005C002B"/>
    <w:rsid w:val="005C1F60"/>
    <w:rsid w:val="005C233D"/>
    <w:rsid w:val="005C26D6"/>
    <w:rsid w:val="005C49CF"/>
    <w:rsid w:val="005C56AD"/>
    <w:rsid w:val="005D1FCB"/>
    <w:rsid w:val="005D6C42"/>
    <w:rsid w:val="005E5B86"/>
    <w:rsid w:val="005E63C3"/>
    <w:rsid w:val="005F2D1B"/>
    <w:rsid w:val="005F35F0"/>
    <w:rsid w:val="00604DE8"/>
    <w:rsid w:val="006112E5"/>
    <w:rsid w:val="006122A2"/>
    <w:rsid w:val="00623797"/>
    <w:rsid w:val="00626190"/>
    <w:rsid w:val="0063110C"/>
    <w:rsid w:val="00634763"/>
    <w:rsid w:val="0063478D"/>
    <w:rsid w:val="00635712"/>
    <w:rsid w:val="00635956"/>
    <w:rsid w:val="00637C38"/>
    <w:rsid w:val="00641861"/>
    <w:rsid w:val="00647FF6"/>
    <w:rsid w:val="00652417"/>
    <w:rsid w:val="00652AB2"/>
    <w:rsid w:val="0065526F"/>
    <w:rsid w:val="00657329"/>
    <w:rsid w:val="00657870"/>
    <w:rsid w:val="00657D4D"/>
    <w:rsid w:val="00663C4D"/>
    <w:rsid w:val="0066594A"/>
    <w:rsid w:val="0066694E"/>
    <w:rsid w:val="006706CA"/>
    <w:rsid w:val="0067269A"/>
    <w:rsid w:val="00675165"/>
    <w:rsid w:val="00677B51"/>
    <w:rsid w:val="0068619D"/>
    <w:rsid w:val="00686696"/>
    <w:rsid w:val="00687C0F"/>
    <w:rsid w:val="006962F5"/>
    <w:rsid w:val="00697D2E"/>
    <w:rsid w:val="006A0B5F"/>
    <w:rsid w:val="006A2BFD"/>
    <w:rsid w:val="006A3DD1"/>
    <w:rsid w:val="006A426F"/>
    <w:rsid w:val="006A46F9"/>
    <w:rsid w:val="006A55C1"/>
    <w:rsid w:val="006B3F52"/>
    <w:rsid w:val="006C7D4B"/>
    <w:rsid w:val="006D2FF4"/>
    <w:rsid w:val="006D40B5"/>
    <w:rsid w:val="006D4C0D"/>
    <w:rsid w:val="006D541E"/>
    <w:rsid w:val="006D55BE"/>
    <w:rsid w:val="006E1A38"/>
    <w:rsid w:val="006E23F7"/>
    <w:rsid w:val="006E2F42"/>
    <w:rsid w:val="006E35DF"/>
    <w:rsid w:val="006E3A6B"/>
    <w:rsid w:val="006E639A"/>
    <w:rsid w:val="006E6882"/>
    <w:rsid w:val="006F1E65"/>
    <w:rsid w:val="006F2025"/>
    <w:rsid w:val="006F5F02"/>
    <w:rsid w:val="00701627"/>
    <w:rsid w:val="007016EF"/>
    <w:rsid w:val="007019E1"/>
    <w:rsid w:val="00704F0A"/>
    <w:rsid w:val="0071324D"/>
    <w:rsid w:val="00720051"/>
    <w:rsid w:val="00722246"/>
    <w:rsid w:val="007222C1"/>
    <w:rsid w:val="0072574A"/>
    <w:rsid w:val="00736F04"/>
    <w:rsid w:val="00745114"/>
    <w:rsid w:val="00745CB3"/>
    <w:rsid w:val="00746BF8"/>
    <w:rsid w:val="00747FF1"/>
    <w:rsid w:val="007531A8"/>
    <w:rsid w:val="00753680"/>
    <w:rsid w:val="0075557B"/>
    <w:rsid w:val="0077518F"/>
    <w:rsid w:val="00775EF3"/>
    <w:rsid w:val="00780A47"/>
    <w:rsid w:val="007811C5"/>
    <w:rsid w:val="00782B39"/>
    <w:rsid w:val="00791E08"/>
    <w:rsid w:val="0079225F"/>
    <w:rsid w:val="007939BE"/>
    <w:rsid w:val="00793B78"/>
    <w:rsid w:val="007A2417"/>
    <w:rsid w:val="007A27F0"/>
    <w:rsid w:val="007A6808"/>
    <w:rsid w:val="007B2C6B"/>
    <w:rsid w:val="007C4CC7"/>
    <w:rsid w:val="007C7145"/>
    <w:rsid w:val="007D2762"/>
    <w:rsid w:val="007D33A1"/>
    <w:rsid w:val="007D4091"/>
    <w:rsid w:val="007D4211"/>
    <w:rsid w:val="007D7C57"/>
    <w:rsid w:val="007E213A"/>
    <w:rsid w:val="007E5382"/>
    <w:rsid w:val="007F1211"/>
    <w:rsid w:val="007F1293"/>
    <w:rsid w:val="007F22F8"/>
    <w:rsid w:val="007F4DD4"/>
    <w:rsid w:val="007F685E"/>
    <w:rsid w:val="00801E8A"/>
    <w:rsid w:val="00803A37"/>
    <w:rsid w:val="0080505C"/>
    <w:rsid w:val="008051F3"/>
    <w:rsid w:val="00810D80"/>
    <w:rsid w:val="00813DED"/>
    <w:rsid w:val="008206BE"/>
    <w:rsid w:val="00820B7C"/>
    <w:rsid w:val="00820C91"/>
    <w:rsid w:val="0082512E"/>
    <w:rsid w:val="00827F3E"/>
    <w:rsid w:val="0084219F"/>
    <w:rsid w:val="0084299B"/>
    <w:rsid w:val="00844DC2"/>
    <w:rsid w:val="008523FA"/>
    <w:rsid w:val="008657D1"/>
    <w:rsid w:val="0087165F"/>
    <w:rsid w:val="00884766"/>
    <w:rsid w:val="008876A9"/>
    <w:rsid w:val="008914B4"/>
    <w:rsid w:val="0089760D"/>
    <w:rsid w:val="008A0D45"/>
    <w:rsid w:val="008A2B03"/>
    <w:rsid w:val="008B093C"/>
    <w:rsid w:val="008B1834"/>
    <w:rsid w:val="008B26B7"/>
    <w:rsid w:val="008B63C3"/>
    <w:rsid w:val="008C544D"/>
    <w:rsid w:val="008D04E5"/>
    <w:rsid w:val="008D307D"/>
    <w:rsid w:val="008D3485"/>
    <w:rsid w:val="008D378F"/>
    <w:rsid w:val="008D4F15"/>
    <w:rsid w:val="008E05EB"/>
    <w:rsid w:val="008E4B51"/>
    <w:rsid w:val="008E6DA2"/>
    <w:rsid w:val="008F0492"/>
    <w:rsid w:val="008F482C"/>
    <w:rsid w:val="008F55DC"/>
    <w:rsid w:val="008F6651"/>
    <w:rsid w:val="008F6A83"/>
    <w:rsid w:val="008F75C0"/>
    <w:rsid w:val="008F7FF4"/>
    <w:rsid w:val="00903C4E"/>
    <w:rsid w:val="00906F09"/>
    <w:rsid w:val="009102E6"/>
    <w:rsid w:val="0091182E"/>
    <w:rsid w:val="00913711"/>
    <w:rsid w:val="00916DFF"/>
    <w:rsid w:val="00917D20"/>
    <w:rsid w:val="00920607"/>
    <w:rsid w:val="009261DE"/>
    <w:rsid w:val="009307C3"/>
    <w:rsid w:val="00934800"/>
    <w:rsid w:val="0093558B"/>
    <w:rsid w:val="00944FA0"/>
    <w:rsid w:val="00944FD0"/>
    <w:rsid w:val="00946941"/>
    <w:rsid w:val="00953FD1"/>
    <w:rsid w:val="00954507"/>
    <w:rsid w:val="00954D17"/>
    <w:rsid w:val="009559DD"/>
    <w:rsid w:val="00956AAE"/>
    <w:rsid w:val="00961F12"/>
    <w:rsid w:val="00963BA0"/>
    <w:rsid w:val="00974C5C"/>
    <w:rsid w:val="00976687"/>
    <w:rsid w:val="00980FD3"/>
    <w:rsid w:val="00982A19"/>
    <w:rsid w:val="00983FB5"/>
    <w:rsid w:val="009923C2"/>
    <w:rsid w:val="00993BFA"/>
    <w:rsid w:val="009963F0"/>
    <w:rsid w:val="009974DF"/>
    <w:rsid w:val="009A0AE8"/>
    <w:rsid w:val="009A0BD9"/>
    <w:rsid w:val="009A0FBD"/>
    <w:rsid w:val="009A4BE5"/>
    <w:rsid w:val="009A5336"/>
    <w:rsid w:val="009B6621"/>
    <w:rsid w:val="009C1923"/>
    <w:rsid w:val="009D54CC"/>
    <w:rsid w:val="009D71E1"/>
    <w:rsid w:val="009E0777"/>
    <w:rsid w:val="009E1BAF"/>
    <w:rsid w:val="009E3D43"/>
    <w:rsid w:val="009E4B91"/>
    <w:rsid w:val="009E5992"/>
    <w:rsid w:val="009E7DF9"/>
    <w:rsid w:val="009F08AE"/>
    <w:rsid w:val="009F32EF"/>
    <w:rsid w:val="009F692D"/>
    <w:rsid w:val="009F6FA9"/>
    <w:rsid w:val="00A02936"/>
    <w:rsid w:val="00A13ED9"/>
    <w:rsid w:val="00A154D7"/>
    <w:rsid w:val="00A1653A"/>
    <w:rsid w:val="00A2518C"/>
    <w:rsid w:val="00A265B0"/>
    <w:rsid w:val="00A3547A"/>
    <w:rsid w:val="00A3707B"/>
    <w:rsid w:val="00A47D7D"/>
    <w:rsid w:val="00A5071A"/>
    <w:rsid w:val="00A53E81"/>
    <w:rsid w:val="00A53E9E"/>
    <w:rsid w:val="00A54BBB"/>
    <w:rsid w:val="00A55681"/>
    <w:rsid w:val="00A64E6A"/>
    <w:rsid w:val="00A64F3F"/>
    <w:rsid w:val="00A70B44"/>
    <w:rsid w:val="00A75C3C"/>
    <w:rsid w:val="00A76CA4"/>
    <w:rsid w:val="00A7712D"/>
    <w:rsid w:val="00A8742A"/>
    <w:rsid w:val="00AA42D0"/>
    <w:rsid w:val="00AB4DBE"/>
    <w:rsid w:val="00AB4DDF"/>
    <w:rsid w:val="00AC5186"/>
    <w:rsid w:val="00AC5BB8"/>
    <w:rsid w:val="00AC63EB"/>
    <w:rsid w:val="00AD3A3B"/>
    <w:rsid w:val="00AE5B3D"/>
    <w:rsid w:val="00AE717C"/>
    <w:rsid w:val="00AE7CD0"/>
    <w:rsid w:val="00AF54DF"/>
    <w:rsid w:val="00B00523"/>
    <w:rsid w:val="00B00A99"/>
    <w:rsid w:val="00B013AA"/>
    <w:rsid w:val="00B01C1D"/>
    <w:rsid w:val="00B0246E"/>
    <w:rsid w:val="00B03320"/>
    <w:rsid w:val="00B06FD5"/>
    <w:rsid w:val="00B102B9"/>
    <w:rsid w:val="00B13648"/>
    <w:rsid w:val="00B16C9B"/>
    <w:rsid w:val="00B1730F"/>
    <w:rsid w:val="00B21502"/>
    <w:rsid w:val="00B23144"/>
    <w:rsid w:val="00B354D6"/>
    <w:rsid w:val="00B35AD5"/>
    <w:rsid w:val="00B421D2"/>
    <w:rsid w:val="00B44212"/>
    <w:rsid w:val="00B47985"/>
    <w:rsid w:val="00B515AC"/>
    <w:rsid w:val="00B52A9E"/>
    <w:rsid w:val="00B5303C"/>
    <w:rsid w:val="00B53422"/>
    <w:rsid w:val="00B534E2"/>
    <w:rsid w:val="00B63D1A"/>
    <w:rsid w:val="00B646B0"/>
    <w:rsid w:val="00B674A3"/>
    <w:rsid w:val="00B719F9"/>
    <w:rsid w:val="00B71DEA"/>
    <w:rsid w:val="00B72BF0"/>
    <w:rsid w:val="00B7353D"/>
    <w:rsid w:val="00B735CE"/>
    <w:rsid w:val="00B738A4"/>
    <w:rsid w:val="00B76286"/>
    <w:rsid w:val="00B77C9B"/>
    <w:rsid w:val="00B82005"/>
    <w:rsid w:val="00B82A5C"/>
    <w:rsid w:val="00B835D6"/>
    <w:rsid w:val="00B868E8"/>
    <w:rsid w:val="00B9161D"/>
    <w:rsid w:val="00B93901"/>
    <w:rsid w:val="00B939B5"/>
    <w:rsid w:val="00B93C7C"/>
    <w:rsid w:val="00B94C91"/>
    <w:rsid w:val="00B9512E"/>
    <w:rsid w:val="00B95381"/>
    <w:rsid w:val="00B96A10"/>
    <w:rsid w:val="00BA193D"/>
    <w:rsid w:val="00BA538E"/>
    <w:rsid w:val="00BC0505"/>
    <w:rsid w:val="00BC36D8"/>
    <w:rsid w:val="00BC68CD"/>
    <w:rsid w:val="00BC7F63"/>
    <w:rsid w:val="00BD3ABC"/>
    <w:rsid w:val="00BE794B"/>
    <w:rsid w:val="00BF08D7"/>
    <w:rsid w:val="00BF10BF"/>
    <w:rsid w:val="00BF2692"/>
    <w:rsid w:val="00C003BE"/>
    <w:rsid w:val="00C02104"/>
    <w:rsid w:val="00C05634"/>
    <w:rsid w:val="00C076C8"/>
    <w:rsid w:val="00C11DCA"/>
    <w:rsid w:val="00C16D9A"/>
    <w:rsid w:val="00C2115E"/>
    <w:rsid w:val="00C224A3"/>
    <w:rsid w:val="00C302B3"/>
    <w:rsid w:val="00C30C3F"/>
    <w:rsid w:val="00C30FFE"/>
    <w:rsid w:val="00C3337D"/>
    <w:rsid w:val="00C37250"/>
    <w:rsid w:val="00C43EFF"/>
    <w:rsid w:val="00C44AFD"/>
    <w:rsid w:val="00C455DC"/>
    <w:rsid w:val="00C459FF"/>
    <w:rsid w:val="00C500E5"/>
    <w:rsid w:val="00C503F7"/>
    <w:rsid w:val="00C60E4D"/>
    <w:rsid w:val="00C64936"/>
    <w:rsid w:val="00C664F8"/>
    <w:rsid w:val="00C6797F"/>
    <w:rsid w:val="00C74155"/>
    <w:rsid w:val="00C829A8"/>
    <w:rsid w:val="00C8377D"/>
    <w:rsid w:val="00C9185F"/>
    <w:rsid w:val="00C93C23"/>
    <w:rsid w:val="00CA125C"/>
    <w:rsid w:val="00CA6C65"/>
    <w:rsid w:val="00CB2DDA"/>
    <w:rsid w:val="00CC0180"/>
    <w:rsid w:val="00CC3276"/>
    <w:rsid w:val="00CC34BB"/>
    <w:rsid w:val="00CC5936"/>
    <w:rsid w:val="00CC675D"/>
    <w:rsid w:val="00CD21EC"/>
    <w:rsid w:val="00CD4743"/>
    <w:rsid w:val="00CE0BFF"/>
    <w:rsid w:val="00CE1D7F"/>
    <w:rsid w:val="00CE76D0"/>
    <w:rsid w:val="00CF7A1D"/>
    <w:rsid w:val="00D01D36"/>
    <w:rsid w:val="00D0374C"/>
    <w:rsid w:val="00D062E7"/>
    <w:rsid w:val="00D11258"/>
    <w:rsid w:val="00D11EDA"/>
    <w:rsid w:val="00D123FE"/>
    <w:rsid w:val="00D15269"/>
    <w:rsid w:val="00D17052"/>
    <w:rsid w:val="00D17A3A"/>
    <w:rsid w:val="00D23603"/>
    <w:rsid w:val="00D259A8"/>
    <w:rsid w:val="00D25F9B"/>
    <w:rsid w:val="00D3185C"/>
    <w:rsid w:val="00D31AD2"/>
    <w:rsid w:val="00D31CAA"/>
    <w:rsid w:val="00D33064"/>
    <w:rsid w:val="00D3428F"/>
    <w:rsid w:val="00D34C7F"/>
    <w:rsid w:val="00D435E8"/>
    <w:rsid w:val="00D44890"/>
    <w:rsid w:val="00D464A3"/>
    <w:rsid w:val="00D55C71"/>
    <w:rsid w:val="00D56C70"/>
    <w:rsid w:val="00D644C6"/>
    <w:rsid w:val="00D67676"/>
    <w:rsid w:val="00D72234"/>
    <w:rsid w:val="00D737D9"/>
    <w:rsid w:val="00D81CCB"/>
    <w:rsid w:val="00D823A8"/>
    <w:rsid w:val="00D82D9A"/>
    <w:rsid w:val="00D84B93"/>
    <w:rsid w:val="00D87E48"/>
    <w:rsid w:val="00DA3C46"/>
    <w:rsid w:val="00DA4D03"/>
    <w:rsid w:val="00DA5B04"/>
    <w:rsid w:val="00DA7B42"/>
    <w:rsid w:val="00DB0737"/>
    <w:rsid w:val="00DB24F9"/>
    <w:rsid w:val="00DB363C"/>
    <w:rsid w:val="00DB5004"/>
    <w:rsid w:val="00DB5957"/>
    <w:rsid w:val="00DC3EC4"/>
    <w:rsid w:val="00DC410F"/>
    <w:rsid w:val="00DC498D"/>
    <w:rsid w:val="00DC51BB"/>
    <w:rsid w:val="00DC5B5F"/>
    <w:rsid w:val="00DD0716"/>
    <w:rsid w:val="00DD1B0F"/>
    <w:rsid w:val="00DE1C93"/>
    <w:rsid w:val="00DE28FB"/>
    <w:rsid w:val="00DE2DDB"/>
    <w:rsid w:val="00DE2FB0"/>
    <w:rsid w:val="00DE4017"/>
    <w:rsid w:val="00DF051B"/>
    <w:rsid w:val="00DF7F53"/>
    <w:rsid w:val="00E04D65"/>
    <w:rsid w:val="00E04F0F"/>
    <w:rsid w:val="00E0672B"/>
    <w:rsid w:val="00E07A2A"/>
    <w:rsid w:val="00E07D42"/>
    <w:rsid w:val="00E07E63"/>
    <w:rsid w:val="00E133EC"/>
    <w:rsid w:val="00E14D73"/>
    <w:rsid w:val="00E17E68"/>
    <w:rsid w:val="00E2099C"/>
    <w:rsid w:val="00E25535"/>
    <w:rsid w:val="00E26E87"/>
    <w:rsid w:val="00E300B9"/>
    <w:rsid w:val="00E34688"/>
    <w:rsid w:val="00E34ED3"/>
    <w:rsid w:val="00E36E22"/>
    <w:rsid w:val="00E4128D"/>
    <w:rsid w:val="00E41DFE"/>
    <w:rsid w:val="00E448F3"/>
    <w:rsid w:val="00E472D4"/>
    <w:rsid w:val="00E50862"/>
    <w:rsid w:val="00E50B94"/>
    <w:rsid w:val="00E538F8"/>
    <w:rsid w:val="00E53965"/>
    <w:rsid w:val="00E6098D"/>
    <w:rsid w:val="00E62DB6"/>
    <w:rsid w:val="00E63731"/>
    <w:rsid w:val="00E63CCF"/>
    <w:rsid w:val="00E6697E"/>
    <w:rsid w:val="00E67861"/>
    <w:rsid w:val="00E716DD"/>
    <w:rsid w:val="00E74AAA"/>
    <w:rsid w:val="00E74AD0"/>
    <w:rsid w:val="00E773B8"/>
    <w:rsid w:val="00E8032E"/>
    <w:rsid w:val="00E80809"/>
    <w:rsid w:val="00E82ABA"/>
    <w:rsid w:val="00E85703"/>
    <w:rsid w:val="00E86216"/>
    <w:rsid w:val="00E86D66"/>
    <w:rsid w:val="00E876DF"/>
    <w:rsid w:val="00E9007B"/>
    <w:rsid w:val="00E90AE4"/>
    <w:rsid w:val="00E97F51"/>
    <w:rsid w:val="00EA24CB"/>
    <w:rsid w:val="00EA3ADE"/>
    <w:rsid w:val="00EA5B0D"/>
    <w:rsid w:val="00EB00CC"/>
    <w:rsid w:val="00EB173C"/>
    <w:rsid w:val="00EB4CE9"/>
    <w:rsid w:val="00EB5DDC"/>
    <w:rsid w:val="00EB7B91"/>
    <w:rsid w:val="00EC1662"/>
    <w:rsid w:val="00EC34BA"/>
    <w:rsid w:val="00EC7090"/>
    <w:rsid w:val="00EE1E0F"/>
    <w:rsid w:val="00EE269B"/>
    <w:rsid w:val="00EE6AD9"/>
    <w:rsid w:val="00EF6609"/>
    <w:rsid w:val="00EF6673"/>
    <w:rsid w:val="00F07F9D"/>
    <w:rsid w:val="00F13454"/>
    <w:rsid w:val="00F17B1C"/>
    <w:rsid w:val="00F17B64"/>
    <w:rsid w:val="00F20907"/>
    <w:rsid w:val="00F24920"/>
    <w:rsid w:val="00F31704"/>
    <w:rsid w:val="00F3570B"/>
    <w:rsid w:val="00F36040"/>
    <w:rsid w:val="00F3691D"/>
    <w:rsid w:val="00F431AA"/>
    <w:rsid w:val="00F45EE4"/>
    <w:rsid w:val="00F52407"/>
    <w:rsid w:val="00F54B01"/>
    <w:rsid w:val="00F56A4D"/>
    <w:rsid w:val="00F6179D"/>
    <w:rsid w:val="00F6181B"/>
    <w:rsid w:val="00F63822"/>
    <w:rsid w:val="00F76392"/>
    <w:rsid w:val="00F77A64"/>
    <w:rsid w:val="00F8517F"/>
    <w:rsid w:val="00F877CE"/>
    <w:rsid w:val="00F930ED"/>
    <w:rsid w:val="00F94976"/>
    <w:rsid w:val="00FA23D4"/>
    <w:rsid w:val="00FA2991"/>
    <w:rsid w:val="00FA2A71"/>
    <w:rsid w:val="00FA3A6B"/>
    <w:rsid w:val="00FB1D91"/>
    <w:rsid w:val="00FC0B06"/>
    <w:rsid w:val="00FC1AFD"/>
    <w:rsid w:val="00FC283C"/>
    <w:rsid w:val="00FC328F"/>
    <w:rsid w:val="00FC6BF1"/>
    <w:rsid w:val="00FD1866"/>
    <w:rsid w:val="00FD2601"/>
    <w:rsid w:val="00FD38E5"/>
    <w:rsid w:val="00FD5C2B"/>
    <w:rsid w:val="00FE2791"/>
    <w:rsid w:val="00FE46D9"/>
    <w:rsid w:val="00FE501D"/>
    <w:rsid w:val="00FE744A"/>
    <w:rsid w:val="00FF2131"/>
    <w:rsid w:val="00FF3086"/>
    <w:rsid w:val="00FF4BEB"/>
    <w:rsid w:val="00F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1377"/>
  <w15:chartTrackingRefBased/>
  <w15:docId w15:val="{631F9A49-8230-48AE-ACCE-90219C2F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F7"/>
    <w:pPr>
      <w:spacing w:after="0" w:line="240" w:lineRule="auto"/>
    </w:pPr>
    <w:rPr>
      <w:rFonts w:ascii="Calibri" w:hAnsi="Calibri" w:cs="Calibri"/>
    </w:rPr>
  </w:style>
  <w:style w:type="paragraph" w:styleId="Heading2">
    <w:name w:val="heading 2"/>
    <w:basedOn w:val="Normal"/>
    <w:next w:val="Normal"/>
    <w:link w:val="Heading2Char"/>
    <w:autoRedefine/>
    <w:qFormat/>
    <w:rsid w:val="00BF10BF"/>
    <w:pPr>
      <w:keepNext/>
      <w:ind w:right="1267"/>
      <w:jc w:val="both"/>
      <w:outlineLvl w:val="1"/>
    </w:pPr>
    <w:rPr>
      <w:rFonts w:ascii="Times New Roman" w:eastAsia="Times New Roman" w:hAnsi="Times New Roman" w:cs="Times New Roman"/>
      <w:b/>
      <w:bCs/>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Akapit z listą BS,Bullet1,Bullets,Citation List,Ha,List Paragraph1,List_Paragraph,Liste 1,Main numbered paragraph,Multilevel para_II,NUMBERED PARAGRAPH,Numbered List Paragraph,NumberedParas,References"/>
    <w:basedOn w:val="Normal"/>
    <w:link w:val="ListParagraphChar"/>
    <w:uiPriority w:val="34"/>
    <w:qFormat/>
    <w:rsid w:val="006E23F7"/>
    <w:pPr>
      <w:ind w:left="720"/>
      <w:contextualSpacing/>
    </w:pPr>
  </w:style>
  <w:style w:type="paragraph" w:styleId="Header">
    <w:name w:val="header"/>
    <w:basedOn w:val="Normal"/>
    <w:link w:val="HeaderChar"/>
    <w:uiPriority w:val="99"/>
    <w:unhideWhenUsed/>
    <w:rsid w:val="00222287"/>
    <w:pPr>
      <w:tabs>
        <w:tab w:val="center" w:pos="4680"/>
        <w:tab w:val="right" w:pos="9360"/>
      </w:tabs>
    </w:pPr>
    <w:rPr>
      <w:rFonts w:asciiTheme="minorHAnsi" w:hAnsiTheme="minorHAnsi" w:cstheme="minorBidi"/>
      <w:szCs w:val="36"/>
      <w:lang w:bidi="km-KH"/>
    </w:rPr>
  </w:style>
  <w:style w:type="character" w:customStyle="1" w:styleId="HeaderChar">
    <w:name w:val="Header Char"/>
    <w:basedOn w:val="DefaultParagraphFont"/>
    <w:link w:val="Header"/>
    <w:uiPriority w:val="99"/>
    <w:rsid w:val="00222287"/>
    <w:rPr>
      <w:szCs w:val="36"/>
      <w:lang w:bidi="km-KH"/>
    </w:rPr>
  </w:style>
  <w:style w:type="paragraph" w:styleId="Footer">
    <w:name w:val="footer"/>
    <w:basedOn w:val="Normal"/>
    <w:link w:val="FooterChar"/>
    <w:uiPriority w:val="99"/>
    <w:unhideWhenUsed/>
    <w:rsid w:val="00222287"/>
    <w:pPr>
      <w:tabs>
        <w:tab w:val="center" w:pos="4680"/>
        <w:tab w:val="right" w:pos="9360"/>
      </w:tabs>
    </w:pPr>
  </w:style>
  <w:style w:type="character" w:customStyle="1" w:styleId="FooterChar">
    <w:name w:val="Footer Char"/>
    <w:basedOn w:val="DefaultParagraphFont"/>
    <w:link w:val="Footer"/>
    <w:uiPriority w:val="99"/>
    <w:rsid w:val="00222287"/>
    <w:rPr>
      <w:rFonts w:ascii="Calibri" w:hAnsi="Calibri" w:cs="Calibri"/>
    </w:rPr>
  </w:style>
  <w:style w:type="table" w:styleId="TableGrid">
    <w:name w:val="Table Grid"/>
    <w:basedOn w:val="TableNormal"/>
    <w:uiPriority w:val="39"/>
    <w:rsid w:val="004B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76C"/>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locked/>
    <w:rsid w:val="00D81CCB"/>
    <w:rPr>
      <w:rFonts w:ascii="Times New Roman" w:eastAsia="Times New Roman" w:hAnsi="Times New Roman" w:cs="Times New Roman"/>
      <w:szCs w:val="36"/>
      <w:lang w:bidi="km-KH"/>
    </w:rPr>
  </w:style>
  <w:style w:type="paragraph" w:styleId="NoSpacing">
    <w:name w:val="No Spacing"/>
    <w:basedOn w:val="Normal"/>
    <w:link w:val="NoSpacingChar"/>
    <w:uiPriority w:val="1"/>
    <w:qFormat/>
    <w:rsid w:val="00D81CCB"/>
    <w:rPr>
      <w:rFonts w:ascii="Times New Roman" w:eastAsia="Times New Roman" w:hAnsi="Times New Roman" w:cs="Times New Roman"/>
      <w:szCs w:val="36"/>
      <w:lang w:bidi="km-KH"/>
    </w:rPr>
  </w:style>
  <w:style w:type="paragraph" w:styleId="BalloonText">
    <w:name w:val="Balloon Text"/>
    <w:basedOn w:val="Normal"/>
    <w:link w:val="BalloonTextChar"/>
    <w:uiPriority w:val="99"/>
    <w:semiHidden/>
    <w:unhideWhenUsed/>
    <w:rsid w:val="006A4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F9"/>
    <w:rPr>
      <w:rFonts w:ascii="Segoe UI" w:hAnsi="Segoe UI" w:cs="Segoe UI"/>
      <w:sz w:val="18"/>
      <w:szCs w:val="18"/>
    </w:rPr>
  </w:style>
  <w:style w:type="character" w:styleId="CommentReference">
    <w:name w:val="annotation reference"/>
    <w:basedOn w:val="DefaultParagraphFont"/>
    <w:semiHidden/>
    <w:unhideWhenUsed/>
    <w:rsid w:val="006A46F9"/>
    <w:rPr>
      <w:sz w:val="16"/>
      <w:szCs w:val="16"/>
    </w:rPr>
  </w:style>
  <w:style w:type="paragraph" w:styleId="CommentText">
    <w:name w:val="annotation text"/>
    <w:basedOn w:val="Normal"/>
    <w:link w:val="CommentTextChar"/>
    <w:uiPriority w:val="99"/>
    <w:unhideWhenUsed/>
    <w:rsid w:val="006A46F9"/>
    <w:rPr>
      <w:sz w:val="20"/>
      <w:szCs w:val="20"/>
    </w:rPr>
  </w:style>
  <w:style w:type="character" w:customStyle="1" w:styleId="CommentTextChar">
    <w:name w:val="Comment Text Char"/>
    <w:basedOn w:val="DefaultParagraphFont"/>
    <w:link w:val="CommentText"/>
    <w:uiPriority w:val="99"/>
    <w:rsid w:val="006A46F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46F9"/>
    <w:rPr>
      <w:b/>
      <w:bCs/>
    </w:rPr>
  </w:style>
  <w:style w:type="character" w:customStyle="1" w:styleId="CommentSubjectChar">
    <w:name w:val="Comment Subject Char"/>
    <w:basedOn w:val="CommentTextChar"/>
    <w:link w:val="CommentSubject"/>
    <w:uiPriority w:val="99"/>
    <w:semiHidden/>
    <w:rsid w:val="006A46F9"/>
    <w:rPr>
      <w:rFonts w:ascii="Calibri" w:hAnsi="Calibri" w:cs="Calibri"/>
      <w:b/>
      <w:bCs/>
      <w:sz w:val="20"/>
      <w:szCs w:val="20"/>
    </w:rPr>
  </w:style>
  <w:style w:type="character" w:customStyle="1" w:styleId="Heading2Char">
    <w:name w:val="Heading 2 Char"/>
    <w:basedOn w:val="DefaultParagraphFont"/>
    <w:link w:val="Heading2"/>
    <w:rsid w:val="00BF10BF"/>
    <w:rPr>
      <w:rFonts w:ascii="Times New Roman" w:eastAsia="Times New Roman" w:hAnsi="Times New Roman" w:cs="Times New Roman"/>
      <w:b/>
      <w:bCs/>
      <w:color w:val="000000"/>
      <w:lang w:val="en-GB" w:eastAsia="en-GB"/>
    </w:rPr>
  </w:style>
  <w:style w:type="table" w:styleId="GridTable5Dark-Accent5">
    <w:name w:val="Grid Table 5 Dark Accent 5"/>
    <w:basedOn w:val="TableNormal"/>
    <w:uiPriority w:val="50"/>
    <w:rsid w:val="006D2F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TMLPreformatted">
    <w:name w:val="HTML Preformatted"/>
    <w:basedOn w:val="Normal"/>
    <w:link w:val="HTMLPreformattedChar"/>
    <w:uiPriority w:val="99"/>
    <w:semiHidden/>
    <w:unhideWhenUsed/>
    <w:rsid w:val="006D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2FF4"/>
    <w:rPr>
      <w:rFonts w:ascii="Courier New" w:eastAsia="Times New Roman" w:hAnsi="Courier New" w:cs="Courier New"/>
      <w:sz w:val="20"/>
      <w:szCs w:val="20"/>
    </w:rPr>
  </w:style>
  <w:style w:type="character" w:customStyle="1" w:styleId="y2iqfc">
    <w:name w:val="y2iqfc"/>
    <w:basedOn w:val="DefaultParagraphFont"/>
    <w:rsid w:val="006D2FF4"/>
  </w:style>
  <w:style w:type="character" w:customStyle="1" w:styleId="normaltextrun">
    <w:name w:val="normaltextrun"/>
    <w:basedOn w:val="DefaultParagraphFont"/>
    <w:rsid w:val="002F362E"/>
  </w:style>
  <w:style w:type="character" w:customStyle="1" w:styleId="eop">
    <w:name w:val="eop"/>
    <w:basedOn w:val="DefaultParagraphFont"/>
    <w:rsid w:val="002F362E"/>
  </w:style>
  <w:style w:type="paragraph" w:styleId="NormalWeb">
    <w:name w:val="Normal (Web)"/>
    <w:basedOn w:val="Normal"/>
    <w:uiPriority w:val="99"/>
    <w:semiHidden/>
    <w:unhideWhenUsed/>
    <w:rsid w:val="00414941"/>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List Paragraph (numbered (a)) Char,Akapit z listą BS Char,Bullet1 Char,Bullets Char,Citation List Char,Ha Char,List Paragraph1 Char,List_Paragraph Char,Liste 1 Char,Main numbered paragraph Char,Multilevel para_II Char,References Char"/>
    <w:link w:val="ListParagraph"/>
    <w:uiPriority w:val="34"/>
    <w:qFormat/>
    <w:locked/>
    <w:rsid w:val="00193F9E"/>
    <w:rPr>
      <w:rFonts w:ascii="Calibri" w:hAnsi="Calibri" w:cs="Calibri"/>
    </w:rPr>
  </w:style>
  <w:style w:type="table" w:customStyle="1" w:styleId="GridTable4-Accent51">
    <w:name w:val="Grid Table 4 - Accent 51"/>
    <w:basedOn w:val="TableNormal"/>
    <w:uiPriority w:val="49"/>
    <w:rsid w:val="00074834"/>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3C3204"/>
    <w:pPr>
      <w:spacing w:after="0" w:line="240" w:lineRule="auto"/>
    </w:pPr>
    <w:rPr>
      <w:rFonts w:ascii="Calibri" w:hAnsi="Calibri" w:cs="Calibri"/>
    </w:rPr>
  </w:style>
  <w:style w:type="character" w:styleId="PlaceholderText">
    <w:name w:val="Placeholder Text"/>
    <w:basedOn w:val="DefaultParagraphFont"/>
    <w:uiPriority w:val="99"/>
    <w:semiHidden/>
    <w:rsid w:val="002E1614"/>
    <w:rPr>
      <w:color w:val="808080"/>
    </w:rPr>
  </w:style>
  <w:style w:type="character" w:customStyle="1" w:styleId="ts-alignment-element-highlighted">
    <w:name w:val="ts-alignment-element-highlighted"/>
    <w:basedOn w:val="DefaultParagraphFont"/>
    <w:rsid w:val="00284E3A"/>
  </w:style>
  <w:style w:type="character" w:customStyle="1" w:styleId="ts-alignment-element">
    <w:name w:val="ts-alignment-element"/>
    <w:basedOn w:val="DefaultParagraphFont"/>
    <w:rsid w:val="0028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8893">
      <w:bodyDiv w:val="1"/>
      <w:marLeft w:val="0"/>
      <w:marRight w:val="0"/>
      <w:marTop w:val="0"/>
      <w:marBottom w:val="0"/>
      <w:divBdr>
        <w:top w:val="none" w:sz="0" w:space="0" w:color="auto"/>
        <w:left w:val="none" w:sz="0" w:space="0" w:color="auto"/>
        <w:bottom w:val="none" w:sz="0" w:space="0" w:color="auto"/>
        <w:right w:val="none" w:sz="0" w:space="0" w:color="auto"/>
      </w:divBdr>
      <w:divsChild>
        <w:div w:id="702094167">
          <w:marLeft w:val="547"/>
          <w:marRight w:val="0"/>
          <w:marTop w:val="0"/>
          <w:marBottom w:val="0"/>
          <w:divBdr>
            <w:top w:val="none" w:sz="0" w:space="0" w:color="auto"/>
            <w:left w:val="none" w:sz="0" w:space="0" w:color="auto"/>
            <w:bottom w:val="none" w:sz="0" w:space="0" w:color="auto"/>
            <w:right w:val="none" w:sz="0" w:space="0" w:color="auto"/>
          </w:divBdr>
        </w:div>
        <w:div w:id="1785925143">
          <w:marLeft w:val="547"/>
          <w:marRight w:val="0"/>
          <w:marTop w:val="0"/>
          <w:marBottom w:val="0"/>
          <w:divBdr>
            <w:top w:val="none" w:sz="0" w:space="0" w:color="auto"/>
            <w:left w:val="none" w:sz="0" w:space="0" w:color="auto"/>
            <w:bottom w:val="none" w:sz="0" w:space="0" w:color="auto"/>
            <w:right w:val="none" w:sz="0" w:space="0" w:color="auto"/>
          </w:divBdr>
        </w:div>
      </w:divsChild>
    </w:div>
    <w:div w:id="62071898">
      <w:bodyDiv w:val="1"/>
      <w:marLeft w:val="0"/>
      <w:marRight w:val="0"/>
      <w:marTop w:val="0"/>
      <w:marBottom w:val="0"/>
      <w:divBdr>
        <w:top w:val="none" w:sz="0" w:space="0" w:color="auto"/>
        <w:left w:val="none" w:sz="0" w:space="0" w:color="auto"/>
        <w:bottom w:val="none" w:sz="0" w:space="0" w:color="auto"/>
        <w:right w:val="none" w:sz="0" w:space="0" w:color="auto"/>
      </w:divBdr>
      <w:divsChild>
        <w:div w:id="1780031134">
          <w:marLeft w:val="0"/>
          <w:marRight w:val="0"/>
          <w:marTop w:val="0"/>
          <w:marBottom w:val="0"/>
          <w:divBdr>
            <w:top w:val="none" w:sz="0" w:space="0" w:color="auto"/>
            <w:left w:val="none" w:sz="0" w:space="0" w:color="auto"/>
            <w:bottom w:val="none" w:sz="0" w:space="0" w:color="auto"/>
            <w:right w:val="none" w:sz="0" w:space="0" w:color="auto"/>
          </w:divBdr>
          <w:divsChild>
            <w:div w:id="893203295">
              <w:marLeft w:val="0"/>
              <w:marRight w:val="0"/>
              <w:marTop w:val="0"/>
              <w:marBottom w:val="0"/>
              <w:divBdr>
                <w:top w:val="none" w:sz="0" w:space="0" w:color="auto"/>
                <w:left w:val="none" w:sz="0" w:space="0" w:color="auto"/>
                <w:bottom w:val="none" w:sz="0" w:space="0" w:color="auto"/>
                <w:right w:val="none" w:sz="0" w:space="0" w:color="auto"/>
              </w:divBdr>
              <w:divsChild>
                <w:div w:id="1699235703">
                  <w:marLeft w:val="0"/>
                  <w:marRight w:val="0"/>
                  <w:marTop w:val="0"/>
                  <w:marBottom w:val="0"/>
                  <w:divBdr>
                    <w:top w:val="none" w:sz="0" w:space="0" w:color="auto"/>
                    <w:left w:val="none" w:sz="0" w:space="0" w:color="auto"/>
                    <w:bottom w:val="none" w:sz="0" w:space="0" w:color="auto"/>
                    <w:right w:val="none" w:sz="0" w:space="0" w:color="auto"/>
                  </w:divBdr>
                  <w:divsChild>
                    <w:div w:id="1724787708">
                      <w:marLeft w:val="0"/>
                      <w:marRight w:val="0"/>
                      <w:marTop w:val="0"/>
                      <w:marBottom w:val="0"/>
                      <w:divBdr>
                        <w:top w:val="none" w:sz="0" w:space="0" w:color="auto"/>
                        <w:left w:val="none" w:sz="0" w:space="0" w:color="auto"/>
                        <w:bottom w:val="none" w:sz="0" w:space="0" w:color="auto"/>
                        <w:right w:val="none" w:sz="0" w:space="0" w:color="auto"/>
                      </w:divBdr>
                      <w:divsChild>
                        <w:div w:id="1818258405">
                          <w:marLeft w:val="0"/>
                          <w:marRight w:val="0"/>
                          <w:marTop w:val="0"/>
                          <w:marBottom w:val="0"/>
                          <w:divBdr>
                            <w:top w:val="none" w:sz="0" w:space="0" w:color="auto"/>
                            <w:left w:val="none" w:sz="0" w:space="0" w:color="auto"/>
                            <w:bottom w:val="none" w:sz="0" w:space="0" w:color="auto"/>
                            <w:right w:val="none" w:sz="0" w:space="0" w:color="auto"/>
                          </w:divBdr>
                          <w:divsChild>
                            <w:div w:id="1066030299">
                              <w:marLeft w:val="0"/>
                              <w:marRight w:val="0"/>
                              <w:marTop w:val="0"/>
                              <w:marBottom w:val="0"/>
                              <w:divBdr>
                                <w:top w:val="none" w:sz="0" w:space="0" w:color="auto"/>
                                <w:left w:val="none" w:sz="0" w:space="0" w:color="auto"/>
                                <w:bottom w:val="none" w:sz="0" w:space="0" w:color="auto"/>
                                <w:right w:val="none" w:sz="0" w:space="0" w:color="auto"/>
                              </w:divBdr>
                              <w:divsChild>
                                <w:div w:id="437260894">
                                  <w:marLeft w:val="0"/>
                                  <w:marRight w:val="0"/>
                                  <w:marTop w:val="0"/>
                                  <w:marBottom w:val="0"/>
                                  <w:divBdr>
                                    <w:top w:val="none" w:sz="0" w:space="0" w:color="auto"/>
                                    <w:left w:val="none" w:sz="0" w:space="0" w:color="auto"/>
                                    <w:bottom w:val="none" w:sz="0" w:space="0" w:color="auto"/>
                                    <w:right w:val="none" w:sz="0" w:space="0" w:color="auto"/>
                                  </w:divBdr>
                                  <w:divsChild>
                                    <w:div w:id="1005519029">
                                      <w:marLeft w:val="0"/>
                                      <w:marRight w:val="0"/>
                                      <w:marTop w:val="0"/>
                                      <w:marBottom w:val="0"/>
                                      <w:divBdr>
                                        <w:top w:val="none" w:sz="0" w:space="0" w:color="auto"/>
                                        <w:left w:val="none" w:sz="0" w:space="0" w:color="auto"/>
                                        <w:bottom w:val="none" w:sz="0" w:space="0" w:color="auto"/>
                                        <w:right w:val="none" w:sz="0" w:space="0" w:color="auto"/>
                                      </w:divBdr>
                                      <w:divsChild>
                                        <w:div w:id="671878890">
                                          <w:marLeft w:val="0"/>
                                          <w:marRight w:val="165"/>
                                          <w:marTop w:val="150"/>
                                          <w:marBottom w:val="0"/>
                                          <w:divBdr>
                                            <w:top w:val="none" w:sz="0" w:space="0" w:color="auto"/>
                                            <w:left w:val="none" w:sz="0" w:space="0" w:color="auto"/>
                                            <w:bottom w:val="none" w:sz="0" w:space="0" w:color="auto"/>
                                            <w:right w:val="none" w:sz="0" w:space="0" w:color="auto"/>
                                          </w:divBdr>
                                          <w:divsChild>
                                            <w:div w:id="1570531887">
                                              <w:marLeft w:val="0"/>
                                              <w:marRight w:val="0"/>
                                              <w:marTop w:val="0"/>
                                              <w:marBottom w:val="0"/>
                                              <w:divBdr>
                                                <w:top w:val="none" w:sz="0" w:space="0" w:color="auto"/>
                                                <w:left w:val="none" w:sz="0" w:space="0" w:color="auto"/>
                                                <w:bottom w:val="none" w:sz="0" w:space="0" w:color="auto"/>
                                                <w:right w:val="none" w:sz="0" w:space="0" w:color="auto"/>
                                              </w:divBdr>
                                              <w:divsChild>
                                                <w:div w:id="1554543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630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472080">
      <w:bodyDiv w:val="1"/>
      <w:marLeft w:val="0"/>
      <w:marRight w:val="0"/>
      <w:marTop w:val="0"/>
      <w:marBottom w:val="0"/>
      <w:divBdr>
        <w:top w:val="none" w:sz="0" w:space="0" w:color="auto"/>
        <w:left w:val="none" w:sz="0" w:space="0" w:color="auto"/>
        <w:bottom w:val="none" w:sz="0" w:space="0" w:color="auto"/>
        <w:right w:val="none" w:sz="0" w:space="0" w:color="auto"/>
      </w:divBdr>
    </w:div>
    <w:div w:id="386733370">
      <w:bodyDiv w:val="1"/>
      <w:marLeft w:val="0"/>
      <w:marRight w:val="0"/>
      <w:marTop w:val="0"/>
      <w:marBottom w:val="0"/>
      <w:divBdr>
        <w:top w:val="none" w:sz="0" w:space="0" w:color="auto"/>
        <w:left w:val="none" w:sz="0" w:space="0" w:color="auto"/>
        <w:bottom w:val="none" w:sz="0" w:space="0" w:color="auto"/>
        <w:right w:val="none" w:sz="0" w:space="0" w:color="auto"/>
      </w:divBdr>
    </w:div>
    <w:div w:id="483739910">
      <w:bodyDiv w:val="1"/>
      <w:marLeft w:val="0"/>
      <w:marRight w:val="0"/>
      <w:marTop w:val="0"/>
      <w:marBottom w:val="0"/>
      <w:divBdr>
        <w:top w:val="none" w:sz="0" w:space="0" w:color="auto"/>
        <w:left w:val="none" w:sz="0" w:space="0" w:color="auto"/>
        <w:bottom w:val="none" w:sz="0" w:space="0" w:color="auto"/>
        <w:right w:val="none" w:sz="0" w:space="0" w:color="auto"/>
      </w:divBdr>
      <w:divsChild>
        <w:div w:id="1595164167">
          <w:marLeft w:val="0"/>
          <w:marRight w:val="0"/>
          <w:marTop w:val="0"/>
          <w:marBottom w:val="0"/>
          <w:divBdr>
            <w:top w:val="none" w:sz="0" w:space="0" w:color="auto"/>
            <w:left w:val="none" w:sz="0" w:space="0" w:color="auto"/>
            <w:bottom w:val="none" w:sz="0" w:space="0" w:color="auto"/>
            <w:right w:val="none" w:sz="0" w:space="0" w:color="auto"/>
          </w:divBdr>
          <w:divsChild>
            <w:div w:id="1468936908">
              <w:marLeft w:val="0"/>
              <w:marRight w:val="0"/>
              <w:marTop w:val="0"/>
              <w:marBottom w:val="0"/>
              <w:divBdr>
                <w:top w:val="none" w:sz="0" w:space="0" w:color="auto"/>
                <w:left w:val="none" w:sz="0" w:space="0" w:color="auto"/>
                <w:bottom w:val="none" w:sz="0" w:space="0" w:color="auto"/>
                <w:right w:val="none" w:sz="0" w:space="0" w:color="auto"/>
              </w:divBdr>
              <w:divsChild>
                <w:div w:id="721439344">
                  <w:marLeft w:val="0"/>
                  <w:marRight w:val="0"/>
                  <w:marTop w:val="0"/>
                  <w:marBottom w:val="0"/>
                  <w:divBdr>
                    <w:top w:val="none" w:sz="0" w:space="0" w:color="auto"/>
                    <w:left w:val="none" w:sz="0" w:space="0" w:color="auto"/>
                    <w:bottom w:val="none" w:sz="0" w:space="0" w:color="auto"/>
                    <w:right w:val="none" w:sz="0" w:space="0" w:color="auto"/>
                  </w:divBdr>
                  <w:divsChild>
                    <w:div w:id="44641331">
                      <w:marLeft w:val="0"/>
                      <w:marRight w:val="0"/>
                      <w:marTop w:val="0"/>
                      <w:marBottom w:val="0"/>
                      <w:divBdr>
                        <w:top w:val="none" w:sz="0" w:space="0" w:color="auto"/>
                        <w:left w:val="none" w:sz="0" w:space="0" w:color="auto"/>
                        <w:bottom w:val="none" w:sz="0" w:space="0" w:color="auto"/>
                        <w:right w:val="none" w:sz="0" w:space="0" w:color="auto"/>
                      </w:divBdr>
                      <w:divsChild>
                        <w:div w:id="1910536180">
                          <w:marLeft w:val="0"/>
                          <w:marRight w:val="0"/>
                          <w:marTop w:val="0"/>
                          <w:marBottom w:val="0"/>
                          <w:divBdr>
                            <w:top w:val="none" w:sz="0" w:space="0" w:color="auto"/>
                            <w:left w:val="none" w:sz="0" w:space="0" w:color="auto"/>
                            <w:bottom w:val="none" w:sz="0" w:space="0" w:color="auto"/>
                            <w:right w:val="none" w:sz="0" w:space="0" w:color="auto"/>
                          </w:divBdr>
                          <w:divsChild>
                            <w:div w:id="1144810246">
                              <w:marLeft w:val="0"/>
                              <w:marRight w:val="0"/>
                              <w:marTop w:val="0"/>
                              <w:marBottom w:val="0"/>
                              <w:divBdr>
                                <w:top w:val="none" w:sz="0" w:space="0" w:color="auto"/>
                                <w:left w:val="none" w:sz="0" w:space="0" w:color="auto"/>
                                <w:bottom w:val="none" w:sz="0" w:space="0" w:color="auto"/>
                                <w:right w:val="none" w:sz="0" w:space="0" w:color="auto"/>
                              </w:divBdr>
                              <w:divsChild>
                                <w:div w:id="1721052875">
                                  <w:marLeft w:val="0"/>
                                  <w:marRight w:val="0"/>
                                  <w:marTop w:val="0"/>
                                  <w:marBottom w:val="0"/>
                                  <w:divBdr>
                                    <w:top w:val="none" w:sz="0" w:space="0" w:color="auto"/>
                                    <w:left w:val="none" w:sz="0" w:space="0" w:color="auto"/>
                                    <w:bottom w:val="none" w:sz="0" w:space="0" w:color="auto"/>
                                    <w:right w:val="none" w:sz="0" w:space="0" w:color="auto"/>
                                  </w:divBdr>
                                  <w:divsChild>
                                    <w:div w:id="85200546">
                                      <w:marLeft w:val="0"/>
                                      <w:marRight w:val="0"/>
                                      <w:marTop w:val="0"/>
                                      <w:marBottom w:val="0"/>
                                      <w:divBdr>
                                        <w:top w:val="none" w:sz="0" w:space="0" w:color="auto"/>
                                        <w:left w:val="none" w:sz="0" w:space="0" w:color="auto"/>
                                        <w:bottom w:val="none" w:sz="0" w:space="0" w:color="auto"/>
                                        <w:right w:val="none" w:sz="0" w:space="0" w:color="auto"/>
                                      </w:divBdr>
                                      <w:divsChild>
                                        <w:div w:id="1987973895">
                                          <w:marLeft w:val="0"/>
                                          <w:marRight w:val="0"/>
                                          <w:marTop w:val="0"/>
                                          <w:marBottom w:val="0"/>
                                          <w:divBdr>
                                            <w:top w:val="none" w:sz="0" w:space="0" w:color="auto"/>
                                            <w:left w:val="none" w:sz="0" w:space="0" w:color="auto"/>
                                            <w:bottom w:val="none" w:sz="0" w:space="0" w:color="auto"/>
                                            <w:right w:val="none" w:sz="0" w:space="0" w:color="auto"/>
                                          </w:divBdr>
                                          <w:divsChild>
                                            <w:div w:id="937059945">
                                              <w:marLeft w:val="0"/>
                                              <w:marRight w:val="0"/>
                                              <w:marTop w:val="0"/>
                                              <w:marBottom w:val="0"/>
                                              <w:divBdr>
                                                <w:top w:val="none" w:sz="0" w:space="0" w:color="auto"/>
                                                <w:left w:val="none" w:sz="0" w:space="0" w:color="auto"/>
                                                <w:bottom w:val="none" w:sz="0" w:space="0" w:color="auto"/>
                                                <w:right w:val="none" w:sz="0" w:space="0" w:color="auto"/>
                                              </w:divBdr>
                                              <w:divsChild>
                                                <w:div w:id="370305183">
                                                  <w:marLeft w:val="0"/>
                                                  <w:marRight w:val="0"/>
                                                  <w:marTop w:val="0"/>
                                                  <w:marBottom w:val="0"/>
                                                  <w:divBdr>
                                                    <w:top w:val="none" w:sz="0" w:space="0" w:color="auto"/>
                                                    <w:left w:val="none" w:sz="0" w:space="0" w:color="auto"/>
                                                    <w:bottom w:val="none" w:sz="0" w:space="0" w:color="auto"/>
                                                    <w:right w:val="none" w:sz="0" w:space="0" w:color="auto"/>
                                                  </w:divBdr>
                                                  <w:divsChild>
                                                    <w:div w:id="1505784330">
                                                      <w:marLeft w:val="0"/>
                                                      <w:marRight w:val="0"/>
                                                      <w:marTop w:val="0"/>
                                                      <w:marBottom w:val="0"/>
                                                      <w:divBdr>
                                                        <w:top w:val="none" w:sz="0" w:space="0" w:color="auto"/>
                                                        <w:left w:val="none" w:sz="0" w:space="0" w:color="auto"/>
                                                        <w:bottom w:val="none" w:sz="0" w:space="0" w:color="auto"/>
                                                        <w:right w:val="none" w:sz="0" w:space="0" w:color="auto"/>
                                                      </w:divBdr>
                                                      <w:divsChild>
                                                        <w:div w:id="810250000">
                                                          <w:marLeft w:val="0"/>
                                                          <w:marRight w:val="0"/>
                                                          <w:marTop w:val="0"/>
                                                          <w:marBottom w:val="0"/>
                                                          <w:divBdr>
                                                            <w:top w:val="none" w:sz="0" w:space="0" w:color="auto"/>
                                                            <w:left w:val="none" w:sz="0" w:space="0" w:color="auto"/>
                                                            <w:bottom w:val="none" w:sz="0" w:space="0" w:color="auto"/>
                                                            <w:right w:val="none" w:sz="0" w:space="0" w:color="auto"/>
                                                          </w:divBdr>
                                                          <w:divsChild>
                                                            <w:div w:id="1101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1612810">
      <w:bodyDiv w:val="1"/>
      <w:marLeft w:val="0"/>
      <w:marRight w:val="0"/>
      <w:marTop w:val="0"/>
      <w:marBottom w:val="0"/>
      <w:divBdr>
        <w:top w:val="none" w:sz="0" w:space="0" w:color="auto"/>
        <w:left w:val="none" w:sz="0" w:space="0" w:color="auto"/>
        <w:bottom w:val="none" w:sz="0" w:space="0" w:color="auto"/>
        <w:right w:val="none" w:sz="0" w:space="0" w:color="auto"/>
      </w:divBdr>
    </w:div>
    <w:div w:id="826482091">
      <w:bodyDiv w:val="1"/>
      <w:marLeft w:val="0"/>
      <w:marRight w:val="0"/>
      <w:marTop w:val="0"/>
      <w:marBottom w:val="0"/>
      <w:divBdr>
        <w:top w:val="none" w:sz="0" w:space="0" w:color="auto"/>
        <w:left w:val="none" w:sz="0" w:space="0" w:color="auto"/>
        <w:bottom w:val="none" w:sz="0" w:space="0" w:color="auto"/>
        <w:right w:val="none" w:sz="0" w:space="0" w:color="auto"/>
      </w:divBdr>
    </w:div>
    <w:div w:id="949778509">
      <w:bodyDiv w:val="1"/>
      <w:marLeft w:val="0"/>
      <w:marRight w:val="0"/>
      <w:marTop w:val="0"/>
      <w:marBottom w:val="0"/>
      <w:divBdr>
        <w:top w:val="none" w:sz="0" w:space="0" w:color="auto"/>
        <w:left w:val="none" w:sz="0" w:space="0" w:color="auto"/>
        <w:bottom w:val="none" w:sz="0" w:space="0" w:color="auto"/>
        <w:right w:val="none" w:sz="0" w:space="0" w:color="auto"/>
      </w:divBdr>
      <w:divsChild>
        <w:div w:id="1576625654">
          <w:marLeft w:val="547"/>
          <w:marRight w:val="0"/>
          <w:marTop w:val="0"/>
          <w:marBottom w:val="0"/>
          <w:divBdr>
            <w:top w:val="none" w:sz="0" w:space="0" w:color="auto"/>
            <w:left w:val="none" w:sz="0" w:space="0" w:color="auto"/>
            <w:bottom w:val="none" w:sz="0" w:space="0" w:color="auto"/>
            <w:right w:val="none" w:sz="0" w:space="0" w:color="auto"/>
          </w:divBdr>
        </w:div>
      </w:divsChild>
    </w:div>
    <w:div w:id="981009156">
      <w:bodyDiv w:val="1"/>
      <w:marLeft w:val="0"/>
      <w:marRight w:val="0"/>
      <w:marTop w:val="0"/>
      <w:marBottom w:val="0"/>
      <w:divBdr>
        <w:top w:val="none" w:sz="0" w:space="0" w:color="auto"/>
        <w:left w:val="none" w:sz="0" w:space="0" w:color="auto"/>
        <w:bottom w:val="none" w:sz="0" w:space="0" w:color="auto"/>
        <w:right w:val="none" w:sz="0" w:space="0" w:color="auto"/>
      </w:divBdr>
    </w:div>
    <w:div w:id="984550792">
      <w:bodyDiv w:val="1"/>
      <w:marLeft w:val="0"/>
      <w:marRight w:val="0"/>
      <w:marTop w:val="0"/>
      <w:marBottom w:val="0"/>
      <w:divBdr>
        <w:top w:val="none" w:sz="0" w:space="0" w:color="auto"/>
        <w:left w:val="none" w:sz="0" w:space="0" w:color="auto"/>
        <w:bottom w:val="none" w:sz="0" w:space="0" w:color="auto"/>
        <w:right w:val="none" w:sz="0" w:space="0" w:color="auto"/>
      </w:divBdr>
    </w:div>
    <w:div w:id="1093166978">
      <w:bodyDiv w:val="1"/>
      <w:marLeft w:val="0"/>
      <w:marRight w:val="0"/>
      <w:marTop w:val="0"/>
      <w:marBottom w:val="0"/>
      <w:divBdr>
        <w:top w:val="none" w:sz="0" w:space="0" w:color="auto"/>
        <w:left w:val="none" w:sz="0" w:space="0" w:color="auto"/>
        <w:bottom w:val="none" w:sz="0" w:space="0" w:color="auto"/>
        <w:right w:val="none" w:sz="0" w:space="0" w:color="auto"/>
      </w:divBdr>
    </w:div>
    <w:div w:id="1125005469">
      <w:bodyDiv w:val="1"/>
      <w:marLeft w:val="0"/>
      <w:marRight w:val="0"/>
      <w:marTop w:val="0"/>
      <w:marBottom w:val="0"/>
      <w:divBdr>
        <w:top w:val="none" w:sz="0" w:space="0" w:color="auto"/>
        <w:left w:val="none" w:sz="0" w:space="0" w:color="auto"/>
        <w:bottom w:val="none" w:sz="0" w:space="0" w:color="auto"/>
        <w:right w:val="none" w:sz="0" w:space="0" w:color="auto"/>
      </w:divBdr>
    </w:div>
    <w:div w:id="1253395966">
      <w:bodyDiv w:val="1"/>
      <w:marLeft w:val="0"/>
      <w:marRight w:val="0"/>
      <w:marTop w:val="0"/>
      <w:marBottom w:val="0"/>
      <w:divBdr>
        <w:top w:val="none" w:sz="0" w:space="0" w:color="auto"/>
        <w:left w:val="none" w:sz="0" w:space="0" w:color="auto"/>
        <w:bottom w:val="none" w:sz="0" w:space="0" w:color="auto"/>
        <w:right w:val="none" w:sz="0" w:space="0" w:color="auto"/>
      </w:divBdr>
    </w:div>
    <w:div w:id="1269049865">
      <w:bodyDiv w:val="1"/>
      <w:marLeft w:val="0"/>
      <w:marRight w:val="0"/>
      <w:marTop w:val="0"/>
      <w:marBottom w:val="0"/>
      <w:divBdr>
        <w:top w:val="none" w:sz="0" w:space="0" w:color="auto"/>
        <w:left w:val="none" w:sz="0" w:space="0" w:color="auto"/>
        <w:bottom w:val="none" w:sz="0" w:space="0" w:color="auto"/>
        <w:right w:val="none" w:sz="0" w:space="0" w:color="auto"/>
      </w:divBdr>
    </w:div>
    <w:div w:id="1366637896">
      <w:bodyDiv w:val="1"/>
      <w:marLeft w:val="0"/>
      <w:marRight w:val="0"/>
      <w:marTop w:val="0"/>
      <w:marBottom w:val="0"/>
      <w:divBdr>
        <w:top w:val="none" w:sz="0" w:space="0" w:color="auto"/>
        <w:left w:val="none" w:sz="0" w:space="0" w:color="auto"/>
        <w:bottom w:val="none" w:sz="0" w:space="0" w:color="auto"/>
        <w:right w:val="none" w:sz="0" w:space="0" w:color="auto"/>
      </w:divBdr>
    </w:div>
    <w:div w:id="1552764785">
      <w:bodyDiv w:val="1"/>
      <w:marLeft w:val="0"/>
      <w:marRight w:val="0"/>
      <w:marTop w:val="0"/>
      <w:marBottom w:val="0"/>
      <w:divBdr>
        <w:top w:val="none" w:sz="0" w:space="0" w:color="auto"/>
        <w:left w:val="none" w:sz="0" w:space="0" w:color="auto"/>
        <w:bottom w:val="none" w:sz="0" w:space="0" w:color="auto"/>
        <w:right w:val="none" w:sz="0" w:space="0" w:color="auto"/>
      </w:divBdr>
    </w:div>
    <w:div w:id="1569539133">
      <w:bodyDiv w:val="1"/>
      <w:marLeft w:val="0"/>
      <w:marRight w:val="0"/>
      <w:marTop w:val="0"/>
      <w:marBottom w:val="0"/>
      <w:divBdr>
        <w:top w:val="none" w:sz="0" w:space="0" w:color="auto"/>
        <w:left w:val="none" w:sz="0" w:space="0" w:color="auto"/>
        <w:bottom w:val="none" w:sz="0" w:space="0" w:color="auto"/>
        <w:right w:val="none" w:sz="0" w:space="0" w:color="auto"/>
      </w:divBdr>
    </w:div>
    <w:div w:id="1717460615">
      <w:bodyDiv w:val="1"/>
      <w:marLeft w:val="0"/>
      <w:marRight w:val="0"/>
      <w:marTop w:val="0"/>
      <w:marBottom w:val="0"/>
      <w:divBdr>
        <w:top w:val="none" w:sz="0" w:space="0" w:color="auto"/>
        <w:left w:val="none" w:sz="0" w:space="0" w:color="auto"/>
        <w:bottom w:val="none" w:sz="0" w:space="0" w:color="auto"/>
        <w:right w:val="none" w:sz="0" w:space="0" w:color="auto"/>
      </w:divBdr>
    </w:div>
    <w:div w:id="1774398585">
      <w:bodyDiv w:val="1"/>
      <w:marLeft w:val="0"/>
      <w:marRight w:val="0"/>
      <w:marTop w:val="0"/>
      <w:marBottom w:val="0"/>
      <w:divBdr>
        <w:top w:val="none" w:sz="0" w:space="0" w:color="auto"/>
        <w:left w:val="none" w:sz="0" w:space="0" w:color="auto"/>
        <w:bottom w:val="none" w:sz="0" w:space="0" w:color="auto"/>
        <w:right w:val="none" w:sz="0" w:space="0" w:color="auto"/>
      </w:divBdr>
    </w:div>
    <w:div w:id="1847943221">
      <w:bodyDiv w:val="1"/>
      <w:marLeft w:val="0"/>
      <w:marRight w:val="0"/>
      <w:marTop w:val="0"/>
      <w:marBottom w:val="0"/>
      <w:divBdr>
        <w:top w:val="none" w:sz="0" w:space="0" w:color="auto"/>
        <w:left w:val="none" w:sz="0" w:space="0" w:color="auto"/>
        <w:bottom w:val="none" w:sz="0" w:space="0" w:color="auto"/>
        <w:right w:val="none" w:sz="0" w:space="0" w:color="auto"/>
      </w:divBdr>
    </w:div>
    <w:div w:id="1902908133">
      <w:bodyDiv w:val="1"/>
      <w:marLeft w:val="0"/>
      <w:marRight w:val="0"/>
      <w:marTop w:val="0"/>
      <w:marBottom w:val="0"/>
      <w:divBdr>
        <w:top w:val="none" w:sz="0" w:space="0" w:color="auto"/>
        <w:left w:val="none" w:sz="0" w:space="0" w:color="auto"/>
        <w:bottom w:val="none" w:sz="0" w:space="0" w:color="auto"/>
        <w:right w:val="none" w:sz="0" w:space="0" w:color="auto"/>
      </w:divBdr>
    </w:div>
    <w:div w:id="1911114976">
      <w:bodyDiv w:val="1"/>
      <w:marLeft w:val="0"/>
      <w:marRight w:val="0"/>
      <w:marTop w:val="0"/>
      <w:marBottom w:val="0"/>
      <w:divBdr>
        <w:top w:val="none" w:sz="0" w:space="0" w:color="auto"/>
        <w:left w:val="none" w:sz="0" w:space="0" w:color="auto"/>
        <w:bottom w:val="none" w:sz="0" w:space="0" w:color="auto"/>
        <w:right w:val="none" w:sz="0" w:space="0" w:color="auto"/>
      </w:divBdr>
    </w:div>
    <w:div w:id="1920947525">
      <w:bodyDiv w:val="1"/>
      <w:marLeft w:val="0"/>
      <w:marRight w:val="0"/>
      <w:marTop w:val="0"/>
      <w:marBottom w:val="0"/>
      <w:divBdr>
        <w:top w:val="none" w:sz="0" w:space="0" w:color="auto"/>
        <w:left w:val="none" w:sz="0" w:space="0" w:color="auto"/>
        <w:bottom w:val="none" w:sz="0" w:space="0" w:color="auto"/>
        <w:right w:val="none" w:sz="0" w:space="0" w:color="auto"/>
      </w:divBdr>
    </w:div>
    <w:div w:id="20378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UNITOFFICE-440-2409</_dlc_DocId>
    <_dlc_DocIdUrl xmlns="5ebeba3d-fd60-4dcb-8548-a9fd3c51d9ff">
      <Url>https://intranet.undp.org/unit/office/exo/sp2014/SP201417/_layouts/15/DocIdRedir.aspx?ID=UNITOFFICE-440-2409</Url>
      <Description>UNITOFFICE-440-2409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91DB9-6087-4A8D-914E-38E743D92B4E}">
  <ds:schemaRefs>
    <ds:schemaRef ds:uri="http://schemas.openxmlformats.org/officeDocument/2006/bibliography"/>
  </ds:schemaRefs>
</ds:datastoreItem>
</file>

<file path=customXml/itemProps2.xml><?xml version="1.0" encoding="utf-8"?>
<ds:datastoreItem xmlns:ds="http://schemas.openxmlformats.org/officeDocument/2006/customXml" ds:itemID="{F0DCF4DF-9035-4392-94E8-589441543C46}">
  <ds:schemaRefs>
    <ds:schemaRef ds:uri="http://schemas.microsoft.com/sharepoint/events"/>
  </ds:schemaRefs>
</ds:datastoreItem>
</file>

<file path=customXml/itemProps3.xml><?xml version="1.0" encoding="utf-8"?>
<ds:datastoreItem xmlns:ds="http://schemas.openxmlformats.org/officeDocument/2006/customXml" ds:itemID="{68161EA3-08EE-4C2E-9174-C510ED5DE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16D41-194E-469B-B338-6737C9753981}">
  <ds:schemaRefs>
    <ds:schemaRef ds:uri="http://purl.org/dc/terms/"/>
    <ds:schemaRef ds:uri="http://schemas.openxmlformats.org/package/2006/metadata/core-properties"/>
    <ds:schemaRef ds:uri="http://schemas.microsoft.com/office/2006/documentManagement/types"/>
    <ds:schemaRef ds:uri="5ebeba3d-fd60-4dcb-8548-a9fd3c51d9f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1082EFE-03D5-468B-8DC4-027A89484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3455</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Sujeeta Bajracharya</dc:creator>
  <cp:keywords/>
  <dc:description/>
  <cp:lastModifiedBy>Svetlana Iazykova</cp:lastModifiedBy>
  <cp:revision>2</cp:revision>
  <cp:lastPrinted>2019-07-25T08:41:00Z</cp:lastPrinted>
  <dcterms:created xsi:type="dcterms:W3CDTF">2022-10-14T09:43:00Z</dcterms:created>
  <dcterms:modified xsi:type="dcterms:W3CDTF">2022-10-14T09:43:00Z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a8b17098-aa64-4994-9e0b-dadbc2529347</vt:lpwstr>
  </property>
</Properties>
</file>