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1EE962" w14:textId="77777777" w:rsidR="00BF5C35" w:rsidRPr="003C2A46" w:rsidRDefault="00BF5C35" w:rsidP="00A91E32">
      <w:pPr>
        <w:ind w:left="360"/>
        <w:rPr>
          <w:sz w:val="20"/>
          <w:szCs w:val="20"/>
          <w:lang w:val="en-GB"/>
        </w:rPr>
      </w:pPr>
    </w:p>
    <w:p w14:paraId="29EC241A" w14:textId="77777777" w:rsidR="00C66552" w:rsidRDefault="00C66552">
      <w:pPr>
        <w:tabs>
          <w:tab w:val="left" w:pos="1254"/>
        </w:tabs>
        <w:ind w:left="360"/>
        <w:rPr>
          <w:b/>
          <w:bCs/>
          <w:sz w:val="20"/>
          <w:szCs w:val="20"/>
        </w:rPr>
      </w:pPr>
    </w:p>
    <w:p w14:paraId="6331C891" w14:textId="77777777" w:rsidR="00C66552" w:rsidRDefault="00C66552">
      <w:pPr>
        <w:tabs>
          <w:tab w:val="left" w:pos="1254"/>
        </w:tabs>
        <w:ind w:left="360"/>
        <w:rPr>
          <w:b/>
          <w:bCs/>
          <w:sz w:val="20"/>
          <w:szCs w:val="20"/>
        </w:rPr>
      </w:pPr>
    </w:p>
    <w:p w14:paraId="07E85BB0" w14:textId="23A679E5" w:rsidR="00DD6295" w:rsidRDefault="00DD6295" w:rsidP="00DD6295">
      <w:pPr>
        <w:tabs>
          <w:tab w:val="left" w:pos="1254"/>
        </w:tabs>
        <w:ind w:left="360"/>
        <w:rPr>
          <w:b/>
          <w:bCs/>
          <w:sz w:val="20"/>
          <w:szCs w:val="20"/>
        </w:rPr>
      </w:pPr>
      <w:r w:rsidRPr="0029161C">
        <w:rPr>
          <w:b/>
          <w:bCs/>
          <w:sz w:val="20"/>
          <w:szCs w:val="20"/>
        </w:rPr>
        <w:t>A</w:t>
      </w:r>
      <w:r>
        <w:rPr>
          <w:b/>
          <w:bCs/>
          <w:sz w:val="20"/>
          <w:szCs w:val="20"/>
        </w:rPr>
        <w:t>nnex</w:t>
      </w:r>
      <w:r w:rsidRPr="0029161C">
        <w:rPr>
          <w:b/>
          <w:bCs/>
          <w:sz w:val="20"/>
          <w:szCs w:val="20"/>
        </w:rPr>
        <w:t xml:space="preserve"> </w:t>
      </w:r>
      <w:r w:rsidR="00DB6B96">
        <w:rPr>
          <w:b/>
          <w:bCs/>
          <w:sz w:val="20"/>
          <w:szCs w:val="20"/>
        </w:rPr>
        <w:t>II</w:t>
      </w:r>
      <w:r w:rsidRPr="0029161C">
        <w:rPr>
          <w:b/>
          <w:bCs/>
          <w:sz w:val="20"/>
          <w:szCs w:val="20"/>
        </w:rPr>
        <w:t xml:space="preserve"> to the UNDP </w:t>
      </w:r>
      <w:r>
        <w:rPr>
          <w:b/>
          <w:bCs/>
          <w:sz w:val="20"/>
          <w:szCs w:val="20"/>
        </w:rPr>
        <w:t>i</w:t>
      </w:r>
      <w:r w:rsidRPr="0029161C">
        <w:rPr>
          <w:b/>
          <w:bCs/>
          <w:sz w:val="20"/>
          <w:szCs w:val="20"/>
        </w:rPr>
        <w:t xml:space="preserve">ntegrated </w:t>
      </w:r>
      <w:r>
        <w:rPr>
          <w:b/>
          <w:bCs/>
          <w:sz w:val="20"/>
          <w:szCs w:val="20"/>
        </w:rPr>
        <w:t>r</w:t>
      </w:r>
      <w:r w:rsidRPr="0029161C">
        <w:rPr>
          <w:b/>
          <w:bCs/>
          <w:sz w:val="20"/>
          <w:szCs w:val="20"/>
        </w:rPr>
        <w:t xml:space="preserve">esources </w:t>
      </w:r>
      <w:r>
        <w:rPr>
          <w:b/>
          <w:bCs/>
          <w:sz w:val="20"/>
          <w:szCs w:val="20"/>
        </w:rPr>
        <w:t>p</w:t>
      </w:r>
      <w:r w:rsidRPr="0029161C">
        <w:rPr>
          <w:b/>
          <w:bCs/>
          <w:sz w:val="20"/>
          <w:szCs w:val="20"/>
        </w:rPr>
        <w:t xml:space="preserve">lan and </w:t>
      </w:r>
      <w:r>
        <w:rPr>
          <w:b/>
          <w:bCs/>
          <w:sz w:val="20"/>
          <w:szCs w:val="20"/>
        </w:rPr>
        <w:t>i</w:t>
      </w:r>
      <w:r w:rsidRPr="0029161C">
        <w:rPr>
          <w:b/>
          <w:bCs/>
          <w:sz w:val="20"/>
          <w:szCs w:val="20"/>
        </w:rPr>
        <w:t xml:space="preserve">ntegrated </w:t>
      </w:r>
      <w:r>
        <w:rPr>
          <w:b/>
          <w:bCs/>
          <w:sz w:val="20"/>
          <w:szCs w:val="20"/>
        </w:rPr>
        <w:t>b</w:t>
      </w:r>
      <w:r w:rsidRPr="0029161C">
        <w:rPr>
          <w:b/>
          <w:bCs/>
          <w:sz w:val="20"/>
          <w:szCs w:val="20"/>
        </w:rPr>
        <w:t>udget estimates</w:t>
      </w:r>
      <w:r>
        <w:rPr>
          <w:b/>
          <w:bCs/>
          <w:sz w:val="20"/>
          <w:szCs w:val="20"/>
        </w:rPr>
        <w:t xml:space="preserve"> for</w:t>
      </w:r>
      <w:r w:rsidRPr="0029161C">
        <w:rPr>
          <w:b/>
          <w:bCs/>
          <w:sz w:val="20"/>
          <w:szCs w:val="20"/>
        </w:rPr>
        <w:t xml:space="preserve"> 20</w:t>
      </w:r>
      <w:r w:rsidR="006A1174">
        <w:rPr>
          <w:b/>
          <w:bCs/>
          <w:sz w:val="20"/>
          <w:szCs w:val="20"/>
        </w:rPr>
        <w:t>22</w:t>
      </w:r>
      <w:r w:rsidRPr="0029161C">
        <w:rPr>
          <w:b/>
          <w:bCs/>
          <w:sz w:val="20"/>
          <w:szCs w:val="20"/>
        </w:rPr>
        <w:t>-202</w:t>
      </w:r>
      <w:r w:rsidR="006A1174">
        <w:rPr>
          <w:b/>
          <w:bCs/>
          <w:sz w:val="20"/>
          <w:szCs w:val="20"/>
        </w:rPr>
        <w:t>5</w:t>
      </w:r>
    </w:p>
    <w:p w14:paraId="78122FD3" w14:textId="77777777" w:rsidR="00DD6295" w:rsidRPr="00D67265" w:rsidRDefault="00DD6295" w:rsidP="00DD6295">
      <w:pPr>
        <w:tabs>
          <w:tab w:val="left" w:pos="1254"/>
        </w:tabs>
        <w:ind w:left="360"/>
        <w:rPr>
          <w:b/>
          <w:bCs/>
          <w:sz w:val="20"/>
          <w:szCs w:val="20"/>
        </w:rPr>
      </w:pPr>
    </w:p>
    <w:p w14:paraId="6CC19707" w14:textId="77777777" w:rsidR="00DD6295" w:rsidRDefault="00DD6295" w:rsidP="00DD6295">
      <w:pPr>
        <w:pBdr>
          <w:top w:val="single" w:sz="4" w:space="1" w:color="auto"/>
          <w:left w:val="single" w:sz="4" w:space="0" w:color="auto"/>
          <w:bottom w:val="single" w:sz="4" w:space="6" w:color="auto"/>
          <w:right w:val="single" w:sz="4" w:space="4" w:color="auto"/>
        </w:pBdr>
        <w:spacing w:before="120" w:after="120"/>
        <w:ind w:left="360"/>
        <w:jc w:val="both"/>
        <w:rPr>
          <w:i/>
          <w:sz w:val="24"/>
          <w:lang w:val="en-GB"/>
        </w:rPr>
      </w:pPr>
    </w:p>
    <w:p w14:paraId="59CBDE9A" w14:textId="77777777" w:rsidR="00DD6295" w:rsidRPr="00D67265" w:rsidRDefault="00DD6295" w:rsidP="00DD6295">
      <w:pPr>
        <w:pBdr>
          <w:top w:val="single" w:sz="4" w:space="1" w:color="auto"/>
          <w:left w:val="single" w:sz="4" w:space="0" w:color="auto"/>
          <w:bottom w:val="single" w:sz="4" w:space="6" w:color="auto"/>
          <w:right w:val="single" w:sz="4" w:space="4" w:color="auto"/>
        </w:pBdr>
        <w:spacing w:before="120" w:after="120"/>
        <w:ind w:left="360"/>
        <w:jc w:val="both"/>
        <w:rPr>
          <w:i/>
          <w:iCs/>
          <w:sz w:val="20"/>
          <w:szCs w:val="20"/>
          <w:lang w:val="en-GB"/>
        </w:rPr>
      </w:pPr>
      <w:r w:rsidRPr="0029161C">
        <w:rPr>
          <w:i/>
          <w:iCs/>
          <w:sz w:val="20"/>
          <w:szCs w:val="20"/>
          <w:lang w:val="en-GB"/>
        </w:rPr>
        <w:t>Summary</w:t>
      </w:r>
    </w:p>
    <w:p w14:paraId="7D27ABE8" w14:textId="20E0A022" w:rsidR="00DD6295" w:rsidRPr="00D67265" w:rsidRDefault="00DD6295" w:rsidP="00DD6295">
      <w:pPr>
        <w:pBdr>
          <w:top w:val="single" w:sz="4" w:space="1" w:color="auto"/>
          <w:left w:val="single" w:sz="4" w:space="0" w:color="auto"/>
          <w:bottom w:val="single" w:sz="4" w:space="6" w:color="auto"/>
          <w:right w:val="single" w:sz="4" w:space="4" w:color="auto"/>
        </w:pBdr>
        <w:spacing w:before="120" w:after="120"/>
        <w:ind w:left="360"/>
        <w:jc w:val="both"/>
        <w:rPr>
          <w:i/>
          <w:iCs/>
          <w:sz w:val="24"/>
          <w:lang w:val="en-GB"/>
        </w:rPr>
      </w:pPr>
      <w:r w:rsidRPr="00707F31">
        <w:rPr>
          <w:sz w:val="20"/>
          <w:szCs w:val="20"/>
          <w:lang w:val="en-GB"/>
        </w:rPr>
        <w:t xml:space="preserve">The present document </w:t>
      </w:r>
      <w:r>
        <w:rPr>
          <w:sz w:val="20"/>
          <w:szCs w:val="20"/>
          <w:lang w:val="en-GB"/>
        </w:rPr>
        <w:t>is A</w:t>
      </w:r>
      <w:r w:rsidRPr="00707F31">
        <w:rPr>
          <w:sz w:val="20"/>
          <w:szCs w:val="20"/>
          <w:lang w:val="en-GB"/>
        </w:rPr>
        <w:t xml:space="preserve">nnex </w:t>
      </w:r>
      <w:r w:rsidR="00DB6B96">
        <w:rPr>
          <w:sz w:val="20"/>
          <w:szCs w:val="20"/>
          <w:lang w:val="en-GB"/>
        </w:rPr>
        <w:t>II</w:t>
      </w:r>
      <w:r>
        <w:rPr>
          <w:sz w:val="20"/>
          <w:szCs w:val="20"/>
          <w:lang w:val="en-GB"/>
        </w:rPr>
        <w:t xml:space="preserve"> </w:t>
      </w:r>
      <w:r w:rsidRPr="00707F31">
        <w:rPr>
          <w:sz w:val="20"/>
          <w:szCs w:val="20"/>
          <w:lang w:val="en-GB"/>
        </w:rPr>
        <w:t xml:space="preserve">to the UNDP </w:t>
      </w:r>
      <w:r>
        <w:rPr>
          <w:sz w:val="20"/>
          <w:szCs w:val="20"/>
          <w:lang w:val="en-GB"/>
        </w:rPr>
        <w:t>i</w:t>
      </w:r>
      <w:r w:rsidRPr="00707F31">
        <w:rPr>
          <w:sz w:val="20"/>
          <w:szCs w:val="20"/>
          <w:lang w:val="en-GB"/>
        </w:rPr>
        <w:t xml:space="preserve">ntegrated </w:t>
      </w:r>
      <w:r>
        <w:rPr>
          <w:sz w:val="20"/>
          <w:szCs w:val="20"/>
          <w:lang w:val="en-GB"/>
        </w:rPr>
        <w:t>resources p</w:t>
      </w:r>
      <w:r w:rsidRPr="00707F31">
        <w:rPr>
          <w:sz w:val="20"/>
          <w:szCs w:val="20"/>
          <w:lang w:val="en-GB"/>
        </w:rPr>
        <w:t xml:space="preserve">lan and </w:t>
      </w:r>
      <w:r>
        <w:rPr>
          <w:sz w:val="20"/>
          <w:szCs w:val="20"/>
          <w:lang w:val="en-GB"/>
        </w:rPr>
        <w:t>i</w:t>
      </w:r>
      <w:r w:rsidRPr="00707F31">
        <w:rPr>
          <w:sz w:val="20"/>
          <w:szCs w:val="20"/>
          <w:lang w:val="en-GB"/>
        </w:rPr>
        <w:t xml:space="preserve">ntegrated </w:t>
      </w:r>
      <w:r>
        <w:rPr>
          <w:sz w:val="20"/>
          <w:szCs w:val="20"/>
          <w:lang w:val="en-GB"/>
        </w:rPr>
        <w:t>b</w:t>
      </w:r>
      <w:r w:rsidRPr="00707F31">
        <w:rPr>
          <w:sz w:val="20"/>
          <w:szCs w:val="20"/>
          <w:lang w:val="en-GB"/>
        </w:rPr>
        <w:t>udget estimates for 20</w:t>
      </w:r>
      <w:r w:rsidR="006A1174">
        <w:rPr>
          <w:sz w:val="20"/>
          <w:szCs w:val="20"/>
          <w:lang w:val="en-GB"/>
        </w:rPr>
        <w:t>22</w:t>
      </w:r>
      <w:r w:rsidRPr="00707F31">
        <w:rPr>
          <w:sz w:val="20"/>
          <w:szCs w:val="20"/>
          <w:lang w:val="en-GB"/>
        </w:rPr>
        <w:t>-202</w:t>
      </w:r>
      <w:r w:rsidR="006A1174">
        <w:rPr>
          <w:sz w:val="20"/>
          <w:szCs w:val="20"/>
          <w:lang w:val="en-GB"/>
        </w:rPr>
        <w:t>5</w:t>
      </w:r>
      <w:r w:rsidRPr="00707F31">
        <w:rPr>
          <w:sz w:val="20"/>
          <w:szCs w:val="20"/>
          <w:lang w:val="en-GB"/>
        </w:rPr>
        <w:t xml:space="preserve"> (DP/20</w:t>
      </w:r>
      <w:r w:rsidR="006A1174">
        <w:rPr>
          <w:sz w:val="20"/>
          <w:szCs w:val="20"/>
          <w:lang w:val="en-GB"/>
        </w:rPr>
        <w:t>21</w:t>
      </w:r>
      <w:r w:rsidRPr="00707F31">
        <w:rPr>
          <w:sz w:val="20"/>
          <w:szCs w:val="20"/>
          <w:lang w:val="en-GB"/>
        </w:rPr>
        <w:t>/</w:t>
      </w:r>
      <w:r w:rsidR="00AA52F3">
        <w:rPr>
          <w:sz w:val="20"/>
          <w:szCs w:val="20"/>
          <w:lang w:val="en-GB"/>
        </w:rPr>
        <w:t>29</w:t>
      </w:r>
      <w:r w:rsidRPr="00707F31">
        <w:rPr>
          <w:sz w:val="20"/>
          <w:szCs w:val="20"/>
          <w:lang w:val="en-GB"/>
        </w:rPr>
        <w:t>), and should be considered as part of that document.</w:t>
      </w:r>
    </w:p>
    <w:p w14:paraId="75FAEE0C" w14:textId="77777777" w:rsidR="00DD6295" w:rsidRPr="005152FA" w:rsidRDefault="00DD6295" w:rsidP="00DD6295">
      <w:pPr>
        <w:pBdr>
          <w:top w:val="single" w:sz="4" w:space="1" w:color="auto"/>
          <w:left w:val="single" w:sz="4" w:space="0" w:color="auto"/>
          <w:bottom w:val="single" w:sz="4" w:space="6" w:color="auto"/>
          <w:right w:val="single" w:sz="4" w:space="4" w:color="auto"/>
        </w:pBdr>
        <w:spacing w:before="120" w:after="120"/>
        <w:ind w:left="360"/>
        <w:jc w:val="both"/>
        <w:rPr>
          <w:i/>
          <w:sz w:val="24"/>
          <w:lang w:val="en-GB"/>
        </w:rPr>
      </w:pPr>
    </w:p>
    <w:p w14:paraId="368B2B7C" w14:textId="77777777" w:rsidR="005F4932" w:rsidRDefault="005F4932">
      <w:r>
        <w:br w:type="page"/>
      </w:r>
    </w:p>
    <w:p w14:paraId="141007E5" w14:textId="77777777" w:rsidR="00B95A86" w:rsidRDefault="00B95A86">
      <w:pPr>
        <w:jc w:val="center"/>
      </w:pPr>
    </w:p>
    <w:tbl>
      <w:tblPr>
        <w:tblW w:w="9374" w:type="dxa"/>
        <w:jc w:val="center"/>
        <w:tblLayout w:type="fixed"/>
        <w:tblCellMar>
          <w:left w:w="0" w:type="dxa"/>
          <w:right w:w="0" w:type="dxa"/>
        </w:tblCellMar>
        <w:tblLook w:val="0000" w:firstRow="0" w:lastRow="0" w:firstColumn="0" w:lastColumn="0" w:noHBand="0" w:noVBand="0"/>
      </w:tblPr>
      <w:tblGrid>
        <w:gridCol w:w="9374"/>
      </w:tblGrid>
      <w:tr w:rsidR="00F7553D" w:rsidRPr="00B60C79" w14:paraId="60A955E8" w14:textId="77777777" w:rsidTr="76337C62">
        <w:trPr>
          <w:trHeight w:val="12710"/>
          <w:jc w:val="center"/>
        </w:trPr>
        <w:tc>
          <w:tcPr>
            <w:tcW w:w="9374" w:type="dxa"/>
          </w:tcPr>
          <w:p w14:paraId="460B997C" w14:textId="77777777" w:rsidR="00B95A86" w:rsidRDefault="004A40A9" w:rsidP="00946468">
            <w:pPr>
              <w:tabs>
                <w:tab w:val="left" w:pos="900"/>
                <w:tab w:val="left" w:pos="1260"/>
                <w:tab w:val="left" w:pos="1440"/>
                <w:tab w:val="left" w:pos="8820"/>
              </w:tabs>
              <w:ind w:right="540"/>
              <w:jc w:val="both"/>
              <w:rPr>
                <w:b/>
                <w:bCs/>
                <w:i/>
                <w:iCs/>
                <w:sz w:val="24"/>
                <w:lang w:val="en-GB"/>
              </w:rPr>
            </w:pPr>
            <w:r w:rsidRPr="0029161C">
              <w:rPr>
                <w:b/>
                <w:bCs/>
                <w:i/>
                <w:iCs/>
                <w:sz w:val="24"/>
                <w:lang w:val="en-GB"/>
              </w:rPr>
              <w:t xml:space="preserve">              </w:t>
            </w:r>
            <w:r w:rsidR="00B95A86" w:rsidRPr="0029161C">
              <w:rPr>
                <w:b/>
                <w:bCs/>
                <w:i/>
                <w:iCs/>
                <w:sz w:val="24"/>
                <w:lang w:val="en-GB"/>
              </w:rPr>
              <w:t>Overview</w:t>
            </w:r>
          </w:p>
          <w:p w14:paraId="460BF3DA" w14:textId="77777777" w:rsidR="00583901" w:rsidRPr="00D67265" w:rsidRDefault="00583901" w:rsidP="00946468">
            <w:pPr>
              <w:tabs>
                <w:tab w:val="left" w:pos="900"/>
                <w:tab w:val="left" w:pos="1260"/>
                <w:tab w:val="left" w:pos="1440"/>
                <w:tab w:val="left" w:pos="8820"/>
              </w:tabs>
              <w:ind w:right="540"/>
              <w:jc w:val="both"/>
              <w:rPr>
                <w:b/>
                <w:bCs/>
                <w:i/>
                <w:iCs/>
                <w:sz w:val="24"/>
                <w:lang w:val="en-GB"/>
              </w:rPr>
            </w:pPr>
          </w:p>
          <w:p w14:paraId="5396C8D0" w14:textId="31F179B8" w:rsidR="00583901" w:rsidRPr="00D67265" w:rsidRDefault="00B95A86" w:rsidP="00511232">
            <w:pPr>
              <w:pStyle w:val="SingleTxt"/>
              <w:numPr>
                <w:ilvl w:val="0"/>
                <w:numId w:val="6"/>
              </w:numPr>
              <w:tabs>
                <w:tab w:val="clear" w:pos="1267"/>
                <w:tab w:val="clear" w:pos="1742"/>
                <w:tab w:val="left" w:pos="1170"/>
              </w:tabs>
              <w:ind w:right="0"/>
              <w:rPr>
                <w:rFonts w:eastAsia="Calibri"/>
                <w:b/>
                <w:bCs/>
              </w:rPr>
            </w:pPr>
            <w:r w:rsidRPr="00D67265">
              <w:rPr>
                <w:rFonts w:eastAsia="Calibri"/>
              </w:rPr>
              <w:t>Th</w:t>
            </w:r>
            <w:r w:rsidR="00467FEF" w:rsidRPr="00D67265">
              <w:rPr>
                <w:rFonts w:eastAsia="Calibri"/>
              </w:rPr>
              <w:t xml:space="preserve">e present </w:t>
            </w:r>
            <w:r w:rsidR="00467FEF">
              <w:rPr>
                <w:rFonts w:eastAsia="Calibri"/>
              </w:rPr>
              <w:t>a</w:t>
            </w:r>
            <w:r w:rsidRPr="00D67265">
              <w:rPr>
                <w:rFonts w:eastAsia="Calibri"/>
              </w:rPr>
              <w:t xml:space="preserve">nnex </w:t>
            </w:r>
            <w:r w:rsidR="00467FEF">
              <w:rPr>
                <w:rFonts w:eastAsia="Calibri"/>
              </w:rPr>
              <w:t>contains</w:t>
            </w:r>
            <w:r w:rsidR="00F7092F">
              <w:rPr>
                <w:rFonts w:eastAsia="Calibri"/>
              </w:rPr>
              <w:t xml:space="preserve"> details on (</w:t>
            </w:r>
            <w:proofErr w:type="spellStart"/>
            <w:r w:rsidR="00F7092F">
              <w:rPr>
                <w:rFonts w:eastAsia="Calibri"/>
              </w:rPr>
              <w:t>i</w:t>
            </w:r>
            <w:proofErr w:type="spellEnd"/>
            <w:r w:rsidR="00F7092F">
              <w:rPr>
                <w:rFonts w:eastAsia="Calibri"/>
              </w:rPr>
              <w:t>) integrated resources p</w:t>
            </w:r>
            <w:r w:rsidRPr="00D67265">
              <w:rPr>
                <w:rFonts w:eastAsia="Calibri"/>
              </w:rPr>
              <w:t xml:space="preserve">lan; </w:t>
            </w:r>
            <w:r w:rsidR="00F7092F">
              <w:rPr>
                <w:rFonts w:eastAsia="Calibri"/>
              </w:rPr>
              <w:t>(ii) integrated b</w:t>
            </w:r>
            <w:r w:rsidR="00B004D0" w:rsidRPr="00D67265">
              <w:rPr>
                <w:rFonts w:eastAsia="Calibri"/>
              </w:rPr>
              <w:t>udget</w:t>
            </w:r>
            <w:r w:rsidR="00B83295">
              <w:rPr>
                <w:rFonts w:eastAsia="Calibri"/>
              </w:rPr>
              <w:t>, with (</w:t>
            </w:r>
            <w:proofErr w:type="spellStart"/>
            <w:r w:rsidR="00B83295">
              <w:rPr>
                <w:rFonts w:eastAsia="Calibri"/>
              </w:rPr>
              <w:t>ii.a</w:t>
            </w:r>
            <w:proofErr w:type="spellEnd"/>
            <w:r w:rsidRPr="00D67265">
              <w:rPr>
                <w:rFonts w:eastAsia="Calibri"/>
              </w:rPr>
              <w:t xml:space="preserve">) </w:t>
            </w:r>
            <w:r w:rsidR="00333A1D">
              <w:rPr>
                <w:rFonts w:eastAsia="Calibri"/>
              </w:rPr>
              <w:t>p</w:t>
            </w:r>
            <w:r w:rsidRPr="00D67265">
              <w:rPr>
                <w:rFonts w:eastAsia="Calibri"/>
              </w:rPr>
              <w:t>rogrammatic component</w:t>
            </w:r>
            <w:r w:rsidR="007F5858" w:rsidRPr="00D67265">
              <w:rPr>
                <w:rFonts w:eastAsia="Calibri"/>
              </w:rPr>
              <w:t xml:space="preserve">s of </w:t>
            </w:r>
            <w:r w:rsidR="00F7092F">
              <w:rPr>
                <w:rFonts w:eastAsia="Calibri"/>
              </w:rPr>
              <w:t>the integrated b</w:t>
            </w:r>
            <w:r w:rsidR="007F5858" w:rsidRPr="00D67265">
              <w:rPr>
                <w:rFonts w:eastAsia="Calibri"/>
              </w:rPr>
              <w:t>udget</w:t>
            </w:r>
            <w:r w:rsidR="0068218D">
              <w:rPr>
                <w:rFonts w:eastAsia="Calibri"/>
              </w:rPr>
              <w:t xml:space="preserve"> – methodology</w:t>
            </w:r>
            <w:r w:rsidR="007F5858" w:rsidRPr="00D67265">
              <w:rPr>
                <w:rFonts w:eastAsia="Calibri"/>
              </w:rPr>
              <w:t xml:space="preserve">; </w:t>
            </w:r>
            <w:r w:rsidR="00F7092F">
              <w:rPr>
                <w:rFonts w:eastAsia="Calibri"/>
              </w:rPr>
              <w:t>(</w:t>
            </w:r>
            <w:proofErr w:type="spellStart"/>
            <w:r w:rsidR="00F7092F">
              <w:rPr>
                <w:rFonts w:eastAsia="Calibri"/>
              </w:rPr>
              <w:t>ii.b</w:t>
            </w:r>
            <w:proofErr w:type="spellEnd"/>
            <w:r w:rsidR="00F7092F">
              <w:rPr>
                <w:rFonts w:eastAsia="Calibri"/>
              </w:rPr>
              <w:t>) programmatic components of the i</w:t>
            </w:r>
            <w:r w:rsidR="0068218D">
              <w:rPr>
                <w:rFonts w:eastAsia="Calibri"/>
              </w:rPr>
              <w:t xml:space="preserve">ntegrated </w:t>
            </w:r>
            <w:r w:rsidR="00F7092F">
              <w:rPr>
                <w:rFonts w:eastAsia="Calibri"/>
              </w:rPr>
              <w:t>b</w:t>
            </w:r>
            <w:r w:rsidR="0068218D">
              <w:rPr>
                <w:rFonts w:eastAsia="Calibri"/>
              </w:rPr>
              <w:t xml:space="preserve">udget – additional details; </w:t>
            </w:r>
            <w:r w:rsidR="00B83295">
              <w:rPr>
                <w:rFonts w:eastAsia="Calibri"/>
              </w:rPr>
              <w:t>and (</w:t>
            </w:r>
            <w:proofErr w:type="spellStart"/>
            <w:r w:rsidR="00B83295">
              <w:rPr>
                <w:rFonts w:eastAsia="Calibri"/>
              </w:rPr>
              <w:t>ii.</w:t>
            </w:r>
            <w:r w:rsidR="0068218D">
              <w:rPr>
                <w:rFonts w:eastAsia="Calibri"/>
              </w:rPr>
              <w:t>c</w:t>
            </w:r>
            <w:proofErr w:type="spellEnd"/>
            <w:r w:rsidRPr="00D67265">
              <w:rPr>
                <w:rFonts w:eastAsia="Calibri"/>
              </w:rPr>
              <w:t xml:space="preserve">) </w:t>
            </w:r>
            <w:r w:rsidR="00F7092F">
              <w:rPr>
                <w:rFonts w:eastAsia="Calibri"/>
              </w:rPr>
              <w:t>i</w:t>
            </w:r>
            <w:r w:rsidR="007F5858" w:rsidRPr="00D67265">
              <w:rPr>
                <w:rFonts w:eastAsia="Calibri"/>
              </w:rPr>
              <w:t>nstitutional compon</w:t>
            </w:r>
            <w:r w:rsidR="00F7092F">
              <w:rPr>
                <w:rFonts w:eastAsia="Calibri"/>
              </w:rPr>
              <w:t>ent of the integrated b</w:t>
            </w:r>
            <w:r w:rsidR="00B83295" w:rsidRPr="00D67265">
              <w:rPr>
                <w:rFonts w:eastAsia="Calibri"/>
              </w:rPr>
              <w:t>udget; (</w:t>
            </w:r>
            <w:r w:rsidR="00B83295">
              <w:rPr>
                <w:rFonts w:eastAsia="Calibri"/>
              </w:rPr>
              <w:t>iii</w:t>
            </w:r>
            <w:r w:rsidR="007F5858" w:rsidRPr="00D67265">
              <w:rPr>
                <w:rFonts w:eastAsia="Calibri"/>
              </w:rPr>
              <w:t xml:space="preserve">) </w:t>
            </w:r>
            <w:r w:rsidR="00034CCF" w:rsidRPr="00034CCF">
              <w:rPr>
                <w:rFonts w:eastAsia="Calibri"/>
                <w:bCs/>
                <w:lang w:val="en-US"/>
              </w:rPr>
              <w:t>Government local office cost contributions</w:t>
            </w:r>
            <w:r w:rsidR="00034CCF" w:rsidRPr="00034CCF">
              <w:rPr>
                <w:rFonts w:eastAsia="Calibri"/>
                <w:b/>
                <w:lang w:val="en-US"/>
              </w:rPr>
              <w:t xml:space="preserve"> </w:t>
            </w:r>
            <w:r w:rsidR="00034CCF">
              <w:rPr>
                <w:rFonts w:eastAsia="Calibri"/>
              </w:rPr>
              <w:t>(</w:t>
            </w:r>
            <w:r w:rsidRPr="00D67265">
              <w:rPr>
                <w:rFonts w:eastAsia="Calibri"/>
              </w:rPr>
              <w:t>GLOC</w:t>
            </w:r>
            <w:r w:rsidR="00034CCF">
              <w:rPr>
                <w:rFonts w:eastAsia="Calibri"/>
              </w:rPr>
              <w:t>)</w:t>
            </w:r>
            <w:r w:rsidR="00B83295" w:rsidRPr="00D67265">
              <w:rPr>
                <w:rFonts w:eastAsia="Calibri"/>
              </w:rPr>
              <w:t>; and (</w:t>
            </w:r>
            <w:r w:rsidR="00B83295">
              <w:rPr>
                <w:rFonts w:eastAsia="Calibri"/>
              </w:rPr>
              <w:t>iv</w:t>
            </w:r>
            <w:r w:rsidR="00F7092F">
              <w:rPr>
                <w:rFonts w:eastAsia="Calibri"/>
              </w:rPr>
              <w:t>) f</w:t>
            </w:r>
            <w:r w:rsidR="007F5858" w:rsidRPr="00D67265">
              <w:rPr>
                <w:rFonts w:eastAsia="Calibri"/>
              </w:rPr>
              <w:t>unding of UNDP country office presence in MICs with GNI per capita above $6,6</w:t>
            </w:r>
            <w:r w:rsidR="00AB3CCD">
              <w:rPr>
                <w:rFonts w:eastAsia="Calibri"/>
              </w:rPr>
              <w:t>92</w:t>
            </w:r>
            <w:r w:rsidR="007F5858" w:rsidRPr="00D67265">
              <w:rPr>
                <w:rFonts w:eastAsia="Calibri"/>
              </w:rPr>
              <w:t>.</w:t>
            </w:r>
            <w:r w:rsidRPr="00D67265" w:rsidDel="00B95A86">
              <w:rPr>
                <w:rFonts w:eastAsia="Calibri"/>
              </w:rPr>
              <w:t xml:space="preserve"> </w:t>
            </w:r>
          </w:p>
          <w:p w14:paraId="5AA2AC80" w14:textId="77777777" w:rsidR="0041676E" w:rsidRDefault="0041676E" w:rsidP="00D67265">
            <w:pPr>
              <w:pStyle w:val="DualTxt"/>
              <w:tabs>
                <w:tab w:val="clear" w:pos="960"/>
                <w:tab w:val="clear" w:pos="1915"/>
                <w:tab w:val="left" w:pos="900"/>
                <w:tab w:val="left" w:pos="990"/>
                <w:tab w:val="left" w:pos="1260"/>
                <w:tab w:val="left" w:pos="1800"/>
                <w:tab w:val="left" w:pos="8820"/>
              </w:tabs>
              <w:spacing w:line="200" w:lineRule="exact"/>
              <w:ind w:left="1260" w:right="547"/>
              <w:rPr>
                <w:b w:val="0"/>
                <w:bCs w:val="0"/>
                <w:sz w:val="20"/>
                <w:szCs w:val="20"/>
              </w:rPr>
            </w:pPr>
          </w:p>
          <w:p w14:paraId="2DC09BA5" w14:textId="71EB0995" w:rsidR="00B95A86" w:rsidRPr="00D67265" w:rsidRDefault="00F7092F" w:rsidP="00527D5E">
            <w:pPr>
              <w:pStyle w:val="DualTxt"/>
              <w:tabs>
                <w:tab w:val="clear" w:pos="960"/>
                <w:tab w:val="clear" w:pos="1915"/>
                <w:tab w:val="left" w:pos="900"/>
                <w:tab w:val="left" w:pos="990"/>
                <w:tab w:val="left" w:pos="1260"/>
                <w:tab w:val="left" w:pos="1800"/>
                <w:tab w:val="left" w:pos="8820"/>
              </w:tabs>
              <w:spacing w:line="200" w:lineRule="exact"/>
              <w:ind w:left="360" w:right="547"/>
              <w:rPr>
                <w:bCs w:val="0"/>
                <w:iCs/>
                <w:sz w:val="21"/>
                <w:szCs w:val="20"/>
              </w:rPr>
            </w:pPr>
            <w:r>
              <w:rPr>
                <w:bCs w:val="0"/>
                <w:iCs/>
                <w:sz w:val="21"/>
                <w:szCs w:val="20"/>
              </w:rPr>
              <w:t>Integrated resources p</w:t>
            </w:r>
            <w:r w:rsidR="00B95A86" w:rsidRPr="00D67265">
              <w:rPr>
                <w:bCs w:val="0"/>
                <w:iCs/>
                <w:sz w:val="21"/>
                <w:szCs w:val="20"/>
              </w:rPr>
              <w:t>lan</w:t>
            </w:r>
            <w:r w:rsidR="00FE3E87" w:rsidRPr="00D67265">
              <w:rPr>
                <w:bCs w:val="0"/>
                <w:iCs/>
                <w:sz w:val="21"/>
                <w:szCs w:val="20"/>
              </w:rPr>
              <w:t xml:space="preserve"> and harmonized cost classification categories</w:t>
            </w:r>
          </w:p>
          <w:p w14:paraId="511FC70E" w14:textId="77777777" w:rsidR="00B95A86" w:rsidRPr="00D67265" w:rsidRDefault="00B95A86" w:rsidP="00D67265">
            <w:pPr>
              <w:pStyle w:val="DualTxt"/>
              <w:spacing w:after="0" w:line="240" w:lineRule="auto"/>
              <w:ind w:left="907" w:right="547"/>
              <w:rPr>
                <w:i/>
                <w:iCs/>
                <w:sz w:val="20"/>
              </w:rPr>
            </w:pPr>
          </w:p>
          <w:p w14:paraId="16282EDE" w14:textId="770C2673" w:rsidR="00AB3CCD" w:rsidRDefault="00F7092F" w:rsidP="00511232">
            <w:pPr>
              <w:pStyle w:val="SingleTxt"/>
              <w:numPr>
                <w:ilvl w:val="0"/>
                <w:numId w:val="6"/>
              </w:numPr>
              <w:tabs>
                <w:tab w:val="clear" w:pos="1267"/>
                <w:tab w:val="clear" w:pos="1742"/>
                <w:tab w:val="left" w:pos="1170"/>
              </w:tabs>
              <w:ind w:right="0"/>
              <w:rPr>
                <w:rFonts w:eastAsia="Calibri"/>
              </w:rPr>
            </w:pPr>
            <w:r w:rsidRPr="00AB3CCD">
              <w:rPr>
                <w:rFonts w:eastAsia="Calibri"/>
              </w:rPr>
              <w:t>UNDP prepared its integrated resources plan and integrated b</w:t>
            </w:r>
            <w:r w:rsidR="3CA481E0" w:rsidRPr="00AB3CCD">
              <w:rPr>
                <w:rFonts w:eastAsia="Calibri"/>
              </w:rPr>
              <w:t xml:space="preserve">udget in line with the budget harmonization exercise within the </w:t>
            </w:r>
            <w:r w:rsidR="004153AA" w:rsidRPr="00AB3CCD">
              <w:rPr>
                <w:rFonts w:eastAsia="Calibri"/>
              </w:rPr>
              <w:t>context of the ‘road map to an Integrated B</w:t>
            </w:r>
            <w:r w:rsidR="3CA481E0" w:rsidRPr="00AB3CCD">
              <w:rPr>
                <w:rFonts w:eastAsia="Calibri"/>
              </w:rPr>
              <w:t>udget from 2014 onwards’ conducted with UNICEF, UNFPA and UN-Women</w:t>
            </w:r>
            <w:r w:rsidR="00ED7567">
              <w:rPr>
                <w:rFonts w:eastAsia="Calibri"/>
              </w:rPr>
              <w:t xml:space="preserve">, and its most recent revision </w:t>
            </w:r>
            <w:r w:rsidR="005A66C8">
              <w:rPr>
                <w:rFonts w:eastAsia="Calibri"/>
              </w:rPr>
              <w:t xml:space="preserve">approved in decision </w:t>
            </w:r>
            <w:r w:rsidR="002B6B0B">
              <w:rPr>
                <w:rFonts w:eastAsia="Calibri"/>
              </w:rPr>
              <w:t>2020/12</w:t>
            </w:r>
            <w:r w:rsidR="3CA481E0" w:rsidRPr="00AB3CCD">
              <w:rPr>
                <w:rFonts w:eastAsia="Calibri"/>
              </w:rPr>
              <w:t>. It incorporates the harmonized results-based budgeting approach approved in decision 2011/10, including: (a) improved results focus and linkage with the strategic plan; and (b) key bud</w:t>
            </w:r>
            <w:r w:rsidR="00DE23BF" w:rsidRPr="00AB3CCD">
              <w:rPr>
                <w:rFonts w:eastAsia="Calibri"/>
              </w:rPr>
              <w:t>get tables with respect to the Integrated Resource P</w:t>
            </w:r>
            <w:r w:rsidR="3CA481E0" w:rsidRPr="00AB3CCD">
              <w:rPr>
                <w:rFonts w:eastAsia="Calibri"/>
              </w:rPr>
              <w:t xml:space="preserve">lan </w:t>
            </w:r>
            <w:r w:rsidR="00AB3CCD" w:rsidRPr="00AB3CCD">
              <w:rPr>
                <w:rFonts w:eastAsia="Calibri"/>
              </w:rPr>
              <w:t xml:space="preserve">2022-2025 </w:t>
            </w:r>
            <w:r w:rsidR="3CA481E0" w:rsidRPr="00AB3CCD">
              <w:rPr>
                <w:rFonts w:eastAsia="Calibri"/>
              </w:rPr>
              <w:t>(DP/20</w:t>
            </w:r>
            <w:r w:rsidR="00AB3CCD" w:rsidRPr="00AB3CCD">
              <w:rPr>
                <w:rFonts w:eastAsia="Calibri"/>
              </w:rPr>
              <w:t>21</w:t>
            </w:r>
            <w:r w:rsidR="3CA481E0" w:rsidRPr="00AB3CCD">
              <w:rPr>
                <w:rFonts w:eastAsia="Calibri"/>
              </w:rPr>
              <w:t>/</w:t>
            </w:r>
            <w:r w:rsidR="00AB3CCD" w:rsidRPr="00AB3CCD">
              <w:rPr>
                <w:rFonts w:eastAsia="Calibri"/>
              </w:rPr>
              <w:t>2</w:t>
            </w:r>
            <w:r w:rsidR="3CA481E0" w:rsidRPr="00AB3CCD">
              <w:rPr>
                <w:rFonts w:eastAsia="Calibri"/>
              </w:rPr>
              <w:t xml:space="preserve">9, table 1); a comparison of  </w:t>
            </w:r>
            <w:r w:rsidR="00AB3CCD" w:rsidRPr="00AB3CCD">
              <w:rPr>
                <w:rFonts w:eastAsia="Calibri"/>
              </w:rPr>
              <w:t xml:space="preserve">2018-2021 original estimates </w:t>
            </w:r>
            <w:r w:rsidR="3CA481E0" w:rsidRPr="00AB3CCD">
              <w:rPr>
                <w:rFonts w:eastAsia="Calibri"/>
              </w:rPr>
              <w:t>and actual/estimated expenditures (DP/20</w:t>
            </w:r>
            <w:r w:rsidR="00AB3CCD" w:rsidRPr="00AB3CCD">
              <w:rPr>
                <w:rFonts w:eastAsia="Calibri"/>
              </w:rPr>
              <w:t>21</w:t>
            </w:r>
            <w:r w:rsidR="3CA481E0" w:rsidRPr="00AB3CCD">
              <w:rPr>
                <w:rFonts w:eastAsia="Calibri"/>
              </w:rPr>
              <w:t>/</w:t>
            </w:r>
            <w:r w:rsidR="00AB3CCD" w:rsidRPr="00AB3CCD">
              <w:rPr>
                <w:rFonts w:eastAsia="Calibri"/>
              </w:rPr>
              <w:t>2</w:t>
            </w:r>
            <w:r w:rsidR="00C51948" w:rsidRPr="00AB3CCD">
              <w:rPr>
                <w:rFonts w:eastAsia="Calibri"/>
              </w:rPr>
              <w:t xml:space="preserve">9, </w:t>
            </w:r>
            <w:r w:rsidR="00A018E8">
              <w:rPr>
                <w:rFonts w:eastAsia="Calibri"/>
              </w:rPr>
              <w:t>annex I</w:t>
            </w:r>
            <w:r w:rsidR="00C51948" w:rsidRPr="00AB3CCD">
              <w:rPr>
                <w:rFonts w:eastAsia="Calibri"/>
              </w:rPr>
              <w:t xml:space="preserve">, table 1b); </w:t>
            </w:r>
            <w:r w:rsidR="00AB3CCD" w:rsidRPr="00AB3CCD">
              <w:rPr>
                <w:rFonts w:eastAsia="Calibri"/>
              </w:rPr>
              <w:t xml:space="preserve">and a comparison of 2018-2021 latest estimates and 2022-2025 estimates (DP/2021/29, </w:t>
            </w:r>
            <w:r w:rsidR="00A018E8">
              <w:rPr>
                <w:rFonts w:eastAsia="Calibri"/>
              </w:rPr>
              <w:t>annex I</w:t>
            </w:r>
            <w:r w:rsidR="00AB3CCD" w:rsidRPr="00AB3CCD">
              <w:rPr>
                <w:rFonts w:eastAsia="Calibri"/>
              </w:rPr>
              <w:t>, table 1a)</w:t>
            </w:r>
            <w:r w:rsidR="00AB3CCD">
              <w:rPr>
                <w:rFonts w:eastAsia="Calibri"/>
              </w:rPr>
              <w:t>.</w:t>
            </w:r>
          </w:p>
          <w:p w14:paraId="52E8BE5A" w14:textId="2A6F9808" w:rsidR="00F02DD9" w:rsidRPr="00AB3CCD" w:rsidRDefault="00F02DD9" w:rsidP="00511232">
            <w:pPr>
              <w:pStyle w:val="SingleTxt"/>
              <w:numPr>
                <w:ilvl w:val="0"/>
                <w:numId w:val="6"/>
              </w:numPr>
              <w:tabs>
                <w:tab w:val="clear" w:pos="1267"/>
                <w:tab w:val="clear" w:pos="1742"/>
                <w:tab w:val="left" w:pos="1170"/>
              </w:tabs>
              <w:ind w:right="0"/>
              <w:rPr>
                <w:rFonts w:eastAsia="Calibri"/>
              </w:rPr>
            </w:pPr>
            <w:r w:rsidRPr="00AB3CCD">
              <w:rPr>
                <w:rFonts w:eastAsia="Calibri"/>
              </w:rPr>
              <w:t xml:space="preserve">The </w:t>
            </w:r>
            <w:r w:rsidR="00F7092F" w:rsidRPr="00AB3CCD">
              <w:rPr>
                <w:rFonts w:eastAsia="Calibri"/>
              </w:rPr>
              <w:t>integrated resources p</w:t>
            </w:r>
            <w:r w:rsidR="00AF34BD" w:rsidRPr="00AB3CCD">
              <w:rPr>
                <w:rFonts w:eastAsia="Calibri"/>
              </w:rPr>
              <w:t xml:space="preserve">lan and the </w:t>
            </w:r>
            <w:r w:rsidR="00F7092F" w:rsidRPr="00AB3CCD">
              <w:rPr>
                <w:rFonts w:eastAsia="Calibri"/>
              </w:rPr>
              <w:t>encompassed integrated b</w:t>
            </w:r>
            <w:r w:rsidRPr="00AB3CCD">
              <w:rPr>
                <w:rFonts w:eastAsia="Calibri"/>
              </w:rPr>
              <w:t>udget are premised on the following three pillars:</w:t>
            </w:r>
          </w:p>
          <w:p w14:paraId="45DB617B" w14:textId="77777777" w:rsidR="00F02DD9" w:rsidRPr="00D67265" w:rsidRDefault="00B95A86" w:rsidP="00511232">
            <w:pPr>
              <w:pStyle w:val="SingleTxt"/>
              <w:numPr>
                <w:ilvl w:val="1"/>
                <w:numId w:val="6"/>
              </w:numPr>
              <w:tabs>
                <w:tab w:val="clear" w:pos="1267"/>
                <w:tab w:val="clear" w:pos="1742"/>
                <w:tab w:val="left" w:pos="1170"/>
              </w:tabs>
              <w:ind w:right="0"/>
            </w:pPr>
            <w:r w:rsidRPr="00D67265">
              <w:rPr>
                <w:rFonts w:eastAsia="Calibri"/>
              </w:rPr>
              <w:t>Achieving synergies by integrating programmatic</w:t>
            </w:r>
            <w:r w:rsidRPr="00D67265">
              <w:rPr>
                <w:b/>
                <w:bCs/>
              </w:rPr>
              <w:t xml:space="preserve"> </w:t>
            </w:r>
            <w:r w:rsidRPr="00D67265">
              <w:rPr>
                <w:bCs/>
              </w:rPr>
              <w:t>and institutional budget components</w:t>
            </w:r>
            <w:r w:rsidRPr="00D67265">
              <w:rPr>
                <w:b/>
                <w:bCs/>
              </w:rPr>
              <w:t xml:space="preserve">; </w:t>
            </w:r>
          </w:p>
          <w:p w14:paraId="0C377CE9" w14:textId="77777777" w:rsidR="00F02DD9" w:rsidRPr="00D67265" w:rsidRDefault="00B95A86" w:rsidP="00511232">
            <w:pPr>
              <w:pStyle w:val="SingleTxt"/>
              <w:numPr>
                <w:ilvl w:val="1"/>
                <w:numId w:val="6"/>
              </w:numPr>
              <w:tabs>
                <w:tab w:val="clear" w:pos="1267"/>
                <w:tab w:val="clear" w:pos="1742"/>
                <w:tab w:val="left" w:pos="1170"/>
              </w:tabs>
              <w:ind w:right="0"/>
            </w:pPr>
            <w:r w:rsidRPr="00D67265">
              <w:t>Leveraging the cost classification, to respond to the quadrennial comprehensive policy review of United Nations operational activities for development and to further enhance the transparent and efficient usage of resources; and</w:t>
            </w:r>
          </w:p>
          <w:p w14:paraId="717F10AD" w14:textId="410770A7" w:rsidR="00F07BA2" w:rsidRDefault="00B95A86" w:rsidP="00F07BA2">
            <w:pPr>
              <w:pStyle w:val="SingleTxt"/>
              <w:numPr>
                <w:ilvl w:val="1"/>
                <w:numId w:val="6"/>
              </w:numPr>
              <w:tabs>
                <w:tab w:val="clear" w:pos="1267"/>
                <w:tab w:val="clear" w:pos="1742"/>
                <w:tab w:val="left" w:pos="1170"/>
              </w:tabs>
              <w:ind w:right="0"/>
            </w:pPr>
            <w:r w:rsidRPr="00D67265">
              <w:t>Improving cost alignment through more rigorous and targeted implementation of the cost recovery.</w:t>
            </w:r>
          </w:p>
          <w:p w14:paraId="4DBD7FE6" w14:textId="77777777" w:rsidR="00B95A86" w:rsidRPr="00D67265" w:rsidRDefault="00B95A86" w:rsidP="00511232">
            <w:pPr>
              <w:pStyle w:val="SingleTxt"/>
              <w:numPr>
                <w:ilvl w:val="0"/>
                <w:numId w:val="6"/>
              </w:numPr>
              <w:tabs>
                <w:tab w:val="clear" w:pos="1267"/>
                <w:tab w:val="clear" w:pos="1742"/>
                <w:tab w:val="left" w:pos="1170"/>
              </w:tabs>
              <w:ind w:right="0"/>
              <w:rPr>
                <w:rFonts w:eastAsia="Calibri"/>
              </w:rPr>
            </w:pPr>
            <w:r w:rsidRPr="00D67265">
              <w:rPr>
                <w:rFonts w:eastAsia="Calibri"/>
              </w:rPr>
              <w:t xml:space="preserve">Elements of the cost classification categories, which are harmonized with UNICEF, UNFPA and UN-Women, and applied in the presentation of the </w:t>
            </w:r>
            <w:r w:rsidR="00F7092F">
              <w:rPr>
                <w:rFonts w:eastAsia="Calibri"/>
              </w:rPr>
              <w:t>i</w:t>
            </w:r>
            <w:r w:rsidRPr="00D67265">
              <w:rPr>
                <w:rFonts w:eastAsia="Calibri"/>
              </w:rPr>
              <w:t xml:space="preserve">ntegrated </w:t>
            </w:r>
            <w:r w:rsidR="00F7092F">
              <w:rPr>
                <w:rFonts w:eastAsia="Calibri"/>
              </w:rPr>
              <w:t>r</w:t>
            </w:r>
            <w:r w:rsidRPr="00D67265">
              <w:rPr>
                <w:rFonts w:eastAsia="Calibri"/>
              </w:rPr>
              <w:t xml:space="preserve">esources </w:t>
            </w:r>
            <w:r w:rsidR="00F7092F">
              <w:rPr>
                <w:rFonts w:eastAsia="Calibri"/>
              </w:rPr>
              <w:t>p</w:t>
            </w:r>
            <w:r w:rsidRPr="00D67265">
              <w:rPr>
                <w:rFonts w:eastAsia="Calibri"/>
              </w:rPr>
              <w:t xml:space="preserve">lan encompassing the </w:t>
            </w:r>
            <w:r w:rsidR="00F7092F">
              <w:rPr>
                <w:rFonts w:eastAsia="Calibri"/>
              </w:rPr>
              <w:t>i</w:t>
            </w:r>
            <w:r w:rsidRPr="00D67265">
              <w:rPr>
                <w:rFonts w:eastAsia="Calibri"/>
              </w:rPr>
              <w:t xml:space="preserve">ntegrated </w:t>
            </w:r>
            <w:r w:rsidR="00F7092F">
              <w:rPr>
                <w:rFonts w:eastAsia="Calibri"/>
              </w:rPr>
              <w:t>b</w:t>
            </w:r>
            <w:r w:rsidRPr="00D67265">
              <w:rPr>
                <w:rFonts w:eastAsia="Calibri"/>
              </w:rPr>
              <w:t>udget are:</w:t>
            </w:r>
          </w:p>
          <w:p w14:paraId="3BA073D3" w14:textId="2EF7541A" w:rsidR="00DD7896" w:rsidRDefault="00DD7896" w:rsidP="00990ECA">
            <w:pPr>
              <w:pStyle w:val="NormalWeb"/>
              <w:ind w:left="720"/>
              <w:jc w:val="both"/>
            </w:pPr>
            <w:r>
              <w:rPr>
                <w:rFonts w:ascii="TimesNewRomanPSMT" w:hAnsi="TimesNewRomanPSMT" w:cs="TimesNewRomanPSMT"/>
                <w:sz w:val="20"/>
                <w:szCs w:val="20"/>
              </w:rPr>
              <w:t xml:space="preserve">(a) </w:t>
            </w:r>
            <w:r>
              <w:rPr>
                <w:rFonts w:ascii="TimesNewRomanPS" w:hAnsi="TimesNewRomanPS"/>
                <w:b/>
                <w:bCs/>
                <w:sz w:val="20"/>
                <w:szCs w:val="20"/>
              </w:rPr>
              <w:t xml:space="preserve">Development activities: </w:t>
            </w:r>
            <w:r>
              <w:rPr>
                <w:rFonts w:ascii="TimesNewRomanPSMT" w:hAnsi="TimesNewRomanPSMT" w:cs="TimesNewRomanPSMT"/>
                <w:sz w:val="20"/>
                <w:szCs w:val="20"/>
              </w:rPr>
              <w:t xml:space="preserve">costs associated with programmes and development effectiveness activities which contribute to and are essential for the realization of effective development results, as follows: </w:t>
            </w:r>
          </w:p>
          <w:p w14:paraId="15884989" w14:textId="77777777" w:rsidR="00DD7896" w:rsidRDefault="00DD7896" w:rsidP="00990ECA">
            <w:pPr>
              <w:pStyle w:val="NormalWeb"/>
              <w:ind w:left="1440"/>
              <w:jc w:val="both"/>
            </w:pPr>
            <w:r>
              <w:rPr>
                <w:rFonts w:ascii="TimesNewRomanPSMT" w:hAnsi="TimesNewRomanPSMT" w:cs="TimesNewRomanPSMT"/>
                <w:sz w:val="20"/>
                <w:szCs w:val="20"/>
              </w:rPr>
              <w:t>(</w:t>
            </w:r>
            <w:proofErr w:type="spellStart"/>
            <w:r>
              <w:rPr>
                <w:rFonts w:ascii="TimesNewRomanPSMT" w:hAnsi="TimesNewRomanPSMT" w:cs="TimesNewRomanPSMT"/>
                <w:sz w:val="20"/>
                <w:szCs w:val="20"/>
              </w:rPr>
              <w:t>i</w:t>
            </w:r>
            <w:proofErr w:type="spellEnd"/>
            <w:r>
              <w:rPr>
                <w:rFonts w:ascii="TimesNewRomanPSMT" w:hAnsi="TimesNewRomanPSMT" w:cs="TimesNewRomanPSMT"/>
                <w:sz w:val="20"/>
                <w:szCs w:val="20"/>
              </w:rPr>
              <w:t xml:space="preserve">) </w:t>
            </w:r>
            <w:r>
              <w:rPr>
                <w:rFonts w:ascii="TimesNewRomanPS" w:hAnsi="TimesNewRomanPS"/>
                <w:b/>
                <w:bCs/>
                <w:sz w:val="20"/>
                <w:szCs w:val="20"/>
              </w:rPr>
              <w:t xml:space="preserve">Programmes: </w:t>
            </w:r>
            <w:r>
              <w:rPr>
                <w:rFonts w:ascii="TimesNewRomanPSMT" w:hAnsi="TimesNewRomanPSMT" w:cs="TimesNewRomanPSMT"/>
                <w:sz w:val="20"/>
                <w:szCs w:val="20"/>
              </w:rPr>
              <w:t xml:space="preserve">activities and associated costs traced to specific programme components or projects, which contribute to delivery of development results contained in country/regional/global programme documents or other programming arrangements; </w:t>
            </w:r>
          </w:p>
          <w:p w14:paraId="2879C51E" w14:textId="76433FB4" w:rsidR="00DD7896" w:rsidRDefault="00DD7896" w:rsidP="00990ECA">
            <w:pPr>
              <w:pStyle w:val="NormalWeb"/>
              <w:ind w:left="1440"/>
              <w:jc w:val="both"/>
            </w:pPr>
            <w:r>
              <w:rPr>
                <w:rFonts w:ascii="TimesNewRomanPSMT" w:hAnsi="TimesNewRomanPSMT" w:cs="TimesNewRomanPSMT"/>
                <w:sz w:val="20"/>
                <w:szCs w:val="20"/>
              </w:rPr>
              <w:t xml:space="preserve">(ii) </w:t>
            </w:r>
            <w:r>
              <w:rPr>
                <w:rFonts w:ascii="TimesNewRomanPS" w:hAnsi="TimesNewRomanPS"/>
                <w:b/>
                <w:bCs/>
                <w:sz w:val="20"/>
                <w:szCs w:val="20"/>
              </w:rPr>
              <w:t xml:space="preserve">Development effectiveness activities: </w:t>
            </w:r>
            <w:r>
              <w:rPr>
                <w:rFonts w:ascii="TimesNewRomanPSMT" w:hAnsi="TimesNewRomanPSMT" w:cs="TimesNewRomanPSMT"/>
                <w:sz w:val="20"/>
                <w:szCs w:val="20"/>
              </w:rPr>
              <w:t xml:space="preserve">costs of activities of a policy-advisory, technical and implementation nature that are needed to achieve the objectives of programmes and projects in the focus areas of the organizations. These inputs are essential to the delivery of development results and are not included in specific programme components or projects in country, regional or global programme documents; </w:t>
            </w:r>
          </w:p>
          <w:p w14:paraId="628BDA27" w14:textId="77777777" w:rsidR="00DD7896" w:rsidRDefault="00DD7896" w:rsidP="00990ECA">
            <w:pPr>
              <w:pStyle w:val="NormalWeb"/>
              <w:ind w:left="720"/>
              <w:jc w:val="both"/>
            </w:pPr>
            <w:r>
              <w:rPr>
                <w:rFonts w:ascii="TimesNewRomanPSMT" w:hAnsi="TimesNewRomanPSMT" w:cs="TimesNewRomanPSMT"/>
                <w:sz w:val="20"/>
                <w:szCs w:val="20"/>
              </w:rPr>
              <w:t xml:space="preserve">(b) </w:t>
            </w:r>
            <w:r>
              <w:rPr>
                <w:rFonts w:ascii="TimesNewRomanPS" w:hAnsi="TimesNewRomanPS"/>
                <w:b/>
                <w:bCs/>
                <w:sz w:val="20"/>
                <w:szCs w:val="20"/>
              </w:rPr>
              <w:t xml:space="preserve">United Nations development coordination activities: </w:t>
            </w:r>
            <w:r>
              <w:rPr>
                <w:rFonts w:ascii="TimesNewRomanPSMT" w:hAnsi="TimesNewRomanPSMT" w:cs="TimesNewRomanPSMT"/>
                <w:sz w:val="20"/>
                <w:szCs w:val="20"/>
              </w:rPr>
              <w:t xml:space="preserve">activities and associated costs supporting the coordination of development activities of the United Nations system; </w:t>
            </w:r>
          </w:p>
          <w:p w14:paraId="2A3CE43C" w14:textId="77777777" w:rsidR="00DD7896" w:rsidRDefault="00DD7896" w:rsidP="00990ECA">
            <w:pPr>
              <w:pStyle w:val="NormalWeb"/>
              <w:ind w:left="720"/>
              <w:jc w:val="both"/>
            </w:pPr>
            <w:r>
              <w:rPr>
                <w:rFonts w:ascii="TimesNewRomanPSMT" w:hAnsi="TimesNewRomanPSMT" w:cs="TimesNewRomanPSMT"/>
                <w:sz w:val="20"/>
                <w:szCs w:val="20"/>
              </w:rPr>
              <w:t xml:space="preserve">(c) </w:t>
            </w:r>
            <w:r>
              <w:rPr>
                <w:rFonts w:ascii="TimesNewRomanPS" w:hAnsi="TimesNewRomanPS"/>
                <w:b/>
                <w:bCs/>
                <w:sz w:val="20"/>
                <w:szCs w:val="20"/>
              </w:rPr>
              <w:t xml:space="preserve">Management activities: </w:t>
            </w:r>
            <w:r>
              <w:rPr>
                <w:rFonts w:ascii="TimesNewRomanPSMT" w:hAnsi="TimesNewRomanPSMT" w:cs="TimesNewRomanPSMT"/>
                <w:sz w:val="20"/>
                <w:szCs w:val="20"/>
              </w:rPr>
              <w:t xml:space="preserve">activities and associated costs whose primary function is the promotion of the identity, direction and well-being of an organization. These include executive direction, representation, external relations and partnerships, corporate communications, legal, information technology, finance, administration, security and human resources. Management costs are classified as recurrent or non- recurrent; </w:t>
            </w:r>
          </w:p>
          <w:p w14:paraId="7D0C9202" w14:textId="77777777" w:rsidR="00DD7896" w:rsidRDefault="00DD7896" w:rsidP="00990ECA">
            <w:pPr>
              <w:pStyle w:val="NormalWeb"/>
              <w:ind w:left="720"/>
              <w:jc w:val="both"/>
            </w:pPr>
            <w:r>
              <w:rPr>
                <w:rFonts w:ascii="TimesNewRomanPSMT" w:hAnsi="TimesNewRomanPSMT" w:cs="TimesNewRomanPSMT"/>
                <w:sz w:val="20"/>
                <w:szCs w:val="20"/>
              </w:rPr>
              <w:lastRenderedPageBreak/>
              <w:t xml:space="preserve">(d) </w:t>
            </w:r>
            <w:r>
              <w:rPr>
                <w:rFonts w:ascii="TimesNewRomanPS" w:hAnsi="TimesNewRomanPS"/>
                <w:b/>
                <w:bCs/>
                <w:sz w:val="20"/>
                <w:szCs w:val="20"/>
              </w:rPr>
              <w:t xml:space="preserve">Independent oversight and assurance activities: </w:t>
            </w:r>
            <w:r>
              <w:rPr>
                <w:rFonts w:ascii="TimesNewRomanPSMT" w:hAnsi="TimesNewRomanPSMT" w:cs="TimesNewRomanPSMT"/>
                <w:sz w:val="20"/>
                <w:szCs w:val="20"/>
              </w:rPr>
              <w:t xml:space="preserve">activities and associated costs supporting the independent audit and investigations and corporate evaluation functions; </w:t>
            </w:r>
          </w:p>
          <w:p w14:paraId="7F9A2257" w14:textId="059ECAEC" w:rsidR="00C73160" w:rsidRDefault="00DD7896" w:rsidP="00990ECA">
            <w:pPr>
              <w:pStyle w:val="NormalWeb"/>
              <w:ind w:left="720"/>
              <w:jc w:val="both"/>
              <w:rPr>
                <w:w w:val="103"/>
              </w:rPr>
            </w:pPr>
            <w:r>
              <w:rPr>
                <w:rFonts w:ascii="TimesNewRomanPSMT" w:hAnsi="TimesNewRomanPSMT" w:cs="TimesNewRomanPSMT"/>
                <w:sz w:val="20"/>
                <w:szCs w:val="20"/>
              </w:rPr>
              <w:t xml:space="preserve">(e) </w:t>
            </w:r>
            <w:r>
              <w:rPr>
                <w:rFonts w:ascii="TimesNewRomanPS" w:hAnsi="TimesNewRomanPS"/>
                <w:b/>
                <w:bCs/>
                <w:sz w:val="20"/>
                <w:szCs w:val="20"/>
              </w:rPr>
              <w:t xml:space="preserve">Special-purpose activities; </w:t>
            </w:r>
            <w:r>
              <w:rPr>
                <w:rFonts w:ascii="TimesNewRomanPSMT" w:hAnsi="TimesNewRomanPSMT" w:cs="TimesNewRomanPSMT"/>
                <w:sz w:val="20"/>
                <w:szCs w:val="20"/>
              </w:rPr>
              <w:t>activities and associated costs of: (</w:t>
            </w:r>
            <w:proofErr w:type="spellStart"/>
            <w:r>
              <w:rPr>
                <w:rFonts w:ascii="TimesNewRomanPSMT" w:hAnsi="TimesNewRomanPSMT" w:cs="TimesNewRomanPSMT"/>
                <w:sz w:val="20"/>
                <w:szCs w:val="20"/>
              </w:rPr>
              <w:t>i</w:t>
            </w:r>
            <w:proofErr w:type="spellEnd"/>
            <w:r>
              <w:rPr>
                <w:rFonts w:ascii="TimesNewRomanPSMT" w:hAnsi="TimesNewRomanPSMT" w:cs="TimesNewRomanPSMT"/>
                <w:sz w:val="20"/>
                <w:szCs w:val="20"/>
              </w:rPr>
              <w:t>) capital investments; and (ii) services for other United Nations organizations.</w:t>
            </w:r>
          </w:p>
          <w:p w14:paraId="57245F03" w14:textId="77777777" w:rsidR="00C73160" w:rsidRDefault="00C73160" w:rsidP="00D67265">
            <w:pPr>
              <w:pStyle w:val="DualTxt"/>
              <w:tabs>
                <w:tab w:val="clear" w:pos="960"/>
                <w:tab w:val="clear" w:pos="1915"/>
                <w:tab w:val="left" w:pos="900"/>
                <w:tab w:val="left" w:pos="990"/>
                <w:tab w:val="left" w:pos="1260"/>
                <w:tab w:val="left" w:pos="1800"/>
                <w:tab w:val="left" w:pos="8820"/>
              </w:tabs>
              <w:spacing w:line="200" w:lineRule="exact"/>
              <w:ind w:left="1770" w:right="547"/>
              <w:rPr>
                <w:rFonts w:eastAsia="Calibri"/>
                <w:b w:val="0"/>
                <w:bCs w:val="0"/>
                <w:w w:val="103"/>
                <w:sz w:val="20"/>
                <w:szCs w:val="20"/>
              </w:rPr>
            </w:pPr>
          </w:p>
          <w:p w14:paraId="0FF02446" w14:textId="61C7235D" w:rsidR="00FE408A" w:rsidRPr="00F07BA2" w:rsidRDefault="003C43F5" w:rsidP="00F07BA2">
            <w:pPr>
              <w:pStyle w:val="DualTxt"/>
              <w:tabs>
                <w:tab w:val="clear" w:pos="960"/>
                <w:tab w:val="clear" w:pos="1915"/>
                <w:tab w:val="left" w:pos="900"/>
                <w:tab w:val="left" w:pos="990"/>
                <w:tab w:val="left" w:pos="1260"/>
                <w:tab w:val="left" w:pos="1800"/>
                <w:tab w:val="left" w:pos="8820"/>
              </w:tabs>
              <w:spacing w:line="200" w:lineRule="exact"/>
              <w:ind w:left="720" w:right="547"/>
              <w:rPr>
                <w:rFonts w:eastAsia="Calibri"/>
                <w:bCs w:val="0"/>
                <w:w w:val="103"/>
                <w:szCs w:val="20"/>
              </w:rPr>
            </w:pPr>
            <w:r>
              <w:rPr>
                <w:rFonts w:eastAsia="Calibri"/>
                <w:bCs w:val="0"/>
                <w:w w:val="103"/>
                <w:szCs w:val="20"/>
              </w:rPr>
              <w:t xml:space="preserve">II. </w:t>
            </w:r>
            <w:r w:rsidR="00B74C2E">
              <w:rPr>
                <w:rFonts w:eastAsia="Calibri"/>
                <w:bCs w:val="0"/>
                <w:w w:val="103"/>
                <w:szCs w:val="20"/>
              </w:rPr>
              <w:t>Integrated b</w:t>
            </w:r>
            <w:r w:rsidR="00B13F00" w:rsidRPr="00D67265">
              <w:rPr>
                <w:rFonts w:eastAsia="Calibri"/>
                <w:bCs w:val="0"/>
                <w:w w:val="103"/>
                <w:szCs w:val="20"/>
              </w:rPr>
              <w:t>udget</w:t>
            </w:r>
            <w:r w:rsidR="00FE408A" w:rsidRPr="00D67265">
              <w:rPr>
                <w:rFonts w:eastAsia="Calibri"/>
                <w:bCs w:val="0"/>
                <w:w w:val="103"/>
                <w:szCs w:val="20"/>
              </w:rPr>
              <w:t xml:space="preserve"> </w:t>
            </w:r>
          </w:p>
          <w:p w14:paraId="0AAC438F" w14:textId="2C7DBC07" w:rsidR="00FE408A" w:rsidRPr="006A3881" w:rsidRDefault="00B74C2E" w:rsidP="00511232">
            <w:pPr>
              <w:pStyle w:val="SingleTxt"/>
              <w:numPr>
                <w:ilvl w:val="0"/>
                <w:numId w:val="6"/>
              </w:numPr>
              <w:tabs>
                <w:tab w:val="clear" w:pos="1267"/>
                <w:tab w:val="clear" w:pos="1742"/>
                <w:tab w:val="left" w:pos="1170"/>
              </w:tabs>
              <w:ind w:right="0"/>
              <w:rPr>
                <w:rFonts w:eastAsia="MS Mincho"/>
                <w:spacing w:val="0"/>
                <w:w w:val="100"/>
                <w:kern w:val="0"/>
                <w:lang w:val="en-US" w:eastAsia="ja-JP"/>
              </w:rPr>
            </w:pPr>
            <w:r>
              <w:rPr>
                <w:rFonts w:eastAsia="MS Mincho"/>
                <w:spacing w:val="0"/>
                <w:w w:val="100"/>
                <w:kern w:val="0"/>
                <w:lang w:val="en-US" w:eastAsia="ja-JP"/>
              </w:rPr>
              <w:t>The integrated b</w:t>
            </w:r>
            <w:r w:rsidR="009076D0" w:rsidRPr="006A3881">
              <w:rPr>
                <w:rFonts w:eastAsia="MS Mincho"/>
                <w:spacing w:val="0"/>
                <w:w w:val="100"/>
                <w:kern w:val="0"/>
                <w:lang w:val="en-US" w:eastAsia="ja-JP"/>
              </w:rPr>
              <w:t xml:space="preserve">udget is </w:t>
            </w:r>
            <w:r w:rsidR="00871444">
              <w:rPr>
                <w:rFonts w:eastAsia="MS Mincho"/>
                <w:spacing w:val="0"/>
                <w:w w:val="100"/>
                <w:kern w:val="0"/>
                <w:lang w:val="en-US" w:eastAsia="ja-JP"/>
              </w:rPr>
              <w:t xml:space="preserve">the component of the </w:t>
            </w:r>
            <w:r w:rsidR="005202F2">
              <w:rPr>
                <w:rFonts w:eastAsia="MS Mincho"/>
                <w:spacing w:val="0"/>
                <w:w w:val="100"/>
                <w:kern w:val="0"/>
                <w:lang w:val="en-US" w:eastAsia="ja-JP"/>
              </w:rPr>
              <w:t xml:space="preserve">integrated </w:t>
            </w:r>
            <w:r w:rsidR="009076D0" w:rsidRPr="006A3881">
              <w:rPr>
                <w:rFonts w:eastAsia="MS Mincho"/>
                <w:spacing w:val="0"/>
                <w:w w:val="100"/>
                <w:kern w:val="0"/>
                <w:lang w:val="en-US" w:eastAsia="ja-JP"/>
              </w:rPr>
              <w:t>resources</w:t>
            </w:r>
            <w:r w:rsidR="005202F2">
              <w:rPr>
                <w:rFonts w:eastAsia="MS Mincho"/>
                <w:spacing w:val="0"/>
                <w:w w:val="100"/>
                <w:kern w:val="0"/>
                <w:lang w:val="en-US" w:eastAsia="ja-JP"/>
              </w:rPr>
              <w:t xml:space="preserve"> plan </w:t>
            </w:r>
            <w:r w:rsidR="009076D0" w:rsidRPr="006A3881">
              <w:rPr>
                <w:rFonts w:eastAsia="MS Mincho"/>
                <w:spacing w:val="0"/>
                <w:w w:val="100"/>
                <w:kern w:val="0"/>
                <w:lang w:val="en-US" w:eastAsia="ja-JP"/>
              </w:rPr>
              <w:t xml:space="preserve">funded from regular (core) resources. </w:t>
            </w:r>
            <w:r w:rsidR="00FE408A" w:rsidRPr="006A3881">
              <w:rPr>
                <w:rFonts w:eastAsia="MS Mincho"/>
                <w:spacing w:val="0"/>
                <w:w w:val="100"/>
                <w:kern w:val="0"/>
                <w:lang w:val="en-US" w:eastAsia="ja-JP"/>
              </w:rPr>
              <w:t>Compared to the latest forecast for 20</w:t>
            </w:r>
            <w:r w:rsidR="00034F46">
              <w:rPr>
                <w:rFonts w:eastAsia="MS Mincho"/>
                <w:spacing w:val="0"/>
                <w:w w:val="100"/>
                <w:kern w:val="0"/>
                <w:lang w:val="en-US" w:eastAsia="ja-JP"/>
              </w:rPr>
              <w:t>21</w:t>
            </w:r>
            <w:r w:rsidR="00FE408A" w:rsidRPr="006A3881">
              <w:rPr>
                <w:rFonts w:eastAsia="MS Mincho"/>
                <w:spacing w:val="0"/>
                <w:w w:val="100"/>
                <w:kern w:val="0"/>
                <w:lang w:val="en-US" w:eastAsia="ja-JP"/>
              </w:rPr>
              <w:t xml:space="preserve"> of $6</w:t>
            </w:r>
            <w:r w:rsidR="00034F46">
              <w:rPr>
                <w:rFonts w:eastAsia="MS Mincho"/>
                <w:spacing w:val="0"/>
                <w:w w:val="100"/>
                <w:kern w:val="0"/>
                <w:lang w:val="en-US" w:eastAsia="ja-JP"/>
              </w:rPr>
              <w:t>97</w:t>
            </w:r>
            <w:r w:rsidR="00FE408A" w:rsidRPr="006A3881">
              <w:rPr>
                <w:rFonts w:eastAsia="MS Mincho"/>
                <w:spacing w:val="0"/>
                <w:w w:val="100"/>
                <w:kern w:val="0"/>
                <w:lang w:val="en-US" w:eastAsia="ja-JP"/>
              </w:rPr>
              <w:t xml:space="preserve"> million in core resources contributions, the 20</w:t>
            </w:r>
            <w:r w:rsidR="00034F46">
              <w:rPr>
                <w:rFonts w:eastAsia="MS Mincho"/>
                <w:spacing w:val="0"/>
                <w:w w:val="100"/>
                <w:kern w:val="0"/>
                <w:lang w:val="en-US" w:eastAsia="ja-JP"/>
              </w:rPr>
              <w:t>22</w:t>
            </w:r>
            <w:r w:rsidR="00FE408A" w:rsidRPr="006A3881">
              <w:rPr>
                <w:rFonts w:eastAsia="MS Mincho"/>
                <w:spacing w:val="0"/>
                <w:w w:val="100"/>
                <w:kern w:val="0"/>
                <w:lang w:val="en-US" w:eastAsia="ja-JP"/>
              </w:rPr>
              <w:t xml:space="preserve"> – 202</w:t>
            </w:r>
            <w:r w:rsidR="00034F46">
              <w:rPr>
                <w:rFonts w:eastAsia="MS Mincho"/>
                <w:spacing w:val="0"/>
                <w:w w:val="100"/>
                <w:kern w:val="0"/>
                <w:lang w:val="en-US" w:eastAsia="ja-JP"/>
              </w:rPr>
              <w:t>5</w:t>
            </w:r>
            <w:r w:rsidR="00FE408A" w:rsidRPr="006A3881">
              <w:rPr>
                <w:rFonts w:eastAsia="MS Mincho"/>
                <w:spacing w:val="0"/>
                <w:w w:val="100"/>
                <w:kern w:val="0"/>
                <w:lang w:val="en-US" w:eastAsia="ja-JP"/>
              </w:rPr>
              <w:t xml:space="preserve"> projections reflect a gradual growth in regular resources</w:t>
            </w:r>
            <w:r w:rsidR="007F0AD2">
              <w:rPr>
                <w:rFonts w:eastAsia="MS Mincho"/>
                <w:spacing w:val="0"/>
                <w:w w:val="100"/>
                <w:kern w:val="0"/>
                <w:lang w:val="en-US" w:eastAsia="ja-JP"/>
              </w:rPr>
              <w:t>,</w:t>
            </w:r>
            <w:r w:rsidR="00FE408A" w:rsidRPr="006A3881">
              <w:rPr>
                <w:rFonts w:eastAsia="MS Mincho"/>
                <w:spacing w:val="0"/>
                <w:w w:val="100"/>
                <w:kern w:val="0"/>
                <w:lang w:val="en-US" w:eastAsia="ja-JP"/>
              </w:rPr>
              <w:t xml:space="preserve"> i.e. $</w:t>
            </w:r>
            <w:r w:rsidR="00034F46">
              <w:rPr>
                <w:rFonts w:eastAsia="MS Mincho"/>
                <w:spacing w:val="0"/>
                <w:w w:val="100"/>
                <w:kern w:val="0"/>
                <w:lang w:val="en-US" w:eastAsia="ja-JP"/>
              </w:rPr>
              <w:t>720</w:t>
            </w:r>
            <w:r w:rsidR="00FE408A" w:rsidRPr="006A3881">
              <w:rPr>
                <w:rFonts w:eastAsia="MS Mincho"/>
                <w:spacing w:val="0"/>
                <w:w w:val="100"/>
                <w:kern w:val="0"/>
                <w:lang w:val="en-US" w:eastAsia="ja-JP"/>
              </w:rPr>
              <w:t xml:space="preserve"> million in 20</w:t>
            </w:r>
            <w:r w:rsidR="00034F46">
              <w:rPr>
                <w:rFonts w:eastAsia="MS Mincho"/>
                <w:spacing w:val="0"/>
                <w:w w:val="100"/>
                <w:kern w:val="0"/>
                <w:lang w:val="en-US" w:eastAsia="ja-JP"/>
              </w:rPr>
              <w:t>22</w:t>
            </w:r>
            <w:r w:rsidR="00FE408A" w:rsidRPr="006A3881">
              <w:rPr>
                <w:rFonts w:eastAsia="MS Mincho"/>
                <w:spacing w:val="0"/>
                <w:w w:val="100"/>
                <w:kern w:val="0"/>
                <w:lang w:val="en-US" w:eastAsia="ja-JP"/>
              </w:rPr>
              <w:t>; $</w:t>
            </w:r>
            <w:r w:rsidR="00034F46">
              <w:rPr>
                <w:rFonts w:eastAsia="MS Mincho"/>
                <w:spacing w:val="0"/>
                <w:w w:val="100"/>
                <w:kern w:val="0"/>
                <w:lang w:val="en-US" w:eastAsia="ja-JP"/>
              </w:rPr>
              <w:t>747</w:t>
            </w:r>
            <w:r w:rsidR="00FE408A" w:rsidRPr="006A3881">
              <w:rPr>
                <w:rFonts w:eastAsia="MS Mincho"/>
                <w:spacing w:val="0"/>
                <w:w w:val="100"/>
                <w:kern w:val="0"/>
                <w:lang w:val="en-US" w:eastAsia="ja-JP"/>
              </w:rPr>
              <w:t xml:space="preserve"> million in 20</w:t>
            </w:r>
            <w:r w:rsidR="00034F46">
              <w:rPr>
                <w:rFonts w:eastAsia="MS Mincho"/>
                <w:spacing w:val="0"/>
                <w:w w:val="100"/>
                <w:kern w:val="0"/>
                <w:lang w:val="en-US" w:eastAsia="ja-JP"/>
              </w:rPr>
              <w:t>23</w:t>
            </w:r>
            <w:r w:rsidR="00FE408A" w:rsidRPr="006A3881">
              <w:rPr>
                <w:rFonts w:eastAsia="MS Mincho"/>
                <w:spacing w:val="0"/>
                <w:w w:val="100"/>
                <w:kern w:val="0"/>
                <w:lang w:val="en-US" w:eastAsia="ja-JP"/>
              </w:rPr>
              <w:t xml:space="preserve">; </w:t>
            </w:r>
            <w:r w:rsidR="00034F46">
              <w:rPr>
                <w:rFonts w:eastAsia="MS Mincho"/>
                <w:spacing w:val="0"/>
                <w:w w:val="100"/>
                <w:kern w:val="0"/>
                <w:lang w:val="en-US" w:eastAsia="ja-JP"/>
              </w:rPr>
              <w:t>$773</w:t>
            </w:r>
            <w:r w:rsidR="00FE408A" w:rsidRPr="006A3881">
              <w:rPr>
                <w:rFonts w:eastAsia="MS Mincho"/>
                <w:spacing w:val="0"/>
                <w:w w:val="100"/>
                <w:kern w:val="0"/>
                <w:lang w:val="en-US" w:eastAsia="ja-JP"/>
              </w:rPr>
              <w:t xml:space="preserve"> million in 202</w:t>
            </w:r>
            <w:r w:rsidR="00034F46">
              <w:rPr>
                <w:rFonts w:eastAsia="MS Mincho"/>
                <w:spacing w:val="0"/>
                <w:w w:val="100"/>
                <w:kern w:val="0"/>
                <w:lang w:val="en-US" w:eastAsia="ja-JP"/>
              </w:rPr>
              <w:t xml:space="preserve">4; </w:t>
            </w:r>
            <w:proofErr w:type="gramStart"/>
            <w:r w:rsidR="00034F46">
              <w:rPr>
                <w:rFonts w:eastAsia="MS Mincho"/>
                <w:spacing w:val="0"/>
                <w:w w:val="100"/>
                <w:kern w:val="0"/>
                <w:lang w:val="en-US" w:eastAsia="ja-JP"/>
              </w:rPr>
              <w:t xml:space="preserve">and </w:t>
            </w:r>
            <w:r w:rsidR="00FE408A" w:rsidRPr="006A3881">
              <w:rPr>
                <w:rFonts w:eastAsia="MS Mincho"/>
                <w:spacing w:val="0"/>
                <w:w w:val="100"/>
                <w:kern w:val="0"/>
                <w:lang w:val="en-US" w:eastAsia="ja-JP"/>
              </w:rPr>
              <w:t xml:space="preserve"> </w:t>
            </w:r>
            <w:r w:rsidR="00034F46">
              <w:rPr>
                <w:rFonts w:eastAsia="MS Mincho"/>
                <w:spacing w:val="0"/>
                <w:w w:val="100"/>
                <w:kern w:val="0"/>
                <w:lang w:val="en-US" w:eastAsia="ja-JP"/>
              </w:rPr>
              <w:t>$</w:t>
            </w:r>
            <w:proofErr w:type="gramEnd"/>
            <w:r w:rsidR="00034F46">
              <w:rPr>
                <w:rFonts w:eastAsia="MS Mincho"/>
                <w:spacing w:val="0"/>
                <w:w w:val="100"/>
                <w:kern w:val="0"/>
                <w:lang w:val="en-US" w:eastAsia="ja-JP"/>
              </w:rPr>
              <w:t xml:space="preserve">820 million in </w:t>
            </w:r>
            <w:r w:rsidR="00FE408A" w:rsidRPr="006A3881">
              <w:rPr>
                <w:rFonts w:eastAsia="MS Mincho"/>
                <w:spacing w:val="0"/>
                <w:w w:val="100"/>
                <w:kern w:val="0"/>
                <w:lang w:val="en-US" w:eastAsia="ja-JP"/>
              </w:rPr>
              <w:t>202</w:t>
            </w:r>
            <w:r w:rsidR="00034F46">
              <w:rPr>
                <w:rFonts w:eastAsia="MS Mincho"/>
                <w:spacing w:val="0"/>
                <w:w w:val="100"/>
                <w:kern w:val="0"/>
                <w:lang w:val="en-US" w:eastAsia="ja-JP"/>
              </w:rPr>
              <w:t>5</w:t>
            </w:r>
            <w:r w:rsidR="00FE408A" w:rsidRPr="006A3881">
              <w:rPr>
                <w:rFonts w:eastAsia="MS Mincho"/>
                <w:spacing w:val="0"/>
                <w:w w:val="100"/>
                <w:kern w:val="0"/>
                <w:lang w:val="en-US" w:eastAsia="ja-JP"/>
              </w:rPr>
              <w:t>. Based on the projected contributions of regular (core) resources of $</w:t>
            </w:r>
            <w:r w:rsidR="007F0AD2">
              <w:rPr>
                <w:rFonts w:eastAsia="MS Mincho"/>
                <w:spacing w:val="0"/>
                <w:w w:val="100"/>
                <w:kern w:val="0"/>
                <w:lang w:val="en-US" w:eastAsia="ja-JP"/>
              </w:rPr>
              <w:t>3,060</w:t>
            </w:r>
            <w:r w:rsidR="00FE408A" w:rsidRPr="006A3881">
              <w:rPr>
                <w:rFonts w:eastAsia="MS Mincho"/>
                <w:spacing w:val="0"/>
                <w:w w:val="100"/>
                <w:kern w:val="0"/>
                <w:lang w:val="en-US" w:eastAsia="ja-JP"/>
              </w:rPr>
              <w:t xml:space="preserve"> million, other income of $</w:t>
            </w:r>
            <w:r w:rsidR="007F0AD2">
              <w:rPr>
                <w:rFonts w:eastAsia="MS Mincho"/>
                <w:spacing w:val="0"/>
                <w:w w:val="100"/>
                <w:kern w:val="0"/>
                <w:lang w:val="en-US" w:eastAsia="ja-JP"/>
              </w:rPr>
              <w:t>230</w:t>
            </w:r>
            <w:r w:rsidR="00FE408A" w:rsidRPr="006A3881">
              <w:rPr>
                <w:rFonts w:eastAsia="MS Mincho"/>
                <w:spacing w:val="0"/>
                <w:w w:val="100"/>
                <w:kern w:val="0"/>
                <w:lang w:val="en-US" w:eastAsia="ja-JP"/>
              </w:rPr>
              <w:t xml:space="preserve"> million and an opening balance of $</w:t>
            </w:r>
            <w:r w:rsidR="00034F46">
              <w:rPr>
                <w:rFonts w:eastAsia="MS Mincho"/>
                <w:spacing w:val="0"/>
                <w:w w:val="100"/>
                <w:kern w:val="0"/>
                <w:lang w:val="en-US" w:eastAsia="ja-JP"/>
              </w:rPr>
              <w:t>351</w:t>
            </w:r>
            <w:r w:rsidR="00FE408A" w:rsidRPr="006A3881">
              <w:rPr>
                <w:rFonts w:eastAsia="MS Mincho"/>
                <w:spacing w:val="0"/>
                <w:w w:val="100"/>
                <w:kern w:val="0"/>
                <w:lang w:val="en-US" w:eastAsia="ja-JP"/>
              </w:rPr>
              <w:t xml:space="preserve"> million (</w:t>
            </w:r>
            <w:proofErr w:type="spellStart"/>
            <w:r w:rsidR="00FE408A" w:rsidRPr="006A3881">
              <w:rPr>
                <w:rFonts w:eastAsia="MS Mincho"/>
                <w:spacing w:val="0"/>
                <w:w w:val="100"/>
                <w:kern w:val="0"/>
                <w:lang w:val="en-US" w:eastAsia="ja-JP"/>
              </w:rPr>
              <w:t>totalling</w:t>
            </w:r>
            <w:proofErr w:type="spellEnd"/>
            <w:r w:rsidR="00FE408A" w:rsidRPr="006A3881">
              <w:rPr>
                <w:rFonts w:eastAsia="MS Mincho"/>
                <w:spacing w:val="0"/>
                <w:w w:val="100"/>
                <w:kern w:val="0"/>
                <w:lang w:val="en-US" w:eastAsia="ja-JP"/>
              </w:rPr>
              <w:t xml:space="preserve"> to $3,</w:t>
            </w:r>
            <w:r w:rsidR="007F0AD2">
              <w:rPr>
                <w:rFonts w:eastAsia="MS Mincho"/>
                <w:spacing w:val="0"/>
                <w:w w:val="100"/>
                <w:kern w:val="0"/>
                <w:lang w:val="en-US" w:eastAsia="ja-JP"/>
              </w:rPr>
              <w:t>641</w:t>
            </w:r>
            <w:r w:rsidR="00FE408A" w:rsidRPr="006A3881">
              <w:rPr>
                <w:rFonts w:eastAsia="MS Mincho"/>
                <w:spacing w:val="0"/>
                <w:w w:val="100"/>
                <w:kern w:val="0"/>
                <w:lang w:val="en-US" w:eastAsia="ja-JP"/>
              </w:rPr>
              <w:t xml:space="preserve"> million), UNDP proposes an estimated expenditure of $</w:t>
            </w:r>
            <w:r w:rsidR="007F0AD2">
              <w:rPr>
                <w:rFonts w:eastAsia="MS Mincho"/>
                <w:spacing w:val="0"/>
                <w:w w:val="100"/>
                <w:kern w:val="0"/>
                <w:lang w:val="en-US" w:eastAsia="ja-JP"/>
              </w:rPr>
              <w:t>3</w:t>
            </w:r>
            <w:r w:rsidR="00FE408A" w:rsidRPr="006A3881">
              <w:rPr>
                <w:rFonts w:eastAsia="MS Mincho"/>
                <w:spacing w:val="0"/>
                <w:w w:val="100"/>
                <w:kern w:val="0"/>
                <w:lang w:val="en-US" w:eastAsia="ja-JP"/>
              </w:rPr>
              <w:t>,</w:t>
            </w:r>
            <w:r w:rsidR="007F0AD2">
              <w:rPr>
                <w:rFonts w:eastAsia="MS Mincho"/>
                <w:spacing w:val="0"/>
                <w:w w:val="100"/>
                <w:kern w:val="0"/>
                <w:lang w:val="en-US" w:eastAsia="ja-JP"/>
              </w:rPr>
              <w:t>391</w:t>
            </w:r>
            <w:r w:rsidR="00FE408A" w:rsidRPr="006A3881">
              <w:rPr>
                <w:rFonts w:eastAsia="MS Mincho"/>
                <w:spacing w:val="0"/>
                <w:w w:val="100"/>
                <w:kern w:val="0"/>
                <w:lang w:val="en-US" w:eastAsia="ja-JP"/>
              </w:rPr>
              <w:t xml:space="preserve"> million for the period 20</w:t>
            </w:r>
            <w:r w:rsidR="007F0AD2">
              <w:rPr>
                <w:rFonts w:eastAsia="MS Mincho"/>
                <w:spacing w:val="0"/>
                <w:w w:val="100"/>
                <w:kern w:val="0"/>
                <w:lang w:val="en-US" w:eastAsia="ja-JP"/>
              </w:rPr>
              <w:t>22</w:t>
            </w:r>
            <w:r w:rsidR="00FE408A" w:rsidRPr="006A3881">
              <w:rPr>
                <w:rFonts w:eastAsia="MS Mincho"/>
                <w:spacing w:val="0"/>
                <w:w w:val="100"/>
                <w:kern w:val="0"/>
                <w:lang w:val="en-US" w:eastAsia="ja-JP"/>
              </w:rPr>
              <w:t>-202</w:t>
            </w:r>
            <w:r w:rsidR="007F0AD2">
              <w:rPr>
                <w:rFonts w:eastAsia="MS Mincho"/>
                <w:spacing w:val="0"/>
                <w:w w:val="100"/>
                <w:kern w:val="0"/>
                <w:lang w:val="en-US" w:eastAsia="ja-JP"/>
              </w:rPr>
              <w:t>5</w:t>
            </w:r>
            <w:r w:rsidR="00FE408A" w:rsidRPr="006A3881">
              <w:rPr>
                <w:rFonts w:eastAsia="MS Mincho"/>
                <w:spacing w:val="0"/>
                <w:w w:val="100"/>
                <w:kern w:val="0"/>
                <w:lang w:val="en-US" w:eastAsia="ja-JP"/>
              </w:rPr>
              <w:t>. This represents a</w:t>
            </w:r>
            <w:r w:rsidR="007F0AD2">
              <w:rPr>
                <w:rFonts w:eastAsia="MS Mincho"/>
                <w:spacing w:val="0"/>
                <w:w w:val="100"/>
                <w:kern w:val="0"/>
                <w:lang w:val="en-US" w:eastAsia="ja-JP"/>
              </w:rPr>
              <w:t>n</w:t>
            </w:r>
            <w:r w:rsidR="00FE408A" w:rsidRPr="006A3881">
              <w:rPr>
                <w:rFonts w:eastAsia="MS Mincho"/>
                <w:spacing w:val="0"/>
                <w:w w:val="100"/>
                <w:kern w:val="0"/>
                <w:lang w:val="en-US" w:eastAsia="ja-JP"/>
              </w:rPr>
              <w:t xml:space="preserve"> </w:t>
            </w:r>
            <w:r w:rsidR="007F0AD2">
              <w:rPr>
                <w:rFonts w:eastAsia="MS Mincho"/>
                <w:spacing w:val="0"/>
                <w:w w:val="100"/>
                <w:kern w:val="0"/>
                <w:lang w:val="en-US" w:eastAsia="ja-JP"/>
              </w:rPr>
              <w:t>in</w:t>
            </w:r>
            <w:r w:rsidR="00FE408A" w:rsidRPr="006A3881">
              <w:rPr>
                <w:rFonts w:eastAsia="MS Mincho"/>
                <w:spacing w:val="0"/>
                <w:w w:val="100"/>
                <w:kern w:val="0"/>
                <w:lang w:val="en-US" w:eastAsia="ja-JP"/>
              </w:rPr>
              <w:t>crease of $</w:t>
            </w:r>
            <w:r w:rsidR="007F0AD2">
              <w:rPr>
                <w:rFonts w:eastAsia="MS Mincho"/>
                <w:spacing w:val="0"/>
                <w:w w:val="100"/>
                <w:kern w:val="0"/>
                <w:lang w:val="en-US" w:eastAsia="ja-JP"/>
              </w:rPr>
              <w:t>635</w:t>
            </w:r>
            <w:r w:rsidR="00FE408A" w:rsidRPr="006A3881">
              <w:rPr>
                <w:rFonts w:eastAsia="MS Mincho"/>
                <w:spacing w:val="0"/>
                <w:w w:val="100"/>
                <w:kern w:val="0"/>
                <w:lang w:val="en-US" w:eastAsia="ja-JP"/>
              </w:rPr>
              <w:t xml:space="preserve"> million from $2,</w:t>
            </w:r>
            <w:r w:rsidR="007F0AD2">
              <w:rPr>
                <w:rFonts w:eastAsia="MS Mincho"/>
                <w:spacing w:val="0"/>
                <w:w w:val="100"/>
                <w:kern w:val="0"/>
                <w:lang w:val="en-US" w:eastAsia="ja-JP"/>
              </w:rPr>
              <w:t>756</w:t>
            </w:r>
            <w:r w:rsidR="00FE408A" w:rsidRPr="006A3881">
              <w:rPr>
                <w:rFonts w:eastAsia="MS Mincho"/>
                <w:spacing w:val="0"/>
                <w:w w:val="100"/>
                <w:kern w:val="0"/>
                <w:lang w:val="en-US" w:eastAsia="ja-JP"/>
              </w:rPr>
              <w:t xml:space="preserve"> million in 201</w:t>
            </w:r>
            <w:r w:rsidR="007F0AD2">
              <w:rPr>
                <w:rFonts w:eastAsia="MS Mincho"/>
                <w:spacing w:val="0"/>
                <w:w w:val="100"/>
                <w:kern w:val="0"/>
                <w:lang w:val="en-US" w:eastAsia="ja-JP"/>
              </w:rPr>
              <w:t>8</w:t>
            </w:r>
            <w:r w:rsidR="00FE408A" w:rsidRPr="006A3881">
              <w:rPr>
                <w:rFonts w:eastAsia="MS Mincho"/>
                <w:spacing w:val="0"/>
                <w:w w:val="100"/>
                <w:kern w:val="0"/>
                <w:lang w:val="en-US" w:eastAsia="ja-JP"/>
              </w:rPr>
              <w:t>-20</w:t>
            </w:r>
            <w:r w:rsidR="007F0AD2">
              <w:rPr>
                <w:rFonts w:eastAsia="MS Mincho"/>
                <w:spacing w:val="0"/>
                <w:w w:val="100"/>
                <w:kern w:val="0"/>
                <w:lang w:val="en-US" w:eastAsia="ja-JP"/>
              </w:rPr>
              <w:t>21</w:t>
            </w:r>
            <w:r w:rsidR="00FE408A" w:rsidRPr="006A3881">
              <w:rPr>
                <w:rFonts w:eastAsia="MS Mincho"/>
                <w:spacing w:val="0"/>
                <w:w w:val="100"/>
                <w:kern w:val="0"/>
                <w:lang w:val="en-US" w:eastAsia="ja-JP"/>
              </w:rPr>
              <w:t xml:space="preserve"> (actuals for 201</w:t>
            </w:r>
            <w:r w:rsidR="007F0AD2">
              <w:rPr>
                <w:rFonts w:eastAsia="MS Mincho"/>
                <w:spacing w:val="0"/>
                <w:w w:val="100"/>
                <w:kern w:val="0"/>
                <w:lang w:val="en-US" w:eastAsia="ja-JP"/>
              </w:rPr>
              <w:t>8</w:t>
            </w:r>
            <w:r w:rsidR="00FE408A" w:rsidRPr="006A3881">
              <w:rPr>
                <w:rFonts w:eastAsia="MS Mincho"/>
                <w:spacing w:val="0"/>
                <w:w w:val="100"/>
                <w:kern w:val="0"/>
                <w:lang w:val="en-US" w:eastAsia="ja-JP"/>
              </w:rPr>
              <w:t>-20</w:t>
            </w:r>
            <w:r w:rsidR="007F0AD2">
              <w:rPr>
                <w:rFonts w:eastAsia="MS Mincho"/>
                <w:spacing w:val="0"/>
                <w:w w:val="100"/>
                <w:kern w:val="0"/>
                <w:lang w:val="en-US" w:eastAsia="ja-JP"/>
              </w:rPr>
              <w:t>20</w:t>
            </w:r>
            <w:r w:rsidR="00FE408A" w:rsidRPr="006A3881">
              <w:rPr>
                <w:rFonts w:eastAsia="MS Mincho"/>
                <w:spacing w:val="0"/>
                <w:w w:val="100"/>
                <w:kern w:val="0"/>
                <w:lang w:val="en-US" w:eastAsia="ja-JP"/>
              </w:rPr>
              <w:t xml:space="preserve"> and estimate</w:t>
            </w:r>
            <w:r w:rsidR="004A3A80">
              <w:rPr>
                <w:rFonts w:eastAsia="MS Mincho"/>
                <w:spacing w:val="0"/>
                <w:w w:val="100"/>
                <w:kern w:val="0"/>
                <w:lang w:val="en-US" w:eastAsia="ja-JP"/>
              </w:rPr>
              <w:t>s</w:t>
            </w:r>
            <w:r w:rsidR="00FE408A" w:rsidRPr="006A3881">
              <w:rPr>
                <w:rFonts w:eastAsia="MS Mincho"/>
                <w:spacing w:val="0"/>
                <w:w w:val="100"/>
                <w:kern w:val="0"/>
                <w:lang w:val="en-US" w:eastAsia="ja-JP"/>
              </w:rPr>
              <w:t xml:space="preserve"> for 20</w:t>
            </w:r>
            <w:r w:rsidR="007F0AD2">
              <w:rPr>
                <w:rFonts w:eastAsia="MS Mincho"/>
                <w:spacing w:val="0"/>
                <w:w w:val="100"/>
                <w:kern w:val="0"/>
                <w:lang w:val="en-US" w:eastAsia="ja-JP"/>
              </w:rPr>
              <w:t>21</w:t>
            </w:r>
            <w:r w:rsidR="00FE408A" w:rsidRPr="006A3881">
              <w:rPr>
                <w:rFonts w:eastAsia="MS Mincho"/>
                <w:spacing w:val="0"/>
                <w:w w:val="100"/>
                <w:kern w:val="0"/>
                <w:lang w:val="en-US" w:eastAsia="ja-JP"/>
              </w:rPr>
              <w:t>).</w:t>
            </w:r>
            <w:r w:rsidR="009076D0" w:rsidRPr="006A3881">
              <w:rPr>
                <w:rFonts w:eastAsia="MS Mincho"/>
                <w:spacing w:val="0"/>
                <w:w w:val="100"/>
                <w:kern w:val="0"/>
                <w:lang w:val="en-US" w:eastAsia="ja-JP"/>
              </w:rPr>
              <w:t xml:space="preserve"> Details follow below on the </w:t>
            </w:r>
            <w:r w:rsidR="00D54CE2" w:rsidRPr="006A3881">
              <w:rPr>
                <w:rFonts w:eastAsia="MS Mincho"/>
                <w:spacing w:val="0"/>
                <w:w w:val="100"/>
                <w:kern w:val="0"/>
                <w:lang w:val="en-US" w:eastAsia="ja-JP"/>
              </w:rPr>
              <w:t>p</w:t>
            </w:r>
            <w:r w:rsidR="009076D0" w:rsidRPr="006A3881">
              <w:rPr>
                <w:rFonts w:eastAsia="MS Mincho"/>
                <w:spacing w:val="0"/>
                <w:w w:val="100"/>
                <w:kern w:val="0"/>
                <w:lang w:val="en-US" w:eastAsia="ja-JP"/>
              </w:rPr>
              <w:t xml:space="preserve">rogrammatic and </w:t>
            </w:r>
            <w:r w:rsidR="00D54CE2" w:rsidRPr="006A3881">
              <w:rPr>
                <w:rFonts w:eastAsia="MS Mincho"/>
                <w:spacing w:val="0"/>
                <w:w w:val="100"/>
                <w:kern w:val="0"/>
                <w:lang w:val="en-US" w:eastAsia="ja-JP"/>
              </w:rPr>
              <w:t>i</w:t>
            </w:r>
            <w:r w:rsidR="009076D0" w:rsidRPr="006A3881">
              <w:rPr>
                <w:rFonts w:eastAsia="MS Mincho"/>
                <w:spacing w:val="0"/>
                <w:w w:val="100"/>
                <w:kern w:val="0"/>
                <w:lang w:val="en-US" w:eastAsia="ja-JP"/>
              </w:rPr>
              <w:t>nstitutional com</w:t>
            </w:r>
            <w:r w:rsidR="00D52575">
              <w:rPr>
                <w:rFonts w:eastAsia="MS Mincho"/>
                <w:spacing w:val="0"/>
                <w:w w:val="100"/>
                <w:kern w:val="0"/>
                <w:lang w:val="en-US" w:eastAsia="ja-JP"/>
              </w:rPr>
              <w:t>ponents of the integrated b</w:t>
            </w:r>
            <w:r w:rsidR="009076D0" w:rsidRPr="006A3881">
              <w:rPr>
                <w:rFonts w:eastAsia="MS Mincho"/>
                <w:spacing w:val="0"/>
                <w:w w:val="100"/>
                <w:kern w:val="0"/>
                <w:lang w:val="en-US" w:eastAsia="ja-JP"/>
              </w:rPr>
              <w:t>udget.</w:t>
            </w:r>
          </w:p>
          <w:p w14:paraId="0DA88C49" w14:textId="77777777" w:rsidR="00B95A86" w:rsidRPr="00D67265" w:rsidRDefault="00B95A86" w:rsidP="00D67265">
            <w:pPr>
              <w:pStyle w:val="DualTxt"/>
              <w:tabs>
                <w:tab w:val="clear" w:pos="960"/>
                <w:tab w:val="clear" w:pos="1915"/>
                <w:tab w:val="left" w:pos="900"/>
                <w:tab w:val="left" w:pos="990"/>
                <w:tab w:val="left" w:pos="1260"/>
                <w:tab w:val="left" w:pos="1800"/>
                <w:tab w:val="left" w:pos="8820"/>
              </w:tabs>
              <w:spacing w:line="200" w:lineRule="exact"/>
              <w:ind w:right="547"/>
              <w:rPr>
                <w:i/>
                <w:iCs/>
                <w:w w:val="103"/>
                <w:sz w:val="20"/>
                <w:szCs w:val="20"/>
              </w:rPr>
            </w:pPr>
          </w:p>
          <w:p w14:paraId="161A7D00" w14:textId="77777777" w:rsidR="00B95A86" w:rsidRPr="003C2A46" w:rsidRDefault="00B95A86" w:rsidP="00D67265">
            <w:pPr>
              <w:pStyle w:val="DualTxt"/>
              <w:tabs>
                <w:tab w:val="clear" w:pos="960"/>
                <w:tab w:val="clear" w:pos="1915"/>
                <w:tab w:val="left" w:pos="900"/>
                <w:tab w:val="left" w:pos="990"/>
                <w:tab w:val="left" w:pos="1260"/>
                <w:tab w:val="left" w:pos="1800"/>
                <w:tab w:val="left" w:pos="8820"/>
              </w:tabs>
              <w:spacing w:after="0" w:line="240" w:lineRule="auto"/>
              <w:ind w:right="547"/>
              <w:rPr>
                <w:b w:val="0"/>
                <w:bCs w:val="0"/>
                <w:i/>
                <w:sz w:val="20"/>
                <w:szCs w:val="20"/>
              </w:rPr>
            </w:pPr>
          </w:p>
          <w:p w14:paraId="0062C377" w14:textId="24E02462" w:rsidR="00F85E21" w:rsidRDefault="00FE408A" w:rsidP="00871444">
            <w:pPr>
              <w:pStyle w:val="DualTxt"/>
              <w:tabs>
                <w:tab w:val="clear" w:pos="960"/>
                <w:tab w:val="clear" w:pos="1915"/>
                <w:tab w:val="left" w:pos="900"/>
                <w:tab w:val="left" w:pos="990"/>
                <w:tab w:val="left" w:pos="1260"/>
                <w:tab w:val="left" w:pos="1800"/>
                <w:tab w:val="left" w:pos="8820"/>
              </w:tabs>
              <w:ind w:right="540"/>
            </w:pPr>
            <w:r>
              <w:rPr>
                <w:iCs/>
              </w:rPr>
              <w:t xml:space="preserve">           </w:t>
            </w:r>
            <w:proofErr w:type="spellStart"/>
            <w:r>
              <w:rPr>
                <w:iCs/>
              </w:rPr>
              <w:t>II.a</w:t>
            </w:r>
            <w:proofErr w:type="spellEnd"/>
            <w:r>
              <w:rPr>
                <w:iCs/>
              </w:rPr>
              <w:t xml:space="preserve"> </w:t>
            </w:r>
            <w:r w:rsidR="00B74C2E">
              <w:rPr>
                <w:iCs/>
              </w:rPr>
              <w:t xml:space="preserve"> Programmatic component of the integrated b</w:t>
            </w:r>
            <w:r>
              <w:rPr>
                <w:iCs/>
              </w:rPr>
              <w:t>udget</w:t>
            </w:r>
            <w:r w:rsidR="00581152">
              <w:rPr>
                <w:iCs/>
              </w:rPr>
              <w:t xml:space="preserve">  - methodology</w:t>
            </w:r>
            <w:r>
              <w:rPr>
                <w:iCs/>
              </w:rPr>
              <w:t>.</w:t>
            </w:r>
          </w:p>
          <w:p w14:paraId="078F94EE" w14:textId="77777777" w:rsidR="00397E93" w:rsidRDefault="00397E93" w:rsidP="00511232">
            <w:pPr>
              <w:pStyle w:val="SingleTxt"/>
              <w:numPr>
                <w:ilvl w:val="0"/>
                <w:numId w:val="6"/>
              </w:numPr>
              <w:tabs>
                <w:tab w:val="clear" w:pos="1267"/>
                <w:tab w:val="clear" w:pos="1742"/>
                <w:tab w:val="left" w:pos="1170"/>
              </w:tabs>
              <w:ind w:right="0"/>
              <w:rPr>
                <w:rFonts w:eastAsia="MS Mincho"/>
                <w:spacing w:val="0"/>
                <w:w w:val="100"/>
                <w:kern w:val="0"/>
                <w:lang w:val="en-US" w:eastAsia="ja-JP"/>
              </w:rPr>
            </w:pPr>
            <w:r w:rsidRPr="0057704D">
              <w:rPr>
                <w:rFonts w:eastAsia="MS Mincho"/>
                <w:spacing w:val="0"/>
                <w:w w:val="100"/>
                <w:kern w:val="0"/>
                <w:lang w:val="en-US" w:eastAsia="ja-JP"/>
              </w:rPr>
              <w:t>The programming arrangements set the legal framework, as well as the principles and parameters, for the distribution of UNDP regular programme resources and their use</w:t>
            </w:r>
            <w:r>
              <w:rPr>
                <w:rFonts w:eastAsia="MS Mincho"/>
                <w:spacing w:val="0"/>
                <w:w w:val="100"/>
                <w:kern w:val="0"/>
                <w:lang w:val="en-US" w:eastAsia="ja-JP"/>
              </w:rPr>
              <w:t>. The resulting programmatic component of the integrated budget includes four main groups (or “windows”): Country window, Regional window, Global window and Development Effectiveness.</w:t>
            </w:r>
          </w:p>
          <w:p w14:paraId="546A280E" w14:textId="44A9CB3F" w:rsidR="00397E93" w:rsidRPr="00397E93" w:rsidRDefault="00397E93" w:rsidP="00511232">
            <w:pPr>
              <w:pStyle w:val="SingleTxt"/>
              <w:numPr>
                <w:ilvl w:val="0"/>
                <w:numId w:val="6"/>
              </w:numPr>
              <w:tabs>
                <w:tab w:val="clear" w:pos="1267"/>
                <w:tab w:val="clear" w:pos="1742"/>
                <w:tab w:val="left" w:pos="1170"/>
              </w:tabs>
              <w:ind w:right="0"/>
              <w:rPr>
                <w:rFonts w:eastAsia="MS Mincho"/>
                <w:spacing w:val="0"/>
                <w:w w:val="100"/>
                <w:kern w:val="0"/>
                <w:lang w:val="en-US" w:eastAsia="ja-JP"/>
              </w:rPr>
            </w:pPr>
            <w:r>
              <w:rPr>
                <w:rFonts w:eastAsia="MS Mincho"/>
                <w:spacing w:val="0"/>
                <w:w w:val="100"/>
                <w:kern w:val="0"/>
                <w:lang w:val="en-US" w:eastAsia="ja-JP"/>
              </w:rPr>
              <w:t xml:space="preserve">Allocations corresponding to the Country window are made in accordance with </w:t>
            </w:r>
            <w:r w:rsidRPr="00F472DC">
              <w:rPr>
                <w:rFonts w:eastAsia="MS Mincho"/>
                <w:spacing w:val="0"/>
                <w:w w:val="100"/>
                <w:kern w:val="0"/>
                <w:lang w:val="en-US" w:eastAsia="ja-JP"/>
              </w:rPr>
              <w:t xml:space="preserve">the framework of </w:t>
            </w:r>
            <w:r>
              <w:rPr>
                <w:rFonts w:eastAsia="MS Mincho"/>
                <w:spacing w:val="0"/>
                <w:w w:val="100"/>
                <w:kern w:val="0"/>
                <w:lang w:val="en-US" w:eastAsia="ja-JP"/>
              </w:rPr>
              <w:t>T</w:t>
            </w:r>
            <w:r w:rsidRPr="00F472DC">
              <w:rPr>
                <w:rFonts w:eastAsia="MS Mincho"/>
                <w:spacing w:val="0"/>
                <w:w w:val="100"/>
                <w:kern w:val="0"/>
                <w:lang w:val="en-US" w:eastAsia="ja-JP"/>
              </w:rPr>
              <w:t xml:space="preserve">argets for </w:t>
            </w:r>
            <w:r>
              <w:rPr>
                <w:rFonts w:eastAsia="MS Mincho"/>
                <w:spacing w:val="0"/>
                <w:w w:val="100"/>
                <w:kern w:val="0"/>
                <w:lang w:val="en-US" w:eastAsia="ja-JP"/>
              </w:rPr>
              <w:t>R</w:t>
            </w:r>
            <w:r w:rsidRPr="00F472DC">
              <w:rPr>
                <w:rFonts w:eastAsia="MS Mincho"/>
                <w:spacing w:val="0"/>
                <w:w w:val="100"/>
                <w:kern w:val="0"/>
                <w:lang w:val="en-US" w:eastAsia="ja-JP"/>
              </w:rPr>
              <w:t xml:space="preserve">esource </w:t>
            </w:r>
            <w:r>
              <w:rPr>
                <w:rFonts w:eastAsia="MS Mincho"/>
                <w:spacing w:val="0"/>
                <w:w w:val="100"/>
                <w:kern w:val="0"/>
                <w:lang w:val="en-US" w:eastAsia="ja-JP"/>
              </w:rPr>
              <w:t>A</w:t>
            </w:r>
            <w:r w:rsidRPr="00F472DC">
              <w:rPr>
                <w:rFonts w:eastAsia="MS Mincho"/>
                <w:spacing w:val="0"/>
                <w:w w:val="100"/>
                <w:kern w:val="0"/>
                <w:lang w:val="en-US" w:eastAsia="ja-JP"/>
              </w:rPr>
              <w:t xml:space="preserve">ssignments from </w:t>
            </w:r>
            <w:r>
              <w:rPr>
                <w:rFonts w:eastAsia="MS Mincho"/>
                <w:spacing w:val="0"/>
                <w:w w:val="100"/>
                <w:kern w:val="0"/>
                <w:lang w:val="en-US" w:eastAsia="ja-JP"/>
              </w:rPr>
              <w:t>C</w:t>
            </w:r>
            <w:r w:rsidRPr="00F472DC">
              <w:rPr>
                <w:rFonts w:eastAsia="MS Mincho"/>
                <w:spacing w:val="0"/>
                <w:w w:val="100"/>
                <w:kern w:val="0"/>
                <w:lang w:val="en-US" w:eastAsia="ja-JP"/>
              </w:rPr>
              <w:t xml:space="preserve">ore (known as ‘TRACs’). The TRAC is a three-tiered system in which TRAC-1 and TRAC-2 resources are linked in a combined pool, while TRAC-3 resources are made available through a separate </w:t>
            </w:r>
            <w:r>
              <w:rPr>
                <w:rFonts w:eastAsia="MS Mincho"/>
                <w:spacing w:val="0"/>
                <w:w w:val="100"/>
                <w:kern w:val="0"/>
                <w:lang w:val="en-US" w:eastAsia="ja-JP"/>
              </w:rPr>
              <w:t>pool. TRAC allocations form the</w:t>
            </w:r>
            <w:r w:rsidRPr="00F472DC">
              <w:rPr>
                <w:rFonts w:eastAsia="MS Mincho"/>
                <w:spacing w:val="0"/>
                <w:w w:val="100"/>
                <w:kern w:val="0"/>
                <w:lang w:val="en-US" w:eastAsia="ja-JP"/>
              </w:rPr>
              <w:t xml:space="preserve"> financial foundation for the UNDP programmatic presence on the ground.</w:t>
            </w:r>
          </w:p>
          <w:p w14:paraId="62DC6813" w14:textId="4C5D6996" w:rsidR="00397E93" w:rsidRDefault="007D5E09" w:rsidP="00511232">
            <w:pPr>
              <w:pStyle w:val="SingleTxt"/>
              <w:numPr>
                <w:ilvl w:val="0"/>
                <w:numId w:val="6"/>
              </w:numPr>
              <w:tabs>
                <w:tab w:val="clear" w:pos="1267"/>
                <w:tab w:val="clear" w:pos="1742"/>
                <w:tab w:val="left" w:pos="1170"/>
              </w:tabs>
              <w:ind w:right="0"/>
              <w:rPr>
                <w:rFonts w:eastAsia="MS Mincho"/>
                <w:spacing w:val="0"/>
                <w:w w:val="100"/>
                <w:kern w:val="0"/>
                <w:lang w:val="en-US" w:eastAsia="ja-JP"/>
              </w:rPr>
            </w:pPr>
            <w:r>
              <w:rPr>
                <w:rFonts w:eastAsia="MS Mincho"/>
                <w:spacing w:val="0"/>
                <w:w w:val="100"/>
                <w:kern w:val="0"/>
                <w:lang w:val="en-US" w:eastAsia="ja-JP"/>
              </w:rPr>
              <w:t>M</w:t>
            </w:r>
            <w:r w:rsidR="00397E93" w:rsidRPr="00F472DC">
              <w:rPr>
                <w:rFonts w:eastAsia="MS Mincho"/>
                <w:spacing w:val="0"/>
                <w:w w:val="100"/>
                <w:kern w:val="0"/>
                <w:lang w:val="en-US" w:eastAsia="ja-JP"/>
              </w:rPr>
              <w:t xml:space="preserve">ajority of the programmatic components of the </w:t>
            </w:r>
            <w:r w:rsidR="00397E93">
              <w:rPr>
                <w:rFonts w:eastAsia="MS Mincho"/>
                <w:spacing w:val="0"/>
                <w:w w:val="100"/>
                <w:kern w:val="0"/>
                <w:lang w:val="en-US" w:eastAsia="ja-JP"/>
              </w:rPr>
              <w:t>integrated b</w:t>
            </w:r>
            <w:r w:rsidR="00397E93" w:rsidRPr="00F472DC">
              <w:rPr>
                <w:rFonts w:eastAsia="MS Mincho"/>
                <w:spacing w:val="0"/>
                <w:w w:val="100"/>
                <w:kern w:val="0"/>
                <w:lang w:val="en-US" w:eastAsia="ja-JP"/>
              </w:rPr>
              <w:t>udget (TRAC-1 and TRAC-2</w:t>
            </w:r>
            <w:r w:rsidR="00397E93">
              <w:rPr>
                <w:rFonts w:eastAsia="MS Mincho"/>
                <w:spacing w:val="0"/>
                <w:w w:val="100"/>
                <w:kern w:val="0"/>
                <w:lang w:val="en-US" w:eastAsia="ja-JP"/>
              </w:rPr>
              <w:t xml:space="preserve">) </w:t>
            </w:r>
            <w:r w:rsidR="00397E93" w:rsidRPr="00F472DC">
              <w:rPr>
                <w:rFonts w:eastAsia="MS Mincho"/>
                <w:spacing w:val="0"/>
                <w:w w:val="100"/>
                <w:kern w:val="0"/>
                <w:lang w:val="en-US" w:eastAsia="ja-JP"/>
              </w:rPr>
              <w:t xml:space="preserve">are distributed to all eligible programme countries for country-level programme activities. This is to provide every programme country with a base on which they can access financing, expertise, and technologies to make progress on the Sustainable Development Goals. </w:t>
            </w:r>
          </w:p>
          <w:p w14:paraId="3C918322" w14:textId="77777777" w:rsidR="00397E93" w:rsidRPr="006D4C25" w:rsidRDefault="00397E93" w:rsidP="00511232">
            <w:pPr>
              <w:pStyle w:val="SingleTxt"/>
              <w:numPr>
                <w:ilvl w:val="2"/>
                <w:numId w:val="6"/>
              </w:numPr>
              <w:tabs>
                <w:tab w:val="clear" w:pos="1267"/>
                <w:tab w:val="clear" w:pos="1742"/>
                <w:tab w:val="left" w:pos="1170"/>
              </w:tabs>
              <w:ind w:right="0"/>
              <w:rPr>
                <w:rFonts w:eastAsia="MS Mincho"/>
                <w:spacing w:val="0"/>
                <w:w w:val="100"/>
                <w:kern w:val="0"/>
                <w:lang w:val="en-US" w:eastAsia="ja-JP"/>
              </w:rPr>
            </w:pPr>
            <w:r w:rsidRPr="00F472DC">
              <w:rPr>
                <w:rFonts w:eastAsia="MS Mincho"/>
                <w:spacing w:val="0"/>
                <w:w w:val="100"/>
                <w:kern w:val="0"/>
                <w:lang w:val="en-US" w:eastAsia="ja-JP"/>
              </w:rPr>
              <w:t>TRAC-1 allocations are based on the Executive Board’s approved criteria</w:t>
            </w:r>
            <w:r>
              <w:rPr>
                <w:rFonts w:eastAsia="MS Mincho"/>
                <w:spacing w:val="0"/>
                <w:w w:val="100"/>
                <w:kern w:val="0"/>
                <w:lang w:val="en-US" w:eastAsia="ja-JP"/>
              </w:rPr>
              <w:t xml:space="preserve">, </w:t>
            </w:r>
            <w:proofErr w:type="gramStart"/>
            <w:r>
              <w:rPr>
                <w:rFonts w:eastAsia="MS Mincho"/>
                <w:spacing w:val="0"/>
                <w:w w:val="100"/>
                <w:kern w:val="0"/>
                <w:lang w:val="en-US" w:eastAsia="ja-JP"/>
              </w:rPr>
              <w:t>taking into account</w:t>
            </w:r>
            <w:proofErr w:type="gramEnd"/>
            <w:r>
              <w:rPr>
                <w:rFonts w:eastAsia="MS Mincho"/>
                <w:spacing w:val="0"/>
                <w:w w:val="100"/>
                <w:kern w:val="0"/>
                <w:lang w:val="en-US" w:eastAsia="ja-JP"/>
              </w:rPr>
              <w:t xml:space="preserve"> </w:t>
            </w:r>
            <w:r w:rsidRPr="00F472DC">
              <w:rPr>
                <w:rFonts w:eastAsia="MS Mincho"/>
                <w:spacing w:val="0"/>
                <w:w w:val="100"/>
                <w:kern w:val="0"/>
                <w:lang w:val="en-US" w:eastAsia="ja-JP"/>
              </w:rPr>
              <w:t xml:space="preserve">the income status and population size of each country, with </w:t>
            </w:r>
            <w:r>
              <w:rPr>
                <w:rFonts w:eastAsia="MS Mincho"/>
                <w:spacing w:val="0"/>
                <w:w w:val="100"/>
                <w:kern w:val="0"/>
                <w:lang w:val="en-US" w:eastAsia="ja-JP"/>
              </w:rPr>
              <w:t xml:space="preserve">the </w:t>
            </w:r>
            <w:r w:rsidRPr="00F472DC">
              <w:rPr>
                <w:rFonts w:eastAsia="MS Mincho"/>
                <w:spacing w:val="0"/>
                <w:w w:val="100"/>
                <w:kern w:val="0"/>
                <w:lang w:val="en-US" w:eastAsia="ja-JP"/>
              </w:rPr>
              <w:t xml:space="preserve">majority of these resources </w:t>
            </w:r>
            <w:proofErr w:type="spellStart"/>
            <w:r w:rsidRPr="00F472DC">
              <w:rPr>
                <w:rFonts w:eastAsia="MS Mincho"/>
                <w:spacing w:val="0"/>
                <w:w w:val="100"/>
                <w:kern w:val="0"/>
                <w:lang w:val="en-US" w:eastAsia="ja-JP"/>
              </w:rPr>
              <w:t>channelled</w:t>
            </w:r>
            <w:proofErr w:type="spellEnd"/>
            <w:r w:rsidRPr="00F472DC">
              <w:rPr>
                <w:rFonts w:eastAsia="MS Mincho"/>
                <w:spacing w:val="0"/>
                <w:w w:val="100"/>
                <w:kern w:val="0"/>
                <w:lang w:val="en-US" w:eastAsia="ja-JP"/>
              </w:rPr>
              <w:t xml:space="preserve"> to low-income and least developed countries.</w:t>
            </w:r>
            <w:r w:rsidRPr="00397E93">
              <w:rPr>
                <w:rFonts w:eastAsia="MS Mincho"/>
                <w:spacing w:val="0"/>
                <w:w w:val="100"/>
                <w:kern w:val="0"/>
                <w:lang w:val="en-US" w:eastAsia="ja-JP"/>
              </w:rPr>
              <w:t xml:space="preserve"> </w:t>
            </w:r>
          </w:p>
          <w:p w14:paraId="35608E36" w14:textId="21881F81" w:rsidR="00397E93" w:rsidRPr="00F472DC" w:rsidRDefault="00397E93" w:rsidP="00511232">
            <w:pPr>
              <w:pStyle w:val="SingleTxt"/>
              <w:numPr>
                <w:ilvl w:val="2"/>
                <w:numId w:val="6"/>
              </w:numPr>
              <w:tabs>
                <w:tab w:val="clear" w:pos="1267"/>
                <w:tab w:val="clear" w:pos="1742"/>
                <w:tab w:val="left" w:pos="1170"/>
              </w:tabs>
              <w:ind w:right="0"/>
              <w:rPr>
                <w:rFonts w:eastAsia="MS Mincho"/>
                <w:spacing w:val="0"/>
                <w:w w:val="100"/>
                <w:kern w:val="0"/>
                <w:lang w:val="en-US" w:eastAsia="ja-JP"/>
              </w:rPr>
            </w:pPr>
            <w:r w:rsidRPr="00FE6C39">
              <w:rPr>
                <w:rFonts w:eastAsia="MS Mincho"/>
                <w:spacing w:val="0"/>
                <w:w w:val="100"/>
                <w:kern w:val="0"/>
                <w:lang w:val="en-US" w:eastAsia="ja-JP"/>
              </w:rPr>
              <w:t xml:space="preserve">TRAC-2 was designed to provide </w:t>
            </w:r>
            <w:r w:rsidR="33C72AA5" w:rsidRPr="00FE6C39">
              <w:rPr>
                <w:rFonts w:eastAsia="MS Mincho"/>
                <w:spacing w:val="0"/>
                <w:w w:val="100"/>
                <w:kern w:val="0"/>
                <w:lang w:val="en-US" w:eastAsia="ja-JP"/>
              </w:rPr>
              <w:t xml:space="preserve">UNDP </w:t>
            </w:r>
            <w:r w:rsidRPr="00FE6C39">
              <w:rPr>
                <w:rFonts w:eastAsia="MS Mincho"/>
                <w:spacing w:val="0"/>
                <w:w w:val="100"/>
                <w:kern w:val="0"/>
                <w:lang w:val="en-US" w:eastAsia="ja-JP"/>
              </w:rPr>
              <w:t xml:space="preserve">with the flexibility to allocate regular programme resources to high-impact, high-leverage, and high-quality programme activities and to help UNDP to respond effectively to differentiated country needs (decision 2013/4). </w:t>
            </w:r>
            <w:r w:rsidRPr="00F472DC">
              <w:rPr>
                <w:rFonts w:eastAsia="MS Mincho"/>
                <w:spacing w:val="0"/>
                <w:w w:val="100"/>
                <w:kern w:val="0"/>
                <w:lang w:val="en-US" w:eastAsia="ja-JP"/>
              </w:rPr>
              <w:t xml:space="preserve"> </w:t>
            </w:r>
          </w:p>
          <w:p w14:paraId="543C85CF" w14:textId="77777777" w:rsidR="00397E93" w:rsidRPr="00F472DC" w:rsidRDefault="00397E93" w:rsidP="00511232">
            <w:pPr>
              <w:pStyle w:val="SingleTxt"/>
              <w:numPr>
                <w:ilvl w:val="2"/>
                <w:numId w:val="6"/>
              </w:numPr>
              <w:tabs>
                <w:tab w:val="clear" w:pos="1267"/>
                <w:tab w:val="clear" w:pos="1742"/>
                <w:tab w:val="left" w:pos="1170"/>
              </w:tabs>
              <w:ind w:right="0"/>
              <w:rPr>
                <w:rFonts w:eastAsia="MS Mincho"/>
                <w:spacing w:val="0"/>
                <w:w w:val="100"/>
                <w:kern w:val="0"/>
                <w:lang w:val="en-US" w:eastAsia="ja-JP"/>
              </w:rPr>
            </w:pPr>
            <w:r w:rsidRPr="00F472DC">
              <w:rPr>
                <w:rFonts w:eastAsia="MS Mincho"/>
                <w:spacing w:val="0"/>
                <w:w w:val="100"/>
                <w:kern w:val="0"/>
                <w:lang w:val="en-US" w:eastAsia="ja-JP"/>
              </w:rPr>
              <w:t xml:space="preserve">A portion of the regular resources, TRAC-3, is also </w:t>
            </w:r>
            <w:proofErr w:type="spellStart"/>
            <w:r w:rsidRPr="00F472DC">
              <w:rPr>
                <w:rFonts w:eastAsia="MS Mincho"/>
                <w:spacing w:val="0"/>
                <w:w w:val="100"/>
                <w:kern w:val="0"/>
                <w:lang w:val="en-US" w:eastAsia="ja-JP"/>
              </w:rPr>
              <w:t>channelled</w:t>
            </w:r>
            <w:proofErr w:type="spellEnd"/>
            <w:r w:rsidRPr="00F472DC">
              <w:rPr>
                <w:rFonts w:eastAsia="MS Mincho"/>
                <w:spacing w:val="0"/>
                <w:w w:val="100"/>
                <w:kern w:val="0"/>
                <w:lang w:val="en-US" w:eastAsia="ja-JP"/>
              </w:rPr>
              <w:t xml:space="preserve"> to programme countries that are affected by conflicts and natural disasters. In these countries, TRAC-3 resources are used in conjunction with TRAC-1 and other resources. </w:t>
            </w:r>
          </w:p>
          <w:p w14:paraId="383B5235" w14:textId="7A0CA158" w:rsidR="00B13F00" w:rsidRPr="00F472DC" w:rsidRDefault="00B13F00" w:rsidP="00511232">
            <w:pPr>
              <w:pStyle w:val="SingleTxt"/>
              <w:numPr>
                <w:ilvl w:val="0"/>
                <w:numId w:val="6"/>
              </w:numPr>
              <w:tabs>
                <w:tab w:val="clear" w:pos="1267"/>
                <w:tab w:val="clear" w:pos="1742"/>
                <w:tab w:val="left" w:pos="1170"/>
              </w:tabs>
              <w:ind w:right="0"/>
              <w:rPr>
                <w:rFonts w:eastAsia="MS Mincho"/>
                <w:spacing w:val="0"/>
                <w:w w:val="100"/>
                <w:kern w:val="0"/>
                <w:lang w:val="en-US" w:eastAsia="ja-JP"/>
              </w:rPr>
            </w:pPr>
            <w:r w:rsidRPr="00F472DC">
              <w:rPr>
                <w:rFonts w:eastAsia="MS Mincho"/>
                <w:spacing w:val="0"/>
                <w:w w:val="100"/>
                <w:kern w:val="0"/>
                <w:lang w:val="en-US" w:eastAsia="ja-JP"/>
              </w:rPr>
              <w:t xml:space="preserve">The </w:t>
            </w:r>
            <w:r w:rsidR="00F563E7" w:rsidRPr="00F472DC">
              <w:rPr>
                <w:rFonts w:eastAsia="MS Mincho"/>
                <w:spacing w:val="0"/>
                <w:w w:val="100"/>
                <w:kern w:val="0"/>
                <w:lang w:val="en-US" w:eastAsia="ja-JP"/>
              </w:rPr>
              <w:t>d</w:t>
            </w:r>
            <w:r w:rsidRPr="00F472DC">
              <w:rPr>
                <w:rFonts w:eastAsia="MS Mincho"/>
                <w:spacing w:val="0"/>
                <w:w w:val="100"/>
                <w:kern w:val="0"/>
                <w:lang w:val="en-US" w:eastAsia="ja-JP"/>
              </w:rPr>
              <w:t xml:space="preserve">evelopment </w:t>
            </w:r>
            <w:r w:rsidR="00F563E7" w:rsidRPr="00F472DC">
              <w:rPr>
                <w:rFonts w:eastAsia="MS Mincho"/>
                <w:spacing w:val="0"/>
                <w:w w:val="100"/>
                <w:kern w:val="0"/>
                <w:lang w:val="en-US" w:eastAsia="ja-JP"/>
              </w:rPr>
              <w:t>e</w:t>
            </w:r>
            <w:r w:rsidRPr="00F472DC">
              <w:rPr>
                <w:rFonts w:eastAsia="MS Mincho"/>
                <w:spacing w:val="0"/>
                <w:w w:val="100"/>
                <w:kern w:val="0"/>
                <w:lang w:val="en-US" w:eastAsia="ja-JP"/>
              </w:rPr>
              <w:t xml:space="preserve">ffectiveness (DE) related activities support the integration of development knowledge professional standards and quality assurance through specialized technical expertise to help countries access financing, by enhancing knowledge management practices and systems. The consolidation </w:t>
            </w:r>
            <w:r w:rsidR="007D5E09">
              <w:rPr>
                <w:rFonts w:eastAsia="MS Mincho"/>
                <w:spacing w:val="0"/>
                <w:w w:val="100"/>
                <w:kern w:val="0"/>
                <w:lang w:val="en-US" w:eastAsia="ja-JP"/>
              </w:rPr>
              <w:t>of DE lines, endor</w:t>
            </w:r>
            <w:r w:rsidR="007C190C">
              <w:rPr>
                <w:rFonts w:eastAsia="MS Mincho"/>
                <w:spacing w:val="0"/>
                <w:w w:val="100"/>
                <w:kern w:val="0"/>
                <w:lang w:val="en-US" w:eastAsia="ja-JP"/>
              </w:rPr>
              <w:t>s</w:t>
            </w:r>
            <w:r w:rsidR="007D5E09">
              <w:rPr>
                <w:rFonts w:eastAsia="MS Mincho"/>
                <w:spacing w:val="0"/>
                <w:w w:val="100"/>
                <w:kern w:val="0"/>
                <w:lang w:val="en-US" w:eastAsia="ja-JP"/>
              </w:rPr>
              <w:t xml:space="preserve">ed by the Executive Board decision 2017/31, </w:t>
            </w:r>
            <w:r w:rsidR="007D5E09" w:rsidRPr="00F472DC">
              <w:rPr>
                <w:rFonts w:eastAsia="MS Mincho"/>
                <w:spacing w:val="0"/>
                <w:w w:val="100"/>
                <w:kern w:val="0"/>
                <w:lang w:val="en-US" w:eastAsia="ja-JP"/>
              </w:rPr>
              <w:t>reduce</w:t>
            </w:r>
            <w:r w:rsidR="007D5E09">
              <w:rPr>
                <w:rFonts w:eastAsia="MS Mincho"/>
                <w:spacing w:val="0"/>
                <w:w w:val="100"/>
                <w:kern w:val="0"/>
                <w:lang w:val="en-US" w:eastAsia="ja-JP"/>
              </w:rPr>
              <w:t>s</w:t>
            </w:r>
            <w:r w:rsidR="007D5E09" w:rsidRPr="00F472DC">
              <w:rPr>
                <w:rFonts w:eastAsia="MS Mincho"/>
                <w:spacing w:val="0"/>
                <w:w w:val="100"/>
                <w:kern w:val="0"/>
                <w:lang w:val="en-US" w:eastAsia="ja-JP"/>
              </w:rPr>
              <w:t xml:space="preserve"> fragment</w:t>
            </w:r>
            <w:r w:rsidR="007D5E09">
              <w:rPr>
                <w:rFonts w:eastAsia="MS Mincho"/>
                <w:spacing w:val="0"/>
                <w:w w:val="100"/>
                <w:kern w:val="0"/>
                <w:lang w:val="en-US" w:eastAsia="ja-JP"/>
              </w:rPr>
              <w:t>ation of core resources in the integrated b</w:t>
            </w:r>
            <w:r w:rsidR="007D5E09" w:rsidRPr="00F472DC">
              <w:rPr>
                <w:rFonts w:eastAsia="MS Mincho"/>
                <w:spacing w:val="0"/>
                <w:w w:val="100"/>
                <w:kern w:val="0"/>
                <w:lang w:val="en-US" w:eastAsia="ja-JP"/>
              </w:rPr>
              <w:t xml:space="preserve">udget framework </w:t>
            </w:r>
            <w:r w:rsidR="007D5E09">
              <w:rPr>
                <w:rFonts w:eastAsia="MS Mincho"/>
                <w:spacing w:val="0"/>
                <w:w w:val="100"/>
                <w:kern w:val="0"/>
                <w:lang w:val="en-US" w:eastAsia="ja-JP"/>
              </w:rPr>
              <w:t xml:space="preserve">and </w:t>
            </w:r>
            <w:r w:rsidRPr="00F472DC">
              <w:rPr>
                <w:rFonts w:eastAsia="MS Mincho"/>
                <w:spacing w:val="0"/>
                <w:w w:val="100"/>
                <w:kern w:val="0"/>
                <w:lang w:val="en-US" w:eastAsia="ja-JP"/>
              </w:rPr>
              <w:t>facilitates support for the Global Development Advisory and Implementation Services Platform and the Country Support Platform</w:t>
            </w:r>
            <w:r w:rsidR="006838CB" w:rsidRPr="00F472DC">
              <w:rPr>
                <w:rFonts w:eastAsia="MS Mincho"/>
                <w:spacing w:val="0"/>
                <w:w w:val="100"/>
                <w:kern w:val="0"/>
                <w:lang w:val="en-US" w:eastAsia="ja-JP"/>
              </w:rPr>
              <w:t>.</w:t>
            </w:r>
          </w:p>
          <w:p w14:paraId="56CD9923" w14:textId="77777777" w:rsidR="00B95A86" w:rsidRPr="00F472DC" w:rsidRDefault="00B95A86" w:rsidP="00511232">
            <w:pPr>
              <w:pStyle w:val="SingleTxt"/>
              <w:numPr>
                <w:ilvl w:val="0"/>
                <w:numId w:val="6"/>
              </w:numPr>
              <w:tabs>
                <w:tab w:val="clear" w:pos="1267"/>
                <w:tab w:val="clear" w:pos="1742"/>
                <w:tab w:val="left" w:pos="1170"/>
              </w:tabs>
              <w:ind w:right="0"/>
              <w:rPr>
                <w:rFonts w:eastAsia="MS Mincho"/>
                <w:spacing w:val="0"/>
                <w:w w:val="100"/>
                <w:kern w:val="0"/>
                <w:lang w:val="en-US" w:eastAsia="ja-JP"/>
              </w:rPr>
            </w:pPr>
            <w:r w:rsidRPr="00F472DC">
              <w:rPr>
                <w:rFonts w:eastAsia="MS Mincho"/>
                <w:spacing w:val="0"/>
                <w:w w:val="100"/>
                <w:kern w:val="0"/>
                <w:lang w:val="en-US" w:eastAsia="ja-JP"/>
              </w:rPr>
              <w:t>A summary of the principles and parameters of the programmatic components of the Integrated Budget and a detailed explanation and salient features of each of the programme lines are provided below.</w:t>
            </w:r>
          </w:p>
          <w:p w14:paraId="2878C469" w14:textId="1925927C" w:rsidR="00B95A86" w:rsidRPr="00F472DC" w:rsidRDefault="00B95A86" w:rsidP="00511232">
            <w:pPr>
              <w:pStyle w:val="SingleTxt"/>
              <w:numPr>
                <w:ilvl w:val="0"/>
                <w:numId w:val="6"/>
              </w:numPr>
              <w:tabs>
                <w:tab w:val="clear" w:pos="1267"/>
                <w:tab w:val="clear" w:pos="1742"/>
                <w:tab w:val="left" w:pos="1170"/>
              </w:tabs>
              <w:ind w:right="0"/>
              <w:rPr>
                <w:rFonts w:eastAsia="MS Mincho"/>
                <w:spacing w:val="0"/>
                <w:w w:val="100"/>
                <w:kern w:val="0"/>
                <w:lang w:val="en-US" w:eastAsia="ja-JP"/>
              </w:rPr>
            </w:pPr>
            <w:r w:rsidRPr="00F472DC">
              <w:rPr>
                <w:rFonts w:eastAsia="MS Mincho"/>
                <w:spacing w:val="0"/>
                <w:w w:val="100"/>
                <w:kern w:val="0"/>
                <w:lang w:val="en-US" w:eastAsia="ja-JP"/>
              </w:rPr>
              <w:lastRenderedPageBreak/>
              <w:t>The purpose of regular programme resources is to fund programmes and other initiatives at the country, inter-country, regional and global levels, and to support selected high-priority initiatives.</w:t>
            </w:r>
          </w:p>
          <w:p w14:paraId="3C13AAD0" w14:textId="77777777" w:rsidR="00B95A86" w:rsidRPr="00F472DC" w:rsidRDefault="00B95A86" w:rsidP="00511232">
            <w:pPr>
              <w:pStyle w:val="SingleTxt"/>
              <w:numPr>
                <w:ilvl w:val="0"/>
                <w:numId w:val="6"/>
              </w:numPr>
              <w:tabs>
                <w:tab w:val="clear" w:pos="1267"/>
                <w:tab w:val="clear" w:pos="1742"/>
                <w:tab w:val="left" w:pos="1170"/>
              </w:tabs>
              <w:ind w:right="0"/>
              <w:rPr>
                <w:rFonts w:eastAsia="MS Mincho"/>
                <w:spacing w:val="0"/>
                <w:w w:val="100"/>
                <w:kern w:val="0"/>
                <w:lang w:val="en-US" w:eastAsia="ja-JP"/>
              </w:rPr>
            </w:pPr>
            <w:r w:rsidRPr="00F472DC">
              <w:rPr>
                <w:rFonts w:eastAsia="MS Mincho"/>
                <w:spacing w:val="0"/>
                <w:w w:val="100"/>
                <w:kern w:val="0"/>
                <w:lang w:val="en-US" w:eastAsia="ja-JP"/>
              </w:rPr>
              <w:t>The guiding principles of the framework are:</w:t>
            </w:r>
          </w:p>
          <w:p w14:paraId="598CD004" w14:textId="77777777" w:rsidR="00B95A86" w:rsidRDefault="00B95A86" w:rsidP="00247D17">
            <w:pPr>
              <w:pStyle w:val="SingleTxt"/>
              <w:numPr>
                <w:ilvl w:val="2"/>
                <w:numId w:val="6"/>
              </w:numPr>
              <w:tabs>
                <w:tab w:val="clear" w:pos="1267"/>
                <w:tab w:val="clear" w:pos="1742"/>
                <w:tab w:val="left" w:pos="1170"/>
              </w:tabs>
              <w:ind w:right="0"/>
              <w:rPr>
                <w:b/>
                <w:bCs/>
              </w:rPr>
            </w:pPr>
            <w:r w:rsidRPr="00247D17">
              <w:rPr>
                <w:rFonts w:eastAsia="MS Mincho"/>
                <w:spacing w:val="0"/>
                <w:w w:val="100"/>
                <w:kern w:val="0"/>
                <w:lang w:val="en-US" w:eastAsia="ja-JP"/>
              </w:rPr>
              <w:t>Predictability – the</w:t>
            </w:r>
            <w:r w:rsidRPr="00365384">
              <w:t xml:space="preserve"> availability of sufficient regular </w:t>
            </w:r>
            <w:r>
              <w:t xml:space="preserve">programme </w:t>
            </w:r>
            <w:r w:rsidRPr="00365384">
              <w:t>resources</w:t>
            </w:r>
            <w:r>
              <w:t xml:space="preserve"> within a stated time frame;</w:t>
            </w:r>
          </w:p>
          <w:p w14:paraId="0A151D39" w14:textId="77777777" w:rsidR="00B95A86" w:rsidRDefault="00B95A86" w:rsidP="00247D17">
            <w:pPr>
              <w:pStyle w:val="SingleTxt"/>
              <w:numPr>
                <w:ilvl w:val="2"/>
                <w:numId w:val="6"/>
              </w:numPr>
              <w:tabs>
                <w:tab w:val="clear" w:pos="1267"/>
                <w:tab w:val="clear" w:pos="1742"/>
                <w:tab w:val="left" w:pos="1170"/>
              </w:tabs>
              <w:ind w:right="0"/>
              <w:rPr>
                <w:b/>
                <w:bCs/>
              </w:rPr>
            </w:pPr>
            <w:r w:rsidRPr="00247D17">
              <w:rPr>
                <w:rFonts w:eastAsia="MS Mincho"/>
                <w:spacing w:val="0"/>
                <w:w w:val="100"/>
                <w:kern w:val="0"/>
                <w:lang w:val="en-US" w:eastAsia="ja-JP"/>
              </w:rPr>
              <w:t xml:space="preserve">Universality – </w:t>
            </w:r>
            <w:r w:rsidRPr="00365384">
              <w:t xml:space="preserve">UNDP </w:t>
            </w:r>
            <w:r>
              <w:t xml:space="preserve">regular </w:t>
            </w:r>
            <w:r w:rsidRPr="00365384">
              <w:t>development resources and related activities are available to support all eligible countries</w:t>
            </w:r>
            <w:r>
              <w:t>; and</w:t>
            </w:r>
          </w:p>
          <w:p w14:paraId="670EB92B" w14:textId="62E7194F" w:rsidR="00B95A86" w:rsidRDefault="00B95A86" w:rsidP="00247D17">
            <w:pPr>
              <w:pStyle w:val="SingleTxt"/>
              <w:numPr>
                <w:ilvl w:val="2"/>
                <w:numId w:val="6"/>
              </w:numPr>
              <w:tabs>
                <w:tab w:val="clear" w:pos="1267"/>
                <w:tab w:val="clear" w:pos="1742"/>
                <w:tab w:val="left" w:pos="1170"/>
              </w:tabs>
              <w:ind w:right="0"/>
              <w:rPr>
                <w:b/>
                <w:bCs/>
              </w:rPr>
            </w:pPr>
            <w:r w:rsidRPr="00247D17">
              <w:rPr>
                <w:rFonts w:eastAsia="MS Mincho"/>
                <w:spacing w:val="0"/>
                <w:w w:val="100"/>
                <w:kern w:val="0"/>
                <w:lang w:val="en-US" w:eastAsia="ja-JP"/>
              </w:rPr>
              <w:t xml:space="preserve">Progressivity – UNDP regular development resources and related development activities </w:t>
            </w:r>
            <w:r w:rsidRPr="00365384">
              <w:t>primarily</w:t>
            </w:r>
            <w:r>
              <w:t xml:space="preserve"> support </w:t>
            </w:r>
            <w:r w:rsidRPr="00365384">
              <w:t>low-income and least developed countries.</w:t>
            </w:r>
          </w:p>
          <w:p w14:paraId="3AE29FEE" w14:textId="3DA72700" w:rsidR="00B95A86" w:rsidRDefault="00B95A86" w:rsidP="00511232">
            <w:pPr>
              <w:pStyle w:val="SingleTxt"/>
              <w:numPr>
                <w:ilvl w:val="0"/>
                <w:numId w:val="6"/>
              </w:numPr>
              <w:tabs>
                <w:tab w:val="clear" w:pos="1267"/>
                <w:tab w:val="clear" w:pos="1742"/>
                <w:tab w:val="left" w:pos="1170"/>
              </w:tabs>
              <w:ind w:right="0"/>
              <w:rPr>
                <w:rFonts w:eastAsia="MS Mincho"/>
                <w:spacing w:val="0"/>
                <w:w w:val="100"/>
                <w:kern w:val="0"/>
                <w:lang w:val="en-US" w:eastAsia="ja-JP"/>
              </w:rPr>
            </w:pPr>
            <w:r w:rsidRPr="00F472DC">
              <w:rPr>
                <w:rFonts w:eastAsia="MS Mincho"/>
                <w:spacing w:val="0"/>
                <w:w w:val="100"/>
                <w:kern w:val="0"/>
                <w:lang w:val="en-US" w:eastAsia="ja-JP"/>
              </w:rPr>
              <w:t xml:space="preserve">In monetary terms, the </w:t>
            </w:r>
            <w:proofErr w:type="spellStart"/>
            <w:r w:rsidRPr="00F472DC">
              <w:rPr>
                <w:rFonts w:eastAsia="MS Mincho"/>
                <w:spacing w:val="0"/>
                <w:w w:val="100"/>
                <w:kern w:val="0"/>
                <w:lang w:val="en-US" w:eastAsia="ja-JP"/>
              </w:rPr>
              <w:t>earmarkings</w:t>
            </w:r>
            <w:proofErr w:type="spellEnd"/>
            <w:r w:rsidRPr="00F472DC">
              <w:rPr>
                <w:rFonts w:eastAsia="MS Mincho"/>
                <w:spacing w:val="0"/>
                <w:w w:val="100"/>
                <w:kern w:val="0"/>
                <w:lang w:val="en-US" w:eastAsia="ja-JP"/>
              </w:rPr>
              <w:t xml:space="preserve"> are tentative in nature since they are based on a targeted level of total regular programme resources for the four-year programming period. The target may or may not be realized depending on the actual level of vol</w:t>
            </w:r>
            <w:r w:rsidR="00D52575">
              <w:rPr>
                <w:rFonts w:eastAsia="MS Mincho"/>
                <w:spacing w:val="0"/>
                <w:w w:val="100"/>
                <w:kern w:val="0"/>
                <w:lang w:val="en-US" w:eastAsia="ja-JP"/>
              </w:rPr>
              <w:t xml:space="preserve">untary contributions. </w:t>
            </w:r>
            <w:r w:rsidR="00A018E8">
              <w:rPr>
                <w:rFonts w:eastAsia="MS Mincho"/>
                <w:spacing w:val="0"/>
                <w:w w:val="100"/>
                <w:kern w:val="0"/>
                <w:lang w:val="en-US" w:eastAsia="ja-JP"/>
              </w:rPr>
              <w:t>Annex I</w:t>
            </w:r>
            <w:r w:rsidR="00D52575">
              <w:rPr>
                <w:rFonts w:eastAsia="MS Mincho"/>
                <w:spacing w:val="0"/>
                <w:w w:val="100"/>
                <w:kern w:val="0"/>
                <w:lang w:val="en-US" w:eastAsia="ja-JP"/>
              </w:rPr>
              <w:t>, t</w:t>
            </w:r>
            <w:r w:rsidRPr="00F472DC">
              <w:rPr>
                <w:rFonts w:eastAsia="MS Mincho"/>
                <w:spacing w:val="0"/>
                <w:w w:val="100"/>
                <w:kern w:val="0"/>
                <w:lang w:val="en-US" w:eastAsia="ja-JP"/>
              </w:rPr>
              <w:t xml:space="preserve">able </w:t>
            </w:r>
            <w:r w:rsidR="00E96279">
              <w:rPr>
                <w:rFonts w:eastAsia="MS Mincho"/>
                <w:spacing w:val="0"/>
                <w:w w:val="100"/>
                <w:kern w:val="0"/>
                <w:lang w:val="en-US" w:eastAsia="ja-JP"/>
              </w:rPr>
              <w:t>3</w:t>
            </w:r>
            <w:r w:rsidR="00D52575">
              <w:rPr>
                <w:rFonts w:eastAsia="MS Mincho"/>
                <w:spacing w:val="0"/>
                <w:w w:val="100"/>
                <w:kern w:val="0"/>
                <w:lang w:val="en-US" w:eastAsia="ja-JP"/>
              </w:rPr>
              <w:t>a</w:t>
            </w:r>
            <w:r w:rsidRPr="00F472DC">
              <w:rPr>
                <w:rFonts w:eastAsia="MS Mincho"/>
                <w:spacing w:val="0"/>
                <w:w w:val="100"/>
                <w:kern w:val="0"/>
                <w:lang w:val="en-US" w:eastAsia="ja-JP"/>
              </w:rPr>
              <w:t xml:space="preserve"> in DP/</w:t>
            </w:r>
            <w:r w:rsidR="00E96279" w:rsidRPr="00F472DC">
              <w:rPr>
                <w:rFonts w:eastAsia="MS Mincho"/>
                <w:spacing w:val="0"/>
                <w:w w:val="100"/>
                <w:kern w:val="0"/>
                <w:lang w:val="en-US" w:eastAsia="ja-JP"/>
              </w:rPr>
              <w:t>20</w:t>
            </w:r>
            <w:r w:rsidR="00E96279">
              <w:rPr>
                <w:rFonts w:eastAsia="MS Mincho"/>
                <w:spacing w:val="0"/>
                <w:w w:val="100"/>
                <w:kern w:val="0"/>
                <w:lang w:val="en-US" w:eastAsia="ja-JP"/>
              </w:rPr>
              <w:t>21</w:t>
            </w:r>
            <w:r w:rsidR="00C96AD4" w:rsidRPr="00F472DC">
              <w:rPr>
                <w:rFonts w:eastAsia="MS Mincho"/>
                <w:spacing w:val="0"/>
                <w:w w:val="100"/>
                <w:kern w:val="0"/>
                <w:lang w:val="en-US" w:eastAsia="ja-JP"/>
              </w:rPr>
              <w:t>/</w:t>
            </w:r>
            <w:r w:rsidR="00E96279">
              <w:rPr>
                <w:rFonts w:eastAsia="MS Mincho"/>
                <w:spacing w:val="0"/>
                <w:w w:val="100"/>
                <w:kern w:val="0"/>
                <w:lang w:val="en-US" w:eastAsia="ja-JP"/>
              </w:rPr>
              <w:t>2</w:t>
            </w:r>
            <w:r w:rsidR="00C96AD4" w:rsidRPr="00F472DC">
              <w:rPr>
                <w:rFonts w:eastAsia="MS Mincho"/>
                <w:spacing w:val="0"/>
                <w:w w:val="100"/>
                <w:kern w:val="0"/>
                <w:lang w:val="en-US" w:eastAsia="ja-JP"/>
              </w:rPr>
              <w:t xml:space="preserve">9 </w:t>
            </w:r>
            <w:r w:rsidRPr="00F472DC">
              <w:rPr>
                <w:rFonts w:eastAsia="MS Mincho"/>
                <w:spacing w:val="0"/>
                <w:w w:val="100"/>
                <w:kern w:val="0"/>
                <w:lang w:val="en-US" w:eastAsia="ja-JP"/>
              </w:rPr>
              <w:t xml:space="preserve">presents </w:t>
            </w:r>
            <w:r w:rsidR="0036616E">
              <w:rPr>
                <w:rFonts w:eastAsia="MS Mincho"/>
                <w:spacing w:val="0"/>
                <w:w w:val="100"/>
                <w:kern w:val="0"/>
                <w:lang w:val="en-US" w:eastAsia="ja-JP"/>
              </w:rPr>
              <w:t>proposed</w:t>
            </w:r>
            <w:r w:rsidRPr="00F472DC">
              <w:rPr>
                <w:rFonts w:eastAsia="MS Mincho"/>
                <w:spacing w:val="0"/>
                <w:w w:val="100"/>
                <w:kern w:val="0"/>
                <w:lang w:val="en-US" w:eastAsia="ja-JP"/>
              </w:rPr>
              <w:t xml:space="preserve"> allocations for the </w:t>
            </w:r>
            <w:r w:rsidR="00290EEF">
              <w:rPr>
                <w:rFonts w:eastAsia="MS Mincho"/>
                <w:spacing w:val="0"/>
                <w:w w:val="100"/>
                <w:kern w:val="0"/>
                <w:lang w:val="en-US" w:eastAsia="ja-JP"/>
              </w:rPr>
              <w:t>2022</w:t>
            </w:r>
            <w:r w:rsidRPr="00F472DC">
              <w:rPr>
                <w:rFonts w:eastAsia="MS Mincho"/>
                <w:spacing w:val="0"/>
                <w:w w:val="100"/>
                <w:kern w:val="0"/>
                <w:lang w:val="en-US" w:eastAsia="ja-JP"/>
              </w:rPr>
              <w:t>.</w:t>
            </w:r>
          </w:p>
          <w:p w14:paraId="62CE0A98" w14:textId="67E29480" w:rsidR="007D5E09" w:rsidRDefault="007D5E09" w:rsidP="00511232">
            <w:pPr>
              <w:pStyle w:val="SingleTxt"/>
              <w:numPr>
                <w:ilvl w:val="0"/>
                <w:numId w:val="6"/>
              </w:numPr>
              <w:tabs>
                <w:tab w:val="clear" w:pos="1267"/>
                <w:tab w:val="clear" w:pos="1742"/>
                <w:tab w:val="left" w:pos="1170"/>
              </w:tabs>
              <w:ind w:right="0"/>
              <w:rPr>
                <w:rFonts w:eastAsia="MS Mincho"/>
                <w:spacing w:val="0"/>
                <w:w w:val="100"/>
                <w:kern w:val="0"/>
                <w:lang w:val="en-US" w:eastAsia="ja-JP"/>
              </w:rPr>
            </w:pPr>
            <w:r w:rsidRPr="0076451B">
              <w:rPr>
                <w:rFonts w:eastAsia="MS Mincho"/>
                <w:spacing w:val="0"/>
                <w:w w:val="100"/>
                <w:kern w:val="0"/>
                <w:lang w:val="en-US" w:eastAsia="ja-JP"/>
              </w:rPr>
              <w:t xml:space="preserve">UNDP proposes </w:t>
            </w:r>
            <w:r>
              <w:rPr>
                <w:rFonts w:eastAsia="MS Mincho"/>
                <w:spacing w:val="0"/>
                <w:w w:val="100"/>
                <w:kern w:val="0"/>
                <w:lang w:val="en-US" w:eastAsia="ja-JP"/>
              </w:rPr>
              <w:t xml:space="preserve">to extend into the 2022-2025 budget period the </w:t>
            </w:r>
            <w:r w:rsidRPr="0076451B">
              <w:rPr>
                <w:rFonts w:eastAsia="MS Mincho"/>
                <w:spacing w:val="0"/>
                <w:w w:val="100"/>
                <w:kern w:val="0"/>
                <w:lang w:val="en-US" w:eastAsia="ja-JP"/>
              </w:rPr>
              <w:t>two-tiered approach for the shielding of the development activities</w:t>
            </w:r>
            <w:r>
              <w:rPr>
                <w:rFonts w:eastAsia="MS Mincho"/>
                <w:spacing w:val="0"/>
                <w:w w:val="100"/>
                <w:kern w:val="0"/>
                <w:lang w:val="en-US" w:eastAsia="ja-JP"/>
              </w:rPr>
              <w:t xml:space="preserve"> that was approved for 2018-2021. The approach is the following:</w:t>
            </w:r>
          </w:p>
          <w:p w14:paraId="15794ADA" w14:textId="77777777" w:rsidR="007D5E09" w:rsidRPr="00074621" w:rsidRDefault="007D5E09" w:rsidP="00511232">
            <w:pPr>
              <w:pStyle w:val="SingleTxt"/>
              <w:numPr>
                <w:ilvl w:val="2"/>
                <w:numId w:val="6"/>
              </w:numPr>
              <w:tabs>
                <w:tab w:val="clear" w:pos="1267"/>
                <w:tab w:val="clear" w:pos="1742"/>
                <w:tab w:val="left" w:pos="1170"/>
              </w:tabs>
              <w:ind w:right="0"/>
              <w:rPr>
                <w:rFonts w:eastAsia="MS Mincho"/>
                <w:spacing w:val="0"/>
                <w:w w:val="100"/>
                <w:kern w:val="0"/>
                <w:lang w:val="en-US" w:eastAsia="ja-JP"/>
              </w:rPr>
            </w:pPr>
            <w:r w:rsidRPr="007D5E09">
              <w:rPr>
                <w:rFonts w:eastAsia="MS Mincho"/>
                <w:spacing w:val="0"/>
                <w:w w:val="100"/>
                <w:kern w:val="0"/>
                <w:lang w:val="en-US" w:eastAsia="ja-JP"/>
              </w:rPr>
              <w:t xml:space="preserve">A Tier 1 of resources containing TRAC-1, TRAC-2, TRAC-3, South-South Cooperation and </w:t>
            </w:r>
            <w:r w:rsidRPr="00074621">
              <w:rPr>
                <w:rFonts w:eastAsia="MS Mincho"/>
                <w:spacing w:val="0"/>
                <w:w w:val="100"/>
                <w:kern w:val="0"/>
                <w:lang w:val="en-US" w:eastAsia="ja-JP"/>
              </w:rPr>
              <w:t>Human Development Report Office;</w:t>
            </w:r>
          </w:p>
          <w:p w14:paraId="69395AAB" w14:textId="3600EAA0" w:rsidR="007D5E09" w:rsidRPr="00074621" w:rsidRDefault="007D5E09" w:rsidP="00511232">
            <w:pPr>
              <w:pStyle w:val="SingleTxt"/>
              <w:numPr>
                <w:ilvl w:val="2"/>
                <w:numId w:val="6"/>
              </w:numPr>
              <w:tabs>
                <w:tab w:val="clear" w:pos="1267"/>
                <w:tab w:val="clear" w:pos="1742"/>
                <w:tab w:val="left" w:pos="1170"/>
              </w:tabs>
              <w:ind w:right="0"/>
              <w:rPr>
                <w:rFonts w:eastAsia="MS Mincho"/>
                <w:spacing w:val="0"/>
                <w:w w:val="100"/>
                <w:kern w:val="0"/>
                <w:lang w:val="en-US" w:eastAsia="ja-JP"/>
              </w:rPr>
            </w:pPr>
            <w:r w:rsidRPr="00074621">
              <w:rPr>
                <w:rFonts w:eastAsia="MS Mincho"/>
                <w:spacing w:val="0"/>
                <w:w w:val="100"/>
                <w:kern w:val="0"/>
                <w:lang w:val="en-US" w:eastAsia="ja-JP"/>
              </w:rPr>
              <w:t xml:space="preserve">A Tier 2 of resources containing Regional Programme, PAPP, </w:t>
            </w:r>
            <w:r w:rsidR="00B14F3A">
              <w:rPr>
                <w:rFonts w:eastAsia="MS Mincho"/>
                <w:spacing w:val="0"/>
                <w:w w:val="100"/>
                <w:kern w:val="0"/>
                <w:lang w:val="en-US" w:eastAsia="ja-JP"/>
              </w:rPr>
              <w:t xml:space="preserve">Consolidated </w:t>
            </w:r>
            <w:r w:rsidRPr="00074621">
              <w:rPr>
                <w:rFonts w:eastAsia="MS Mincho"/>
                <w:spacing w:val="0"/>
                <w:w w:val="100"/>
                <w:kern w:val="0"/>
                <w:lang w:val="en-US" w:eastAsia="ja-JP"/>
              </w:rPr>
              <w:t xml:space="preserve">Development </w:t>
            </w:r>
            <w:r w:rsidR="00B14F3A">
              <w:rPr>
                <w:rFonts w:eastAsia="MS Mincho"/>
                <w:spacing w:val="0"/>
                <w:w w:val="100"/>
                <w:kern w:val="0"/>
                <w:lang w:val="en-US" w:eastAsia="ja-JP"/>
              </w:rPr>
              <w:t>Effectiveness line</w:t>
            </w:r>
            <w:r w:rsidRPr="00074621">
              <w:rPr>
                <w:rFonts w:eastAsia="MS Mincho"/>
                <w:spacing w:val="0"/>
                <w:w w:val="100"/>
                <w:kern w:val="0"/>
                <w:lang w:val="en-US" w:eastAsia="ja-JP"/>
              </w:rPr>
              <w:t xml:space="preserve"> and UN Capital Development Fund.</w:t>
            </w:r>
          </w:p>
          <w:p w14:paraId="0DCAD98C" w14:textId="77777777" w:rsidR="008F6B12" w:rsidRPr="008F6B12" w:rsidRDefault="008F6B12" w:rsidP="00511232">
            <w:pPr>
              <w:pStyle w:val="SingleTxt"/>
              <w:numPr>
                <w:ilvl w:val="0"/>
                <w:numId w:val="6"/>
              </w:numPr>
              <w:tabs>
                <w:tab w:val="clear" w:pos="1267"/>
                <w:tab w:val="clear" w:pos="1742"/>
                <w:tab w:val="left" w:pos="1170"/>
              </w:tabs>
              <w:ind w:right="0"/>
              <w:rPr>
                <w:rFonts w:eastAsia="MS Mincho"/>
                <w:spacing w:val="0"/>
                <w:w w:val="100"/>
                <w:kern w:val="0"/>
                <w:lang w:val="en-US" w:eastAsia="ja-JP"/>
              </w:rPr>
            </w:pPr>
            <w:r w:rsidRPr="008F6B12">
              <w:rPr>
                <w:rFonts w:eastAsia="MS Mincho"/>
                <w:spacing w:val="0"/>
                <w:w w:val="100"/>
                <w:kern w:val="0"/>
                <w:lang w:val="en-US" w:eastAsia="ja-JP"/>
              </w:rPr>
              <w:t>The framework aims to protect Tier-1 programmatic resources from potential decreases vis-à-vis planned levels. In the event that resources are up to 5% lower than planned, the lines in tier 1 will not be reduced, but the lines in tier 2 will be reduced. For reductions higher than 5</w:t>
            </w:r>
            <w:proofErr w:type="gramStart"/>
            <w:r w:rsidRPr="008F6B12">
              <w:rPr>
                <w:rFonts w:eastAsia="MS Mincho"/>
                <w:spacing w:val="0"/>
                <w:w w:val="100"/>
                <w:kern w:val="0"/>
                <w:lang w:val="en-US" w:eastAsia="ja-JP"/>
              </w:rPr>
              <w:t>% ,</w:t>
            </w:r>
            <w:proofErr w:type="gramEnd"/>
            <w:r w:rsidRPr="008F6B12">
              <w:rPr>
                <w:rFonts w:eastAsia="MS Mincho"/>
                <w:spacing w:val="0"/>
                <w:w w:val="100"/>
                <w:kern w:val="0"/>
                <w:lang w:val="en-US" w:eastAsia="ja-JP"/>
              </w:rPr>
              <w:t xml:space="preserve"> both the lines in tier 1 and tier 2 will be reduced in equal proportion.</w:t>
            </w:r>
          </w:p>
          <w:p w14:paraId="5381CB29" w14:textId="77777777" w:rsidR="007D5E09" w:rsidRPr="00F472DC" w:rsidRDefault="007D5E09" w:rsidP="008F6B12">
            <w:pPr>
              <w:pStyle w:val="SingleTxt"/>
              <w:tabs>
                <w:tab w:val="clear" w:pos="1267"/>
                <w:tab w:val="clear" w:pos="1742"/>
                <w:tab w:val="left" w:pos="1170"/>
              </w:tabs>
              <w:ind w:left="810" w:right="0"/>
              <w:rPr>
                <w:rFonts w:eastAsia="MS Mincho"/>
                <w:spacing w:val="0"/>
                <w:w w:val="100"/>
                <w:kern w:val="0"/>
                <w:lang w:val="en-US" w:eastAsia="ja-JP"/>
              </w:rPr>
            </w:pPr>
          </w:p>
          <w:p w14:paraId="231E4A39" w14:textId="77777777" w:rsidR="00B95A86" w:rsidRPr="00D67265" w:rsidRDefault="00B95A86" w:rsidP="00946468">
            <w:pPr>
              <w:pStyle w:val="SingleTxt"/>
              <w:tabs>
                <w:tab w:val="clear" w:pos="1267"/>
                <w:tab w:val="left" w:pos="900"/>
              </w:tabs>
              <w:spacing w:line="240" w:lineRule="auto"/>
              <w:ind w:left="907"/>
              <w:rPr>
                <w:b/>
                <w:bCs/>
                <w:i/>
                <w:iCs/>
                <w:sz w:val="22"/>
                <w:szCs w:val="22"/>
              </w:rPr>
            </w:pPr>
            <w:r w:rsidRPr="0029161C">
              <w:rPr>
                <w:b/>
                <w:bCs/>
                <w:i/>
                <w:iCs/>
                <w:sz w:val="22"/>
                <w:szCs w:val="22"/>
              </w:rPr>
              <w:t>Programmes – country window</w:t>
            </w:r>
          </w:p>
          <w:p w14:paraId="5C124199" w14:textId="77777777" w:rsidR="00B95A86" w:rsidRPr="00D67265" w:rsidRDefault="00B95A86">
            <w:pPr>
              <w:pStyle w:val="DualTxt"/>
              <w:tabs>
                <w:tab w:val="clear" w:pos="960"/>
                <w:tab w:val="clear" w:pos="1440"/>
                <w:tab w:val="clear" w:pos="1915"/>
                <w:tab w:val="left" w:pos="900"/>
                <w:tab w:val="left" w:pos="990"/>
                <w:tab w:val="left" w:pos="1260"/>
                <w:tab w:val="left" w:pos="1800"/>
                <w:tab w:val="left" w:pos="8820"/>
              </w:tabs>
              <w:ind w:left="900" w:right="540"/>
              <w:rPr>
                <w:b w:val="0"/>
                <w:bCs w:val="0"/>
                <w:i/>
                <w:iCs/>
                <w:sz w:val="20"/>
                <w:szCs w:val="20"/>
              </w:rPr>
            </w:pPr>
            <w:r w:rsidRPr="0029161C">
              <w:rPr>
                <w:b w:val="0"/>
                <w:bCs w:val="0"/>
                <w:i/>
                <w:iCs/>
                <w:sz w:val="20"/>
                <w:szCs w:val="20"/>
              </w:rPr>
              <w:t>Target for resource assignments from the core (TRAC) system</w:t>
            </w:r>
          </w:p>
          <w:p w14:paraId="436B8311" w14:textId="77777777" w:rsidR="00B95A86" w:rsidRPr="00B61006" w:rsidRDefault="00B95A86" w:rsidP="00511232">
            <w:pPr>
              <w:pStyle w:val="SingleTxt"/>
              <w:numPr>
                <w:ilvl w:val="0"/>
                <w:numId w:val="6"/>
              </w:numPr>
              <w:tabs>
                <w:tab w:val="clear" w:pos="1267"/>
                <w:tab w:val="clear" w:pos="1742"/>
                <w:tab w:val="left" w:pos="1170"/>
              </w:tabs>
              <w:ind w:right="0"/>
              <w:rPr>
                <w:rFonts w:eastAsia="MS Mincho"/>
                <w:spacing w:val="0"/>
                <w:w w:val="100"/>
                <w:kern w:val="0"/>
                <w:lang w:val="en-US" w:eastAsia="ja-JP"/>
              </w:rPr>
            </w:pPr>
            <w:r w:rsidRPr="00B61006">
              <w:rPr>
                <w:rFonts w:eastAsia="MS Mincho"/>
                <w:spacing w:val="0"/>
                <w:w w:val="100"/>
                <w:kern w:val="0"/>
                <w:lang w:val="en-US" w:eastAsia="ja-JP"/>
              </w:rPr>
              <w:t xml:space="preserve">UNDP regular resource allocations for country-level programme activities are made within the framework of targets for resource assignments from the core (known as ‘TRACs’). The TRAC is a three-tiered system in which TRAC-1 and TRAC-2 resources are linked in a combined pool, while TRAC-3 resources are made available through a separate </w:t>
            </w:r>
            <w:r w:rsidR="00466CF5" w:rsidRPr="00B61006">
              <w:rPr>
                <w:rFonts w:eastAsia="MS Mincho"/>
                <w:spacing w:val="0"/>
                <w:w w:val="100"/>
                <w:kern w:val="0"/>
                <w:lang w:val="en-US" w:eastAsia="ja-JP"/>
              </w:rPr>
              <w:t>pool. TRAC allocations form the</w:t>
            </w:r>
            <w:r w:rsidRPr="00B61006">
              <w:rPr>
                <w:rFonts w:eastAsia="MS Mincho"/>
                <w:spacing w:val="0"/>
                <w:w w:val="100"/>
                <w:kern w:val="0"/>
                <w:lang w:val="en-US" w:eastAsia="ja-JP"/>
              </w:rPr>
              <w:t xml:space="preserve"> financial foundation for the UNDP programmatic presence on the ground.</w:t>
            </w:r>
          </w:p>
          <w:p w14:paraId="4F25A7AA" w14:textId="729E0CC1" w:rsidR="008F6B12" w:rsidRPr="008F6B12" w:rsidRDefault="00B95A86" w:rsidP="008F6B12">
            <w:pPr>
              <w:pStyle w:val="DualTxt"/>
              <w:tabs>
                <w:tab w:val="clear" w:pos="960"/>
                <w:tab w:val="clear" w:pos="1915"/>
                <w:tab w:val="left" w:pos="900"/>
                <w:tab w:val="left" w:pos="990"/>
                <w:tab w:val="left" w:pos="1260"/>
                <w:tab w:val="left" w:pos="1800"/>
                <w:tab w:val="left" w:pos="8820"/>
              </w:tabs>
              <w:ind w:right="540"/>
              <w:rPr>
                <w:b w:val="0"/>
                <w:bCs w:val="0"/>
                <w:sz w:val="20"/>
                <w:szCs w:val="20"/>
              </w:rPr>
            </w:pPr>
            <w:r>
              <w:rPr>
                <w:b w:val="0"/>
                <w:snapToGrid w:val="0"/>
              </w:rPr>
              <w:tab/>
            </w:r>
            <w:r>
              <w:rPr>
                <w:b w:val="0"/>
                <w:snapToGrid w:val="0"/>
              </w:rPr>
              <w:tab/>
            </w:r>
            <w:r w:rsidRPr="0029161C">
              <w:rPr>
                <w:b w:val="0"/>
                <w:bCs w:val="0"/>
                <w:i/>
                <w:iCs/>
                <w:sz w:val="20"/>
                <w:szCs w:val="20"/>
              </w:rPr>
              <w:t>TRAC-1 principles and considerations</w:t>
            </w:r>
          </w:p>
          <w:p w14:paraId="5AE0D4CA" w14:textId="03B19820" w:rsidR="00B95A86" w:rsidRPr="00F472DC" w:rsidRDefault="00B95A86" w:rsidP="00511232">
            <w:pPr>
              <w:pStyle w:val="SingleTxt"/>
              <w:numPr>
                <w:ilvl w:val="0"/>
                <w:numId w:val="6"/>
              </w:numPr>
              <w:tabs>
                <w:tab w:val="clear" w:pos="1267"/>
                <w:tab w:val="clear" w:pos="1742"/>
                <w:tab w:val="left" w:pos="1170"/>
              </w:tabs>
              <w:ind w:right="0"/>
              <w:rPr>
                <w:rFonts w:eastAsia="MS Mincho"/>
                <w:spacing w:val="0"/>
                <w:w w:val="100"/>
                <w:kern w:val="0"/>
                <w:lang w:val="en-US" w:eastAsia="ja-JP"/>
              </w:rPr>
            </w:pPr>
            <w:r w:rsidRPr="00F472DC">
              <w:rPr>
                <w:rFonts w:eastAsia="MS Mincho"/>
                <w:spacing w:val="0"/>
                <w:w w:val="100"/>
                <w:kern w:val="0"/>
                <w:lang w:val="en-US" w:eastAsia="ja-JP"/>
              </w:rPr>
              <w:t>The TRAC-1 calculation is complex, having evolved over almost two decades to replace the previous entitlement-based system of funding according to indicative planning figures. Executive Board decisions in respect of the current arrangements essentially extended the principles, practices and approaches of the preceding cycle, with a number of technical incremental changes.</w:t>
            </w:r>
          </w:p>
          <w:p w14:paraId="7E5021B8" w14:textId="77777777" w:rsidR="00B95A86" w:rsidRPr="00F472DC" w:rsidRDefault="00B95A86" w:rsidP="00511232">
            <w:pPr>
              <w:pStyle w:val="SingleTxt"/>
              <w:numPr>
                <w:ilvl w:val="0"/>
                <w:numId w:val="6"/>
              </w:numPr>
              <w:tabs>
                <w:tab w:val="clear" w:pos="1267"/>
                <w:tab w:val="clear" w:pos="1742"/>
                <w:tab w:val="left" w:pos="1170"/>
              </w:tabs>
              <w:ind w:right="0"/>
              <w:rPr>
                <w:rFonts w:eastAsia="MS Mincho"/>
                <w:spacing w:val="0"/>
                <w:w w:val="100"/>
                <w:kern w:val="0"/>
                <w:lang w:val="en-US" w:eastAsia="ja-JP"/>
              </w:rPr>
            </w:pPr>
            <w:r w:rsidRPr="00F472DC">
              <w:rPr>
                <w:rFonts w:eastAsia="MS Mincho"/>
                <w:spacing w:val="0"/>
                <w:w w:val="100"/>
                <w:kern w:val="0"/>
                <w:lang w:val="en-US" w:eastAsia="ja-JP"/>
              </w:rPr>
              <w:t>The TRAC-1 distribution methodology adheres to three basic principles:</w:t>
            </w:r>
          </w:p>
          <w:p w14:paraId="632A95F7" w14:textId="77777777" w:rsidR="00B95A86" w:rsidRDefault="00B95A86" w:rsidP="000548AB">
            <w:pPr>
              <w:pStyle w:val="SingleTxt"/>
              <w:numPr>
                <w:ilvl w:val="2"/>
                <w:numId w:val="6"/>
              </w:numPr>
              <w:tabs>
                <w:tab w:val="left" w:pos="1080"/>
              </w:tabs>
              <w:spacing w:after="240"/>
              <w:ind w:right="90"/>
              <w:rPr>
                <w:b/>
                <w:bCs/>
                <w:snapToGrid w:val="0"/>
              </w:rPr>
            </w:pPr>
            <w:r w:rsidRPr="000548AB">
              <w:t>Focus on low-income and least developed countries;</w:t>
            </w:r>
          </w:p>
          <w:p w14:paraId="73C803F6" w14:textId="77777777" w:rsidR="00B95A86" w:rsidRDefault="00B95A86" w:rsidP="000548AB">
            <w:pPr>
              <w:pStyle w:val="SingleTxt"/>
              <w:numPr>
                <w:ilvl w:val="2"/>
                <w:numId w:val="6"/>
              </w:numPr>
              <w:tabs>
                <w:tab w:val="left" w:pos="1080"/>
              </w:tabs>
              <w:spacing w:after="240"/>
              <w:ind w:right="90"/>
              <w:rPr>
                <w:b/>
                <w:bCs/>
                <w:snapToGrid w:val="0"/>
              </w:rPr>
            </w:pPr>
            <w:r w:rsidRPr="000548AB">
              <w:t>Progressivity in favour of lower-income countries within the categories of low-income and middle-income countries; respectively; and</w:t>
            </w:r>
          </w:p>
          <w:p w14:paraId="5B4CEF66" w14:textId="19BA26D4" w:rsidR="00B95A86" w:rsidRDefault="00B95A86" w:rsidP="000548AB">
            <w:pPr>
              <w:pStyle w:val="SingleTxt"/>
              <w:numPr>
                <w:ilvl w:val="2"/>
                <w:numId w:val="6"/>
              </w:numPr>
              <w:tabs>
                <w:tab w:val="left" w:pos="1080"/>
              </w:tabs>
              <w:spacing w:after="240"/>
              <w:ind w:right="90"/>
              <w:rPr>
                <w:b/>
                <w:bCs/>
                <w:snapToGrid w:val="0"/>
              </w:rPr>
            </w:pPr>
            <w:r w:rsidRPr="000548AB">
              <w:t>A gradual move to net contributor country (NCC) status for countries that achieve higher gross national income (GNI) levels.</w:t>
            </w:r>
          </w:p>
          <w:p w14:paraId="15705C26" w14:textId="77777777" w:rsidR="00EE575D" w:rsidRDefault="00EE575D" w:rsidP="00EE575D">
            <w:pPr>
              <w:pStyle w:val="DualTxt"/>
              <w:tabs>
                <w:tab w:val="clear" w:pos="960"/>
                <w:tab w:val="clear" w:pos="1440"/>
                <w:tab w:val="clear" w:pos="1915"/>
                <w:tab w:val="clear" w:pos="2405"/>
                <w:tab w:val="left" w:pos="900"/>
                <w:tab w:val="left" w:pos="990"/>
                <w:tab w:val="left" w:pos="1260"/>
                <w:tab w:val="left" w:pos="1620"/>
                <w:tab w:val="left" w:pos="1800"/>
                <w:tab w:val="left" w:pos="8820"/>
              </w:tabs>
              <w:spacing w:after="0" w:line="200" w:lineRule="exact"/>
              <w:ind w:left="1800" w:right="540"/>
              <w:rPr>
                <w:b w:val="0"/>
                <w:bCs w:val="0"/>
                <w:snapToGrid w:val="0"/>
                <w:sz w:val="20"/>
                <w:szCs w:val="20"/>
              </w:rPr>
            </w:pPr>
          </w:p>
          <w:p w14:paraId="5C62BA3E" w14:textId="77777777" w:rsidR="008F6B12" w:rsidRPr="008F6B12" w:rsidRDefault="008F6B12" w:rsidP="00511232">
            <w:pPr>
              <w:pStyle w:val="SingleTxt"/>
              <w:numPr>
                <w:ilvl w:val="0"/>
                <w:numId w:val="6"/>
              </w:numPr>
              <w:tabs>
                <w:tab w:val="clear" w:pos="1267"/>
                <w:tab w:val="clear" w:pos="1742"/>
                <w:tab w:val="left" w:pos="1170"/>
              </w:tabs>
              <w:ind w:right="0"/>
              <w:rPr>
                <w:rFonts w:eastAsia="MS Mincho"/>
                <w:spacing w:val="0"/>
                <w:w w:val="100"/>
                <w:kern w:val="0"/>
                <w:lang w:val="en-US" w:eastAsia="ja-JP"/>
              </w:rPr>
            </w:pPr>
            <w:r w:rsidRPr="008F6B12">
              <w:rPr>
                <w:rFonts w:eastAsia="MS Mincho"/>
                <w:spacing w:val="0"/>
                <w:w w:val="100"/>
                <w:kern w:val="0"/>
                <w:lang w:val="en-US" w:eastAsia="ja-JP"/>
              </w:rPr>
              <w:t>Allocations for TRAC-1 resources are based on the following Executive Board approved parameters:</w:t>
            </w:r>
          </w:p>
          <w:p w14:paraId="37FE4FEA" w14:textId="4A2CD33E" w:rsidR="008F6B12" w:rsidRDefault="008F6B12" w:rsidP="00511232">
            <w:pPr>
              <w:pStyle w:val="SingleTxt"/>
              <w:numPr>
                <w:ilvl w:val="2"/>
                <w:numId w:val="6"/>
              </w:numPr>
              <w:tabs>
                <w:tab w:val="clear" w:pos="1267"/>
                <w:tab w:val="clear" w:pos="1742"/>
                <w:tab w:val="left" w:pos="1170"/>
              </w:tabs>
              <w:ind w:right="0"/>
              <w:rPr>
                <w:rFonts w:eastAsia="MS Mincho"/>
                <w:spacing w:val="0"/>
                <w:w w:val="100"/>
                <w:kern w:val="0"/>
                <w:lang w:val="en-US" w:eastAsia="ja-JP"/>
              </w:rPr>
            </w:pPr>
            <w:r w:rsidRPr="008F6B12">
              <w:rPr>
                <w:rFonts w:eastAsia="MS Mincho"/>
                <w:i/>
                <w:iCs/>
                <w:spacing w:val="0"/>
                <w:w w:val="100"/>
                <w:kern w:val="0"/>
                <w:lang w:val="en-US" w:eastAsia="ja-JP"/>
              </w:rPr>
              <w:lastRenderedPageBreak/>
              <w:t>Country classification and eligibility:</w:t>
            </w:r>
            <w:r w:rsidRPr="008F6B12">
              <w:rPr>
                <w:rFonts w:eastAsia="MS Mincho"/>
                <w:spacing w:val="0"/>
                <w:w w:val="100"/>
                <w:kern w:val="0"/>
                <w:lang w:val="en-US" w:eastAsia="ja-JP"/>
              </w:rPr>
              <w:t xml:space="preserve"> Based on per capita gross national income, countries are grouped into three categories (Low Income, Middle Income, and Net Contributor Countries – NCCs). Starting in the 2014-2017 programming cycle, middle-income countries are divided into two groups. For the 2022-2025 cycle, the inflation-adjusted threshold of $6,692 will be applied, resulting in middle-income countries with GNI per capita equal to or below $6,692 and middle-income countries with GNI per capita above $6,692. The TRAC-1 model covers low-income and middle-income countries only and Net Contributor Countries are not eligible to receive TRAC-1 resources. The below table shows the country classification based on </w:t>
            </w:r>
            <w:r w:rsidR="00543DD1" w:rsidRPr="008F6B12">
              <w:rPr>
                <w:rFonts w:eastAsia="MS Mincho"/>
                <w:spacing w:val="0"/>
                <w:w w:val="100"/>
                <w:kern w:val="0"/>
                <w:lang w:val="en-US" w:eastAsia="ja-JP"/>
              </w:rPr>
              <w:t xml:space="preserve">GNI </w:t>
            </w:r>
            <w:r w:rsidRPr="008F6B12">
              <w:rPr>
                <w:rFonts w:eastAsia="MS Mincho"/>
                <w:spacing w:val="0"/>
                <w:w w:val="100"/>
                <w:kern w:val="0"/>
                <w:lang w:val="en-US" w:eastAsia="ja-JP"/>
              </w:rPr>
              <w:t>per capita:</w:t>
            </w:r>
          </w:p>
          <w:p w14:paraId="11188DE1" w14:textId="3D88F0FE" w:rsidR="00554988" w:rsidRPr="00554988" w:rsidRDefault="008F6B12" w:rsidP="00946468">
            <w:pPr>
              <w:pStyle w:val="SingleTxt"/>
              <w:tabs>
                <w:tab w:val="clear" w:pos="1267"/>
                <w:tab w:val="clear" w:pos="1742"/>
                <w:tab w:val="left" w:pos="1170"/>
              </w:tabs>
              <w:ind w:left="1080" w:right="0"/>
              <w:rPr>
                <w:rFonts w:eastAsia="Calibri"/>
                <w:b/>
                <w:bCs/>
              </w:rPr>
            </w:pPr>
            <w:r w:rsidRPr="008F6B12">
              <w:rPr>
                <w:rFonts w:eastAsia="Calibri"/>
                <w:b/>
                <w:bCs/>
              </w:rPr>
              <w:t>Table 1</w:t>
            </w:r>
            <w:r w:rsidR="003D7B20">
              <w:rPr>
                <w:rFonts w:eastAsia="Calibri"/>
                <w:b/>
                <w:bCs/>
              </w:rPr>
              <w:t>.</w:t>
            </w:r>
            <w:r w:rsidRPr="008F6B12">
              <w:rPr>
                <w:rFonts w:eastAsia="Calibri"/>
                <w:b/>
                <w:bCs/>
              </w:rPr>
              <w:t xml:space="preserve"> Country classifications</w:t>
            </w:r>
          </w:p>
          <w:tbl>
            <w:tblPr>
              <w:tblW w:w="0" w:type="auto"/>
              <w:tblInd w:w="2335" w:type="dxa"/>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ayout w:type="fixed"/>
              <w:tblLook w:val="04A0" w:firstRow="1" w:lastRow="0" w:firstColumn="1" w:lastColumn="0" w:noHBand="0" w:noVBand="1"/>
            </w:tblPr>
            <w:tblGrid>
              <w:gridCol w:w="2078"/>
              <w:gridCol w:w="1980"/>
              <w:gridCol w:w="1778"/>
            </w:tblGrid>
            <w:tr w:rsidR="0051598C" w:rsidRPr="00C34294" w14:paraId="21A6BEA0" w14:textId="77777777" w:rsidTr="00BB1671">
              <w:trPr>
                <w:trHeight w:hRule="exact" w:val="288"/>
              </w:trPr>
              <w:tc>
                <w:tcPr>
                  <w:tcW w:w="2078" w:type="dxa"/>
                  <w:vMerge w:val="restart"/>
                  <w:shd w:val="clear" w:color="auto" w:fill="2F5496" w:themeFill="accent5" w:themeFillShade="BF"/>
                  <w:vAlign w:val="center"/>
                </w:tcPr>
                <w:p w14:paraId="57B66860" w14:textId="77777777" w:rsidR="0051598C" w:rsidRPr="00C34294" w:rsidRDefault="0051598C" w:rsidP="00946468">
                  <w:pPr>
                    <w:ind w:right="90"/>
                    <w:jc w:val="both"/>
                    <w:rPr>
                      <w:b/>
                      <w:iCs/>
                      <w:color w:val="FFFFFF" w:themeColor="background1"/>
                      <w:sz w:val="20"/>
                      <w:szCs w:val="20"/>
                    </w:rPr>
                  </w:pPr>
                  <w:r w:rsidRPr="00C34294">
                    <w:rPr>
                      <w:b/>
                      <w:iCs/>
                      <w:color w:val="FFFFFF" w:themeColor="background1"/>
                      <w:sz w:val="20"/>
                      <w:szCs w:val="20"/>
                    </w:rPr>
                    <w:t>Category</w:t>
                  </w:r>
                </w:p>
              </w:tc>
              <w:tc>
                <w:tcPr>
                  <w:tcW w:w="3758" w:type="dxa"/>
                  <w:gridSpan w:val="2"/>
                  <w:shd w:val="clear" w:color="auto" w:fill="2F5496" w:themeFill="accent5" w:themeFillShade="BF"/>
                  <w:vAlign w:val="center"/>
                </w:tcPr>
                <w:p w14:paraId="0BCF1008" w14:textId="76C3153E" w:rsidR="0051598C" w:rsidRPr="00C34294" w:rsidRDefault="0051598C" w:rsidP="00946468">
                  <w:pPr>
                    <w:jc w:val="both"/>
                    <w:rPr>
                      <w:b/>
                      <w:iCs/>
                      <w:color w:val="FFFFFF" w:themeColor="background1"/>
                      <w:sz w:val="20"/>
                      <w:szCs w:val="20"/>
                    </w:rPr>
                  </w:pPr>
                  <w:r w:rsidRPr="00C34294">
                    <w:rPr>
                      <w:b/>
                      <w:iCs/>
                      <w:color w:val="FFFFFF" w:themeColor="background1"/>
                      <w:sz w:val="20"/>
                      <w:szCs w:val="20"/>
                    </w:rPr>
                    <w:t xml:space="preserve">GNI </w:t>
                  </w:r>
                  <w:r w:rsidRPr="00C34294">
                    <w:rPr>
                      <w:b/>
                      <w:i/>
                      <w:iCs/>
                      <w:color w:val="FFFFFF" w:themeColor="background1"/>
                      <w:sz w:val="20"/>
                      <w:szCs w:val="20"/>
                    </w:rPr>
                    <w:t>per capita</w:t>
                  </w:r>
                  <w:r w:rsidR="002903BC" w:rsidRPr="002903BC">
                    <w:rPr>
                      <w:b/>
                      <w:i/>
                      <w:iCs/>
                      <w:color w:val="FFFFFF" w:themeColor="background1"/>
                      <w:sz w:val="20"/>
                      <w:szCs w:val="20"/>
                      <w:vertAlign w:val="superscript"/>
                    </w:rPr>
                    <w:t>1</w:t>
                  </w:r>
                </w:p>
              </w:tc>
            </w:tr>
            <w:tr w:rsidR="0051598C" w:rsidRPr="00C34294" w14:paraId="332D2D4C" w14:textId="77777777" w:rsidTr="00BB1671">
              <w:trPr>
                <w:trHeight w:hRule="exact" w:val="288"/>
              </w:trPr>
              <w:tc>
                <w:tcPr>
                  <w:tcW w:w="2078" w:type="dxa"/>
                  <w:vMerge/>
                  <w:shd w:val="clear" w:color="auto" w:fill="2F5496" w:themeFill="accent5" w:themeFillShade="BF"/>
                  <w:vAlign w:val="center"/>
                </w:tcPr>
                <w:p w14:paraId="14EBD10D" w14:textId="77777777" w:rsidR="0051598C" w:rsidRPr="00C34294" w:rsidRDefault="0051598C" w:rsidP="00946468">
                  <w:pPr>
                    <w:ind w:right="90"/>
                    <w:jc w:val="both"/>
                    <w:rPr>
                      <w:b/>
                      <w:iCs/>
                      <w:color w:val="FFFFFF" w:themeColor="background1"/>
                      <w:sz w:val="20"/>
                      <w:szCs w:val="20"/>
                    </w:rPr>
                  </w:pPr>
                </w:p>
              </w:tc>
              <w:tc>
                <w:tcPr>
                  <w:tcW w:w="1980" w:type="dxa"/>
                  <w:shd w:val="clear" w:color="auto" w:fill="2F5496" w:themeFill="accent5" w:themeFillShade="BF"/>
                  <w:vAlign w:val="center"/>
                </w:tcPr>
                <w:p w14:paraId="35BF99CB" w14:textId="77777777" w:rsidR="0051598C" w:rsidRPr="00C34294" w:rsidRDefault="0051598C" w:rsidP="00946468">
                  <w:pPr>
                    <w:ind w:right="90"/>
                    <w:jc w:val="both"/>
                    <w:rPr>
                      <w:b/>
                      <w:iCs/>
                      <w:color w:val="FFFFFF" w:themeColor="background1"/>
                      <w:sz w:val="20"/>
                      <w:szCs w:val="20"/>
                    </w:rPr>
                  </w:pPr>
                  <w:r w:rsidRPr="00C34294">
                    <w:rPr>
                      <w:b/>
                      <w:iCs/>
                      <w:color w:val="FFFFFF" w:themeColor="background1"/>
                      <w:sz w:val="20"/>
                      <w:szCs w:val="20"/>
                    </w:rPr>
                    <w:t>2018-2021</w:t>
                  </w:r>
                </w:p>
              </w:tc>
              <w:tc>
                <w:tcPr>
                  <w:tcW w:w="1778" w:type="dxa"/>
                  <w:shd w:val="clear" w:color="auto" w:fill="2F5496" w:themeFill="accent5" w:themeFillShade="BF"/>
                </w:tcPr>
                <w:p w14:paraId="127BD1D2" w14:textId="77777777" w:rsidR="0051598C" w:rsidRPr="00C34294" w:rsidRDefault="0051598C" w:rsidP="00946468">
                  <w:pPr>
                    <w:ind w:right="90"/>
                    <w:jc w:val="both"/>
                    <w:rPr>
                      <w:b/>
                      <w:iCs/>
                      <w:color w:val="FFFFFF" w:themeColor="background1"/>
                      <w:sz w:val="20"/>
                      <w:szCs w:val="20"/>
                    </w:rPr>
                  </w:pPr>
                  <w:r w:rsidRPr="00C34294">
                    <w:rPr>
                      <w:b/>
                      <w:iCs/>
                      <w:color w:val="FFFFFF" w:themeColor="background1"/>
                      <w:sz w:val="20"/>
                      <w:szCs w:val="20"/>
                    </w:rPr>
                    <w:t>2022-2025</w:t>
                  </w:r>
                </w:p>
              </w:tc>
            </w:tr>
            <w:tr w:rsidR="0051598C" w:rsidRPr="00C34294" w14:paraId="7FC2E5D1" w14:textId="77777777" w:rsidTr="00BB1671">
              <w:trPr>
                <w:trHeight w:hRule="exact" w:val="288"/>
              </w:trPr>
              <w:tc>
                <w:tcPr>
                  <w:tcW w:w="2078" w:type="dxa"/>
                  <w:vAlign w:val="center"/>
                </w:tcPr>
                <w:p w14:paraId="672F8570" w14:textId="77777777" w:rsidR="0051598C" w:rsidRPr="00C34294" w:rsidRDefault="0051598C" w:rsidP="00946468">
                  <w:pPr>
                    <w:ind w:right="90"/>
                    <w:jc w:val="both"/>
                    <w:rPr>
                      <w:iCs/>
                      <w:sz w:val="20"/>
                      <w:szCs w:val="20"/>
                    </w:rPr>
                  </w:pPr>
                  <w:r w:rsidRPr="00C34294">
                    <w:rPr>
                      <w:iCs/>
                      <w:sz w:val="20"/>
                      <w:szCs w:val="20"/>
                    </w:rPr>
                    <w:t>Low</w:t>
                  </w:r>
                  <w:r>
                    <w:rPr>
                      <w:iCs/>
                      <w:sz w:val="20"/>
                      <w:szCs w:val="20"/>
                    </w:rPr>
                    <w:t>-</w:t>
                  </w:r>
                  <w:r w:rsidRPr="00C34294">
                    <w:rPr>
                      <w:iCs/>
                      <w:sz w:val="20"/>
                      <w:szCs w:val="20"/>
                    </w:rPr>
                    <w:t>income</w:t>
                  </w:r>
                </w:p>
              </w:tc>
              <w:tc>
                <w:tcPr>
                  <w:tcW w:w="1980" w:type="dxa"/>
                  <w:vAlign w:val="center"/>
                </w:tcPr>
                <w:p w14:paraId="251F08CF" w14:textId="77777777" w:rsidR="0051598C" w:rsidRPr="00C34294" w:rsidRDefault="0051598C" w:rsidP="00946468">
                  <w:pPr>
                    <w:ind w:right="90"/>
                    <w:jc w:val="both"/>
                    <w:rPr>
                      <w:iCs/>
                      <w:sz w:val="20"/>
                      <w:szCs w:val="20"/>
                    </w:rPr>
                  </w:pPr>
                  <w:r w:rsidRPr="00C34294">
                    <w:rPr>
                      <w:iCs/>
                      <w:sz w:val="20"/>
                      <w:szCs w:val="20"/>
                    </w:rPr>
                    <w:t>$1,280 or less</w:t>
                  </w:r>
                </w:p>
              </w:tc>
              <w:tc>
                <w:tcPr>
                  <w:tcW w:w="1778" w:type="dxa"/>
                  <w:vAlign w:val="center"/>
                </w:tcPr>
                <w:p w14:paraId="32A1AEFD" w14:textId="77777777" w:rsidR="0051598C" w:rsidRPr="00C34294" w:rsidRDefault="0051598C" w:rsidP="00946468">
                  <w:pPr>
                    <w:ind w:right="90"/>
                    <w:jc w:val="both"/>
                    <w:rPr>
                      <w:iCs/>
                      <w:sz w:val="20"/>
                      <w:szCs w:val="20"/>
                    </w:rPr>
                  </w:pPr>
                  <w:r w:rsidRPr="00C34294">
                    <w:rPr>
                      <w:iCs/>
                      <w:sz w:val="20"/>
                      <w:szCs w:val="20"/>
                    </w:rPr>
                    <w:t>$1,286 or less</w:t>
                  </w:r>
                </w:p>
              </w:tc>
            </w:tr>
            <w:tr w:rsidR="0051598C" w:rsidRPr="00C34294" w14:paraId="15E18C2B" w14:textId="77777777" w:rsidTr="00BB1671">
              <w:trPr>
                <w:trHeight w:hRule="exact" w:val="288"/>
              </w:trPr>
              <w:tc>
                <w:tcPr>
                  <w:tcW w:w="2078" w:type="dxa"/>
                  <w:vAlign w:val="center"/>
                </w:tcPr>
                <w:p w14:paraId="72F76ED2" w14:textId="77777777" w:rsidR="0051598C" w:rsidRPr="00C34294" w:rsidRDefault="0051598C" w:rsidP="00946468">
                  <w:pPr>
                    <w:ind w:right="90"/>
                    <w:jc w:val="both"/>
                    <w:rPr>
                      <w:iCs/>
                      <w:sz w:val="20"/>
                      <w:szCs w:val="20"/>
                    </w:rPr>
                  </w:pPr>
                  <w:r>
                    <w:rPr>
                      <w:iCs/>
                      <w:sz w:val="20"/>
                      <w:szCs w:val="20"/>
                    </w:rPr>
                    <w:t>M</w:t>
                  </w:r>
                  <w:r w:rsidRPr="00C34294">
                    <w:rPr>
                      <w:iCs/>
                      <w:sz w:val="20"/>
                      <w:szCs w:val="20"/>
                    </w:rPr>
                    <w:t>iddle</w:t>
                  </w:r>
                  <w:r>
                    <w:rPr>
                      <w:iCs/>
                      <w:sz w:val="20"/>
                      <w:szCs w:val="20"/>
                    </w:rPr>
                    <w:t>-</w:t>
                  </w:r>
                  <w:r w:rsidRPr="00F32E1F">
                    <w:rPr>
                      <w:iCs/>
                      <w:sz w:val="20"/>
                      <w:szCs w:val="20"/>
                    </w:rPr>
                    <w:t>income</w:t>
                  </w:r>
                </w:p>
              </w:tc>
              <w:tc>
                <w:tcPr>
                  <w:tcW w:w="1980" w:type="dxa"/>
                  <w:vAlign w:val="center"/>
                </w:tcPr>
                <w:p w14:paraId="19635DB6" w14:textId="77777777" w:rsidR="0051598C" w:rsidRPr="00C34294" w:rsidRDefault="0051598C" w:rsidP="00946468">
                  <w:pPr>
                    <w:ind w:right="90"/>
                    <w:jc w:val="both"/>
                    <w:rPr>
                      <w:iCs/>
                      <w:sz w:val="20"/>
                      <w:szCs w:val="20"/>
                    </w:rPr>
                  </w:pPr>
                  <w:r w:rsidRPr="00C34294">
                    <w:rPr>
                      <w:iCs/>
                      <w:sz w:val="20"/>
                      <w:szCs w:val="20"/>
                    </w:rPr>
                    <w:t>$1,281 to $12,475</w:t>
                  </w:r>
                </w:p>
              </w:tc>
              <w:tc>
                <w:tcPr>
                  <w:tcW w:w="1778" w:type="dxa"/>
                  <w:vAlign w:val="center"/>
                </w:tcPr>
                <w:p w14:paraId="140EC67E" w14:textId="77777777" w:rsidR="0051598C" w:rsidRPr="00C34294" w:rsidRDefault="0051598C" w:rsidP="00946468">
                  <w:pPr>
                    <w:ind w:right="90"/>
                    <w:jc w:val="both"/>
                    <w:rPr>
                      <w:iCs/>
                      <w:sz w:val="20"/>
                      <w:szCs w:val="20"/>
                    </w:rPr>
                  </w:pPr>
                  <w:r w:rsidRPr="00C34294">
                    <w:rPr>
                      <w:iCs/>
                      <w:sz w:val="20"/>
                      <w:szCs w:val="20"/>
                    </w:rPr>
                    <w:t>$1,287 to $12,535</w:t>
                  </w:r>
                </w:p>
              </w:tc>
            </w:tr>
            <w:tr w:rsidR="0051598C" w:rsidRPr="00C34294" w14:paraId="560352EF" w14:textId="77777777" w:rsidTr="00BB1671">
              <w:trPr>
                <w:trHeight w:hRule="exact" w:val="288"/>
              </w:trPr>
              <w:tc>
                <w:tcPr>
                  <w:tcW w:w="2078" w:type="dxa"/>
                  <w:vAlign w:val="center"/>
                </w:tcPr>
                <w:p w14:paraId="08CB1089" w14:textId="77777777" w:rsidR="0051598C" w:rsidRPr="00C34294" w:rsidRDefault="0051598C" w:rsidP="00946468">
                  <w:pPr>
                    <w:ind w:right="90"/>
                    <w:jc w:val="both"/>
                    <w:rPr>
                      <w:iCs/>
                      <w:sz w:val="20"/>
                      <w:szCs w:val="20"/>
                    </w:rPr>
                  </w:pPr>
                  <w:r w:rsidRPr="00C34294">
                    <w:rPr>
                      <w:iCs/>
                      <w:sz w:val="20"/>
                      <w:szCs w:val="20"/>
                    </w:rPr>
                    <w:t>Net contributor</w:t>
                  </w:r>
                </w:p>
              </w:tc>
              <w:tc>
                <w:tcPr>
                  <w:tcW w:w="1980" w:type="dxa"/>
                  <w:vAlign w:val="center"/>
                </w:tcPr>
                <w:p w14:paraId="7146131C" w14:textId="77777777" w:rsidR="0051598C" w:rsidRPr="00C34294" w:rsidRDefault="0051598C" w:rsidP="00946468">
                  <w:pPr>
                    <w:ind w:right="90"/>
                    <w:jc w:val="both"/>
                    <w:rPr>
                      <w:iCs/>
                      <w:sz w:val="20"/>
                      <w:szCs w:val="20"/>
                    </w:rPr>
                  </w:pPr>
                  <w:r w:rsidRPr="00C34294">
                    <w:rPr>
                      <w:iCs/>
                      <w:sz w:val="20"/>
                      <w:szCs w:val="20"/>
                    </w:rPr>
                    <w:t>$12,476 or more</w:t>
                  </w:r>
                </w:p>
              </w:tc>
              <w:tc>
                <w:tcPr>
                  <w:tcW w:w="1778" w:type="dxa"/>
                  <w:vAlign w:val="center"/>
                </w:tcPr>
                <w:p w14:paraId="285813FB" w14:textId="77777777" w:rsidR="0051598C" w:rsidRPr="00C34294" w:rsidRDefault="0051598C" w:rsidP="00946468">
                  <w:pPr>
                    <w:ind w:right="90"/>
                    <w:jc w:val="both"/>
                    <w:rPr>
                      <w:iCs/>
                      <w:sz w:val="20"/>
                      <w:szCs w:val="20"/>
                    </w:rPr>
                  </w:pPr>
                  <w:r w:rsidRPr="00C34294">
                    <w:rPr>
                      <w:iCs/>
                      <w:sz w:val="20"/>
                      <w:szCs w:val="20"/>
                    </w:rPr>
                    <w:t>$12,536 or more</w:t>
                  </w:r>
                </w:p>
              </w:tc>
            </w:tr>
          </w:tbl>
          <w:p w14:paraId="3128E047" w14:textId="19C5FF35" w:rsidR="008F6B12" w:rsidRDefault="00BE5F72" w:rsidP="00946468">
            <w:pPr>
              <w:pStyle w:val="SingleTxt"/>
              <w:tabs>
                <w:tab w:val="clear" w:pos="1267"/>
                <w:tab w:val="clear" w:pos="1742"/>
                <w:tab w:val="left" w:pos="1170"/>
              </w:tabs>
              <w:spacing w:before="120" w:line="240" w:lineRule="auto"/>
              <w:ind w:left="2304" w:right="1008"/>
              <w:rPr>
                <w:rFonts w:eastAsia="MS Mincho"/>
                <w:sz w:val="16"/>
                <w:szCs w:val="16"/>
              </w:rPr>
            </w:pPr>
            <w:bookmarkStart w:id="0" w:name="_Hlk74147726"/>
            <w:bookmarkEnd w:id="0"/>
            <w:r w:rsidRPr="002A2651">
              <w:rPr>
                <w:sz w:val="18"/>
                <w:szCs w:val="18"/>
              </w:rPr>
              <w:t xml:space="preserve">1 </w:t>
            </w:r>
            <w:r w:rsidR="00BE6B2D" w:rsidRPr="00BE6B2D">
              <w:rPr>
                <w:sz w:val="16"/>
                <w:szCs w:val="16"/>
              </w:rPr>
              <w:t xml:space="preserve">Up to 2013, the GNI </w:t>
            </w:r>
            <w:r w:rsidR="00BE6B2D" w:rsidRPr="00BE6B2D">
              <w:rPr>
                <w:i/>
                <w:sz w:val="16"/>
                <w:szCs w:val="16"/>
              </w:rPr>
              <w:t>per capita</w:t>
            </w:r>
            <w:r w:rsidR="00BE6B2D" w:rsidRPr="00BE6B2D">
              <w:rPr>
                <w:sz w:val="16"/>
                <w:szCs w:val="16"/>
              </w:rPr>
              <w:t xml:space="preserve"> data for the latest available year was used. Starting in 2014, in accordance with Executive Board decision 2012/28, a four-year average is used, to dampen the effect of sudden variations in a country’s GNI </w:t>
            </w:r>
            <w:r w:rsidR="00BE6B2D" w:rsidRPr="00BE6B2D">
              <w:rPr>
                <w:i/>
                <w:sz w:val="16"/>
                <w:szCs w:val="16"/>
              </w:rPr>
              <w:t>per capita</w:t>
            </w:r>
            <w:r w:rsidR="00BE6B2D" w:rsidRPr="00BE6B2D">
              <w:rPr>
                <w:sz w:val="16"/>
                <w:szCs w:val="16"/>
              </w:rPr>
              <w:t>. For the 2018-2021 cycle, the 2012-2015 average was used; for the 2022-2025 cycle, the 2016-2019 average will be used.</w:t>
            </w:r>
          </w:p>
          <w:p w14:paraId="5BDC49E7" w14:textId="77777777" w:rsidR="00990ECA" w:rsidRPr="00BE6B2D" w:rsidRDefault="00990ECA" w:rsidP="00946468">
            <w:pPr>
              <w:pStyle w:val="SingleTxt"/>
              <w:tabs>
                <w:tab w:val="clear" w:pos="1267"/>
                <w:tab w:val="clear" w:pos="1742"/>
                <w:tab w:val="left" w:pos="1170"/>
              </w:tabs>
              <w:spacing w:before="120" w:line="240" w:lineRule="auto"/>
              <w:ind w:left="2304" w:right="1008"/>
              <w:rPr>
                <w:rFonts w:eastAsia="MS Mincho"/>
                <w:spacing w:val="0"/>
                <w:w w:val="100"/>
                <w:kern w:val="0"/>
                <w:sz w:val="18"/>
                <w:szCs w:val="18"/>
                <w:lang w:val="en-US" w:eastAsia="ja-JP"/>
              </w:rPr>
            </w:pPr>
          </w:p>
          <w:p w14:paraId="569DDDC2" w14:textId="77777777" w:rsidR="00535D49" w:rsidRPr="009E0423" w:rsidRDefault="00535D49" w:rsidP="00511232">
            <w:pPr>
              <w:pStyle w:val="SingleTxt"/>
              <w:numPr>
                <w:ilvl w:val="2"/>
                <w:numId w:val="6"/>
              </w:numPr>
              <w:tabs>
                <w:tab w:val="left" w:pos="1080"/>
              </w:tabs>
              <w:spacing w:after="240"/>
              <w:ind w:right="90"/>
              <w:rPr>
                <w:i/>
                <w:iCs/>
              </w:rPr>
            </w:pPr>
            <w:r w:rsidRPr="002A2651">
              <w:rPr>
                <w:i/>
                <w:iCs/>
              </w:rPr>
              <w:t>Distribution criteria and methodology:</w:t>
            </w:r>
            <w:r w:rsidRPr="009E0423">
              <w:rPr>
                <w:i/>
                <w:iCs/>
              </w:rPr>
              <w:t xml:space="preserve"> </w:t>
            </w:r>
            <w:r w:rsidRPr="009E0423">
              <w:t>The TRAC-1 model uses World Bank data on population and per capita gross national income (GNI) as the primary distribution criteria. As a general rule (subject to other model parameters), the lower the 4-year average GNI per capita and the larger the population, the higher a country’s TRAC-1 share</w:t>
            </w:r>
            <w:r w:rsidRPr="009E0423">
              <w:rPr>
                <w:i/>
                <w:iCs/>
              </w:rPr>
              <w:t>.</w:t>
            </w:r>
          </w:p>
          <w:p w14:paraId="01514EDF" w14:textId="35E623E3" w:rsidR="00535D49" w:rsidRDefault="00535D49" w:rsidP="00511232">
            <w:pPr>
              <w:pStyle w:val="SingleTxt"/>
              <w:numPr>
                <w:ilvl w:val="2"/>
                <w:numId w:val="6"/>
              </w:numPr>
              <w:tabs>
                <w:tab w:val="left" w:pos="1080"/>
              </w:tabs>
              <w:spacing w:after="240"/>
              <w:ind w:right="90"/>
            </w:pPr>
            <w:r w:rsidRPr="002A2651">
              <w:rPr>
                <w:i/>
                <w:iCs/>
              </w:rPr>
              <w:t>The predictability parameter (floor principle):</w:t>
            </w:r>
            <w:r w:rsidRPr="009E0423">
              <w:rPr>
                <w:i/>
                <w:iCs/>
              </w:rPr>
              <w:t xml:space="preserve"> </w:t>
            </w:r>
            <w:r w:rsidRPr="009E0423">
              <w:t xml:space="preserve">Predictability of UNDP programme resources for individual countries has been recognized by the Executive Board as an important element for effective technical cooperation. It is reflected in the “floor principle”, which is an integral part of the TRAC distribution methodology. The floor principle is meant to prevent abrupt major changes in the TRAC </w:t>
            </w:r>
            <w:proofErr w:type="spellStart"/>
            <w:r w:rsidRPr="009E0423">
              <w:t>earmarkings</w:t>
            </w:r>
            <w:proofErr w:type="spellEnd"/>
            <w:r w:rsidRPr="009E0423">
              <w:t xml:space="preserve"> of a country because of (sometimes temporary) shifts in its GNI per capita data. The floor concept ensures that a country receives at least a set percentage of its TRAC-1 earmarking in the previous programming cycle. Table 2 shows the floor percentages currently in use.  If the country’s basic TRAC-1 earmarking is lower than the floor amount, a floor supplement is added to the basic TRAC-1 earmarking to make up for the difference.</w:t>
            </w:r>
          </w:p>
          <w:p w14:paraId="58FB8F02" w14:textId="079D6C02" w:rsidR="00454F0F" w:rsidRDefault="00454F0F" w:rsidP="00946468">
            <w:pPr>
              <w:pStyle w:val="SingleTxt"/>
              <w:tabs>
                <w:tab w:val="clear" w:pos="1267"/>
                <w:tab w:val="clear" w:pos="1742"/>
                <w:tab w:val="left" w:pos="1170"/>
              </w:tabs>
              <w:ind w:left="1080" w:right="0"/>
              <w:rPr>
                <w:rFonts w:eastAsia="Calibri"/>
                <w:b/>
                <w:bCs/>
              </w:rPr>
            </w:pPr>
            <w:r w:rsidRPr="00454F0F">
              <w:rPr>
                <w:rFonts w:eastAsia="Calibri"/>
                <w:b/>
                <w:bCs/>
              </w:rPr>
              <w:t>Table 2: The relative floor (predictability parameter)</w:t>
            </w:r>
          </w:p>
          <w:tbl>
            <w:tblPr>
              <w:tblW w:w="0" w:type="auto"/>
              <w:tblInd w:w="2905"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2835"/>
              <w:gridCol w:w="1890"/>
            </w:tblGrid>
            <w:tr w:rsidR="00C97EDD" w:rsidRPr="00AB43A6" w14:paraId="54951C57" w14:textId="77777777" w:rsidTr="00A4651E">
              <w:trPr>
                <w:trHeight w:hRule="exact" w:val="288"/>
              </w:trPr>
              <w:tc>
                <w:tcPr>
                  <w:tcW w:w="2835" w:type="dxa"/>
                  <w:shd w:val="clear" w:color="auto" w:fill="2F5496" w:themeFill="accent5" w:themeFillShade="BF"/>
                  <w:vAlign w:val="center"/>
                </w:tcPr>
                <w:p w14:paraId="344C1974" w14:textId="77777777" w:rsidR="00C97EDD" w:rsidRPr="00AB43A6" w:rsidRDefault="00C97EDD" w:rsidP="00946468">
                  <w:pPr>
                    <w:keepNext/>
                    <w:keepLines/>
                    <w:spacing w:after="100" w:afterAutospacing="1"/>
                    <w:ind w:right="90"/>
                    <w:jc w:val="both"/>
                    <w:rPr>
                      <w:b/>
                      <w:color w:val="FFFFFF" w:themeColor="background1"/>
                      <w:sz w:val="20"/>
                      <w:szCs w:val="20"/>
                    </w:rPr>
                  </w:pPr>
                  <w:r w:rsidRPr="00AB43A6">
                    <w:rPr>
                      <w:b/>
                      <w:color w:val="FFFFFF" w:themeColor="background1"/>
                      <w:sz w:val="20"/>
                      <w:szCs w:val="20"/>
                    </w:rPr>
                    <w:t>Income classification / LDC status</w:t>
                  </w:r>
                </w:p>
              </w:tc>
              <w:tc>
                <w:tcPr>
                  <w:tcW w:w="1890" w:type="dxa"/>
                  <w:shd w:val="clear" w:color="auto" w:fill="2F5496" w:themeFill="accent5" w:themeFillShade="BF"/>
                  <w:vAlign w:val="center"/>
                </w:tcPr>
                <w:p w14:paraId="66793FE5" w14:textId="77777777" w:rsidR="00C97EDD" w:rsidRPr="00AB43A6" w:rsidRDefault="00C97EDD" w:rsidP="00946468">
                  <w:pPr>
                    <w:keepNext/>
                    <w:keepLines/>
                    <w:spacing w:after="100" w:afterAutospacing="1"/>
                    <w:ind w:right="90"/>
                    <w:jc w:val="both"/>
                    <w:rPr>
                      <w:b/>
                      <w:color w:val="FFFFFF" w:themeColor="background1"/>
                      <w:sz w:val="20"/>
                      <w:szCs w:val="20"/>
                    </w:rPr>
                  </w:pPr>
                  <w:r w:rsidRPr="00AB43A6">
                    <w:rPr>
                      <w:b/>
                      <w:color w:val="FFFFFF" w:themeColor="background1"/>
                      <w:sz w:val="20"/>
                      <w:szCs w:val="20"/>
                    </w:rPr>
                    <w:t>Floor percentage</w:t>
                  </w:r>
                  <w:r w:rsidRPr="00AB43A6">
                    <w:rPr>
                      <w:b/>
                      <w:color w:val="FFFFFF" w:themeColor="background1"/>
                      <w:sz w:val="20"/>
                      <w:szCs w:val="20"/>
                      <w:vertAlign w:val="superscript"/>
                    </w:rPr>
                    <w:t>1</w:t>
                  </w:r>
                </w:p>
              </w:tc>
            </w:tr>
            <w:tr w:rsidR="00C97EDD" w:rsidRPr="00AB43A6" w14:paraId="5694987C" w14:textId="77777777" w:rsidTr="00A4651E">
              <w:trPr>
                <w:trHeight w:hRule="exact" w:val="288"/>
              </w:trPr>
              <w:tc>
                <w:tcPr>
                  <w:tcW w:w="2835" w:type="dxa"/>
                  <w:vAlign w:val="center"/>
                </w:tcPr>
                <w:p w14:paraId="776D21E0" w14:textId="77777777" w:rsidR="00C97EDD" w:rsidRPr="00AB43A6" w:rsidRDefault="00C97EDD" w:rsidP="00946468">
                  <w:pPr>
                    <w:keepNext/>
                    <w:keepLines/>
                    <w:spacing w:after="100" w:afterAutospacing="1"/>
                    <w:ind w:right="90"/>
                    <w:jc w:val="both"/>
                    <w:rPr>
                      <w:sz w:val="20"/>
                      <w:szCs w:val="20"/>
                    </w:rPr>
                  </w:pPr>
                  <w:r w:rsidRPr="00AB43A6">
                    <w:rPr>
                      <w:sz w:val="20"/>
                      <w:szCs w:val="20"/>
                    </w:rPr>
                    <w:t>Least developed countries</w:t>
                  </w:r>
                </w:p>
              </w:tc>
              <w:tc>
                <w:tcPr>
                  <w:tcW w:w="1890" w:type="dxa"/>
                  <w:vAlign w:val="center"/>
                </w:tcPr>
                <w:p w14:paraId="30B97A46" w14:textId="77777777" w:rsidR="00C97EDD" w:rsidRPr="00AB43A6" w:rsidRDefault="00C97EDD" w:rsidP="00946468">
                  <w:pPr>
                    <w:keepNext/>
                    <w:keepLines/>
                    <w:spacing w:after="100" w:afterAutospacing="1"/>
                    <w:ind w:right="90"/>
                    <w:jc w:val="both"/>
                    <w:rPr>
                      <w:sz w:val="20"/>
                      <w:szCs w:val="20"/>
                    </w:rPr>
                  </w:pPr>
                  <w:r w:rsidRPr="00AB43A6">
                    <w:rPr>
                      <w:sz w:val="20"/>
                      <w:szCs w:val="20"/>
                    </w:rPr>
                    <w:t>75%</w:t>
                  </w:r>
                </w:p>
              </w:tc>
            </w:tr>
            <w:tr w:rsidR="00C97EDD" w:rsidRPr="00AB43A6" w14:paraId="086B4488" w14:textId="77777777" w:rsidTr="00A4651E">
              <w:trPr>
                <w:trHeight w:hRule="exact" w:val="288"/>
              </w:trPr>
              <w:tc>
                <w:tcPr>
                  <w:tcW w:w="2835" w:type="dxa"/>
                  <w:vAlign w:val="center"/>
                </w:tcPr>
                <w:p w14:paraId="1DAAAAB6" w14:textId="77777777" w:rsidR="00C97EDD" w:rsidRPr="00AB43A6" w:rsidRDefault="00C97EDD" w:rsidP="00946468">
                  <w:pPr>
                    <w:keepNext/>
                    <w:keepLines/>
                    <w:spacing w:after="100" w:afterAutospacing="1"/>
                    <w:ind w:right="90"/>
                    <w:jc w:val="both"/>
                    <w:rPr>
                      <w:sz w:val="20"/>
                      <w:szCs w:val="20"/>
                    </w:rPr>
                  </w:pPr>
                  <w:r w:rsidRPr="00AB43A6">
                    <w:rPr>
                      <w:sz w:val="20"/>
                      <w:szCs w:val="20"/>
                    </w:rPr>
                    <w:t>Low-income countries</w:t>
                  </w:r>
                </w:p>
              </w:tc>
              <w:tc>
                <w:tcPr>
                  <w:tcW w:w="1890" w:type="dxa"/>
                  <w:vAlign w:val="center"/>
                </w:tcPr>
                <w:p w14:paraId="3763BD8B" w14:textId="77777777" w:rsidR="00C97EDD" w:rsidRPr="00AB43A6" w:rsidRDefault="00C97EDD" w:rsidP="00946468">
                  <w:pPr>
                    <w:keepNext/>
                    <w:keepLines/>
                    <w:spacing w:after="100" w:afterAutospacing="1"/>
                    <w:ind w:right="90"/>
                    <w:jc w:val="both"/>
                    <w:rPr>
                      <w:sz w:val="20"/>
                      <w:szCs w:val="20"/>
                    </w:rPr>
                  </w:pPr>
                  <w:r w:rsidRPr="00AB43A6">
                    <w:rPr>
                      <w:sz w:val="20"/>
                      <w:szCs w:val="20"/>
                    </w:rPr>
                    <w:t>60%</w:t>
                  </w:r>
                </w:p>
              </w:tc>
            </w:tr>
            <w:tr w:rsidR="00C97EDD" w:rsidRPr="00AB43A6" w14:paraId="24907D63" w14:textId="77777777" w:rsidTr="00A4651E">
              <w:trPr>
                <w:trHeight w:hRule="exact" w:val="288"/>
              </w:trPr>
              <w:tc>
                <w:tcPr>
                  <w:tcW w:w="2835" w:type="dxa"/>
                  <w:vAlign w:val="center"/>
                </w:tcPr>
                <w:p w14:paraId="1630D061" w14:textId="77777777" w:rsidR="00C97EDD" w:rsidRPr="00AB43A6" w:rsidRDefault="00C97EDD" w:rsidP="00946468">
                  <w:pPr>
                    <w:keepNext/>
                    <w:keepLines/>
                    <w:spacing w:after="100" w:afterAutospacing="1"/>
                    <w:ind w:right="90"/>
                    <w:jc w:val="both"/>
                    <w:rPr>
                      <w:sz w:val="20"/>
                      <w:szCs w:val="20"/>
                    </w:rPr>
                  </w:pPr>
                  <w:r w:rsidRPr="00AB43A6">
                    <w:rPr>
                      <w:sz w:val="20"/>
                      <w:szCs w:val="20"/>
                    </w:rPr>
                    <w:t>Transitional middle-income countries</w:t>
                  </w:r>
                  <w:r w:rsidRPr="00AB43A6">
                    <w:rPr>
                      <w:sz w:val="20"/>
                      <w:szCs w:val="20"/>
                      <w:vertAlign w:val="superscript"/>
                    </w:rPr>
                    <w:t>2</w:t>
                  </w:r>
                </w:p>
              </w:tc>
              <w:tc>
                <w:tcPr>
                  <w:tcW w:w="1890" w:type="dxa"/>
                  <w:vAlign w:val="center"/>
                </w:tcPr>
                <w:p w14:paraId="69B6CAD7" w14:textId="77777777" w:rsidR="00C97EDD" w:rsidRPr="00AB43A6" w:rsidRDefault="00C97EDD" w:rsidP="00946468">
                  <w:pPr>
                    <w:keepNext/>
                    <w:keepLines/>
                    <w:spacing w:after="100" w:afterAutospacing="1"/>
                    <w:ind w:right="90"/>
                    <w:jc w:val="both"/>
                    <w:rPr>
                      <w:sz w:val="20"/>
                      <w:szCs w:val="20"/>
                    </w:rPr>
                  </w:pPr>
                  <w:r w:rsidRPr="00AB43A6">
                    <w:rPr>
                      <w:sz w:val="20"/>
                      <w:szCs w:val="20"/>
                    </w:rPr>
                    <w:t>45%</w:t>
                  </w:r>
                </w:p>
              </w:tc>
            </w:tr>
            <w:tr w:rsidR="00C97EDD" w:rsidRPr="00AB43A6" w14:paraId="6F9A08DF" w14:textId="77777777" w:rsidTr="00A4651E">
              <w:trPr>
                <w:trHeight w:hRule="exact" w:val="288"/>
              </w:trPr>
              <w:tc>
                <w:tcPr>
                  <w:tcW w:w="2835" w:type="dxa"/>
                  <w:vAlign w:val="center"/>
                </w:tcPr>
                <w:p w14:paraId="56270C4A" w14:textId="77777777" w:rsidR="00C97EDD" w:rsidRPr="00AB43A6" w:rsidRDefault="00C97EDD" w:rsidP="00946468">
                  <w:pPr>
                    <w:keepNext/>
                    <w:keepLines/>
                    <w:spacing w:after="100" w:afterAutospacing="1"/>
                    <w:ind w:right="90"/>
                    <w:jc w:val="both"/>
                    <w:rPr>
                      <w:sz w:val="20"/>
                      <w:szCs w:val="20"/>
                    </w:rPr>
                  </w:pPr>
                  <w:r w:rsidRPr="00AB43A6">
                    <w:rPr>
                      <w:sz w:val="20"/>
                      <w:szCs w:val="20"/>
                    </w:rPr>
                    <w:t>Middle-income countries</w:t>
                  </w:r>
                </w:p>
              </w:tc>
              <w:tc>
                <w:tcPr>
                  <w:tcW w:w="1890" w:type="dxa"/>
                  <w:vAlign w:val="center"/>
                </w:tcPr>
                <w:p w14:paraId="330F5E1B" w14:textId="77777777" w:rsidR="00C97EDD" w:rsidRPr="00AB43A6" w:rsidRDefault="00C97EDD" w:rsidP="00946468">
                  <w:pPr>
                    <w:keepNext/>
                    <w:keepLines/>
                    <w:spacing w:after="100" w:afterAutospacing="1"/>
                    <w:ind w:right="90"/>
                    <w:jc w:val="both"/>
                    <w:rPr>
                      <w:sz w:val="20"/>
                      <w:szCs w:val="20"/>
                    </w:rPr>
                  </w:pPr>
                  <w:r w:rsidRPr="00AB43A6">
                    <w:rPr>
                      <w:sz w:val="20"/>
                      <w:szCs w:val="20"/>
                    </w:rPr>
                    <w:t>40%</w:t>
                  </w:r>
                </w:p>
              </w:tc>
            </w:tr>
          </w:tbl>
          <w:p w14:paraId="4ECCB44B" w14:textId="102A3DFC" w:rsidR="00D707CE" w:rsidRDefault="00D707CE" w:rsidP="00946468">
            <w:pPr>
              <w:pStyle w:val="ListParagraph"/>
              <w:keepNext/>
              <w:keepLines/>
              <w:spacing w:before="120"/>
              <w:ind w:left="2160" w:right="90"/>
              <w:jc w:val="both"/>
              <w:rPr>
                <w:sz w:val="18"/>
                <w:szCs w:val="18"/>
              </w:rPr>
            </w:pPr>
            <w:r>
              <w:rPr>
                <w:sz w:val="18"/>
                <w:szCs w:val="18"/>
              </w:rPr>
              <w:t xml:space="preserve">                </w:t>
            </w:r>
            <w:r w:rsidRPr="003E4665">
              <w:rPr>
                <w:sz w:val="16"/>
                <w:szCs w:val="16"/>
              </w:rPr>
              <w:t>1 Percentage of TRAC-1 earmarking in the previous programming cycle</w:t>
            </w:r>
            <w:r w:rsidRPr="003E4665">
              <w:rPr>
                <w:sz w:val="16"/>
                <w:szCs w:val="16"/>
              </w:rPr>
              <w:br/>
              <w:t xml:space="preserve">    </w:t>
            </w:r>
            <w:r>
              <w:rPr>
                <w:sz w:val="16"/>
                <w:szCs w:val="16"/>
              </w:rPr>
              <w:t xml:space="preserve">    </w:t>
            </w:r>
            <w:r w:rsidR="00A4651E">
              <w:rPr>
                <w:sz w:val="16"/>
                <w:szCs w:val="16"/>
              </w:rPr>
              <w:t xml:space="preserve">     </w:t>
            </w:r>
            <w:r w:rsidRPr="003E4665">
              <w:rPr>
                <w:sz w:val="16"/>
                <w:szCs w:val="16"/>
              </w:rPr>
              <w:t xml:space="preserve">    </w:t>
            </w:r>
            <w:r w:rsidR="003E4665">
              <w:rPr>
                <w:sz w:val="16"/>
                <w:szCs w:val="16"/>
              </w:rPr>
              <w:t xml:space="preserve"> </w:t>
            </w:r>
            <w:r w:rsidRPr="003E4665">
              <w:rPr>
                <w:sz w:val="16"/>
                <w:szCs w:val="16"/>
              </w:rPr>
              <w:t>2 Countries that just made the transition from low-income to middle-income</w:t>
            </w:r>
          </w:p>
          <w:p w14:paraId="74BFF13D" w14:textId="42A4E216" w:rsidR="00454F0F" w:rsidRPr="00D707CE" w:rsidRDefault="00454F0F" w:rsidP="00454F0F">
            <w:pPr>
              <w:pStyle w:val="SingleTxt"/>
              <w:tabs>
                <w:tab w:val="clear" w:pos="1267"/>
                <w:tab w:val="clear" w:pos="1742"/>
                <w:tab w:val="left" w:pos="1170"/>
              </w:tabs>
              <w:ind w:left="1080" w:right="0"/>
              <w:rPr>
                <w:rFonts w:eastAsia="Calibri"/>
                <w:b/>
                <w:lang w:val="en-US"/>
              </w:rPr>
            </w:pPr>
          </w:p>
          <w:p w14:paraId="265A3332" w14:textId="77777777" w:rsidR="00454F0F" w:rsidRPr="0081567E" w:rsidRDefault="00454F0F" w:rsidP="00511232">
            <w:pPr>
              <w:pStyle w:val="SingleTxt"/>
              <w:numPr>
                <w:ilvl w:val="2"/>
                <w:numId w:val="6"/>
              </w:numPr>
              <w:tabs>
                <w:tab w:val="left" w:pos="1080"/>
              </w:tabs>
              <w:spacing w:after="240"/>
              <w:ind w:right="90"/>
            </w:pPr>
            <w:r w:rsidRPr="00BD52A8">
              <w:rPr>
                <w:i/>
                <w:iCs/>
              </w:rPr>
              <w:t>Minimum TRAC-1 allocations</w:t>
            </w:r>
            <w:r w:rsidRPr="00454F0F">
              <w:rPr>
                <w:i/>
                <w:iCs/>
              </w:rPr>
              <w:t xml:space="preserve">: </w:t>
            </w:r>
            <w:r w:rsidRPr="0081567E">
              <w:t xml:space="preserve">Country offices require a minimum amount of working capital to provide an effective and timely support to programme countries in their development efforts in the UNDP areas of focus and to leverage additional resources in support of the Sustainable Development Goals. This is reflected in the minimum TRAC-1 allocation provision according to which each non-NCC office is guaranteed a minimum TRAC-1 allocation. The current </w:t>
            </w:r>
            <w:r w:rsidRPr="0081567E">
              <w:lastRenderedPageBreak/>
              <w:t>minimum allocations, approved by the Executive Board in its decision 2012/28, are listed on the below table.</w:t>
            </w:r>
          </w:p>
          <w:p w14:paraId="52296E33" w14:textId="191A185B" w:rsidR="00454F0F" w:rsidRDefault="00697E65" w:rsidP="00946468">
            <w:pPr>
              <w:pStyle w:val="SingleTxt"/>
              <w:tabs>
                <w:tab w:val="left" w:pos="1080"/>
              </w:tabs>
              <w:spacing w:after="240"/>
              <w:ind w:left="1080" w:right="90"/>
              <w:rPr>
                <w:b/>
                <w:bCs/>
              </w:rPr>
            </w:pPr>
            <w:r w:rsidRPr="003D7B20">
              <w:rPr>
                <w:b/>
                <w:bCs/>
              </w:rPr>
              <w:t>Table 3. Mini</w:t>
            </w:r>
            <w:r w:rsidR="003D7B20" w:rsidRPr="003D7B20">
              <w:rPr>
                <w:b/>
                <w:bCs/>
              </w:rPr>
              <w:t>mum country allocations</w:t>
            </w:r>
          </w:p>
          <w:tbl>
            <w:tblPr>
              <w:tblW w:w="0" w:type="auto"/>
              <w:jc w:val="center"/>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ayout w:type="fixed"/>
              <w:tblLook w:val="04A0" w:firstRow="1" w:lastRow="0" w:firstColumn="1" w:lastColumn="0" w:noHBand="0" w:noVBand="1"/>
            </w:tblPr>
            <w:tblGrid>
              <w:gridCol w:w="4495"/>
              <w:gridCol w:w="1170"/>
              <w:gridCol w:w="1260"/>
            </w:tblGrid>
            <w:tr w:rsidR="00BD0A52" w:rsidRPr="00F32E1F" w14:paraId="7707D17C" w14:textId="77777777" w:rsidTr="00CA4FFF">
              <w:trPr>
                <w:jc w:val="center"/>
              </w:trPr>
              <w:tc>
                <w:tcPr>
                  <w:tcW w:w="4495" w:type="dxa"/>
                  <w:vMerge w:val="restart"/>
                  <w:shd w:val="clear" w:color="auto" w:fill="2F5496" w:themeFill="accent5" w:themeFillShade="BF"/>
                  <w:vAlign w:val="center"/>
                </w:tcPr>
                <w:p w14:paraId="52C388AA" w14:textId="77777777" w:rsidR="00BD0A52" w:rsidRPr="00F32E1F" w:rsidRDefault="00BD0A52" w:rsidP="00946468">
                  <w:pPr>
                    <w:keepNext/>
                    <w:keepLines/>
                    <w:spacing w:after="100" w:afterAutospacing="1"/>
                    <w:ind w:right="90"/>
                    <w:jc w:val="both"/>
                    <w:rPr>
                      <w:sz w:val="20"/>
                      <w:szCs w:val="20"/>
                    </w:rPr>
                  </w:pPr>
                  <w:r w:rsidRPr="00F32E1F">
                    <w:rPr>
                      <w:b/>
                      <w:color w:val="FFFFFF" w:themeColor="background1"/>
                      <w:sz w:val="20"/>
                      <w:szCs w:val="20"/>
                    </w:rPr>
                    <w:t>Income category / LDC status</w:t>
                  </w:r>
                </w:p>
              </w:tc>
              <w:tc>
                <w:tcPr>
                  <w:tcW w:w="2430" w:type="dxa"/>
                  <w:gridSpan w:val="2"/>
                  <w:shd w:val="clear" w:color="auto" w:fill="2F5496" w:themeFill="accent5" w:themeFillShade="BF"/>
                </w:tcPr>
                <w:p w14:paraId="325EB9BA" w14:textId="77777777" w:rsidR="00BD0A52" w:rsidRPr="00F32E1F" w:rsidRDefault="00BD0A52" w:rsidP="00946468">
                  <w:pPr>
                    <w:keepNext/>
                    <w:keepLines/>
                    <w:spacing w:after="100" w:afterAutospacing="1"/>
                    <w:ind w:right="90"/>
                    <w:jc w:val="both"/>
                    <w:rPr>
                      <w:b/>
                      <w:color w:val="FFFFFF" w:themeColor="background1"/>
                      <w:sz w:val="20"/>
                      <w:szCs w:val="20"/>
                    </w:rPr>
                  </w:pPr>
                  <w:r w:rsidRPr="00F32E1F">
                    <w:rPr>
                      <w:b/>
                      <w:color w:val="FFFFFF" w:themeColor="background1"/>
                      <w:sz w:val="20"/>
                      <w:szCs w:val="20"/>
                    </w:rPr>
                    <w:t>Country office presence</w:t>
                  </w:r>
                </w:p>
              </w:tc>
            </w:tr>
            <w:tr w:rsidR="00BD0A52" w:rsidRPr="00F32E1F" w14:paraId="59D58BFD" w14:textId="77777777" w:rsidTr="00CA4FFF">
              <w:trPr>
                <w:jc w:val="center"/>
              </w:trPr>
              <w:tc>
                <w:tcPr>
                  <w:tcW w:w="4495" w:type="dxa"/>
                  <w:vMerge/>
                  <w:shd w:val="clear" w:color="auto" w:fill="2F5496" w:themeFill="accent5" w:themeFillShade="BF"/>
                </w:tcPr>
                <w:p w14:paraId="01FC75BE" w14:textId="77777777" w:rsidR="00BD0A52" w:rsidRPr="00F32E1F" w:rsidRDefault="00BD0A52" w:rsidP="00946468">
                  <w:pPr>
                    <w:keepNext/>
                    <w:keepLines/>
                    <w:spacing w:after="100" w:afterAutospacing="1"/>
                    <w:ind w:right="90"/>
                    <w:jc w:val="both"/>
                    <w:rPr>
                      <w:sz w:val="20"/>
                      <w:szCs w:val="20"/>
                    </w:rPr>
                  </w:pPr>
                </w:p>
              </w:tc>
              <w:tc>
                <w:tcPr>
                  <w:tcW w:w="1170" w:type="dxa"/>
                  <w:shd w:val="clear" w:color="auto" w:fill="2F5496" w:themeFill="accent5" w:themeFillShade="BF"/>
                </w:tcPr>
                <w:p w14:paraId="4D3D9885" w14:textId="77777777" w:rsidR="00BD0A52" w:rsidRPr="00F32E1F" w:rsidRDefault="00BD0A52" w:rsidP="00946468">
                  <w:pPr>
                    <w:keepNext/>
                    <w:keepLines/>
                    <w:spacing w:after="100" w:afterAutospacing="1"/>
                    <w:ind w:right="90"/>
                    <w:jc w:val="both"/>
                    <w:rPr>
                      <w:b/>
                      <w:color w:val="FFFFFF" w:themeColor="background1"/>
                      <w:sz w:val="20"/>
                      <w:szCs w:val="20"/>
                    </w:rPr>
                  </w:pPr>
                  <w:r w:rsidRPr="00F32E1F">
                    <w:rPr>
                      <w:b/>
                      <w:color w:val="FFFFFF" w:themeColor="background1"/>
                      <w:sz w:val="20"/>
                      <w:szCs w:val="20"/>
                    </w:rPr>
                    <w:t>Yes</w:t>
                  </w:r>
                </w:p>
              </w:tc>
              <w:tc>
                <w:tcPr>
                  <w:tcW w:w="1260" w:type="dxa"/>
                  <w:shd w:val="clear" w:color="auto" w:fill="2F5496" w:themeFill="accent5" w:themeFillShade="BF"/>
                </w:tcPr>
                <w:p w14:paraId="4F10FD63" w14:textId="77777777" w:rsidR="00BD0A52" w:rsidRPr="00F32E1F" w:rsidRDefault="00BD0A52" w:rsidP="00946468">
                  <w:pPr>
                    <w:keepNext/>
                    <w:keepLines/>
                    <w:spacing w:after="100" w:afterAutospacing="1"/>
                    <w:ind w:right="90"/>
                    <w:jc w:val="both"/>
                    <w:rPr>
                      <w:b/>
                      <w:color w:val="FFFFFF" w:themeColor="background1"/>
                      <w:sz w:val="20"/>
                      <w:szCs w:val="20"/>
                    </w:rPr>
                  </w:pPr>
                  <w:r w:rsidRPr="00F32E1F">
                    <w:rPr>
                      <w:b/>
                      <w:color w:val="FFFFFF" w:themeColor="background1"/>
                      <w:sz w:val="20"/>
                      <w:szCs w:val="20"/>
                    </w:rPr>
                    <w:t>No</w:t>
                  </w:r>
                </w:p>
              </w:tc>
            </w:tr>
            <w:tr w:rsidR="00BD0A52" w:rsidRPr="007B77C0" w14:paraId="4B86D498" w14:textId="77777777" w:rsidTr="00CA4FFF">
              <w:trPr>
                <w:trHeight w:hRule="exact" w:val="288"/>
                <w:jc w:val="center"/>
              </w:trPr>
              <w:tc>
                <w:tcPr>
                  <w:tcW w:w="4495" w:type="dxa"/>
                  <w:vAlign w:val="center"/>
                </w:tcPr>
                <w:p w14:paraId="70685E9F" w14:textId="77777777" w:rsidR="00BD0A52" w:rsidRPr="00F32E1F" w:rsidRDefault="00BD0A52" w:rsidP="00946468">
                  <w:pPr>
                    <w:keepNext/>
                    <w:keepLines/>
                    <w:spacing w:after="100" w:afterAutospacing="1"/>
                    <w:ind w:right="90"/>
                    <w:jc w:val="both"/>
                    <w:rPr>
                      <w:sz w:val="20"/>
                      <w:szCs w:val="22"/>
                    </w:rPr>
                  </w:pPr>
                  <w:r w:rsidRPr="00F32E1F">
                    <w:rPr>
                      <w:sz w:val="20"/>
                      <w:szCs w:val="22"/>
                    </w:rPr>
                    <w:t>Transitional middle-income/low-income/LDC</w:t>
                  </w:r>
                </w:p>
              </w:tc>
              <w:tc>
                <w:tcPr>
                  <w:tcW w:w="1170" w:type="dxa"/>
                  <w:vAlign w:val="center"/>
                </w:tcPr>
                <w:p w14:paraId="6F02E14F" w14:textId="77777777" w:rsidR="00BD0A52" w:rsidRPr="00F32E1F" w:rsidRDefault="00BD0A52" w:rsidP="00946468">
                  <w:pPr>
                    <w:keepNext/>
                    <w:keepLines/>
                    <w:spacing w:after="100" w:afterAutospacing="1"/>
                    <w:ind w:right="90"/>
                    <w:jc w:val="both"/>
                    <w:rPr>
                      <w:sz w:val="20"/>
                      <w:szCs w:val="22"/>
                    </w:rPr>
                  </w:pPr>
                  <w:r w:rsidRPr="00F32E1F">
                    <w:rPr>
                      <w:sz w:val="20"/>
                      <w:szCs w:val="22"/>
                    </w:rPr>
                    <w:t>$450,000</w:t>
                  </w:r>
                </w:p>
              </w:tc>
              <w:tc>
                <w:tcPr>
                  <w:tcW w:w="1260" w:type="dxa"/>
                  <w:vAlign w:val="center"/>
                </w:tcPr>
                <w:p w14:paraId="5C8A9519" w14:textId="77777777" w:rsidR="00BD0A52" w:rsidRPr="00F32E1F" w:rsidRDefault="00BD0A52" w:rsidP="00946468">
                  <w:pPr>
                    <w:keepNext/>
                    <w:keepLines/>
                    <w:spacing w:after="100" w:afterAutospacing="1"/>
                    <w:ind w:right="90"/>
                    <w:jc w:val="both"/>
                    <w:rPr>
                      <w:sz w:val="20"/>
                      <w:szCs w:val="22"/>
                    </w:rPr>
                  </w:pPr>
                  <w:r w:rsidRPr="00F32E1F">
                    <w:rPr>
                      <w:sz w:val="20"/>
                      <w:szCs w:val="22"/>
                    </w:rPr>
                    <w:t>$50,000</w:t>
                  </w:r>
                </w:p>
              </w:tc>
            </w:tr>
            <w:tr w:rsidR="00BD0A52" w:rsidRPr="007B77C0" w14:paraId="094B8BBC" w14:textId="77777777" w:rsidTr="00CA4FFF">
              <w:trPr>
                <w:trHeight w:hRule="exact" w:val="288"/>
                <w:jc w:val="center"/>
              </w:trPr>
              <w:tc>
                <w:tcPr>
                  <w:tcW w:w="4495" w:type="dxa"/>
                  <w:vAlign w:val="center"/>
                </w:tcPr>
                <w:p w14:paraId="0E96B65F" w14:textId="77777777" w:rsidR="00BD0A52" w:rsidRPr="007B77C0" w:rsidRDefault="00BD0A52" w:rsidP="00946468">
                  <w:pPr>
                    <w:keepNext/>
                    <w:keepLines/>
                    <w:spacing w:after="100" w:afterAutospacing="1"/>
                    <w:ind w:right="90"/>
                    <w:jc w:val="both"/>
                  </w:pPr>
                  <w:r>
                    <w:rPr>
                      <w:iCs/>
                      <w:sz w:val="20"/>
                      <w:szCs w:val="20"/>
                    </w:rPr>
                    <w:t>M</w:t>
                  </w:r>
                  <w:r w:rsidRPr="00C34294">
                    <w:rPr>
                      <w:iCs/>
                      <w:sz w:val="20"/>
                      <w:szCs w:val="20"/>
                    </w:rPr>
                    <w:t>iddle</w:t>
                  </w:r>
                  <w:r>
                    <w:rPr>
                      <w:iCs/>
                      <w:sz w:val="20"/>
                      <w:szCs w:val="20"/>
                    </w:rPr>
                    <w:t>-</w:t>
                  </w:r>
                  <w:r w:rsidRPr="00C34294">
                    <w:rPr>
                      <w:iCs/>
                      <w:sz w:val="20"/>
                      <w:szCs w:val="20"/>
                    </w:rPr>
                    <w:t>income</w:t>
                  </w:r>
                  <w:r>
                    <w:rPr>
                      <w:iCs/>
                      <w:sz w:val="20"/>
                      <w:szCs w:val="20"/>
                    </w:rPr>
                    <w:t xml:space="preserve"> </w:t>
                  </w:r>
                  <w:r w:rsidRPr="00C475CD">
                    <w:rPr>
                      <w:iCs/>
                      <w:sz w:val="16"/>
                      <w:szCs w:val="16"/>
                    </w:rPr>
                    <w:t xml:space="preserve">with GNI/capita </w:t>
                  </w:r>
                  <w:r>
                    <w:rPr>
                      <w:iCs/>
                      <w:sz w:val="16"/>
                      <w:szCs w:val="16"/>
                    </w:rPr>
                    <w:t>below</w:t>
                  </w:r>
                  <w:r w:rsidRPr="00C475CD">
                    <w:rPr>
                      <w:iCs/>
                      <w:sz w:val="16"/>
                      <w:szCs w:val="16"/>
                    </w:rPr>
                    <w:t xml:space="preserve"> $6,692</w:t>
                  </w:r>
                </w:p>
              </w:tc>
              <w:tc>
                <w:tcPr>
                  <w:tcW w:w="1170" w:type="dxa"/>
                  <w:vAlign w:val="center"/>
                </w:tcPr>
                <w:p w14:paraId="46DF043F" w14:textId="77777777" w:rsidR="00BD0A52" w:rsidRPr="00F32E1F" w:rsidRDefault="00BD0A52" w:rsidP="00946468">
                  <w:pPr>
                    <w:keepNext/>
                    <w:keepLines/>
                    <w:spacing w:after="100" w:afterAutospacing="1"/>
                    <w:ind w:right="90"/>
                    <w:jc w:val="both"/>
                    <w:rPr>
                      <w:sz w:val="20"/>
                      <w:szCs w:val="22"/>
                    </w:rPr>
                  </w:pPr>
                  <w:r w:rsidRPr="00F32E1F">
                    <w:rPr>
                      <w:sz w:val="20"/>
                      <w:szCs w:val="22"/>
                    </w:rPr>
                    <w:t>$350,000</w:t>
                  </w:r>
                </w:p>
              </w:tc>
              <w:tc>
                <w:tcPr>
                  <w:tcW w:w="1260" w:type="dxa"/>
                  <w:vAlign w:val="center"/>
                </w:tcPr>
                <w:p w14:paraId="74B2C564" w14:textId="77777777" w:rsidR="00BD0A52" w:rsidRPr="00F32E1F" w:rsidRDefault="00BD0A52" w:rsidP="00946468">
                  <w:pPr>
                    <w:keepNext/>
                    <w:keepLines/>
                    <w:spacing w:after="100" w:afterAutospacing="1"/>
                    <w:ind w:right="90"/>
                    <w:jc w:val="both"/>
                    <w:rPr>
                      <w:sz w:val="20"/>
                      <w:szCs w:val="22"/>
                    </w:rPr>
                  </w:pPr>
                  <w:r w:rsidRPr="00F32E1F">
                    <w:rPr>
                      <w:sz w:val="20"/>
                      <w:szCs w:val="22"/>
                    </w:rPr>
                    <w:t>$50,000</w:t>
                  </w:r>
                </w:p>
              </w:tc>
            </w:tr>
            <w:tr w:rsidR="00BD0A52" w:rsidRPr="007B77C0" w14:paraId="362CB214" w14:textId="77777777" w:rsidTr="00CA4FFF">
              <w:trPr>
                <w:trHeight w:hRule="exact" w:val="288"/>
                <w:jc w:val="center"/>
              </w:trPr>
              <w:tc>
                <w:tcPr>
                  <w:tcW w:w="4495" w:type="dxa"/>
                  <w:vAlign w:val="center"/>
                </w:tcPr>
                <w:p w14:paraId="323C6F42" w14:textId="77777777" w:rsidR="00BD0A52" w:rsidRPr="007B77C0" w:rsidRDefault="00BD0A52" w:rsidP="00946468">
                  <w:pPr>
                    <w:keepNext/>
                    <w:keepLines/>
                    <w:spacing w:after="100" w:afterAutospacing="1"/>
                    <w:ind w:right="90"/>
                    <w:jc w:val="both"/>
                  </w:pPr>
                  <w:r>
                    <w:rPr>
                      <w:iCs/>
                      <w:sz w:val="20"/>
                      <w:szCs w:val="20"/>
                    </w:rPr>
                    <w:t>M</w:t>
                  </w:r>
                  <w:r w:rsidRPr="00C34294">
                    <w:rPr>
                      <w:iCs/>
                      <w:sz w:val="20"/>
                      <w:szCs w:val="20"/>
                    </w:rPr>
                    <w:t>iddle</w:t>
                  </w:r>
                  <w:r>
                    <w:rPr>
                      <w:iCs/>
                      <w:sz w:val="20"/>
                      <w:szCs w:val="20"/>
                    </w:rPr>
                    <w:t>-</w:t>
                  </w:r>
                  <w:r w:rsidRPr="00C34294">
                    <w:rPr>
                      <w:iCs/>
                      <w:sz w:val="20"/>
                      <w:szCs w:val="20"/>
                    </w:rPr>
                    <w:t>income</w:t>
                  </w:r>
                  <w:r>
                    <w:rPr>
                      <w:iCs/>
                      <w:sz w:val="20"/>
                      <w:szCs w:val="20"/>
                    </w:rPr>
                    <w:t xml:space="preserve"> </w:t>
                  </w:r>
                  <w:r w:rsidRPr="00C475CD">
                    <w:rPr>
                      <w:iCs/>
                      <w:sz w:val="16"/>
                      <w:szCs w:val="16"/>
                    </w:rPr>
                    <w:t xml:space="preserve">with GNI/capita </w:t>
                  </w:r>
                  <w:r>
                    <w:rPr>
                      <w:iCs/>
                      <w:sz w:val="16"/>
                      <w:szCs w:val="16"/>
                    </w:rPr>
                    <w:t>above</w:t>
                  </w:r>
                  <w:r w:rsidRPr="00C475CD">
                    <w:rPr>
                      <w:iCs/>
                      <w:sz w:val="16"/>
                      <w:szCs w:val="16"/>
                    </w:rPr>
                    <w:t xml:space="preserve"> $6,692</w:t>
                  </w:r>
                  <w:r>
                    <w:rPr>
                      <w:vertAlign w:val="superscript"/>
                    </w:rPr>
                    <w:t>1</w:t>
                  </w:r>
                </w:p>
              </w:tc>
              <w:tc>
                <w:tcPr>
                  <w:tcW w:w="1170" w:type="dxa"/>
                  <w:vAlign w:val="center"/>
                </w:tcPr>
                <w:p w14:paraId="53850726" w14:textId="77777777" w:rsidR="00BD0A52" w:rsidRPr="00F32E1F" w:rsidRDefault="00BD0A52" w:rsidP="00946468">
                  <w:pPr>
                    <w:keepNext/>
                    <w:keepLines/>
                    <w:spacing w:after="100" w:afterAutospacing="1"/>
                    <w:ind w:right="90"/>
                    <w:jc w:val="both"/>
                    <w:rPr>
                      <w:sz w:val="20"/>
                      <w:szCs w:val="22"/>
                    </w:rPr>
                  </w:pPr>
                  <w:r w:rsidRPr="00F32E1F">
                    <w:rPr>
                      <w:sz w:val="20"/>
                      <w:szCs w:val="22"/>
                    </w:rPr>
                    <w:t>$150,000</w:t>
                  </w:r>
                </w:p>
              </w:tc>
              <w:tc>
                <w:tcPr>
                  <w:tcW w:w="1260" w:type="dxa"/>
                  <w:vAlign w:val="center"/>
                </w:tcPr>
                <w:p w14:paraId="31702448" w14:textId="77777777" w:rsidR="00BD0A52" w:rsidRPr="00F32E1F" w:rsidRDefault="00BD0A52" w:rsidP="00946468">
                  <w:pPr>
                    <w:keepNext/>
                    <w:keepLines/>
                    <w:spacing w:after="100" w:afterAutospacing="1"/>
                    <w:ind w:right="90"/>
                    <w:jc w:val="both"/>
                    <w:rPr>
                      <w:sz w:val="20"/>
                      <w:szCs w:val="22"/>
                    </w:rPr>
                  </w:pPr>
                  <w:r w:rsidRPr="00F32E1F">
                    <w:rPr>
                      <w:sz w:val="20"/>
                      <w:szCs w:val="22"/>
                    </w:rPr>
                    <w:t>$50,000</w:t>
                  </w:r>
                </w:p>
              </w:tc>
            </w:tr>
          </w:tbl>
          <w:p w14:paraId="535B2E26" w14:textId="77777777" w:rsidR="00DA1B93" w:rsidRDefault="00DA1B93" w:rsidP="003E4665">
            <w:pPr>
              <w:spacing w:before="120" w:after="160"/>
              <w:ind w:left="1152" w:right="1152"/>
              <w:jc w:val="both"/>
            </w:pPr>
            <w:r>
              <w:rPr>
                <w:rFonts w:eastAsia="Times New Roman"/>
                <w:spacing w:val="4"/>
                <w:w w:val="103"/>
                <w:kern w:val="14"/>
                <w:sz w:val="18"/>
                <w:szCs w:val="18"/>
                <w:lang w:val="en-GB" w:eastAsia="en-US"/>
              </w:rPr>
              <w:t xml:space="preserve">1 </w:t>
            </w:r>
            <w:r w:rsidRPr="003E4665">
              <w:rPr>
                <w:rFonts w:eastAsia="Times New Roman"/>
                <w:spacing w:val="4"/>
                <w:w w:val="103"/>
                <w:kern w:val="14"/>
                <w:sz w:val="16"/>
                <w:szCs w:val="16"/>
                <w:lang w:val="en-GB" w:eastAsia="en-US"/>
              </w:rPr>
              <w:t>Middle-income countries with GNI/capita above $6,692 receive a fixed allocation of $150,000 ($50,000 if there is no country office presence).</w:t>
            </w:r>
          </w:p>
          <w:p w14:paraId="53FB9569" w14:textId="77777777" w:rsidR="008F6B12" w:rsidRDefault="008F6B12" w:rsidP="007A3635">
            <w:pPr>
              <w:pStyle w:val="SingleTxt"/>
              <w:tabs>
                <w:tab w:val="clear" w:pos="1267"/>
                <w:tab w:val="clear" w:pos="1742"/>
                <w:tab w:val="left" w:pos="1170"/>
              </w:tabs>
              <w:ind w:left="360" w:right="0"/>
              <w:rPr>
                <w:rFonts w:eastAsia="MS Mincho"/>
                <w:spacing w:val="0"/>
                <w:w w:val="100"/>
                <w:kern w:val="0"/>
                <w:lang w:val="en-US" w:eastAsia="ja-JP"/>
              </w:rPr>
            </w:pPr>
          </w:p>
          <w:p w14:paraId="349061BD" w14:textId="345C4CD0" w:rsidR="00B95A86" w:rsidRPr="00F472DC" w:rsidRDefault="00B95A86" w:rsidP="00511232">
            <w:pPr>
              <w:pStyle w:val="SingleTxt"/>
              <w:numPr>
                <w:ilvl w:val="0"/>
                <w:numId w:val="6"/>
              </w:numPr>
              <w:tabs>
                <w:tab w:val="clear" w:pos="1267"/>
                <w:tab w:val="clear" w:pos="1742"/>
                <w:tab w:val="left" w:pos="1170"/>
              </w:tabs>
              <w:ind w:right="0"/>
              <w:rPr>
                <w:rFonts w:eastAsia="MS Mincho"/>
                <w:spacing w:val="0"/>
                <w:w w:val="100"/>
                <w:kern w:val="0"/>
                <w:lang w:val="en-US" w:eastAsia="ja-JP"/>
              </w:rPr>
            </w:pPr>
            <w:r w:rsidRPr="00F472DC">
              <w:rPr>
                <w:rFonts w:eastAsia="MS Mincho"/>
                <w:spacing w:val="0"/>
                <w:w w:val="100"/>
                <w:kern w:val="0"/>
                <w:lang w:val="en-US" w:eastAsia="ja-JP"/>
              </w:rPr>
              <w:t xml:space="preserve">The following considerations are also </w:t>
            </w:r>
            <w:proofErr w:type="gramStart"/>
            <w:r w:rsidRPr="00F472DC">
              <w:rPr>
                <w:rFonts w:eastAsia="MS Mincho"/>
                <w:spacing w:val="0"/>
                <w:w w:val="100"/>
                <w:kern w:val="0"/>
                <w:lang w:val="en-US" w:eastAsia="ja-JP"/>
              </w:rPr>
              <w:t>taken into account</w:t>
            </w:r>
            <w:proofErr w:type="gramEnd"/>
            <w:r w:rsidRPr="00F472DC">
              <w:rPr>
                <w:rFonts w:eastAsia="MS Mincho"/>
                <w:spacing w:val="0"/>
                <w:w w:val="100"/>
                <w:kern w:val="0"/>
                <w:lang w:val="en-US" w:eastAsia="ja-JP"/>
              </w:rPr>
              <w:t>:</w:t>
            </w:r>
          </w:p>
          <w:p w14:paraId="22026C46" w14:textId="66DD5B6D" w:rsidR="00B95A86" w:rsidRPr="0007356B" w:rsidRDefault="00B95A86" w:rsidP="002E0935">
            <w:pPr>
              <w:pStyle w:val="ListParagraph"/>
              <w:numPr>
                <w:ilvl w:val="1"/>
                <w:numId w:val="6"/>
              </w:numPr>
              <w:spacing w:after="160" w:line="259" w:lineRule="auto"/>
              <w:jc w:val="both"/>
              <w:rPr>
                <w:b/>
                <w:bCs/>
                <w:snapToGrid w:val="0"/>
                <w:sz w:val="20"/>
                <w:szCs w:val="20"/>
              </w:rPr>
            </w:pPr>
            <w:r w:rsidRPr="002E0935">
              <w:rPr>
                <w:rFonts w:eastAsia="Calibri"/>
                <w:color w:val="212121"/>
                <w:sz w:val="20"/>
                <w:szCs w:val="20"/>
              </w:rPr>
              <w:t xml:space="preserve">The transparency, general </w:t>
            </w:r>
            <w:r w:rsidRPr="0007356B">
              <w:rPr>
                <w:snapToGrid w:val="0"/>
                <w:sz w:val="20"/>
                <w:szCs w:val="20"/>
              </w:rPr>
              <w:t>acceptability, reliability, consistency and availability of the data used in the distribution model have been key factors in the continuous use of GNI per capita and population data as the main criteria on which the methodology is based;</w:t>
            </w:r>
          </w:p>
          <w:p w14:paraId="7FA48DB5" w14:textId="77777777" w:rsidR="002E0935" w:rsidRPr="002E0935" w:rsidRDefault="002E0935" w:rsidP="002E0935">
            <w:pPr>
              <w:pStyle w:val="ListParagraph"/>
              <w:spacing w:after="160" w:line="259" w:lineRule="auto"/>
              <w:jc w:val="both"/>
              <w:rPr>
                <w:rFonts w:eastAsia="Calibri"/>
                <w:color w:val="212121"/>
                <w:sz w:val="20"/>
                <w:szCs w:val="20"/>
              </w:rPr>
            </w:pPr>
          </w:p>
          <w:p w14:paraId="52008063" w14:textId="77777777" w:rsidR="00B95A86" w:rsidRPr="0007356B" w:rsidRDefault="00B95A86" w:rsidP="002E0935">
            <w:pPr>
              <w:pStyle w:val="ListParagraph"/>
              <w:numPr>
                <w:ilvl w:val="1"/>
                <w:numId w:val="6"/>
              </w:numPr>
              <w:spacing w:after="160" w:line="259" w:lineRule="auto"/>
              <w:jc w:val="both"/>
              <w:rPr>
                <w:b/>
                <w:bCs/>
                <w:snapToGrid w:val="0"/>
                <w:sz w:val="20"/>
                <w:szCs w:val="20"/>
              </w:rPr>
            </w:pPr>
            <w:r w:rsidRPr="002E0935">
              <w:rPr>
                <w:rFonts w:eastAsia="Calibri"/>
                <w:color w:val="212121"/>
                <w:sz w:val="20"/>
                <w:szCs w:val="20"/>
              </w:rPr>
              <w:t>The universal nature of UNDP operations is reflected in special arrangements for higher-income countries. Once a certain graduating level is achieved, they can continue to participate in UNDP programmes as net contributor countries;</w:t>
            </w:r>
          </w:p>
          <w:p w14:paraId="03B4A4E2" w14:textId="77777777" w:rsidR="00B95A86" w:rsidRPr="00237A45" w:rsidRDefault="00B95A86" w:rsidP="00946468">
            <w:pPr>
              <w:tabs>
                <w:tab w:val="left" w:pos="1260"/>
              </w:tabs>
              <w:jc w:val="both"/>
              <w:rPr>
                <w:snapToGrid w:val="0"/>
              </w:rPr>
            </w:pPr>
          </w:p>
          <w:p w14:paraId="44262BDD" w14:textId="1DEBDA78" w:rsidR="00B95A86" w:rsidRPr="006C7898" w:rsidRDefault="00B95A86" w:rsidP="00511232">
            <w:pPr>
              <w:pStyle w:val="SingleTxt"/>
              <w:numPr>
                <w:ilvl w:val="0"/>
                <w:numId w:val="6"/>
              </w:numPr>
              <w:tabs>
                <w:tab w:val="clear" w:pos="1267"/>
                <w:tab w:val="clear" w:pos="1742"/>
                <w:tab w:val="left" w:pos="1170"/>
              </w:tabs>
              <w:ind w:right="0"/>
              <w:rPr>
                <w:rFonts w:eastAsia="MS Mincho"/>
                <w:spacing w:val="0"/>
                <w:w w:val="100"/>
                <w:kern w:val="0"/>
                <w:lang w:val="en-US" w:eastAsia="ja-JP"/>
              </w:rPr>
            </w:pPr>
            <w:r w:rsidRPr="006C7898">
              <w:rPr>
                <w:rFonts w:eastAsia="MS Mincho"/>
                <w:spacing w:val="0"/>
                <w:w w:val="100"/>
                <w:kern w:val="0"/>
                <w:lang w:val="en-US" w:eastAsia="ja-JP"/>
              </w:rPr>
              <w:t xml:space="preserve">The Executive Board </w:t>
            </w:r>
            <w:r w:rsidR="00960911" w:rsidRPr="006C7898">
              <w:rPr>
                <w:rFonts w:eastAsia="MS Mincho"/>
                <w:spacing w:val="0"/>
                <w:w w:val="100"/>
                <w:kern w:val="0"/>
                <w:lang w:val="en-US" w:eastAsia="ja-JP"/>
              </w:rPr>
              <w:t xml:space="preserve">established </w:t>
            </w:r>
            <w:r w:rsidRPr="006C7898">
              <w:rPr>
                <w:rFonts w:eastAsia="MS Mincho"/>
                <w:spacing w:val="0"/>
                <w:w w:val="100"/>
                <w:kern w:val="0"/>
                <w:lang w:val="en-US" w:eastAsia="ja-JP"/>
              </w:rPr>
              <w:t>in decision 2012/28 that there would be a system of biennial updates. In this regard, a four-year approach for GNI per capita averaging will be applied, with the average GNI per capita of the years 201</w:t>
            </w:r>
            <w:r w:rsidR="00663289" w:rsidRPr="006C7898">
              <w:rPr>
                <w:rFonts w:eastAsia="MS Mincho"/>
                <w:spacing w:val="0"/>
                <w:w w:val="100"/>
                <w:kern w:val="0"/>
                <w:lang w:val="en-US" w:eastAsia="ja-JP"/>
              </w:rPr>
              <w:t>6</w:t>
            </w:r>
            <w:r w:rsidRPr="006C7898">
              <w:rPr>
                <w:rFonts w:eastAsia="MS Mincho"/>
                <w:spacing w:val="0"/>
                <w:w w:val="100"/>
                <w:kern w:val="0"/>
                <w:lang w:val="en-US" w:eastAsia="ja-JP"/>
              </w:rPr>
              <w:t>-201</w:t>
            </w:r>
            <w:r w:rsidR="00663289" w:rsidRPr="006C7898">
              <w:rPr>
                <w:rFonts w:eastAsia="MS Mincho"/>
                <w:spacing w:val="0"/>
                <w:w w:val="100"/>
                <w:kern w:val="0"/>
                <w:lang w:val="en-US" w:eastAsia="ja-JP"/>
              </w:rPr>
              <w:t>9</w:t>
            </w:r>
            <w:r w:rsidRPr="006C7898">
              <w:rPr>
                <w:rFonts w:eastAsia="MS Mincho"/>
                <w:spacing w:val="0"/>
                <w:w w:val="100"/>
                <w:kern w:val="0"/>
                <w:lang w:val="en-US" w:eastAsia="ja-JP"/>
              </w:rPr>
              <w:t xml:space="preserve"> applied to the first two years of the </w:t>
            </w:r>
            <w:r w:rsidR="00385016" w:rsidRPr="006C7898">
              <w:rPr>
                <w:rFonts w:eastAsia="MS Mincho"/>
                <w:spacing w:val="0"/>
                <w:w w:val="100"/>
                <w:kern w:val="0"/>
                <w:lang w:val="en-US" w:eastAsia="ja-JP"/>
              </w:rPr>
              <w:t>I</w:t>
            </w:r>
            <w:r w:rsidRPr="006C7898">
              <w:rPr>
                <w:rFonts w:eastAsia="MS Mincho"/>
                <w:spacing w:val="0"/>
                <w:w w:val="100"/>
                <w:kern w:val="0"/>
                <w:lang w:val="en-US" w:eastAsia="ja-JP"/>
              </w:rPr>
              <w:t xml:space="preserve">ntegrated </w:t>
            </w:r>
            <w:r w:rsidR="00385016" w:rsidRPr="006C7898">
              <w:rPr>
                <w:rFonts w:eastAsia="MS Mincho"/>
                <w:spacing w:val="0"/>
                <w:w w:val="100"/>
                <w:kern w:val="0"/>
                <w:lang w:val="en-US" w:eastAsia="ja-JP"/>
              </w:rPr>
              <w:t>B</w:t>
            </w:r>
            <w:r w:rsidRPr="006C7898">
              <w:rPr>
                <w:rFonts w:eastAsia="MS Mincho"/>
                <w:spacing w:val="0"/>
                <w:w w:val="100"/>
                <w:kern w:val="0"/>
                <w:lang w:val="en-US" w:eastAsia="ja-JP"/>
              </w:rPr>
              <w:t>udget, 20</w:t>
            </w:r>
            <w:r w:rsidR="00663289" w:rsidRPr="006C7898">
              <w:rPr>
                <w:rFonts w:eastAsia="MS Mincho"/>
                <w:spacing w:val="0"/>
                <w:w w:val="100"/>
                <w:kern w:val="0"/>
                <w:lang w:val="en-US" w:eastAsia="ja-JP"/>
              </w:rPr>
              <w:t>22</w:t>
            </w:r>
            <w:r w:rsidRPr="006C7898">
              <w:rPr>
                <w:rFonts w:eastAsia="MS Mincho"/>
                <w:spacing w:val="0"/>
                <w:w w:val="100"/>
                <w:kern w:val="0"/>
                <w:lang w:val="en-US" w:eastAsia="ja-JP"/>
              </w:rPr>
              <w:t>-20</w:t>
            </w:r>
            <w:r w:rsidR="00663289" w:rsidRPr="006C7898">
              <w:rPr>
                <w:rFonts w:eastAsia="MS Mincho"/>
                <w:spacing w:val="0"/>
                <w:w w:val="100"/>
                <w:kern w:val="0"/>
                <w:lang w:val="en-US" w:eastAsia="ja-JP"/>
              </w:rPr>
              <w:t>23</w:t>
            </w:r>
            <w:r w:rsidRPr="006C7898">
              <w:rPr>
                <w:rFonts w:eastAsia="MS Mincho"/>
                <w:spacing w:val="0"/>
                <w:w w:val="100"/>
                <w:kern w:val="0"/>
                <w:lang w:val="en-US" w:eastAsia="ja-JP"/>
              </w:rPr>
              <w:t>, and the average GNI per capita of the years 201</w:t>
            </w:r>
            <w:r w:rsidR="00663289" w:rsidRPr="006C7898">
              <w:rPr>
                <w:rFonts w:eastAsia="MS Mincho"/>
                <w:spacing w:val="0"/>
                <w:w w:val="100"/>
                <w:kern w:val="0"/>
                <w:lang w:val="en-US" w:eastAsia="ja-JP"/>
              </w:rPr>
              <w:t>8</w:t>
            </w:r>
            <w:r w:rsidRPr="006C7898">
              <w:rPr>
                <w:rFonts w:eastAsia="MS Mincho"/>
                <w:spacing w:val="0"/>
                <w:w w:val="100"/>
                <w:kern w:val="0"/>
                <w:lang w:val="en-US" w:eastAsia="ja-JP"/>
              </w:rPr>
              <w:t>-20</w:t>
            </w:r>
            <w:r w:rsidR="00663289" w:rsidRPr="006C7898">
              <w:rPr>
                <w:rFonts w:eastAsia="MS Mincho"/>
                <w:spacing w:val="0"/>
                <w:w w:val="100"/>
                <w:kern w:val="0"/>
                <w:lang w:val="en-US" w:eastAsia="ja-JP"/>
              </w:rPr>
              <w:t>21</w:t>
            </w:r>
            <w:r w:rsidRPr="006C7898">
              <w:rPr>
                <w:rFonts w:eastAsia="MS Mincho"/>
                <w:spacing w:val="0"/>
                <w:w w:val="100"/>
                <w:kern w:val="0"/>
                <w:lang w:val="en-US" w:eastAsia="ja-JP"/>
              </w:rPr>
              <w:t xml:space="preserve"> applied to the last two years of the </w:t>
            </w:r>
            <w:r w:rsidR="00385016" w:rsidRPr="006C7898">
              <w:rPr>
                <w:rFonts w:eastAsia="MS Mincho"/>
                <w:spacing w:val="0"/>
                <w:w w:val="100"/>
                <w:kern w:val="0"/>
                <w:lang w:val="en-US" w:eastAsia="ja-JP"/>
              </w:rPr>
              <w:t>I</w:t>
            </w:r>
            <w:r w:rsidRPr="006C7898">
              <w:rPr>
                <w:rFonts w:eastAsia="MS Mincho"/>
                <w:spacing w:val="0"/>
                <w:w w:val="100"/>
                <w:kern w:val="0"/>
                <w:lang w:val="en-US" w:eastAsia="ja-JP"/>
              </w:rPr>
              <w:t xml:space="preserve">ntegrated </w:t>
            </w:r>
            <w:r w:rsidR="00385016" w:rsidRPr="006C7898">
              <w:rPr>
                <w:rFonts w:eastAsia="MS Mincho"/>
                <w:spacing w:val="0"/>
                <w:w w:val="100"/>
                <w:kern w:val="0"/>
                <w:lang w:val="en-US" w:eastAsia="ja-JP"/>
              </w:rPr>
              <w:t>B</w:t>
            </w:r>
            <w:r w:rsidRPr="006C7898">
              <w:rPr>
                <w:rFonts w:eastAsia="MS Mincho"/>
                <w:spacing w:val="0"/>
                <w:w w:val="100"/>
                <w:kern w:val="0"/>
                <w:lang w:val="en-US" w:eastAsia="ja-JP"/>
              </w:rPr>
              <w:t>udget, 202</w:t>
            </w:r>
            <w:r w:rsidR="00663289" w:rsidRPr="006C7898">
              <w:rPr>
                <w:rFonts w:eastAsia="MS Mincho"/>
                <w:spacing w:val="0"/>
                <w:w w:val="100"/>
                <w:kern w:val="0"/>
                <w:lang w:val="en-US" w:eastAsia="ja-JP"/>
              </w:rPr>
              <w:t>4</w:t>
            </w:r>
            <w:r w:rsidRPr="006C7898">
              <w:rPr>
                <w:rFonts w:eastAsia="MS Mincho"/>
                <w:spacing w:val="0"/>
                <w:w w:val="100"/>
                <w:kern w:val="0"/>
                <w:lang w:val="en-US" w:eastAsia="ja-JP"/>
              </w:rPr>
              <w:t>-202</w:t>
            </w:r>
            <w:r w:rsidR="00663289" w:rsidRPr="006C7898">
              <w:rPr>
                <w:rFonts w:eastAsia="MS Mincho"/>
                <w:spacing w:val="0"/>
                <w:w w:val="100"/>
                <w:kern w:val="0"/>
                <w:lang w:val="en-US" w:eastAsia="ja-JP"/>
              </w:rPr>
              <w:t>5</w:t>
            </w:r>
            <w:r w:rsidRPr="006C7898">
              <w:rPr>
                <w:rFonts w:eastAsia="MS Mincho"/>
                <w:spacing w:val="0"/>
                <w:w w:val="100"/>
                <w:kern w:val="0"/>
                <w:lang w:val="en-US" w:eastAsia="ja-JP"/>
              </w:rPr>
              <w:t>.</w:t>
            </w:r>
          </w:p>
          <w:p w14:paraId="0FD94442" w14:textId="77777777" w:rsidR="00663289" w:rsidRPr="008C7224" w:rsidRDefault="00663289" w:rsidP="00663289">
            <w:pPr>
              <w:pStyle w:val="SingleTxt"/>
              <w:tabs>
                <w:tab w:val="clear" w:pos="1267"/>
                <w:tab w:val="clear" w:pos="1742"/>
                <w:tab w:val="left" w:pos="1170"/>
              </w:tabs>
              <w:ind w:left="360" w:right="0"/>
              <w:rPr>
                <w:rFonts w:eastAsia="MS Mincho"/>
                <w:spacing w:val="0"/>
                <w:w w:val="100"/>
                <w:kern w:val="0"/>
                <w:lang w:val="en-US" w:eastAsia="ja-JP"/>
              </w:rPr>
            </w:pPr>
          </w:p>
          <w:p w14:paraId="076D8998" w14:textId="77777777" w:rsidR="00B95A86" w:rsidRPr="008C7224" w:rsidRDefault="00B95A86" w:rsidP="00511232">
            <w:pPr>
              <w:pStyle w:val="SingleTxt"/>
              <w:numPr>
                <w:ilvl w:val="0"/>
                <w:numId w:val="6"/>
              </w:numPr>
              <w:tabs>
                <w:tab w:val="clear" w:pos="1267"/>
                <w:tab w:val="clear" w:pos="1742"/>
                <w:tab w:val="left" w:pos="1170"/>
              </w:tabs>
              <w:ind w:right="0"/>
              <w:rPr>
                <w:rFonts w:eastAsia="MS Mincho"/>
                <w:spacing w:val="0"/>
                <w:w w:val="100"/>
                <w:kern w:val="0"/>
                <w:lang w:val="en-US" w:eastAsia="ja-JP"/>
              </w:rPr>
            </w:pPr>
            <w:r w:rsidRPr="008C7224">
              <w:rPr>
                <w:rFonts w:eastAsia="MS Mincho"/>
                <w:spacing w:val="0"/>
                <w:w w:val="100"/>
                <w:kern w:val="0"/>
                <w:lang w:val="en-US" w:eastAsia="ja-JP"/>
              </w:rPr>
              <w:t>The biennial updates will affect only two groups of countries:</w:t>
            </w:r>
          </w:p>
          <w:p w14:paraId="104443AB" w14:textId="57D45A18" w:rsidR="00B95A86" w:rsidRPr="004E54BF" w:rsidRDefault="00B95A86" w:rsidP="002E0935">
            <w:pPr>
              <w:pStyle w:val="ListParagraph"/>
              <w:numPr>
                <w:ilvl w:val="1"/>
                <w:numId w:val="6"/>
              </w:numPr>
              <w:spacing w:after="160" w:line="259" w:lineRule="auto"/>
              <w:jc w:val="both"/>
              <w:rPr>
                <w:b/>
                <w:bCs/>
                <w:snapToGrid w:val="0"/>
                <w:sz w:val="20"/>
                <w:szCs w:val="20"/>
              </w:rPr>
            </w:pPr>
            <w:r w:rsidRPr="002E0935">
              <w:rPr>
                <w:rFonts w:eastAsia="Calibri"/>
                <w:color w:val="212121"/>
                <w:sz w:val="20"/>
                <w:szCs w:val="20"/>
              </w:rPr>
              <w:t>MICs during 20</w:t>
            </w:r>
            <w:r w:rsidR="00870934" w:rsidRPr="002E0935">
              <w:rPr>
                <w:rFonts w:eastAsia="Calibri"/>
                <w:color w:val="212121"/>
                <w:sz w:val="20"/>
                <w:szCs w:val="20"/>
              </w:rPr>
              <w:t>22</w:t>
            </w:r>
            <w:r w:rsidRPr="002E0935">
              <w:rPr>
                <w:rFonts w:eastAsia="Calibri"/>
                <w:color w:val="212121"/>
                <w:sz w:val="20"/>
                <w:szCs w:val="20"/>
              </w:rPr>
              <w:t>-20</w:t>
            </w:r>
            <w:r w:rsidR="00870934" w:rsidRPr="002E0935">
              <w:rPr>
                <w:rFonts w:eastAsia="Calibri"/>
                <w:color w:val="212121"/>
                <w:sz w:val="20"/>
                <w:szCs w:val="20"/>
              </w:rPr>
              <w:t>23</w:t>
            </w:r>
            <w:r w:rsidR="00390FEF" w:rsidRPr="002E0935">
              <w:rPr>
                <w:rFonts w:eastAsia="Calibri"/>
                <w:color w:val="212121"/>
                <w:sz w:val="20"/>
                <w:szCs w:val="20"/>
              </w:rPr>
              <w:t xml:space="preserve"> </w:t>
            </w:r>
            <w:r w:rsidRPr="002E0935">
              <w:rPr>
                <w:rFonts w:eastAsia="Calibri"/>
                <w:color w:val="212121"/>
                <w:sz w:val="20"/>
                <w:szCs w:val="20"/>
              </w:rPr>
              <w:t>(countries with 201</w:t>
            </w:r>
            <w:r w:rsidR="00870934" w:rsidRPr="002E0935">
              <w:rPr>
                <w:rFonts w:eastAsia="Calibri"/>
                <w:color w:val="212121"/>
                <w:sz w:val="20"/>
                <w:szCs w:val="20"/>
              </w:rPr>
              <w:t>6</w:t>
            </w:r>
            <w:r w:rsidRPr="002E0935">
              <w:rPr>
                <w:rFonts w:eastAsia="Calibri"/>
                <w:color w:val="212121"/>
                <w:sz w:val="20"/>
                <w:szCs w:val="20"/>
              </w:rPr>
              <w:t>-201</w:t>
            </w:r>
            <w:r w:rsidR="00870934" w:rsidRPr="002E0935">
              <w:rPr>
                <w:rFonts w:eastAsia="Calibri"/>
                <w:color w:val="212121"/>
                <w:sz w:val="20"/>
                <w:szCs w:val="20"/>
              </w:rPr>
              <w:t>9</w:t>
            </w:r>
            <w:r w:rsidRPr="002E0935">
              <w:rPr>
                <w:rFonts w:eastAsia="Calibri"/>
                <w:color w:val="212121"/>
                <w:sz w:val="20"/>
                <w:szCs w:val="20"/>
              </w:rPr>
              <w:t xml:space="preserve"> average GNI per capita less than $12,</w:t>
            </w:r>
            <w:r w:rsidR="00B108F4" w:rsidRPr="002E0935">
              <w:rPr>
                <w:rFonts w:eastAsia="Calibri"/>
                <w:color w:val="212121"/>
                <w:sz w:val="20"/>
                <w:szCs w:val="20"/>
              </w:rPr>
              <w:t>535</w:t>
            </w:r>
            <w:r w:rsidRPr="002E0935">
              <w:rPr>
                <w:rFonts w:eastAsia="Calibri"/>
                <w:color w:val="212121"/>
                <w:sz w:val="20"/>
                <w:szCs w:val="20"/>
              </w:rPr>
              <w:t>) that cross the net contributor country threshold at the time of the biennial update (countries with 20</w:t>
            </w:r>
            <w:r w:rsidR="00390FEF" w:rsidRPr="002E0935">
              <w:rPr>
                <w:rFonts w:eastAsia="Calibri"/>
                <w:color w:val="212121"/>
                <w:sz w:val="20"/>
                <w:szCs w:val="20"/>
              </w:rPr>
              <w:t>1</w:t>
            </w:r>
            <w:r w:rsidR="00DC0197" w:rsidRPr="002E0935">
              <w:rPr>
                <w:rFonts w:eastAsia="Calibri"/>
                <w:color w:val="212121"/>
                <w:sz w:val="20"/>
                <w:szCs w:val="20"/>
              </w:rPr>
              <w:t>8</w:t>
            </w:r>
            <w:r w:rsidRPr="002E0935">
              <w:rPr>
                <w:rFonts w:eastAsia="Calibri"/>
                <w:color w:val="212121"/>
                <w:sz w:val="20"/>
                <w:szCs w:val="20"/>
              </w:rPr>
              <w:t>-20</w:t>
            </w:r>
            <w:r w:rsidR="00DC0197" w:rsidRPr="002E0935">
              <w:rPr>
                <w:rFonts w:eastAsia="Calibri"/>
                <w:color w:val="212121"/>
                <w:sz w:val="20"/>
                <w:szCs w:val="20"/>
              </w:rPr>
              <w:t>21</w:t>
            </w:r>
            <w:r w:rsidRPr="002E0935">
              <w:rPr>
                <w:rFonts w:eastAsia="Calibri"/>
                <w:color w:val="212121"/>
                <w:sz w:val="20"/>
                <w:szCs w:val="20"/>
              </w:rPr>
              <w:t xml:space="preserve"> average GNI per capita greater than the new NCC threshold, namely $12,</w:t>
            </w:r>
            <w:r w:rsidR="00B108F4" w:rsidRPr="002E0935">
              <w:rPr>
                <w:rFonts w:eastAsia="Calibri"/>
                <w:color w:val="212121"/>
                <w:sz w:val="20"/>
                <w:szCs w:val="20"/>
              </w:rPr>
              <w:t>535</w:t>
            </w:r>
            <w:r w:rsidRPr="002E0935">
              <w:rPr>
                <w:rFonts w:eastAsia="Calibri"/>
                <w:color w:val="212121"/>
                <w:sz w:val="20"/>
                <w:szCs w:val="20"/>
              </w:rPr>
              <w:t xml:space="preserve"> </w:t>
            </w:r>
            <w:r w:rsidR="00E439EE" w:rsidRPr="002E0935">
              <w:rPr>
                <w:rFonts w:eastAsia="Calibri"/>
                <w:color w:val="212121"/>
                <w:sz w:val="20"/>
                <w:szCs w:val="20"/>
              </w:rPr>
              <w:t>indexed</w:t>
            </w:r>
            <w:r w:rsidRPr="002E0935">
              <w:rPr>
                <w:rFonts w:eastAsia="Calibri"/>
                <w:color w:val="212121"/>
                <w:sz w:val="20"/>
                <w:szCs w:val="20"/>
              </w:rPr>
              <w:t xml:space="preserve"> for inflation in 20</w:t>
            </w:r>
            <w:r w:rsidR="00DC0197">
              <w:rPr>
                <w:sz w:val="20"/>
                <w:szCs w:val="20"/>
              </w:rPr>
              <w:t>22</w:t>
            </w:r>
            <w:r w:rsidRPr="004E54BF">
              <w:rPr>
                <w:sz w:val="20"/>
                <w:szCs w:val="20"/>
              </w:rPr>
              <w:t>-20</w:t>
            </w:r>
            <w:r w:rsidR="00DC0197">
              <w:rPr>
                <w:sz w:val="20"/>
                <w:szCs w:val="20"/>
              </w:rPr>
              <w:t>23</w:t>
            </w:r>
            <w:r w:rsidRPr="004E54BF">
              <w:rPr>
                <w:sz w:val="20"/>
                <w:szCs w:val="20"/>
              </w:rPr>
              <w:t xml:space="preserve">) will be considered transitional </w:t>
            </w:r>
            <w:r>
              <w:rPr>
                <w:sz w:val="20"/>
                <w:szCs w:val="20"/>
              </w:rPr>
              <w:t>NCCs</w:t>
            </w:r>
            <w:r w:rsidRPr="004E54BF">
              <w:rPr>
                <w:sz w:val="20"/>
                <w:szCs w:val="20"/>
              </w:rPr>
              <w:t xml:space="preserve"> during 20</w:t>
            </w:r>
            <w:r>
              <w:rPr>
                <w:sz w:val="20"/>
                <w:szCs w:val="20"/>
              </w:rPr>
              <w:t>2</w:t>
            </w:r>
            <w:r w:rsidR="00DC0197">
              <w:rPr>
                <w:sz w:val="20"/>
                <w:szCs w:val="20"/>
              </w:rPr>
              <w:t>4</w:t>
            </w:r>
            <w:r w:rsidRPr="004E54BF">
              <w:rPr>
                <w:sz w:val="20"/>
                <w:szCs w:val="20"/>
              </w:rPr>
              <w:t>-20</w:t>
            </w:r>
            <w:r>
              <w:rPr>
                <w:sz w:val="20"/>
                <w:szCs w:val="20"/>
              </w:rPr>
              <w:t>2</w:t>
            </w:r>
            <w:r w:rsidR="00DC0197">
              <w:rPr>
                <w:sz w:val="20"/>
                <w:szCs w:val="20"/>
              </w:rPr>
              <w:t>5</w:t>
            </w:r>
            <w:r>
              <w:rPr>
                <w:sz w:val="20"/>
                <w:szCs w:val="20"/>
              </w:rPr>
              <w:t xml:space="preserve">. </w:t>
            </w:r>
            <w:r w:rsidRPr="004E54BF">
              <w:rPr>
                <w:sz w:val="20"/>
                <w:szCs w:val="20"/>
              </w:rPr>
              <w:t xml:space="preserve">These countries will not have their TRAC-1 allocation adjusted; if they </w:t>
            </w:r>
            <w:r>
              <w:rPr>
                <w:sz w:val="20"/>
                <w:szCs w:val="20"/>
              </w:rPr>
              <w:t xml:space="preserve">were to </w:t>
            </w:r>
            <w:r w:rsidRPr="004E54BF">
              <w:rPr>
                <w:sz w:val="20"/>
                <w:szCs w:val="20"/>
              </w:rPr>
              <w:t xml:space="preserve">remain above the </w:t>
            </w:r>
            <w:r>
              <w:rPr>
                <w:sz w:val="20"/>
                <w:szCs w:val="20"/>
              </w:rPr>
              <w:t>NCC</w:t>
            </w:r>
            <w:r w:rsidRPr="004E54BF">
              <w:rPr>
                <w:sz w:val="20"/>
                <w:szCs w:val="20"/>
              </w:rPr>
              <w:t xml:space="preserve"> threshold in 20</w:t>
            </w:r>
            <w:r>
              <w:rPr>
                <w:sz w:val="20"/>
                <w:szCs w:val="20"/>
              </w:rPr>
              <w:t>22</w:t>
            </w:r>
            <w:r w:rsidRPr="004E54BF">
              <w:rPr>
                <w:sz w:val="20"/>
                <w:szCs w:val="20"/>
              </w:rPr>
              <w:t xml:space="preserve">, they would be considered </w:t>
            </w:r>
            <w:r>
              <w:rPr>
                <w:sz w:val="20"/>
                <w:szCs w:val="20"/>
              </w:rPr>
              <w:t>NCCs</w:t>
            </w:r>
            <w:r w:rsidRPr="004E54BF">
              <w:rPr>
                <w:sz w:val="20"/>
                <w:szCs w:val="20"/>
              </w:rPr>
              <w:t xml:space="preserve"> and </w:t>
            </w:r>
            <w:r>
              <w:rPr>
                <w:sz w:val="20"/>
                <w:szCs w:val="20"/>
              </w:rPr>
              <w:t xml:space="preserve">would </w:t>
            </w:r>
            <w:r w:rsidRPr="004E54BF">
              <w:rPr>
                <w:sz w:val="20"/>
                <w:szCs w:val="20"/>
              </w:rPr>
              <w:t>be ineligible for TRAC-1 resources from 20</w:t>
            </w:r>
            <w:r>
              <w:rPr>
                <w:sz w:val="20"/>
                <w:szCs w:val="20"/>
              </w:rPr>
              <w:t>22</w:t>
            </w:r>
            <w:r w:rsidRPr="004E54BF">
              <w:rPr>
                <w:sz w:val="20"/>
                <w:szCs w:val="20"/>
              </w:rPr>
              <w:t xml:space="preserve"> onwards; and</w:t>
            </w:r>
          </w:p>
          <w:p w14:paraId="2D84B9B0" w14:textId="77777777" w:rsidR="002E0935" w:rsidRPr="002E0935" w:rsidRDefault="002E0935" w:rsidP="002E0935">
            <w:pPr>
              <w:pStyle w:val="ListParagraph"/>
              <w:spacing w:after="160" w:line="259" w:lineRule="auto"/>
              <w:jc w:val="both"/>
              <w:rPr>
                <w:rFonts w:eastAsia="Calibri"/>
                <w:color w:val="212121"/>
                <w:sz w:val="20"/>
                <w:szCs w:val="20"/>
              </w:rPr>
            </w:pPr>
          </w:p>
          <w:p w14:paraId="25E4BA7C" w14:textId="6EA5B3AC" w:rsidR="00B95A86" w:rsidRPr="00476B99" w:rsidRDefault="00B95A86" w:rsidP="002E0935">
            <w:pPr>
              <w:pStyle w:val="ListParagraph"/>
              <w:numPr>
                <w:ilvl w:val="1"/>
                <w:numId w:val="6"/>
              </w:numPr>
              <w:spacing w:after="160" w:line="259" w:lineRule="auto"/>
              <w:jc w:val="both"/>
              <w:rPr>
                <w:b/>
                <w:bCs/>
                <w:snapToGrid w:val="0"/>
                <w:sz w:val="20"/>
                <w:szCs w:val="20"/>
              </w:rPr>
            </w:pPr>
            <w:r w:rsidRPr="002E0935">
              <w:rPr>
                <w:rFonts w:eastAsia="Calibri"/>
                <w:color w:val="212121"/>
                <w:sz w:val="20"/>
                <w:szCs w:val="20"/>
              </w:rPr>
              <w:t xml:space="preserve">Transitional </w:t>
            </w:r>
            <w:r>
              <w:rPr>
                <w:sz w:val="20"/>
                <w:szCs w:val="20"/>
              </w:rPr>
              <w:t>NCCs</w:t>
            </w:r>
            <w:r w:rsidRPr="004E54BF">
              <w:rPr>
                <w:sz w:val="20"/>
                <w:szCs w:val="20"/>
              </w:rPr>
              <w:t xml:space="preserve"> during 20</w:t>
            </w:r>
            <w:r w:rsidR="00585414">
              <w:rPr>
                <w:sz w:val="20"/>
                <w:szCs w:val="20"/>
              </w:rPr>
              <w:t>22</w:t>
            </w:r>
            <w:r w:rsidRPr="004E54BF">
              <w:rPr>
                <w:sz w:val="20"/>
                <w:szCs w:val="20"/>
              </w:rPr>
              <w:t>-20</w:t>
            </w:r>
            <w:r w:rsidR="00585414">
              <w:rPr>
                <w:sz w:val="20"/>
                <w:szCs w:val="20"/>
              </w:rPr>
              <w:t>2</w:t>
            </w:r>
            <w:r w:rsidR="00354482">
              <w:rPr>
                <w:sz w:val="20"/>
                <w:szCs w:val="20"/>
              </w:rPr>
              <w:t>3</w:t>
            </w:r>
            <w:r w:rsidRPr="004E54BF">
              <w:rPr>
                <w:sz w:val="20"/>
                <w:szCs w:val="20"/>
              </w:rPr>
              <w:t xml:space="preserve"> (countries with 20</w:t>
            </w:r>
            <w:r w:rsidR="00585414">
              <w:rPr>
                <w:sz w:val="20"/>
                <w:szCs w:val="20"/>
              </w:rPr>
              <w:t>16</w:t>
            </w:r>
            <w:r w:rsidRPr="004E54BF">
              <w:rPr>
                <w:sz w:val="20"/>
                <w:szCs w:val="20"/>
              </w:rPr>
              <w:t>-201</w:t>
            </w:r>
            <w:r w:rsidR="00585414">
              <w:rPr>
                <w:sz w:val="20"/>
                <w:szCs w:val="20"/>
              </w:rPr>
              <w:t>9</w:t>
            </w:r>
            <w:r w:rsidRPr="004E54BF">
              <w:rPr>
                <w:sz w:val="20"/>
                <w:szCs w:val="20"/>
              </w:rPr>
              <w:t xml:space="preserve"> average GNI per capita greater than $12,</w:t>
            </w:r>
            <w:r w:rsidR="00B108F4">
              <w:rPr>
                <w:sz w:val="20"/>
                <w:szCs w:val="20"/>
              </w:rPr>
              <w:t>535</w:t>
            </w:r>
            <w:r w:rsidRPr="004E54BF">
              <w:rPr>
                <w:sz w:val="20"/>
                <w:szCs w:val="20"/>
              </w:rPr>
              <w:t xml:space="preserve"> for the first time) will become full net contributor countries during 20</w:t>
            </w:r>
            <w:r>
              <w:rPr>
                <w:sz w:val="20"/>
                <w:szCs w:val="20"/>
              </w:rPr>
              <w:t>2</w:t>
            </w:r>
            <w:r w:rsidR="00585414">
              <w:rPr>
                <w:sz w:val="20"/>
                <w:szCs w:val="20"/>
              </w:rPr>
              <w:t>4</w:t>
            </w:r>
            <w:r w:rsidRPr="004E54BF">
              <w:rPr>
                <w:sz w:val="20"/>
                <w:szCs w:val="20"/>
              </w:rPr>
              <w:t>-20</w:t>
            </w:r>
            <w:r>
              <w:rPr>
                <w:sz w:val="20"/>
                <w:szCs w:val="20"/>
              </w:rPr>
              <w:t>2</w:t>
            </w:r>
            <w:r w:rsidR="00585414">
              <w:rPr>
                <w:sz w:val="20"/>
                <w:szCs w:val="20"/>
              </w:rPr>
              <w:t>5</w:t>
            </w:r>
            <w:r w:rsidRPr="004E54BF">
              <w:rPr>
                <w:sz w:val="20"/>
                <w:szCs w:val="20"/>
              </w:rPr>
              <w:t xml:space="preserve"> if they remain above the net contributor country threshold at the time of the biennial update; as such</w:t>
            </w:r>
            <w:r>
              <w:rPr>
                <w:sz w:val="20"/>
                <w:szCs w:val="20"/>
              </w:rPr>
              <w:t>,</w:t>
            </w:r>
            <w:r w:rsidRPr="004E54BF">
              <w:rPr>
                <w:sz w:val="20"/>
                <w:szCs w:val="20"/>
              </w:rPr>
              <w:t xml:space="preserve"> they will no longer receive TRAC-1 resources during 20</w:t>
            </w:r>
            <w:r>
              <w:rPr>
                <w:sz w:val="20"/>
                <w:szCs w:val="20"/>
              </w:rPr>
              <w:t>2</w:t>
            </w:r>
            <w:r w:rsidR="00310D83">
              <w:rPr>
                <w:sz w:val="20"/>
                <w:szCs w:val="20"/>
              </w:rPr>
              <w:t>4</w:t>
            </w:r>
            <w:r w:rsidRPr="004E54BF">
              <w:rPr>
                <w:sz w:val="20"/>
                <w:szCs w:val="20"/>
              </w:rPr>
              <w:t>-20</w:t>
            </w:r>
            <w:r>
              <w:rPr>
                <w:sz w:val="20"/>
                <w:szCs w:val="20"/>
              </w:rPr>
              <w:t>2</w:t>
            </w:r>
            <w:r w:rsidR="00310D83">
              <w:rPr>
                <w:sz w:val="20"/>
                <w:szCs w:val="20"/>
              </w:rPr>
              <w:t>5</w:t>
            </w:r>
            <w:r w:rsidRPr="004E54BF">
              <w:rPr>
                <w:sz w:val="20"/>
                <w:szCs w:val="20"/>
              </w:rPr>
              <w:t>.</w:t>
            </w:r>
          </w:p>
          <w:p w14:paraId="65EAB928" w14:textId="77777777" w:rsidR="00990ECA" w:rsidRPr="00476B99" w:rsidRDefault="00990ECA" w:rsidP="00990ECA">
            <w:pPr>
              <w:pStyle w:val="DualTxt"/>
              <w:tabs>
                <w:tab w:val="clear" w:pos="960"/>
                <w:tab w:val="clear" w:pos="1440"/>
                <w:tab w:val="clear" w:pos="1915"/>
                <w:tab w:val="clear" w:pos="2405"/>
                <w:tab w:val="left" w:pos="900"/>
                <w:tab w:val="left" w:pos="990"/>
                <w:tab w:val="left" w:pos="1260"/>
                <w:tab w:val="left" w:pos="1620"/>
                <w:tab w:val="left" w:pos="1800"/>
                <w:tab w:val="left" w:pos="8820"/>
              </w:tabs>
              <w:spacing w:line="200" w:lineRule="exact"/>
              <w:ind w:left="1080" w:right="540"/>
              <w:rPr>
                <w:b w:val="0"/>
                <w:bCs w:val="0"/>
                <w:snapToGrid w:val="0"/>
                <w:sz w:val="20"/>
                <w:szCs w:val="20"/>
              </w:rPr>
            </w:pPr>
          </w:p>
          <w:p w14:paraId="52D2E5D6" w14:textId="6CFD68A3" w:rsidR="008365FE" w:rsidRPr="008C7224" w:rsidRDefault="00B95A86" w:rsidP="00511232">
            <w:pPr>
              <w:pStyle w:val="SingleTxt"/>
              <w:numPr>
                <w:ilvl w:val="0"/>
                <w:numId w:val="6"/>
              </w:numPr>
              <w:tabs>
                <w:tab w:val="clear" w:pos="1267"/>
                <w:tab w:val="clear" w:pos="1742"/>
                <w:tab w:val="left" w:pos="1170"/>
              </w:tabs>
              <w:ind w:right="0"/>
              <w:rPr>
                <w:rFonts w:eastAsia="MS Mincho"/>
                <w:spacing w:val="0"/>
                <w:w w:val="100"/>
                <w:kern w:val="0"/>
                <w:lang w:val="en-US" w:eastAsia="ja-JP"/>
              </w:rPr>
            </w:pPr>
            <w:r w:rsidRPr="008C7224">
              <w:rPr>
                <w:rFonts w:eastAsia="MS Mincho"/>
                <w:spacing w:val="0"/>
                <w:w w:val="100"/>
                <w:kern w:val="0"/>
                <w:lang w:val="en-US" w:eastAsia="ja-JP"/>
              </w:rPr>
              <w:t>The diagram below summarizes the impact of the biennial updates.</w:t>
            </w:r>
          </w:p>
          <w:tbl>
            <w:tblPr>
              <w:tblStyle w:val="TableGrid"/>
              <w:tblW w:w="0" w:type="auto"/>
              <w:tblInd w:w="985" w:type="dxa"/>
              <w:tblLayout w:type="fixed"/>
              <w:tblLook w:val="04A0" w:firstRow="1" w:lastRow="0" w:firstColumn="1" w:lastColumn="0" w:noHBand="0" w:noVBand="1"/>
            </w:tblPr>
            <w:tblGrid>
              <w:gridCol w:w="1764"/>
              <w:gridCol w:w="3186"/>
              <w:gridCol w:w="3415"/>
            </w:tblGrid>
            <w:tr w:rsidR="00B95A86" w14:paraId="05797ED7" w14:textId="77777777" w:rsidTr="00636955">
              <w:tc>
                <w:tcPr>
                  <w:tcW w:w="1764" w:type="dxa"/>
                  <w:vAlign w:val="center"/>
                </w:tcPr>
                <w:p w14:paraId="7FC824D2" w14:textId="77777777" w:rsidR="00B95A86" w:rsidRDefault="00B95A86" w:rsidP="00946468">
                  <w:pPr>
                    <w:pStyle w:val="DualTxt"/>
                    <w:tabs>
                      <w:tab w:val="clear" w:pos="960"/>
                      <w:tab w:val="clear" w:pos="1915"/>
                      <w:tab w:val="left" w:pos="900"/>
                      <w:tab w:val="left" w:pos="990"/>
                      <w:tab w:val="left" w:pos="1260"/>
                      <w:tab w:val="left" w:pos="1800"/>
                      <w:tab w:val="left" w:pos="8820"/>
                    </w:tabs>
                    <w:spacing w:line="200" w:lineRule="exact"/>
                    <w:ind w:right="540"/>
                    <w:rPr>
                      <w:b w:val="0"/>
                      <w:bCs w:val="0"/>
                      <w:snapToGrid w:val="0"/>
                      <w:sz w:val="20"/>
                      <w:szCs w:val="20"/>
                    </w:rPr>
                  </w:pPr>
                  <w:r>
                    <w:rPr>
                      <w:b w:val="0"/>
                      <w:bCs w:val="0"/>
                      <w:snapToGrid w:val="0"/>
                      <w:sz w:val="20"/>
                      <w:szCs w:val="20"/>
                    </w:rPr>
                    <w:t>LIC</w:t>
                  </w:r>
                </w:p>
              </w:tc>
              <w:tc>
                <w:tcPr>
                  <w:tcW w:w="6601" w:type="dxa"/>
                  <w:gridSpan w:val="2"/>
                  <w:vAlign w:val="center"/>
                </w:tcPr>
                <w:p w14:paraId="3C398393" w14:textId="77777777" w:rsidR="00B95A86" w:rsidRDefault="00B95A86" w:rsidP="00946468">
                  <w:pPr>
                    <w:pStyle w:val="DualTxt"/>
                    <w:tabs>
                      <w:tab w:val="left" w:pos="900"/>
                      <w:tab w:val="left" w:pos="990"/>
                      <w:tab w:val="left" w:pos="1260"/>
                      <w:tab w:val="left" w:pos="1800"/>
                      <w:tab w:val="left" w:pos="8820"/>
                    </w:tabs>
                    <w:spacing w:line="200" w:lineRule="exact"/>
                    <w:ind w:right="540"/>
                    <w:rPr>
                      <w:b w:val="0"/>
                      <w:bCs w:val="0"/>
                      <w:snapToGrid w:val="0"/>
                      <w:sz w:val="20"/>
                      <w:szCs w:val="20"/>
                    </w:rPr>
                  </w:pPr>
                  <w:r>
                    <w:rPr>
                      <w:b w:val="0"/>
                      <w:bCs w:val="0"/>
                      <w:snapToGrid w:val="0"/>
                      <w:sz w:val="20"/>
                      <w:szCs w:val="20"/>
                    </w:rPr>
                    <w:t>Not affected</w:t>
                  </w:r>
                </w:p>
              </w:tc>
            </w:tr>
            <w:tr w:rsidR="00B95A86" w14:paraId="35EA73CA" w14:textId="77777777" w:rsidTr="00636955">
              <w:tc>
                <w:tcPr>
                  <w:tcW w:w="1764" w:type="dxa"/>
                  <w:vMerge w:val="restart"/>
                  <w:vAlign w:val="center"/>
                </w:tcPr>
                <w:p w14:paraId="2103A8D1" w14:textId="77777777" w:rsidR="00B95A86" w:rsidRDefault="00B95A86" w:rsidP="00946468">
                  <w:pPr>
                    <w:pStyle w:val="DualTxt"/>
                    <w:tabs>
                      <w:tab w:val="clear" w:pos="960"/>
                      <w:tab w:val="clear" w:pos="1915"/>
                      <w:tab w:val="left" w:pos="900"/>
                      <w:tab w:val="left" w:pos="990"/>
                      <w:tab w:val="left" w:pos="1260"/>
                      <w:tab w:val="left" w:pos="1800"/>
                      <w:tab w:val="left" w:pos="8820"/>
                    </w:tabs>
                    <w:spacing w:line="200" w:lineRule="exact"/>
                    <w:ind w:right="540"/>
                    <w:rPr>
                      <w:b w:val="0"/>
                      <w:bCs w:val="0"/>
                      <w:snapToGrid w:val="0"/>
                      <w:sz w:val="20"/>
                      <w:szCs w:val="20"/>
                    </w:rPr>
                  </w:pPr>
                  <w:r>
                    <w:rPr>
                      <w:b w:val="0"/>
                      <w:bCs w:val="0"/>
                      <w:snapToGrid w:val="0"/>
                      <w:sz w:val="20"/>
                      <w:szCs w:val="20"/>
                    </w:rPr>
                    <w:t>MIC</w:t>
                  </w:r>
                </w:p>
              </w:tc>
              <w:tc>
                <w:tcPr>
                  <w:tcW w:w="3186" w:type="dxa"/>
                  <w:vAlign w:val="center"/>
                </w:tcPr>
                <w:p w14:paraId="247021EF" w14:textId="0E766514" w:rsidR="00B95A86" w:rsidRDefault="00B95A86" w:rsidP="00946468">
                  <w:pPr>
                    <w:pStyle w:val="DualTxt"/>
                    <w:tabs>
                      <w:tab w:val="clear" w:pos="960"/>
                      <w:tab w:val="clear" w:pos="1915"/>
                      <w:tab w:val="left" w:pos="900"/>
                      <w:tab w:val="left" w:pos="990"/>
                      <w:tab w:val="left" w:pos="1260"/>
                      <w:tab w:val="left" w:pos="1800"/>
                      <w:tab w:val="left" w:pos="8820"/>
                    </w:tabs>
                    <w:spacing w:line="200" w:lineRule="exact"/>
                    <w:ind w:right="540"/>
                    <w:rPr>
                      <w:b w:val="0"/>
                      <w:bCs w:val="0"/>
                      <w:snapToGrid w:val="0"/>
                      <w:sz w:val="20"/>
                      <w:szCs w:val="20"/>
                    </w:rPr>
                  </w:pPr>
                  <w:r>
                    <w:rPr>
                      <w:b w:val="0"/>
                      <w:bCs w:val="0"/>
                      <w:snapToGrid w:val="0"/>
                      <w:sz w:val="20"/>
                      <w:szCs w:val="20"/>
                    </w:rPr>
                    <w:t>Below NCC threshold ($12,</w:t>
                  </w:r>
                  <w:r w:rsidR="00CA0FA4">
                    <w:rPr>
                      <w:b w:val="0"/>
                      <w:bCs w:val="0"/>
                      <w:snapToGrid w:val="0"/>
                      <w:sz w:val="20"/>
                      <w:szCs w:val="20"/>
                    </w:rPr>
                    <w:t>535</w:t>
                  </w:r>
                  <w:r>
                    <w:rPr>
                      <w:b w:val="0"/>
                      <w:bCs w:val="0"/>
                      <w:snapToGrid w:val="0"/>
                      <w:sz w:val="20"/>
                      <w:szCs w:val="20"/>
                    </w:rPr>
                    <w:t>) at biennial update</w:t>
                  </w:r>
                </w:p>
              </w:tc>
              <w:tc>
                <w:tcPr>
                  <w:tcW w:w="3415" w:type="dxa"/>
                  <w:vAlign w:val="center"/>
                </w:tcPr>
                <w:p w14:paraId="7CD296A7" w14:textId="77777777" w:rsidR="00B95A86" w:rsidRDefault="00B95A86" w:rsidP="00946468">
                  <w:pPr>
                    <w:pStyle w:val="DualTxt"/>
                    <w:tabs>
                      <w:tab w:val="clear" w:pos="960"/>
                      <w:tab w:val="clear" w:pos="1915"/>
                      <w:tab w:val="left" w:pos="900"/>
                      <w:tab w:val="left" w:pos="990"/>
                      <w:tab w:val="left" w:pos="1260"/>
                      <w:tab w:val="left" w:pos="1800"/>
                      <w:tab w:val="left" w:pos="8820"/>
                    </w:tabs>
                    <w:spacing w:line="200" w:lineRule="exact"/>
                    <w:ind w:right="540"/>
                    <w:rPr>
                      <w:b w:val="0"/>
                      <w:bCs w:val="0"/>
                      <w:snapToGrid w:val="0"/>
                      <w:sz w:val="20"/>
                      <w:szCs w:val="20"/>
                    </w:rPr>
                  </w:pPr>
                  <w:r>
                    <w:rPr>
                      <w:b w:val="0"/>
                      <w:bCs w:val="0"/>
                      <w:snapToGrid w:val="0"/>
                      <w:sz w:val="20"/>
                      <w:szCs w:val="20"/>
                    </w:rPr>
                    <w:t>Not affected</w:t>
                  </w:r>
                </w:p>
              </w:tc>
            </w:tr>
            <w:tr w:rsidR="00B95A86" w14:paraId="0FB2C193" w14:textId="77777777" w:rsidTr="00636955">
              <w:tc>
                <w:tcPr>
                  <w:tcW w:w="1764" w:type="dxa"/>
                  <w:vMerge/>
                  <w:vAlign w:val="center"/>
                </w:tcPr>
                <w:p w14:paraId="7E68CE3E" w14:textId="77777777" w:rsidR="00B95A86" w:rsidRDefault="00B95A86" w:rsidP="00946468">
                  <w:pPr>
                    <w:pStyle w:val="DualTxt"/>
                    <w:tabs>
                      <w:tab w:val="clear" w:pos="960"/>
                      <w:tab w:val="clear" w:pos="1915"/>
                      <w:tab w:val="left" w:pos="900"/>
                      <w:tab w:val="left" w:pos="990"/>
                      <w:tab w:val="left" w:pos="1260"/>
                      <w:tab w:val="left" w:pos="1800"/>
                      <w:tab w:val="left" w:pos="8820"/>
                    </w:tabs>
                    <w:spacing w:line="200" w:lineRule="exact"/>
                    <w:ind w:right="540"/>
                    <w:rPr>
                      <w:b w:val="0"/>
                      <w:snapToGrid w:val="0"/>
                      <w:sz w:val="20"/>
                      <w:szCs w:val="20"/>
                    </w:rPr>
                  </w:pPr>
                </w:p>
              </w:tc>
              <w:tc>
                <w:tcPr>
                  <w:tcW w:w="3186" w:type="dxa"/>
                  <w:vAlign w:val="center"/>
                </w:tcPr>
                <w:p w14:paraId="15BD13C4" w14:textId="593BBD18" w:rsidR="00B95A86" w:rsidRDefault="00B95A86" w:rsidP="00946468">
                  <w:pPr>
                    <w:pStyle w:val="DualTxt"/>
                    <w:tabs>
                      <w:tab w:val="clear" w:pos="960"/>
                      <w:tab w:val="clear" w:pos="1915"/>
                      <w:tab w:val="left" w:pos="900"/>
                      <w:tab w:val="left" w:pos="990"/>
                      <w:tab w:val="left" w:pos="1260"/>
                      <w:tab w:val="left" w:pos="1800"/>
                      <w:tab w:val="left" w:pos="8820"/>
                    </w:tabs>
                    <w:spacing w:line="200" w:lineRule="exact"/>
                    <w:ind w:right="540"/>
                    <w:rPr>
                      <w:b w:val="0"/>
                      <w:bCs w:val="0"/>
                      <w:snapToGrid w:val="0"/>
                      <w:sz w:val="20"/>
                      <w:szCs w:val="20"/>
                    </w:rPr>
                  </w:pPr>
                  <w:r>
                    <w:rPr>
                      <w:b w:val="0"/>
                      <w:bCs w:val="0"/>
                      <w:snapToGrid w:val="0"/>
                      <w:sz w:val="20"/>
                      <w:szCs w:val="20"/>
                    </w:rPr>
                    <w:t>Above NCC threshold ($12,</w:t>
                  </w:r>
                  <w:r w:rsidR="00CA0FA4">
                    <w:rPr>
                      <w:b w:val="0"/>
                      <w:bCs w:val="0"/>
                      <w:snapToGrid w:val="0"/>
                      <w:sz w:val="20"/>
                      <w:szCs w:val="20"/>
                    </w:rPr>
                    <w:t>535</w:t>
                  </w:r>
                  <w:r>
                    <w:rPr>
                      <w:b w:val="0"/>
                      <w:bCs w:val="0"/>
                      <w:snapToGrid w:val="0"/>
                      <w:sz w:val="20"/>
                      <w:szCs w:val="20"/>
                    </w:rPr>
                    <w:t>) at biennial update</w:t>
                  </w:r>
                </w:p>
              </w:tc>
              <w:tc>
                <w:tcPr>
                  <w:tcW w:w="3415" w:type="dxa"/>
                  <w:vAlign w:val="center"/>
                </w:tcPr>
                <w:p w14:paraId="11AC07C5" w14:textId="7942F60C" w:rsidR="00B95A86" w:rsidRDefault="00B95A86" w:rsidP="00946468">
                  <w:pPr>
                    <w:pStyle w:val="DualTxt"/>
                    <w:tabs>
                      <w:tab w:val="clear" w:pos="960"/>
                      <w:tab w:val="clear" w:pos="1915"/>
                      <w:tab w:val="left" w:pos="900"/>
                      <w:tab w:val="left" w:pos="990"/>
                      <w:tab w:val="left" w:pos="1260"/>
                      <w:tab w:val="left" w:pos="1800"/>
                      <w:tab w:val="left" w:pos="8820"/>
                    </w:tabs>
                    <w:spacing w:line="200" w:lineRule="exact"/>
                    <w:ind w:right="540"/>
                    <w:rPr>
                      <w:b w:val="0"/>
                      <w:bCs w:val="0"/>
                      <w:snapToGrid w:val="0"/>
                      <w:sz w:val="20"/>
                      <w:szCs w:val="20"/>
                    </w:rPr>
                  </w:pPr>
                  <w:r>
                    <w:rPr>
                      <w:b w:val="0"/>
                      <w:bCs w:val="0"/>
                      <w:snapToGrid w:val="0"/>
                      <w:sz w:val="20"/>
                      <w:szCs w:val="20"/>
                    </w:rPr>
                    <w:t>Considered transitional NCC in 202</w:t>
                  </w:r>
                  <w:r w:rsidR="00FC39D6">
                    <w:rPr>
                      <w:b w:val="0"/>
                      <w:bCs w:val="0"/>
                      <w:snapToGrid w:val="0"/>
                      <w:sz w:val="20"/>
                      <w:szCs w:val="20"/>
                    </w:rPr>
                    <w:t>2</w:t>
                  </w:r>
                  <w:r>
                    <w:rPr>
                      <w:b w:val="0"/>
                      <w:bCs w:val="0"/>
                      <w:snapToGrid w:val="0"/>
                      <w:sz w:val="20"/>
                      <w:szCs w:val="20"/>
                    </w:rPr>
                    <w:t>-20</w:t>
                  </w:r>
                  <w:r w:rsidR="00FC39D6">
                    <w:rPr>
                      <w:b w:val="0"/>
                      <w:bCs w:val="0"/>
                      <w:snapToGrid w:val="0"/>
                      <w:sz w:val="20"/>
                      <w:szCs w:val="20"/>
                    </w:rPr>
                    <w:t>23</w:t>
                  </w:r>
                  <w:r>
                    <w:rPr>
                      <w:b w:val="0"/>
                      <w:bCs w:val="0"/>
                      <w:snapToGrid w:val="0"/>
                      <w:sz w:val="20"/>
                      <w:szCs w:val="20"/>
                    </w:rPr>
                    <w:t>; Retains TRAC-1 allocation during 20</w:t>
                  </w:r>
                  <w:r w:rsidR="00FC39D6">
                    <w:rPr>
                      <w:b w:val="0"/>
                      <w:bCs w:val="0"/>
                      <w:snapToGrid w:val="0"/>
                      <w:sz w:val="20"/>
                      <w:szCs w:val="20"/>
                    </w:rPr>
                    <w:t>22</w:t>
                  </w:r>
                  <w:r>
                    <w:rPr>
                      <w:b w:val="0"/>
                      <w:bCs w:val="0"/>
                      <w:snapToGrid w:val="0"/>
                      <w:sz w:val="20"/>
                      <w:szCs w:val="20"/>
                    </w:rPr>
                    <w:t>-202</w:t>
                  </w:r>
                  <w:r w:rsidR="00FC39D6">
                    <w:rPr>
                      <w:b w:val="0"/>
                      <w:bCs w:val="0"/>
                      <w:snapToGrid w:val="0"/>
                      <w:sz w:val="20"/>
                      <w:szCs w:val="20"/>
                    </w:rPr>
                    <w:t>5</w:t>
                  </w:r>
                </w:p>
              </w:tc>
            </w:tr>
            <w:tr w:rsidR="00B95A86" w14:paraId="124B0581" w14:textId="77777777" w:rsidTr="00636955">
              <w:tc>
                <w:tcPr>
                  <w:tcW w:w="1764" w:type="dxa"/>
                  <w:vAlign w:val="center"/>
                </w:tcPr>
                <w:p w14:paraId="57B8CFEF" w14:textId="77777777" w:rsidR="00B95A86" w:rsidRDefault="00B95A86" w:rsidP="00946468">
                  <w:pPr>
                    <w:pStyle w:val="DualTxt"/>
                    <w:tabs>
                      <w:tab w:val="clear" w:pos="960"/>
                      <w:tab w:val="clear" w:pos="1915"/>
                      <w:tab w:val="left" w:pos="900"/>
                      <w:tab w:val="left" w:pos="990"/>
                      <w:tab w:val="left" w:pos="1260"/>
                      <w:tab w:val="left" w:pos="1800"/>
                      <w:tab w:val="left" w:pos="8820"/>
                    </w:tabs>
                    <w:spacing w:line="200" w:lineRule="exact"/>
                    <w:ind w:right="540"/>
                    <w:rPr>
                      <w:b w:val="0"/>
                      <w:bCs w:val="0"/>
                      <w:snapToGrid w:val="0"/>
                      <w:sz w:val="20"/>
                      <w:szCs w:val="20"/>
                    </w:rPr>
                  </w:pPr>
                  <w:r>
                    <w:rPr>
                      <w:b w:val="0"/>
                      <w:bCs w:val="0"/>
                      <w:snapToGrid w:val="0"/>
                      <w:sz w:val="20"/>
                      <w:szCs w:val="20"/>
                    </w:rPr>
                    <w:lastRenderedPageBreak/>
                    <w:t>Transitional NCC</w:t>
                  </w:r>
                </w:p>
              </w:tc>
              <w:tc>
                <w:tcPr>
                  <w:tcW w:w="3186" w:type="dxa"/>
                  <w:vAlign w:val="center"/>
                </w:tcPr>
                <w:p w14:paraId="680DF21E" w14:textId="0FB1F075" w:rsidR="00B95A86" w:rsidRDefault="00B95A86" w:rsidP="00946468">
                  <w:pPr>
                    <w:pStyle w:val="DualTxt"/>
                    <w:tabs>
                      <w:tab w:val="clear" w:pos="960"/>
                      <w:tab w:val="clear" w:pos="1915"/>
                      <w:tab w:val="left" w:pos="900"/>
                      <w:tab w:val="left" w:pos="990"/>
                      <w:tab w:val="left" w:pos="1260"/>
                      <w:tab w:val="left" w:pos="1800"/>
                      <w:tab w:val="left" w:pos="8820"/>
                    </w:tabs>
                    <w:spacing w:line="200" w:lineRule="exact"/>
                    <w:ind w:right="540"/>
                    <w:rPr>
                      <w:b w:val="0"/>
                      <w:bCs w:val="0"/>
                      <w:snapToGrid w:val="0"/>
                      <w:sz w:val="20"/>
                      <w:szCs w:val="20"/>
                    </w:rPr>
                  </w:pPr>
                  <w:r>
                    <w:rPr>
                      <w:b w:val="0"/>
                      <w:bCs w:val="0"/>
                      <w:snapToGrid w:val="0"/>
                      <w:sz w:val="20"/>
                      <w:szCs w:val="20"/>
                    </w:rPr>
                    <w:t>Above NCC threshold ($12,</w:t>
                  </w:r>
                  <w:r w:rsidR="00CA0FA4">
                    <w:rPr>
                      <w:b w:val="0"/>
                      <w:bCs w:val="0"/>
                      <w:snapToGrid w:val="0"/>
                      <w:sz w:val="20"/>
                      <w:szCs w:val="20"/>
                    </w:rPr>
                    <w:t>535</w:t>
                  </w:r>
                  <w:r>
                    <w:rPr>
                      <w:b w:val="0"/>
                      <w:bCs w:val="0"/>
                      <w:snapToGrid w:val="0"/>
                      <w:sz w:val="20"/>
                      <w:szCs w:val="20"/>
                    </w:rPr>
                    <w:t>) at biennial update</w:t>
                  </w:r>
                </w:p>
              </w:tc>
              <w:tc>
                <w:tcPr>
                  <w:tcW w:w="3415" w:type="dxa"/>
                  <w:vAlign w:val="center"/>
                </w:tcPr>
                <w:p w14:paraId="7A0E511F" w14:textId="21130B5F" w:rsidR="00B95A86" w:rsidRDefault="00B95A86" w:rsidP="00946468">
                  <w:pPr>
                    <w:pStyle w:val="DualTxt"/>
                    <w:tabs>
                      <w:tab w:val="left" w:pos="900"/>
                      <w:tab w:val="left" w:pos="990"/>
                      <w:tab w:val="left" w:pos="1260"/>
                      <w:tab w:val="left" w:pos="1800"/>
                      <w:tab w:val="left" w:pos="8820"/>
                    </w:tabs>
                    <w:spacing w:line="200" w:lineRule="exact"/>
                    <w:ind w:right="540"/>
                    <w:rPr>
                      <w:b w:val="0"/>
                      <w:bCs w:val="0"/>
                      <w:snapToGrid w:val="0"/>
                      <w:sz w:val="20"/>
                      <w:szCs w:val="20"/>
                    </w:rPr>
                  </w:pPr>
                  <w:r>
                    <w:rPr>
                      <w:b w:val="0"/>
                      <w:bCs w:val="0"/>
                      <w:snapToGrid w:val="0"/>
                      <w:sz w:val="20"/>
                      <w:szCs w:val="20"/>
                    </w:rPr>
                    <w:t>Considered NCC in 202</w:t>
                  </w:r>
                  <w:r w:rsidR="00FC39D6">
                    <w:rPr>
                      <w:b w:val="0"/>
                      <w:bCs w:val="0"/>
                      <w:snapToGrid w:val="0"/>
                      <w:sz w:val="20"/>
                      <w:szCs w:val="20"/>
                    </w:rPr>
                    <w:t>4</w:t>
                  </w:r>
                  <w:r>
                    <w:rPr>
                      <w:b w:val="0"/>
                      <w:bCs w:val="0"/>
                      <w:snapToGrid w:val="0"/>
                      <w:sz w:val="20"/>
                      <w:szCs w:val="20"/>
                    </w:rPr>
                    <w:t>-202</w:t>
                  </w:r>
                  <w:r w:rsidR="00FC39D6">
                    <w:rPr>
                      <w:b w:val="0"/>
                      <w:bCs w:val="0"/>
                      <w:snapToGrid w:val="0"/>
                      <w:sz w:val="20"/>
                      <w:szCs w:val="20"/>
                    </w:rPr>
                    <w:t>5</w:t>
                  </w:r>
                  <w:r>
                    <w:rPr>
                      <w:b w:val="0"/>
                      <w:bCs w:val="0"/>
                      <w:snapToGrid w:val="0"/>
                      <w:sz w:val="20"/>
                      <w:szCs w:val="20"/>
                    </w:rPr>
                    <w:t>; Not eligible for TRAC-1 allocation from 202</w:t>
                  </w:r>
                  <w:r w:rsidR="00FC39D6">
                    <w:rPr>
                      <w:b w:val="0"/>
                      <w:bCs w:val="0"/>
                      <w:snapToGrid w:val="0"/>
                      <w:sz w:val="20"/>
                      <w:szCs w:val="20"/>
                    </w:rPr>
                    <w:t>4</w:t>
                  </w:r>
                  <w:r>
                    <w:rPr>
                      <w:b w:val="0"/>
                      <w:bCs w:val="0"/>
                      <w:snapToGrid w:val="0"/>
                      <w:sz w:val="20"/>
                      <w:szCs w:val="20"/>
                    </w:rPr>
                    <w:t>-202</w:t>
                  </w:r>
                  <w:r w:rsidR="00FC39D6">
                    <w:rPr>
                      <w:b w:val="0"/>
                      <w:bCs w:val="0"/>
                      <w:snapToGrid w:val="0"/>
                      <w:sz w:val="20"/>
                      <w:szCs w:val="20"/>
                    </w:rPr>
                    <w:t>5</w:t>
                  </w:r>
                </w:p>
              </w:tc>
            </w:tr>
          </w:tbl>
          <w:p w14:paraId="631EE76C" w14:textId="77777777" w:rsidR="00B95A86" w:rsidRDefault="00B95A86" w:rsidP="00946468">
            <w:pPr>
              <w:tabs>
                <w:tab w:val="left" w:pos="1260"/>
              </w:tabs>
              <w:jc w:val="both"/>
            </w:pPr>
          </w:p>
          <w:p w14:paraId="7CE173DF" w14:textId="77777777" w:rsidR="00DE500C" w:rsidRDefault="00DE500C" w:rsidP="00B95A86">
            <w:pPr>
              <w:pStyle w:val="DualTxt"/>
              <w:tabs>
                <w:tab w:val="clear" w:pos="960"/>
                <w:tab w:val="clear" w:pos="1440"/>
                <w:tab w:val="clear" w:pos="1915"/>
                <w:tab w:val="left" w:pos="900"/>
                <w:tab w:val="left" w:pos="990"/>
                <w:tab w:val="left" w:pos="1260"/>
                <w:tab w:val="left" w:pos="1800"/>
                <w:tab w:val="left" w:pos="8820"/>
              </w:tabs>
              <w:spacing w:line="200" w:lineRule="exact"/>
              <w:ind w:left="900" w:right="540"/>
              <w:rPr>
                <w:b w:val="0"/>
                <w:bCs w:val="0"/>
                <w:i/>
                <w:iCs/>
                <w:sz w:val="20"/>
                <w:szCs w:val="20"/>
              </w:rPr>
            </w:pPr>
          </w:p>
          <w:p w14:paraId="33A117F7" w14:textId="24D0E4AC" w:rsidR="00B95A86" w:rsidRPr="005253AB" w:rsidRDefault="00B95A86" w:rsidP="00B95A86">
            <w:pPr>
              <w:pStyle w:val="DualTxt"/>
              <w:tabs>
                <w:tab w:val="clear" w:pos="960"/>
                <w:tab w:val="clear" w:pos="1440"/>
                <w:tab w:val="clear" w:pos="1915"/>
                <w:tab w:val="left" w:pos="900"/>
                <w:tab w:val="left" w:pos="990"/>
                <w:tab w:val="left" w:pos="1260"/>
                <w:tab w:val="left" w:pos="1800"/>
                <w:tab w:val="left" w:pos="8820"/>
              </w:tabs>
              <w:spacing w:line="200" w:lineRule="exact"/>
              <w:ind w:left="900" w:right="540"/>
              <w:rPr>
                <w:b w:val="0"/>
                <w:bCs w:val="0"/>
                <w:i/>
                <w:iCs/>
                <w:sz w:val="20"/>
                <w:szCs w:val="20"/>
              </w:rPr>
            </w:pPr>
            <w:r w:rsidRPr="005253AB">
              <w:rPr>
                <w:b w:val="0"/>
                <w:bCs w:val="0"/>
                <w:i/>
                <w:iCs/>
                <w:sz w:val="20"/>
                <w:szCs w:val="20"/>
              </w:rPr>
              <w:t>TRAC-1 calculation</w:t>
            </w:r>
          </w:p>
          <w:p w14:paraId="3BC83497" w14:textId="77777777" w:rsidR="00010333" w:rsidRPr="00F63D5A" w:rsidRDefault="00010333" w:rsidP="00B95A86">
            <w:pPr>
              <w:pStyle w:val="DualTxt"/>
              <w:tabs>
                <w:tab w:val="clear" w:pos="960"/>
                <w:tab w:val="clear" w:pos="1440"/>
                <w:tab w:val="clear" w:pos="1915"/>
                <w:tab w:val="left" w:pos="900"/>
                <w:tab w:val="left" w:pos="990"/>
                <w:tab w:val="left" w:pos="1260"/>
                <w:tab w:val="left" w:pos="1800"/>
                <w:tab w:val="left" w:pos="8820"/>
              </w:tabs>
              <w:spacing w:line="200" w:lineRule="exact"/>
              <w:ind w:left="900" w:right="540"/>
              <w:rPr>
                <w:b w:val="0"/>
                <w:bCs w:val="0"/>
                <w:snapToGrid w:val="0"/>
                <w:sz w:val="20"/>
                <w:szCs w:val="20"/>
                <w:highlight w:val="cyan"/>
              </w:rPr>
            </w:pPr>
          </w:p>
          <w:p w14:paraId="462130A1" w14:textId="77777777" w:rsidR="00B95A86" w:rsidRDefault="00B95A86" w:rsidP="00511232">
            <w:pPr>
              <w:pStyle w:val="SingleTxt"/>
              <w:numPr>
                <w:ilvl w:val="0"/>
                <w:numId w:val="6"/>
              </w:numPr>
              <w:tabs>
                <w:tab w:val="clear" w:pos="1267"/>
                <w:tab w:val="clear" w:pos="1742"/>
                <w:tab w:val="left" w:pos="1170"/>
              </w:tabs>
              <w:ind w:right="0"/>
              <w:rPr>
                <w:rFonts w:eastAsia="MS Mincho"/>
                <w:spacing w:val="0"/>
                <w:w w:val="100"/>
                <w:kern w:val="0"/>
                <w:lang w:val="en-US" w:eastAsia="ja-JP"/>
              </w:rPr>
            </w:pPr>
            <w:r w:rsidRPr="00010333">
              <w:rPr>
                <w:rFonts w:eastAsia="MS Mincho"/>
                <w:spacing w:val="0"/>
                <w:w w:val="100"/>
                <w:kern w:val="0"/>
                <w:lang w:val="en-US" w:eastAsia="ja-JP"/>
              </w:rPr>
              <w:t>The first step is to calculate average GNI per capita and population weights of individual countries in accordance with the approved weighting systems. The lower the average GNI per capita, the higher the weight assigned. A population weight is also calculated where a higher population weight is assigned to countries with higher population.</w:t>
            </w:r>
          </w:p>
          <w:p w14:paraId="733A3219" w14:textId="74940BF5" w:rsidR="00511232" w:rsidRPr="009D040E" w:rsidRDefault="00511232" w:rsidP="00511232">
            <w:pPr>
              <w:pStyle w:val="SingleTxt"/>
              <w:numPr>
                <w:ilvl w:val="0"/>
                <w:numId w:val="6"/>
              </w:numPr>
              <w:tabs>
                <w:tab w:val="left" w:pos="810"/>
                <w:tab w:val="left" w:pos="1170"/>
              </w:tabs>
              <w:spacing w:after="240"/>
              <w:ind w:right="90"/>
              <w:rPr>
                <w:rFonts w:eastAsia="MS Mincho"/>
              </w:rPr>
            </w:pPr>
            <w:r w:rsidRPr="009D040E">
              <w:rPr>
                <w:rFonts w:eastAsia="MS Mincho"/>
              </w:rPr>
              <w:t xml:space="preserve">The second step is to determine the country’s basic share in the total resource pool. This is done by multiplying the GNI per capita </w:t>
            </w:r>
            <w:r w:rsidR="00502165">
              <w:rPr>
                <w:rFonts w:eastAsia="MS Mincho"/>
              </w:rPr>
              <w:t xml:space="preserve">weights </w:t>
            </w:r>
            <w:r w:rsidR="00B95A86" w:rsidRPr="009D040E">
              <w:rPr>
                <w:rFonts w:eastAsia="MS Mincho"/>
              </w:rPr>
              <w:t xml:space="preserve">by </w:t>
            </w:r>
            <w:r w:rsidR="00502165">
              <w:rPr>
                <w:rFonts w:eastAsia="MS Mincho"/>
              </w:rPr>
              <w:t xml:space="preserve">the </w:t>
            </w:r>
            <w:r w:rsidRPr="009D040E">
              <w:rPr>
                <w:rFonts w:eastAsia="MS Mincho"/>
              </w:rPr>
              <w:t>population weights. The country’s preliminary TRAC-1 share is equal to its basic weight (product of the GNI and population weights) divided by the sum of the basic weights of all countries.</w:t>
            </w:r>
          </w:p>
          <w:p w14:paraId="1AA0DF79" w14:textId="77777777" w:rsidR="00511232" w:rsidRPr="009D040E" w:rsidRDefault="00511232" w:rsidP="00511232">
            <w:pPr>
              <w:pStyle w:val="SingleTxt"/>
              <w:numPr>
                <w:ilvl w:val="0"/>
                <w:numId w:val="6"/>
              </w:numPr>
              <w:tabs>
                <w:tab w:val="left" w:pos="810"/>
                <w:tab w:val="left" w:pos="1170"/>
              </w:tabs>
              <w:spacing w:after="240"/>
              <w:ind w:right="90"/>
              <w:rPr>
                <w:rFonts w:eastAsia="MS Mincho"/>
              </w:rPr>
            </w:pPr>
            <w:r w:rsidRPr="009D040E">
              <w:rPr>
                <w:rFonts w:eastAsia="MS Mincho"/>
              </w:rPr>
              <w:t>The third step is to make certain that the basic TRAC-1 earmarking of the country does not fall short of the floor mandated by the Executive Board.</w:t>
            </w:r>
          </w:p>
          <w:p w14:paraId="28A9D823" w14:textId="77777777" w:rsidR="00511232" w:rsidRPr="009D040E" w:rsidRDefault="00511232" w:rsidP="00511232">
            <w:pPr>
              <w:pStyle w:val="SingleTxt"/>
              <w:numPr>
                <w:ilvl w:val="0"/>
                <w:numId w:val="6"/>
              </w:numPr>
              <w:tabs>
                <w:tab w:val="left" w:pos="810"/>
                <w:tab w:val="left" w:pos="1170"/>
              </w:tabs>
              <w:spacing w:after="240"/>
              <w:ind w:right="90"/>
              <w:rPr>
                <w:rFonts w:eastAsia="MS Mincho"/>
              </w:rPr>
            </w:pPr>
            <w:r w:rsidRPr="009D040E">
              <w:rPr>
                <w:rFonts w:eastAsia="MS Mincho"/>
              </w:rPr>
              <w:t>The floor or predictability concept ensures that a country receives at least a certain percentage of its TRAC-1 earmarking in the previous financial period.</w:t>
            </w:r>
            <w:r>
              <w:rPr>
                <w:rFonts w:eastAsia="MS Mincho"/>
              </w:rPr>
              <w:t xml:space="preserve"> </w:t>
            </w:r>
            <w:r>
              <w:t>I</w:t>
            </w:r>
            <w:r w:rsidRPr="009D040E">
              <w:t>f</w:t>
            </w:r>
            <w:r w:rsidRPr="009D040E">
              <w:rPr>
                <w:rFonts w:eastAsia="MS Mincho"/>
              </w:rPr>
              <w:t xml:space="preserve"> its basic TRAC-1 earmarking is lower than the floor amount, a floor supplement is added to the basic TRAC-1 earmarking to make up for the difference.</w:t>
            </w:r>
          </w:p>
          <w:p w14:paraId="16D56C84" w14:textId="77777777" w:rsidR="00511232" w:rsidRDefault="00511232" w:rsidP="00511232">
            <w:pPr>
              <w:pStyle w:val="SingleTxt"/>
              <w:numPr>
                <w:ilvl w:val="0"/>
                <w:numId w:val="6"/>
              </w:numPr>
              <w:tabs>
                <w:tab w:val="left" w:pos="810"/>
                <w:tab w:val="left" w:pos="1170"/>
              </w:tabs>
              <w:spacing w:after="240"/>
              <w:ind w:right="90"/>
              <w:rPr>
                <w:rFonts w:eastAsia="MS Mincho"/>
              </w:rPr>
            </w:pPr>
            <w:r w:rsidRPr="009D040E">
              <w:rPr>
                <w:rFonts w:eastAsia="MS Mincho"/>
              </w:rPr>
              <w:t>The fourth step is to take the highest of (a) the basic TRAC-1 calculated in the second step, or (b) the TRAC-1 floor calculated in the third step, or (c) the minimum TRAC-1 allocation, per Executive Board decision 2012/28, as the final TRAC 1 allocation.</w:t>
            </w:r>
          </w:p>
          <w:p w14:paraId="4596E317" w14:textId="0BAE117C" w:rsidR="00C40623" w:rsidRPr="00511232" w:rsidRDefault="00511232" w:rsidP="00511232">
            <w:pPr>
              <w:pStyle w:val="SingleTxt"/>
              <w:numPr>
                <w:ilvl w:val="0"/>
                <w:numId w:val="6"/>
              </w:numPr>
              <w:tabs>
                <w:tab w:val="left" w:pos="810"/>
                <w:tab w:val="left" w:pos="1170"/>
              </w:tabs>
              <w:spacing w:after="240"/>
              <w:ind w:right="90"/>
            </w:pPr>
            <w:r w:rsidRPr="009D040E">
              <w:t xml:space="preserve">It should be noted that the overall effect is that a country with a lower per capita GNI, higher population or LDC status receives a greater TRAC-1 </w:t>
            </w:r>
            <w:r>
              <w:t>allocation</w:t>
            </w:r>
            <w:r w:rsidRPr="009D040E">
              <w:t xml:space="preserve"> than a country with a higher per capita GNI, lower population or non-LDC status.</w:t>
            </w:r>
          </w:p>
          <w:p w14:paraId="2900ADB3" w14:textId="77777777" w:rsidR="00DE500C" w:rsidRDefault="00DE500C" w:rsidP="00B04A31">
            <w:pPr>
              <w:pStyle w:val="DualTxt"/>
              <w:tabs>
                <w:tab w:val="clear" w:pos="960"/>
                <w:tab w:val="clear" w:pos="1440"/>
                <w:tab w:val="clear" w:pos="1915"/>
                <w:tab w:val="left" w:pos="900"/>
                <w:tab w:val="left" w:pos="990"/>
                <w:tab w:val="left" w:pos="1260"/>
                <w:tab w:val="left" w:pos="1800"/>
                <w:tab w:val="left" w:pos="8820"/>
              </w:tabs>
              <w:spacing w:line="200" w:lineRule="exact"/>
              <w:ind w:left="900" w:right="540"/>
              <w:rPr>
                <w:b w:val="0"/>
                <w:bCs w:val="0"/>
                <w:i/>
                <w:iCs/>
                <w:sz w:val="20"/>
                <w:szCs w:val="20"/>
              </w:rPr>
            </w:pPr>
          </w:p>
          <w:p w14:paraId="042BAB6E" w14:textId="70272699" w:rsidR="005253AB" w:rsidRDefault="005253AB" w:rsidP="00B04A31">
            <w:pPr>
              <w:pStyle w:val="DualTxt"/>
              <w:tabs>
                <w:tab w:val="clear" w:pos="960"/>
                <w:tab w:val="clear" w:pos="1440"/>
                <w:tab w:val="clear" w:pos="1915"/>
                <w:tab w:val="left" w:pos="900"/>
                <w:tab w:val="left" w:pos="990"/>
                <w:tab w:val="left" w:pos="1260"/>
                <w:tab w:val="left" w:pos="1800"/>
                <w:tab w:val="left" w:pos="8820"/>
              </w:tabs>
              <w:spacing w:line="200" w:lineRule="exact"/>
              <w:ind w:left="900" w:right="540"/>
              <w:rPr>
                <w:b w:val="0"/>
                <w:bCs w:val="0"/>
                <w:i/>
                <w:iCs/>
                <w:sz w:val="20"/>
                <w:szCs w:val="20"/>
              </w:rPr>
            </w:pPr>
            <w:r w:rsidRPr="00B04A31">
              <w:rPr>
                <w:b w:val="0"/>
                <w:bCs w:val="0"/>
                <w:i/>
                <w:iCs/>
                <w:sz w:val="20"/>
                <w:szCs w:val="20"/>
              </w:rPr>
              <w:t>TRAC-2 and TRAC-3 calculation</w:t>
            </w:r>
          </w:p>
          <w:p w14:paraId="741DF228" w14:textId="77777777" w:rsidR="00B04A31" w:rsidRPr="00B04A31" w:rsidRDefault="00B04A31" w:rsidP="00B04A31">
            <w:pPr>
              <w:pStyle w:val="DualTxt"/>
              <w:tabs>
                <w:tab w:val="clear" w:pos="960"/>
                <w:tab w:val="clear" w:pos="1440"/>
                <w:tab w:val="clear" w:pos="1915"/>
                <w:tab w:val="left" w:pos="900"/>
                <w:tab w:val="left" w:pos="990"/>
                <w:tab w:val="left" w:pos="1260"/>
                <w:tab w:val="left" w:pos="1800"/>
                <w:tab w:val="left" w:pos="8820"/>
              </w:tabs>
              <w:spacing w:line="200" w:lineRule="exact"/>
              <w:ind w:left="900" w:right="540"/>
              <w:rPr>
                <w:b w:val="0"/>
                <w:bCs w:val="0"/>
                <w:i/>
                <w:iCs/>
                <w:sz w:val="20"/>
                <w:szCs w:val="20"/>
              </w:rPr>
            </w:pPr>
          </w:p>
          <w:p w14:paraId="1A5C5EB3" w14:textId="4D8C431C" w:rsidR="005253AB" w:rsidRPr="002B7CC8" w:rsidRDefault="005253AB" w:rsidP="005253AB">
            <w:pPr>
              <w:pStyle w:val="SingleTxt"/>
              <w:numPr>
                <w:ilvl w:val="0"/>
                <w:numId w:val="1"/>
              </w:numPr>
              <w:tabs>
                <w:tab w:val="left" w:pos="810"/>
                <w:tab w:val="left" w:pos="1170"/>
              </w:tabs>
              <w:spacing w:after="240"/>
              <w:ind w:right="90"/>
              <w:rPr>
                <w:rFonts w:eastAsia="MS Mincho"/>
              </w:rPr>
            </w:pPr>
            <w:r w:rsidRPr="76337C62">
              <w:rPr>
                <w:rFonts w:eastAsia="MS Mincho"/>
              </w:rPr>
              <w:t xml:space="preserve">TRAC-2 was designed to provide </w:t>
            </w:r>
            <w:r w:rsidR="25B3C4D0" w:rsidRPr="76337C62">
              <w:rPr>
                <w:rFonts w:eastAsia="MS Mincho"/>
              </w:rPr>
              <w:t>UNDP</w:t>
            </w:r>
            <w:r w:rsidRPr="76337C62">
              <w:rPr>
                <w:rFonts w:eastAsia="MS Mincho"/>
              </w:rPr>
              <w:t xml:space="preserve"> with the flexibility to allocate regular programme resources to high-impact, high-leverage and high-quality programme activities and to help UNDP to respond effectively to differentiated country needs (decision 2013/4). From a substantive perspective, TRAC-2 resources are considered fully fungible with TRAC-1 resources. They are allocated, on non-formula-based criteria, in line with regional TRAC-1 allocations, with the flexibility of transferring up to 10 per cent of TRAC-2 resource assignments between regions.</w:t>
            </w:r>
          </w:p>
          <w:p w14:paraId="64A9B44B" w14:textId="77777777" w:rsidR="005253AB" w:rsidRPr="002B7CC8" w:rsidRDefault="005253AB" w:rsidP="005253AB">
            <w:pPr>
              <w:pStyle w:val="SingleTxt"/>
              <w:numPr>
                <w:ilvl w:val="0"/>
                <w:numId w:val="1"/>
              </w:numPr>
              <w:tabs>
                <w:tab w:val="left" w:pos="810"/>
                <w:tab w:val="left" w:pos="1170"/>
              </w:tabs>
              <w:spacing w:after="240"/>
              <w:ind w:right="90"/>
            </w:pPr>
            <w:r w:rsidRPr="002B7CC8">
              <w:t>TRAC-2 resources are allocated in line with existing percentage allocation ranges for TRAC-</w:t>
            </w:r>
            <w:r>
              <w:t>1.</w:t>
            </w:r>
          </w:p>
          <w:p w14:paraId="5D769515" w14:textId="77777777" w:rsidR="005253AB" w:rsidRPr="002B7CC8" w:rsidRDefault="005253AB" w:rsidP="005253AB">
            <w:pPr>
              <w:pStyle w:val="SingleTxt"/>
              <w:numPr>
                <w:ilvl w:val="0"/>
                <w:numId w:val="1"/>
              </w:numPr>
              <w:tabs>
                <w:tab w:val="left" w:pos="810"/>
                <w:tab w:val="left" w:pos="1170"/>
              </w:tabs>
              <w:spacing w:after="240"/>
              <w:ind w:right="90"/>
              <w:rPr>
                <w:rFonts w:eastAsia="MS Mincho"/>
              </w:rPr>
            </w:pPr>
            <w:r w:rsidRPr="002B7CC8">
              <w:rPr>
                <w:rFonts w:eastAsia="MS Mincho"/>
              </w:rPr>
              <w:t>TRAC-3 was established to provide UNDP with the capacity to respond quickly and flexibly to the development needs of countries affected by conflicts and natural disasters. More frequent and more severe natural disasters, and the continuing challenge of conflict and armed violence in many developing countries, risk bringing significant damage to nations, lives and livelihoods.</w:t>
            </w:r>
          </w:p>
          <w:p w14:paraId="29423FCA" w14:textId="77777777" w:rsidR="005253AB" w:rsidRPr="002B7CC8" w:rsidRDefault="005253AB" w:rsidP="005253AB">
            <w:pPr>
              <w:pStyle w:val="SingleTxt"/>
              <w:numPr>
                <w:ilvl w:val="0"/>
                <w:numId w:val="1"/>
              </w:numPr>
              <w:tabs>
                <w:tab w:val="left" w:pos="810"/>
                <w:tab w:val="left" w:pos="1170"/>
              </w:tabs>
              <w:spacing w:after="240"/>
              <w:ind w:right="90"/>
              <w:rPr>
                <w:rFonts w:eastAsia="MS Mincho"/>
              </w:rPr>
            </w:pPr>
            <w:r w:rsidRPr="002B7CC8">
              <w:rPr>
                <w:rFonts w:eastAsia="MS Mincho"/>
              </w:rPr>
              <w:t xml:space="preserve">TRAC-3 is the only core facility of UNDP for immediate action when crisis risks emerge, or when a crisis occurs. It is a demand-driven mechanism which enables the organization to quickly bring policy advice, technical expertise, and catalytic programmatic funding to bear at the country level for a comprehensive, coherent response. With efforts to refocus on assisting countries in building resilience so that they can sustain their development gains in the face of external shocks, TRAC-3 resources enable UNDP to be well positioned to </w:t>
            </w:r>
            <w:proofErr w:type="spellStart"/>
            <w:r w:rsidRPr="002B7CC8">
              <w:rPr>
                <w:rFonts w:eastAsia="MS Mincho"/>
              </w:rPr>
              <w:t>analyze</w:t>
            </w:r>
            <w:proofErr w:type="spellEnd"/>
            <w:r w:rsidRPr="002B7CC8">
              <w:rPr>
                <w:rFonts w:eastAsia="MS Mincho"/>
              </w:rPr>
              <w:t xml:space="preserve"> early warnings, advocate for and influence policies for crisis risk </w:t>
            </w:r>
            <w:r w:rsidRPr="002B7CC8">
              <w:rPr>
                <w:rFonts w:eastAsia="MS Mincho"/>
              </w:rPr>
              <w:lastRenderedPageBreak/>
              <w:t>reduction and conflict prevention, and implement quick recovery interventions as early in the humanitarian phase as possible.</w:t>
            </w:r>
          </w:p>
          <w:p w14:paraId="3AC2D66A" w14:textId="77777777" w:rsidR="00B95A86" w:rsidRDefault="00B95A86" w:rsidP="3CA481E0">
            <w:pPr>
              <w:pStyle w:val="DualTxt"/>
              <w:tabs>
                <w:tab w:val="clear" w:pos="960"/>
                <w:tab w:val="clear" w:pos="1440"/>
                <w:tab w:val="clear" w:pos="1915"/>
                <w:tab w:val="left" w:pos="900"/>
                <w:tab w:val="left" w:pos="990"/>
                <w:tab w:val="left" w:pos="1260"/>
                <w:tab w:val="left" w:pos="1800"/>
                <w:tab w:val="left" w:pos="8820"/>
              </w:tabs>
              <w:ind w:left="900" w:right="540"/>
              <w:rPr>
                <w:i/>
                <w:iCs/>
                <w:sz w:val="20"/>
                <w:szCs w:val="20"/>
              </w:rPr>
            </w:pPr>
            <w:r w:rsidRPr="0029161C">
              <w:rPr>
                <w:i/>
                <w:iCs/>
                <w:sz w:val="20"/>
                <w:szCs w:val="20"/>
              </w:rPr>
              <w:t>Other lines</w:t>
            </w:r>
          </w:p>
          <w:p w14:paraId="1E4F7F1E" w14:textId="77777777" w:rsidR="00DE500C" w:rsidRPr="00D650FB" w:rsidRDefault="00DE500C" w:rsidP="3CA481E0">
            <w:pPr>
              <w:pStyle w:val="DualTxt"/>
              <w:tabs>
                <w:tab w:val="clear" w:pos="960"/>
                <w:tab w:val="clear" w:pos="1440"/>
                <w:tab w:val="clear" w:pos="1915"/>
                <w:tab w:val="left" w:pos="900"/>
                <w:tab w:val="left" w:pos="990"/>
                <w:tab w:val="left" w:pos="1260"/>
                <w:tab w:val="left" w:pos="1800"/>
                <w:tab w:val="left" w:pos="8820"/>
              </w:tabs>
              <w:ind w:left="900" w:right="540"/>
              <w:rPr>
                <w:snapToGrid w:val="0"/>
              </w:rPr>
            </w:pPr>
          </w:p>
          <w:p w14:paraId="5FA8782C" w14:textId="77777777" w:rsidR="00B95A86" w:rsidRPr="008C7224" w:rsidRDefault="00B95A86" w:rsidP="00511232">
            <w:pPr>
              <w:pStyle w:val="SingleTxt"/>
              <w:numPr>
                <w:ilvl w:val="0"/>
                <w:numId w:val="6"/>
              </w:numPr>
              <w:tabs>
                <w:tab w:val="clear" w:pos="1267"/>
                <w:tab w:val="clear" w:pos="1742"/>
                <w:tab w:val="left" w:pos="1170"/>
              </w:tabs>
              <w:ind w:right="0"/>
              <w:rPr>
                <w:rFonts w:eastAsia="MS Mincho"/>
                <w:spacing w:val="0"/>
                <w:w w:val="100"/>
                <w:kern w:val="0"/>
                <w:lang w:val="en-US" w:eastAsia="ja-JP"/>
              </w:rPr>
            </w:pPr>
            <w:r w:rsidRPr="008C7224">
              <w:rPr>
                <w:rFonts w:eastAsia="MS Mincho"/>
                <w:spacing w:val="0"/>
                <w:w w:val="100"/>
                <w:kern w:val="0"/>
                <w:lang w:val="en-US" w:eastAsia="ja-JP"/>
              </w:rPr>
              <w:t>The Programme of Assistance to the Palestinian People is a unique programme with funding arrangements that cover programmatic activities to support a specific group of people, in contrast to traditional country or regional programmes.</w:t>
            </w:r>
          </w:p>
          <w:p w14:paraId="5D171DC1" w14:textId="04AE070F" w:rsidR="008365FE" w:rsidRPr="008C7224" w:rsidRDefault="008365FE" w:rsidP="00511232">
            <w:pPr>
              <w:pStyle w:val="SingleTxt"/>
              <w:numPr>
                <w:ilvl w:val="0"/>
                <w:numId w:val="6"/>
              </w:numPr>
              <w:tabs>
                <w:tab w:val="clear" w:pos="1267"/>
                <w:tab w:val="clear" w:pos="1742"/>
                <w:tab w:val="left" w:pos="1170"/>
              </w:tabs>
              <w:ind w:right="0"/>
              <w:rPr>
                <w:rFonts w:eastAsia="MS Mincho"/>
                <w:spacing w:val="0"/>
                <w:w w:val="100"/>
                <w:kern w:val="0"/>
                <w:lang w:val="en-US" w:eastAsia="ja-JP"/>
              </w:rPr>
            </w:pPr>
            <w:r w:rsidRPr="008C7224">
              <w:rPr>
                <w:rFonts w:eastAsia="MS Mincho"/>
                <w:spacing w:val="0"/>
                <w:w w:val="100"/>
                <w:kern w:val="0"/>
                <w:lang w:val="en-US" w:eastAsia="ja-JP"/>
              </w:rPr>
              <w:t xml:space="preserve">Support to the resident coordinator </w:t>
            </w:r>
            <w:r w:rsidR="0014426A">
              <w:rPr>
                <w:rFonts w:eastAsia="MS Mincho"/>
                <w:spacing w:val="0"/>
                <w:w w:val="100"/>
                <w:kern w:val="0"/>
                <w:lang w:val="en-US" w:eastAsia="ja-JP"/>
              </w:rPr>
              <w:t>line</w:t>
            </w:r>
            <w:r w:rsidR="00107014">
              <w:rPr>
                <w:rFonts w:eastAsia="MS Mincho"/>
                <w:spacing w:val="0"/>
                <w:w w:val="100"/>
                <w:kern w:val="0"/>
                <w:lang w:val="en-US" w:eastAsia="ja-JP"/>
              </w:rPr>
              <w:t xml:space="preserve"> </w:t>
            </w:r>
            <w:r w:rsidRPr="008C7224">
              <w:rPr>
                <w:rFonts w:eastAsia="MS Mincho"/>
                <w:spacing w:val="0"/>
                <w:w w:val="100"/>
                <w:kern w:val="0"/>
                <w:lang w:val="en-US" w:eastAsia="ja-JP"/>
              </w:rPr>
              <w:t xml:space="preserve">is aimed </w:t>
            </w:r>
            <w:r w:rsidR="0014426A">
              <w:rPr>
                <w:rFonts w:eastAsia="MS Mincho"/>
                <w:spacing w:val="0"/>
                <w:w w:val="100"/>
                <w:kern w:val="0"/>
                <w:lang w:val="en-US" w:eastAsia="ja-JP"/>
              </w:rPr>
              <w:t>to support</w:t>
            </w:r>
            <w:r w:rsidRPr="008C7224">
              <w:rPr>
                <w:rFonts w:eastAsia="MS Mincho"/>
                <w:spacing w:val="0"/>
                <w:w w:val="100"/>
                <w:kern w:val="0"/>
                <w:lang w:val="en-US" w:eastAsia="ja-JP"/>
              </w:rPr>
              <w:t xml:space="preserve"> </w:t>
            </w:r>
            <w:r w:rsidR="008A5471">
              <w:rPr>
                <w:rFonts w:eastAsia="MS Mincho"/>
                <w:spacing w:val="0"/>
                <w:w w:val="100"/>
                <w:kern w:val="0"/>
                <w:lang w:val="en-US" w:eastAsia="ja-JP"/>
              </w:rPr>
              <w:t xml:space="preserve">the </w:t>
            </w:r>
            <w:r w:rsidRPr="008C7224">
              <w:rPr>
                <w:rFonts w:eastAsia="MS Mincho"/>
                <w:spacing w:val="0"/>
                <w:w w:val="100"/>
                <w:kern w:val="0"/>
                <w:lang w:val="en-US" w:eastAsia="ja-JP"/>
              </w:rPr>
              <w:t xml:space="preserve">United Nations </w:t>
            </w:r>
            <w:r w:rsidR="0014426A">
              <w:rPr>
                <w:rFonts w:eastAsia="MS Mincho"/>
                <w:spacing w:val="0"/>
                <w:w w:val="100"/>
                <w:kern w:val="0"/>
                <w:lang w:val="en-US" w:eastAsia="ja-JP"/>
              </w:rPr>
              <w:t xml:space="preserve">resident coordinator </w:t>
            </w:r>
            <w:r w:rsidRPr="008C7224">
              <w:rPr>
                <w:rFonts w:eastAsia="MS Mincho"/>
                <w:spacing w:val="0"/>
                <w:w w:val="100"/>
                <w:kern w:val="0"/>
                <w:lang w:val="en-US" w:eastAsia="ja-JP"/>
              </w:rPr>
              <w:t>system</w:t>
            </w:r>
            <w:r w:rsidR="00E439EE">
              <w:rPr>
                <w:rFonts w:eastAsia="MS Mincho"/>
                <w:spacing w:val="0"/>
                <w:w w:val="100"/>
                <w:kern w:val="0"/>
                <w:lang w:val="en-US" w:eastAsia="ja-JP"/>
              </w:rPr>
              <w:t>.</w:t>
            </w:r>
          </w:p>
          <w:p w14:paraId="5ADD52EC" w14:textId="4DA4D42A" w:rsidR="00B95A86" w:rsidRPr="008C7224" w:rsidRDefault="00B95A86" w:rsidP="00511232">
            <w:pPr>
              <w:pStyle w:val="SingleTxt"/>
              <w:numPr>
                <w:ilvl w:val="0"/>
                <w:numId w:val="6"/>
              </w:numPr>
              <w:tabs>
                <w:tab w:val="clear" w:pos="1267"/>
                <w:tab w:val="clear" w:pos="1742"/>
                <w:tab w:val="left" w:pos="1170"/>
              </w:tabs>
              <w:ind w:right="0"/>
              <w:rPr>
                <w:rFonts w:eastAsia="MS Mincho"/>
                <w:spacing w:val="0"/>
                <w:w w:val="100"/>
                <w:kern w:val="0"/>
                <w:lang w:val="en-US" w:eastAsia="ja-JP"/>
              </w:rPr>
            </w:pPr>
            <w:r w:rsidRPr="008C7224">
              <w:rPr>
                <w:rFonts w:eastAsia="MS Mincho"/>
                <w:spacing w:val="0"/>
                <w:w w:val="100"/>
                <w:kern w:val="0"/>
                <w:lang w:val="en-US" w:eastAsia="ja-JP"/>
              </w:rPr>
              <w:t>Regional programmes will be designed in line with the strategic plan and the results and resources framework. Further details will be formally discussed with the Executive Board at its first regular session 20</w:t>
            </w:r>
            <w:r w:rsidR="00892FDB">
              <w:rPr>
                <w:rFonts w:eastAsia="MS Mincho"/>
                <w:spacing w:val="0"/>
                <w:w w:val="100"/>
                <w:kern w:val="0"/>
                <w:lang w:val="en-US" w:eastAsia="ja-JP"/>
              </w:rPr>
              <w:t>22</w:t>
            </w:r>
            <w:r w:rsidRPr="008C7224">
              <w:rPr>
                <w:rFonts w:eastAsia="MS Mincho"/>
                <w:spacing w:val="0"/>
                <w:w w:val="100"/>
                <w:kern w:val="0"/>
                <w:lang w:val="en-US" w:eastAsia="ja-JP"/>
              </w:rPr>
              <w:t xml:space="preserve">.                     </w:t>
            </w:r>
          </w:p>
          <w:p w14:paraId="77C31175" w14:textId="77777777" w:rsidR="00B95A86" w:rsidRPr="008C7224" w:rsidRDefault="00B95A86" w:rsidP="00511232">
            <w:pPr>
              <w:pStyle w:val="SingleTxt"/>
              <w:numPr>
                <w:ilvl w:val="0"/>
                <w:numId w:val="6"/>
              </w:numPr>
              <w:tabs>
                <w:tab w:val="clear" w:pos="1267"/>
                <w:tab w:val="clear" w:pos="1742"/>
                <w:tab w:val="left" w:pos="1170"/>
              </w:tabs>
              <w:ind w:right="0"/>
              <w:rPr>
                <w:rFonts w:eastAsia="MS Mincho"/>
                <w:spacing w:val="0"/>
                <w:w w:val="100"/>
                <w:kern w:val="0"/>
                <w:lang w:val="en-US" w:eastAsia="ja-JP"/>
              </w:rPr>
            </w:pPr>
            <w:r w:rsidRPr="008C7224">
              <w:rPr>
                <w:rFonts w:eastAsia="MS Mincho"/>
                <w:spacing w:val="0"/>
                <w:w w:val="100"/>
                <w:kern w:val="0"/>
                <w:lang w:val="en-US" w:eastAsia="ja-JP"/>
              </w:rPr>
              <w:t xml:space="preserve">The Regional Programme (regional window) provides support for inter-country cooperation in all five regions in response to development priorities and challenges. These resources help countries learn from each other’s experiences, and address problems that transcend national boundaries, contributing to the achievement of national development priorities. Programme objectives vary in line with cross country needs and </w:t>
            </w:r>
            <w:r w:rsidR="00FE3E87" w:rsidRPr="008C7224">
              <w:rPr>
                <w:rFonts w:eastAsia="MS Mincho"/>
                <w:spacing w:val="0"/>
                <w:w w:val="100"/>
                <w:kern w:val="0"/>
                <w:lang w:val="en-US" w:eastAsia="ja-JP"/>
              </w:rPr>
              <w:t xml:space="preserve">regional </w:t>
            </w:r>
            <w:r w:rsidRPr="008C7224">
              <w:rPr>
                <w:rFonts w:eastAsia="MS Mincho"/>
                <w:spacing w:val="0"/>
                <w:w w:val="100"/>
                <w:kern w:val="0"/>
                <w:lang w:val="en-US" w:eastAsia="ja-JP"/>
              </w:rPr>
              <w:t xml:space="preserve">priorities. </w:t>
            </w:r>
          </w:p>
          <w:p w14:paraId="11819AA9" w14:textId="77777777" w:rsidR="00B95A86" w:rsidRPr="008C7224" w:rsidRDefault="00B95A86" w:rsidP="00511232">
            <w:pPr>
              <w:pStyle w:val="SingleTxt"/>
              <w:numPr>
                <w:ilvl w:val="0"/>
                <w:numId w:val="6"/>
              </w:numPr>
              <w:tabs>
                <w:tab w:val="clear" w:pos="1267"/>
                <w:tab w:val="clear" w:pos="1742"/>
                <w:tab w:val="left" w:pos="1170"/>
              </w:tabs>
              <w:ind w:right="0"/>
              <w:rPr>
                <w:rFonts w:eastAsia="MS Mincho"/>
                <w:spacing w:val="0"/>
                <w:w w:val="100"/>
                <w:kern w:val="0"/>
                <w:lang w:val="en-US" w:eastAsia="ja-JP"/>
              </w:rPr>
            </w:pPr>
            <w:r w:rsidRPr="008C7224">
              <w:rPr>
                <w:rFonts w:eastAsia="MS Mincho"/>
                <w:spacing w:val="0"/>
                <w:w w:val="100"/>
                <w:kern w:val="0"/>
                <w:lang w:val="en-US" w:eastAsia="ja-JP"/>
              </w:rPr>
              <w:t xml:space="preserve">The </w:t>
            </w:r>
            <w:r w:rsidR="004873DF" w:rsidRPr="008C7224">
              <w:rPr>
                <w:rFonts w:eastAsia="MS Mincho"/>
                <w:spacing w:val="0"/>
                <w:w w:val="100"/>
                <w:kern w:val="0"/>
                <w:lang w:val="en-US" w:eastAsia="ja-JP"/>
              </w:rPr>
              <w:t>G</w:t>
            </w:r>
            <w:r w:rsidRPr="008C7224">
              <w:rPr>
                <w:rFonts w:eastAsia="MS Mincho"/>
                <w:spacing w:val="0"/>
                <w:w w:val="100"/>
                <w:kern w:val="0"/>
                <w:lang w:val="en-US" w:eastAsia="ja-JP"/>
              </w:rPr>
              <w:t>lobal window comprises of a</w:t>
            </w:r>
            <w:r w:rsidR="00B737E7" w:rsidRPr="008C7224">
              <w:rPr>
                <w:rFonts w:eastAsia="MS Mincho"/>
                <w:spacing w:val="0"/>
                <w:w w:val="100"/>
                <w:kern w:val="0"/>
                <w:lang w:val="en-US" w:eastAsia="ja-JP"/>
              </w:rPr>
              <w:t xml:space="preserve"> resource facility</w:t>
            </w:r>
            <w:r w:rsidRPr="008C7224">
              <w:rPr>
                <w:rFonts w:eastAsia="MS Mincho"/>
                <w:spacing w:val="0"/>
                <w:w w:val="100"/>
                <w:kern w:val="0"/>
                <w:lang w:val="en-US" w:eastAsia="ja-JP"/>
              </w:rPr>
              <w:t xml:space="preserve"> that finances the Human Development Report Office, which supports global advocacy for human development by helping programme countries incorporate human development into programmes and policies.</w:t>
            </w:r>
          </w:p>
          <w:p w14:paraId="34170143" w14:textId="77777777" w:rsidR="00B95A86" w:rsidRPr="00FF1157" w:rsidRDefault="00B95A86" w:rsidP="00D67265">
            <w:pPr>
              <w:pStyle w:val="DualTxt"/>
              <w:tabs>
                <w:tab w:val="clear" w:pos="960"/>
                <w:tab w:val="clear" w:pos="1915"/>
                <w:tab w:val="left" w:pos="900"/>
                <w:tab w:val="left" w:pos="990"/>
                <w:tab w:val="left" w:pos="1260"/>
                <w:tab w:val="left" w:pos="1800"/>
                <w:tab w:val="left" w:pos="8820"/>
              </w:tabs>
              <w:spacing w:line="200" w:lineRule="exact"/>
              <w:ind w:left="360" w:right="547"/>
              <w:rPr>
                <w:rFonts w:eastAsia="Calibri"/>
                <w:sz w:val="36"/>
              </w:rPr>
            </w:pPr>
          </w:p>
          <w:p w14:paraId="71984632" w14:textId="77A996FF" w:rsidR="009F4E56" w:rsidRDefault="00CD69AD" w:rsidP="00FF1157">
            <w:pPr>
              <w:pStyle w:val="DualTxt"/>
              <w:tabs>
                <w:tab w:val="clear" w:pos="960"/>
                <w:tab w:val="clear" w:pos="1915"/>
                <w:tab w:val="left" w:pos="900"/>
                <w:tab w:val="left" w:pos="990"/>
                <w:tab w:val="left" w:pos="1260"/>
                <w:tab w:val="left" w:pos="1800"/>
                <w:tab w:val="left" w:pos="8820"/>
              </w:tabs>
              <w:spacing w:line="200" w:lineRule="exact"/>
              <w:ind w:right="547"/>
              <w:rPr>
                <w:bCs w:val="0"/>
                <w:szCs w:val="20"/>
              </w:rPr>
            </w:pPr>
            <w:proofErr w:type="spellStart"/>
            <w:r w:rsidRPr="00FF1157">
              <w:rPr>
                <w:bCs w:val="0"/>
                <w:szCs w:val="20"/>
              </w:rPr>
              <w:t>II.b</w:t>
            </w:r>
            <w:proofErr w:type="spellEnd"/>
            <w:r w:rsidRPr="00FF1157">
              <w:rPr>
                <w:bCs w:val="0"/>
                <w:szCs w:val="20"/>
              </w:rPr>
              <w:t xml:space="preserve">. Additional details on programmatic components, </w:t>
            </w:r>
            <w:r w:rsidR="00CC3CE6">
              <w:rPr>
                <w:bCs w:val="0"/>
                <w:szCs w:val="20"/>
              </w:rPr>
              <w:t>2022-2025</w:t>
            </w:r>
          </w:p>
          <w:p w14:paraId="79C9EAB7" w14:textId="77777777" w:rsidR="007C7C5C" w:rsidRPr="00FF1157" w:rsidRDefault="007C7C5C" w:rsidP="00FF1157">
            <w:pPr>
              <w:pStyle w:val="DualTxt"/>
              <w:tabs>
                <w:tab w:val="clear" w:pos="960"/>
                <w:tab w:val="clear" w:pos="1915"/>
                <w:tab w:val="left" w:pos="900"/>
                <w:tab w:val="left" w:pos="990"/>
                <w:tab w:val="left" w:pos="1260"/>
                <w:tab w:val="left" w:pos="1800"/>
                <w:tab w:val="left" w:pos="8820"/>
              </w:tabs>
              <w:spacing w:line="200" w:lineRule="exact"/>
              <w:ind w:left="480" w:right="547"/>
              <w:rPr>
                <w:bCs w:val="0"/>
                <w:szCs w:val="20"/>
                <w:lang w:val="en-US"/>
              </w:rPr>
            </w:pPr>
          </w:p>
          <w:p w14:paraId="10AC144E" w14:textId="3CCC43AC" w:rsidR="00C97848" w:rsidRPr="008C7224" w:rsidRDefault="00A018E8" w:rsidP="00511232">
            <w:pPr>
              <w:pStyle w:val="SingleTxt"/>
              <w:numPr>
                <w:ilvl w:val="0"/>
                <w:numId w:val="6"/>
              </w:numPr>
              <w:tabs>
                <w:tab w:val="clear" w:pos="1267"/>
                <w:tab w:val="clear" w:pos="1742"/>
                <w:tab w:val="left" w:pos="1170"/>
              </w:tabs>
              <w:ind w:right="0"/>
              <w:rPr>
                <w:rFonts w:eastAsia="MS Mincho"/>
                <w:spacing w:val="0"/>
                <w:w w:val="100"/>
                <w:kern w:val="0"/>
                <w:lang w:val="en-US" w:eastAsia="ja-JP"/>
              </w:rPr>
            </w:pPr>
            <w:r>
              <w:rPr>
                <w:rFonts w:eastAsia="MS Mincho"/>
                <w:spacing w:val="0"/>
                <w:w w:val="100"/>
                <w:kern w:val="0"/>
                <w:lang w:val="en-US" w:eastAsia="ja-JP"/>
              </w:rPr>
              <w:t>Annex I</w:t>
            </w:r>
            <w:r w:rsidR="003C7893" w:rsidRPr="008C7224">
              <w:rPr>
                <w:rFonts w:eastAsia="MS Mincho"/>
                <w:spacing w:val="0"/>
                <w:w w:val="100"/>
                <w:kern w:val="0"/>
                <w:lang w:val="en-US" w:eastAsia="ja-JP"/>
              </w:rPr>
              <w:t>, t</w:t>
            </w:r>
            <w:r w:rsidR="00CD69AD" w:rsidRPr="008C7224">
              <w:rPr>
                <w:rFonts w:eastAsia="MS Mincho"/>
                <w:spacing w:val="0"/>
                <w:w w:val="100"/>
                <w:kern w:val="0"/>
                <w:lang w:val="en-US" w:eastAsia="ja-JP"/>
              </w:rPr>
              <w:t xml:space="preserve">able </w:t>
            </w:r>
            <w:r w:rsidR="00855A96">
              <w:rPr>
                <w:rFonts w:eastAsia="MS Mincho"/>
                <w:spacing w:val="0"/>
                <w:w w:val="100"/>
                <w:kern w:val="0"/>
                <w:lang w:val="en-US" w:eastAsia="ja-JP"/>
              </w:rPr>
              <w:t>3c</w:t>
            </w:r>
            <w:r w:rsidR="00CD69AD" w:rsidRPr="008C7224">
              <w:rPr>
                <w:rFonts w:eastAsia="MS Mincho"/>
                <w:spacing w:val="0"/>
                <w:w w:val="100"/>
                <w:kern w:val="0"/>
                <w:lang w:val="en-US" w:eastAsia="ja-JP"/>
              </w:rPr>
              <w:t xml:space="preserve"> summarizes all programme country movements between income status categories for the 20</w:t>
            </w:r>
            <w:r w:rsidR="00CC3CE6">
              <w:rPr>
                <w:rFonts w:eastAsia="MS Mincho"/>
                <w:spacing w:val="0"/>
                <w:w w:val="100"/>
                <w:kern w:val="0"/>
                <w:lang w:val="en-US" w:eastAsia="ja-JP"/>
              </w:rPr>
              <w:t>22</w:t>
            </w:r>
            <w:r w:rsidR="00CD69AD" w:rsidRPr="008C7224">
              <w:rPr>
                <w:rFonts w:eastAsia="MS Mincho"/>
                <w:spacing w:val="0"/>
                <w:w w:val="100"/>
                <w:kern w:val="0"/>
                <w:lang w:val="en-US" w:eastAsia="ja-JP"/>
              </w:rPr>
              <w:t>-20</w:t>
            </w:r>
            <w:r w:rsidR="00CC3CE6">
              <w:rPr>
                <w:rFonts w:eastAsia="MS Mincho"/>
                <w:spacing w:val="0"/>
                <w:w w:val="100"/>
                <w:kern w:val="0"/>
                <w:lang w:val="en-US" w:eastAsia="ja-JP"/>
              </w:rPr>
              <w:t>25</w:t>
            </w:r>
            <w:r w:rsidR="00CD69AD" w:rsidRPr="008C7224">
              <w:rPr>
                <w:rFonts w:eastAsia="MS Mincho"/>
                <w:spacing w:val="0"/>
                <w:w w:val="100"/>
                <w:kern w:val="0"/>
                <w:lang w:val="en-US" w:eastAsia="ja-JP"/>
              </w:rPr>
              <w:t xml:space="preserve"> period compared to 201</w:t>
            </w:r>
            <w:r w:rsidR="00CC3CE6">
              <w:rPr>
                <w:rFonts w:eastAsia="MS Mincho"/>
                <w:spacing w:val="0"/>
                <w:w w:val="100"/>
                <w:kern w:val="0"/>
                <w:lang w:val="en-US" w:eastAsia="ja-JP"/>
              </w:rPr>
              <w:t>8</w:t>
            </w:r>
            <w:r w:rsidR="00CD69AD" w:rsidRPr="008C7224">
              <w:rPr>
                <w:rFonts w:eastAsia="MS Mincho"/>
                <w:spacing w:val="0"/>
                <w:w w:val="100"/>
                <w:kern w:val="0"/>
                <w:lang w:val="en-US" w:eastAsia="ja-JP"/>
              </w:rPr>
              <w:t>-20</w:t>
            </w:r>
            <w:r w:rsidR="00CC3CE6">
              <w:rPr>
                <w:rFonts w:eastAsia="MS Mincho"/>
                <w:spacing w:val="0"/>
                <w:w w:val="100"/>
                <w:kern w:val="0"/>
                <w:lang w:val="en-US" w:eastAsia="ja-JP"/>
              </w:rPr>
              <w:t>21</w:t>
            </w:r>
            <w:r w:rsidR="00CD69AD" w:rsidRPr="008C7224">
              <w:rPr>
                <w:rFonts w:eastAsia="MS Mincho"/>
                <w:spacing w:val="0"/>
                <w:w w:val="100"/>
                <w:kern w:val="0"/>
                <w:lang w:val="en-US" w:eastAsia="ja-JP"/>
              </w:rPr>
              <w:t>.</w:t>
            </w:r>
          </w:p>
          <w:p w14:paraId="3493B9DF" w14:textId="77777777" w:rsidR="007C7C5C" w:rsidRDefault="007C7C5C" w:rsidP="004F6019">
            <w:pPr>
              <w:pStyle w:val="DualTxt"/>
              <w:tabs>
                <w:tab w:val="clear" w:pos="960"/>
                <w:tab w:val="clear" w:pos="1440"/>
                <w:tab w:val="clear" w:pos="1915"/>
                <w:tab w:val="left" w:pos="900"/>
                <w:tab w:val="left" w:pos="990"/>
                <w:tab w:val="left" w:pos="1260"/>
                <w:tab w:val="left" w:pos="1800"/>
                <w:tab w:val="left" w:pos="8820"/>
              </w:tabs>
              <w:spacing w:line="200" w:lineRule="exact"/>
              <w:ind w:left="900" w:right="547"/>
              <w:rPr>
                <w:i/>
                <w:iCs/>
                <w:sz w:val="22"/>
                <w:szCs w:val="22"/>
              </w:rPr>
            </w:pPr>
          </w:p>
          <w:p w14:paraId="7A0E5DEB" w14:textId="77777777" w:rsidR="00855A96" w:rsidRDefault="00855A96" w:rsidP="004F6019">
            <w:pPr>
              <w:pStyle w:val="DualTxt"/>
              <w:tabs>
                <w:tab w:val="clear" w:pos="960"/>
                <w:tab w:val="clear" w:pos="1440"/>
                <w:tab w:val="clear" w:pos="1915"/>
                <w:tab w:val="left" w:pos="900"/>
                <w:tab w:val="left" w:pos="990"/>
                <w:tab w:val="left" w:pos="1260"/>
                <w:tab w:val="left" w:pos="1800"/>
                <w:tab w:val="left" w:pos="8820"/>
              </w:tabs>
              <w:spacing w:line="200" w:lineRule="exact"/>
              <w:ind w:left="900" w:right="547"/>
              <w:rPr>
                <w:i/>
                <w:iCs/>
                <w:sz w:val="22"/>
                <w:szCs w:val="22"/>
              </w:rPr>
            </w:pPr>
          </w:p>
          <w:p w14:paraId="224E6912" w14:textId="34D21221" w:rsidR="007C7C5C" w:rsidRPr="00D67265" w:rsidRDefault="004F6019" w:rsidP="004F6019">
            <w:pPr>
              <w:pStyle w:val="DualTxt"/>
              <w:tabs>
                <w:tab w:val="clear" w:pos="960"/>
                <w:tab w:val="clear" w:pos="1440"/>
                <w:tab w:val="clear" w:pos="1915"/>
                <w:tab w:val="left" w:pos="900"/>
                <w:tab w:val="left" w:pos="990"/>
                <w:tab w:val="left" w:pos="1260"/>
                <w:tab w:val="left" w:pos="1800"/>
                <w:tab w:val="left" w:pos="8820"/>
              </w:tabs>
              <w:spacing w:line="200" w:lineRule="exact"/>
              <w:ind w:left="900" w:right="547"/>
              <w:rPr>
                <w:i/>
                <w:iCs/>
                <w:sz w:val="22"/>
                <w:szCs w:val="22"/>
              </w:rPr>
            </w:pPr>
            <w:r w:rsidRPr="00D67265">
              <w:rPr>
                <w:i/>
                <w:iCs/>
                <w:sz w:val="22"/>
                <w:szCs w:val="22"/>
              </w:rPr>
              <w:t>Development effectiveness activities</w:t>
            </w:r>
          </w:p>
          <w:p w14:paraId="63718387" w14:textId="44ED40D9" w:rsidR="007F00CD" w:rsidRPr="008C7224" w:rsidRDefault="00C24F81" w:rsidP="00511232">
            <w:pPr>
              <w:pStyle w:val="SingleTxt"/>
              <w:numPr>
                <w:ilvl w:val="0"/>
                <w:numId w:val="6"/>
              </w:numPr>
              <w:tabs>
                <w:tab w:val="clear" w:pos="1267"/>
                <w:tab w:val="clear" w:pos="1742"/>
                <w:tab w:val="left" w:pos="1170"/>
              </w:tabs>
              <w:ind w:right="0"/>
              <w:rPr>
                <w:rFonts w:eastAsia="MS Mincho"/>
                <w:spacing w:val="0"/>
                <w:w w:val="100"/>
                <w:kern w:val="0"/>
                <w:lang w:val="en-US" w:eastAsia="ja-JP"/>
              </w:rPr>
            </w:pPr>
            <w:r>
              <w:rPr>
                <w:rFonts w:eastAsia="MS Mincho"/>
                <w:spacing w:val="0"/>
                <w:w w:val="100"/>
                <w:kern w:val="0"/>
                <w:lang w:val="en-US" w:eastAsia="ja-JP"/>
              </w:rPr>
              <w:t xml:space="preserve">Executive Board decision </w:t>
            </w:r>
            <w:r w:rsidR="00CA4AFA">
              <w:rPr>
                <w:rFonts w:eastAsia="MS Mincho"/>
                <w:spacing w:val="0"/>
                <w:w w:val="100"/>
                <w:kern w:val="0"/>
                <w:lang w:val="en-US" w:eastAsia="ja-JP"/>
              </w:rPr>
              <w:t>2017/</w:t>
            </w:r>
            <w:r w:rsidR="006C6E1C">
              <w:rPr>
                <w:rFonts w:eastAsia="MS Mincho"/>
                <w:spacing w:val="0"/>
                <w:w w:val="100"/>
                <w:kern w:val="0"/>
                <w:lang w:val="en-US" w:eastAsia="ja-JP"/>
              </w:rPr>
              <w:t>3</w:t>
            </w:r>
            <w:r w:rsidR="00CA4AFA">
              <w:rPr>
                <w:rFonts w:eastAsia="MS Mincho"/>
                <w:spacing w:val="0"/>
                <w:w w:val="100"/>
                <w:kern w:val="0"/>
                <w:lang w:val="en-US" w:eastAsia="ja-JP"/>
              </w:rPr>
              <w:t>1</w:t>
            </w:r>
            <w:r w:rsidR="004F6019" w:rsidRPr="008C7224">
              <w:rPr>
                <w:rFonts w:eastAsia="MS Mincho"/>
                <w:spacing w:val="0"/>
                <w:w w:val="100"/>
                <w:kern w:val="0"/>
                <w:lang w:val="en-US" w:eastAsia="ja-JP"/>
              </w:rPr>
              <w:t xml:space="preserve"> </w:t>
            </w:r>
            <w:r w:rsidR="00966E0F">
              <w:rPr>
                <w:rFonts w:eastAsia="MS Mincho"/>
                <w:spacing w:val="0"/>
                <w:w w:val="100"/>
                <w:kern w:val="0"/>
                <w:lang w:val="en-US" w:eastAsia="ja-JP"/>
              </w:rPr>
              <w:t xml:space="preserve">consolidated </w:t>
            </w:r>
            <w:r w:rsidR="004F6019" w:rsidRPr="008C7224">
              <w:rPr>
                <w:rFonts w:eastAsia="MS Mincho"/>
                <w:spacing w:val="0"/>
                <w:w w:val="100"/>
                <w:kern w:val="0"/>
                <w:lang w:val="en-US" w:eastAsia="ja-JP"/>
              </w:rPr>
              <w:t>five distinct development effectiveness related lines – global programme, policy advisory services, gender mainstreaming, development support services, and economist advisory services – into the global and country level programming component of the Integrated Budget</w:t>
            </w:r>
            <w:r>
              <w:rPr>
                <w:rFonts w:eastAsia="MS Mincho"/>
                <w:spacing w:val="0"/>
                <w:w w:val="100"/>
                <w:kern w:val="0"/>
                <w:lang w:val="en-US" w:eastAsia="ja-JP"/>
              </w:rPr>
              <w:t xml:space="preserve">. </w:t>
            </w:r>
            <w:r w:rsidR="004F6019" w:rsidRPr="008C7224">
              <w:rPr>
                <w:rFonts w:eastAsia="MS Mincho"/>
                <w:spacing w:val="0"/>
                <w:w w:val="100"/>
                <w:kern w:val="0"/>
                <w:lang w:val="en-US" w:eastAsia="ja-JP"/>
              </w:rPr>
              <w:t>Bringing these activities within the scope of the two platforms provide</w:t>
            </w:r>
            <w:r w:rsidR="00450E26">
              <w:rPr>
                <w:rFonts w:eastAsia="MS Mincho"/>
                <w:spacing w:val="0"/>
                <w:w w:val="100"/>
                <w:kern w:val="0"/>
                <w:lang w:val="en-US" w:eastAsia="ja-JP"/>
              </w:rPr>
              <w:t>s</w:t>
            </w:r>
            <w:r w:rsidR="004F6019" w:rsidRPr="008C7224">
              <w:rPr>
                <w:rFonts w:eastAsia="MS Mincho"/>
                <w:spacing w:val="0"/>
                <w:w w:val="100"/>
                <w:kern w:val="0"/>
                <w:lang w:val="en-US" w:eastAsia="ja-JP"/>
              </w:rPr>
              <w:t xml:space="preserve"> several benefits including: a better articulation of development effectiveness roles at the global, regional, and country levels, stronger integration of thematic advisory services across and between the global and country platforms, improved leveraging of advisory and programmatic partnerships between global and local levels, stronger gender mainstreaming in policy and programming, and improved approaches to  results based management, monitoring and evaluation using new approaches developed at the global level.</w:t>
            </w:r>
          </w:p>
          <w:p w14:paraId="14CFBF71" w14:textId="79426EF2" w:rsidR="00EA4325" w:rsidRDefault="004F6019" w:rsidP="00511232">
            <w:pPr>
              <w:pStyle w:val="SingleTxt"/>
              <w:numPr>
                <w:ilvl w:val="0"/>
                <w:numId w:val="6"/>
              </w:numPr>
              <w:tabs>
                <w:tab w:val="clear" w:pos="1267"/>
                <w:tab w:val="clear" w:pos="1742"/>
                <w:tab w:val="left" w:pos="1170"/>
              </w:tabs>
              <w:ind w:right="0"/>
              <w:rPr>
                <w:rFonts w:eastAsia="MS Mincho"/>
                <w:spacing w:val="0"/>
                <w:w w:val="100"/>
                <w:kern w:val="0"/>
                <w:lang w:val="en-US" w:eastAsia="ja-JP"/>
              </w:rPr>
            </w:pPr>
            <w:r w:rsidRPr="008C7224">
              <w:rPr>
                <w:rFonts w:eastAsia="MS Mincho"/>
                <w:spacing w:val="0"/>
                <w:w w:val="100"/>
                <w:kern w:val="0"/>
                <w:lang w:val="en-US" w:eastAsia="ja-JP"/>
              </w:rPr>
              <w:t xml:space="preserve">Separate from the above referred consolidated development effectiveness </w:t>
            </w:r>
            <w:proofErr w:type="gramStart"/>
            <w:r w:rsidRPr="008C7224">
              <w:rPr>
                <w:rFonts w:eastAsia="MS Mincho"/>
                <w:spacing w:val="0"/>
                <w:w w:val="100"/>
                <w:kern w:val="0"/>
                <w:lang w:val="en-US" w:eastAsia="ja-JP"/>
              </w:rPr>
              <w:t>line,  two</w:t>
            </w:r>
            <w:proofErr w:type="gramEnd"/>
            <w:r w:rsidRPr="008C7224">
              <w:rPr>
                <w:rFonts w:eastAsia="MS Mincho"/>
                <w:spacing w:val="0"/>
                <w:w w:val="100"/>
                <w:kern w:val="0"/>
                <w:lang w:val="en-US" w:eastAsia="ja-JP"/>
              </w:rPr>
              <w:t xml:space="preserve"> </w:t>
            </w:r>
            <w:r w:rsidR="00876130">
              <w:rPr>
                <w:rFonts w:eastAsia="MS Mincho"/>
                <w:spacing w:val="0"/>
                <w:w w:val="100"/>
                <w:kern w:val="0"/>
                <w:lang w:val="en-US" w:eastAsia="ja-JP"/>
              </w:rPr>
              <w:t xml:space="preserve">other </w:t>
            </w:r>
            <w:r w:rsidRPr="008C7224">
              <w:rPr>
                <w:rFonts w:eastAsia="MS Mincho"/>
                <w:spacing w:val="0"/>
                <w:w w:val="100"/>
                <w:kern w:val="0"/>
                <w:lang w:val="en-US" w:eastAsia="ja-JP"/>
              </w:rPr>
              <w:t>currently existing lines will remain, as follows:</w:t>
            </w:r>
          </w:p>
          <w:p w14:paraId="00F00D06" w14:textId="6B687C69" w:rsidR="004F6019" w:rsidRPr="00EA4325" w:rsidRDefault="004F6019" w:rsidP="006404A9">
            <w:pPr>
              <w:pStyle w:val="ListParagraph"/>
              <w:numPr>
                <w:ilvl w:val="1"/>
                <w:numId w:val="6"/>
              </w:numPr>
              <w:spacing w:after="160" w:line="259" w:lineRule="auto"/>
              <w:jc w:val="both"/>
              <w:rPr>
                <w:rFonts w:eastAsia="MS Mincho"/>
                <w:lang w:eastAsia="ja-JP"/>
              </w:rPr>
            </w:pPr>
            <w:r w:rsidRPr="00082198">
              <w:rPr>
                <w:rFonts w:eastAsia="Calibri"/>
                <w:color w:val="212121"/>
                <w:sz w:val="20"/>
                <w:szCs w:val="20"/>
              </w:rPr>
              <w:t>South-South cooperation which focuses on the sharing of South-South experiences, expertise and knowledge making them an integral part of country, regional and interregional programmes, while introducing cost-effective modalities. The importance of promoting, facilitating and strengthening South-South and triangular</w:t>
            </w:r>
            <w:r>
              <w:rPr>
                <w:rFonts w:eastAsia="Calibri"/>
                <w:color w:val="212121"/>
                <w:sz w:val="20"/>
                <w:szCs w:val="20"/>
              </w:rPr>
              <w:t xml:space="preserve"> </w:t>
            </w:r>
            <w:r w:rsidRPr="00082198">
              <w:rPr>
                <w:rFonts w:eastAsia="Calibri"/>
                <w:color w:val="212121"/>
                <w:sz w:val="20"/>
                <w:szCs w:val="20"/>
              </w:rPr>
              <w:t>cooperation for development globally is emphasized in the strategic plan; and</w:t>
            </w:r>
          </w:p>
          <w:p w14:paraId="6947327B" w14:textId="77777777" w:rsidR="00082198" w:rsidRPr="00082198" w:rsidRDefault="00082198" w:rsidP="00082198">
            <w:pPr>
              <w:pStyle w:val="ListParagraph"/>
              <w:spacing w:after="160" w:line="259" w:lineRule="auto"/>
              <w:jc w:val="both"/>
              <w:rPr>
                <w:rFonts w:eastAsia="Calibri"/>
                <w:color w:val="212121"/>
                <w:sz w:val="20"/>
                <w:szCs w:val="20"/>
              </w:rPr>
            </w:pPr>
          </w:p>
          <w:p w14:paraId="143050C9" w14:textId="77777777" w:rsidR="00CD69AD" w:rsidRPr="00082198" w:rsidRDefault="004F6019" w:rsidP="00082198">
            <w:pPr>
              <w:pStyle w:val="ListParagraph"/>
              <w:numPr>
                <w:ilvl w:val="1"/>
                <w:numId w:val="6"/>
              </w:numPr>
              <w:spacing w:after="160" w:line="259" w:lineRule="auto"/>
              <w:jc w:val="both"/>
              <w:rPr>
                <w:rFonts w:eastAsia="Calibri"/>
                <w:color w:val="212121"/>
                <w:sz w:val="20"/>
                <w:szCs w:val="20"/>
              </w:rPr>
            </w:pPr>
            <w:r w:rsidRPr="00082198">
              <w:rPr>
                <w:rFonts w:eastAsia="Calibri"/>
                <w:color w:val="212121"/>
                <w:sz w:val="20"/>
                <w:szCs w:val="20"/>
              </w:rPr>
              <w:t>UNCDF, which provides grants, loans and guarantees to least developed countries, complemented by strong capacity-building and upstream policy advisory services that support the design and implementation of national policies and action plans in both local development finance and inclusive finance.  Rooted in complementarity, the UNDP-UNCDF partnership aims at simplicity, coherence and effectiveness, leading to greater development impact in the least developed countries. The Executive Board, in its decision 2013/4, approved the inclusion of UNCDF in the programming arrangements</w:t>
            </w:r>
          </w:p>
          <w:p w14:paraId="3C36580E" w14:textId="77777777" w:rsidR="008D0C18" w:rsidRDefault="008D0C18" w:rsidP="00D67265">
            <w:pPr>
              <w:pStyle w:val="DualTxt"/>
              <w:tabs>
                <w:tab w:val="clear" w:pos="960"/>
                <w:tab w:val="clear" w:pos="1915"/>
                <w:tab w:val="left" w:pos="900"/>
                <w:tab w:val="left" w:pos="990"/>
                <w:tab w:val="left" w:pos="1260"/>
                <w:tab w:val="left" w:pos="1800"/>
                <w:tab w:val="left" w:pos="8820"/>
              </w:tabs>
              <w:spacing w:line="200" w:lineRule="exact"/>
              <w:ind w:left="907" w:right="547"/>
              <w:rPr>
                <w:b w:val="0"/>
                <w:sz w:val="20"/>
                <w:szCs w:val="20"/>
              </w:rPr>
            </w:pPr>
          </w:p>
          <w:p w14:paraId="0BDCE5AF" w14:textId="3D456879" w:rsidR="00B95A86" w:rsidRPr="00D67265" w:rsidRDefault="00135773" w:rsidP="00FF1157">
            <w:pPr>
              <w:pStyle w:val="SingleTxt"/>
              <w:tabs>
                <w:tab w:val="clear" w:pos="1267"/>
                <w:tab w:val="clear" w:pos="1742"/>
                <w:tab w:val="left" w:pos="1170"/>
              </w:tabs>
              <w:ind w:left="360" w:right="0"/>
              <w:rPr>
                <w:b/>
                <w:sz w:val="28"/>
                <w:szCs w:val="28"/>
              </w:rPr>
            </w:pPr>
            <w:r>
              <w:rPr>
                <w:b/>
                <w:sz w:val="24"/>
                <w:szCs w:val="28"/>
              </w:rPr>
              <w:t xml:space="preserve">II. </w:t>
            </w:r>
            <w:r w:rsidR="00BF407B">
              <w:rPr>
                <w:b/>
                <w:sz w:val="24"/>
                <w:szCs w:val="28"/>
              </w:rPr>
              <w:t>Government l</w:t>
            </w:r>
            <w:r w:rsidR="00FE3E87" w:rsidRPr="00FF1157">
              <w:rPr>
                <w:b/>
                <w:sz w:val="24"/>
                <w:szCs w:val="28"/>
              </w:rPr>
              <w:t xml:space="preserve">ocal office cost </w:t>
            </w:r>
            <w:r w:rsidR="00BF407B">
              <w:rPr>
                <w:b/>
                <w:sz w:val="24"/>
                <w:szCs w:val="28"/>
              </w:rPr>
              <w:t>c</w:t>
            </w:r>
            <w:r w:rsidR="00FE3E87" w:rsidRPr="00FF1157">
              <w:rPr>
                <w:b/>
                <w:sz w:val="24"/>
                <w:szCs w:val="28"/>
              </w:rPr>
              <w:t>ontributions (</w:t>
            </w:r>
            <w:r w:rsidR="00B95A86" w:rsidRPr="00FF1157">
              <w:rPr>
                <w:b/>
                <w:sz w:val="24"/>
                <w:szCs w:val="28"/>
              </w:rPr>
              <w:t>GLOC</w:t>
            </w:r>
            <w:r w:rsidR="00FE3E87" w:rsidRPr="00D67265">
              <w:rPr>
                <w:b/>
                <w:sz w:val="28"/>
                <w:szCs w:val="28"/>
              </w:rPr>
              <w:t>)</w:t>
            </w:r>
          </w:p>
          <w:p w14:paraId="346420D3" w14:textId="77777777" w:rsidR="00B95A86" w:rsidRPr="00D67265" w:rsidRDefault="00B95A86" w:rsidP="00D67265">
            <w:pPr>
              <w:pStyle w:val="DualTxt"/>
              <w:tabs>
                <w:tab w:val="clear" w:pos="960"/>
                <w:tab w:val="clear" w:pos="1915"/>
                <w:tab w:val="left" w:pos="900"/>
                <w:tab w:val="left" w:pos="990"/>
                <w:tab w:val="left" w:pos="1260"/>
                <w:tab w:val="left" w:pos="1800"/>
                <w:tab w:val="left" w:pos="8820"/>
              </w:tabs>
              <w:spacing w:line="200" w:lineRule="exact"/>
              <w:ind w:left="907" w:right="547"/>
              <w:rPr>
                <w:b w:val="0"/>
              </w:rPr>
            </w:pPr>
          </w:p>
          <w:p w14:paraId="004C059D" w14:textId="77777777" w:rsidR="00B95A86" w:rsidRPr="008C7224" w:rsidRDefault="00B95A86" w:rsidP="00511232">
            <w:pPr>
              <w:pStyle w:val="SingleTxt"/>
              <w:numPr>
                <w:ilvl w:val="0"/>
                <w:numId w:val="6"/>
              </w:numPr>
              <w:tabs>
                <w:tab w:val="clear" w:pos="1267"/>
                <w:tab w:val="clear" w:pos="1742"/>
                <w:tab w:val="left" w:pos="1170"/>
              </w:tabs>
              <w:ind w:right="0"/>
              <w:rPr>
                <w:rFonts w:eastAsia="MS Mincho"/>
                <w:spacing w:val="0"/>
                <w:w w:val="100"/>
                <w:kern w:val="0"/>
                <w:lang w:val="en-US" w:eastAsia="ja-JP"/>
              </w:rPr>
            </w:pPr>
            <w:r w:rsidRPr="008C7224">
              <w:rPr>
                <w:rFonts w:eastAsia="MS Mincho"/>
                <w:spacing w:val="0"/>
                <w:w w:val="100"/>
                <w:kern w:val="0"/>
                <w:lang w:val="en-US" w:eastAsia="ja-JP"/>
              </w:rPr>
              <w:t xml:space="preserve">UNDP appreciates improvements made by programme countries toward meeting their obligations </w:t>
            </w:r>
            <w:r w:rsidR="00012C8A" w:rsidRPr="008C7224">
              <w:rPr>
                <w:rFonts w:eastAsia="MS Mincho"/>
                <w:spacing w:val="0"/>
                <w:w w:val="100"/>
                <w:kern w:val="0"/>
                <w:lang w:val="en-US" w:eastAsia="ja-JP"/>
              </w:rPr>
              <w:t xml:space="preserve">in cash or in kind </w:t>
            </w:r>
            <w:r w:rsidRPr="008C7224">
              <w:rPr>
                <w:rFonts w:eastAsia="MS Mincho"/>
                <w:spacing w:val="0"/>
                <w:w w:val="100"/>
                <w:kern w:val="0"/>
                <w:lang w:val="en-US" w:eastAsia="ja-JP"/>
              </w:rPr>
              <w:t>with respect to government contributions towards local office costs. Middle-income country compliance remains at a less-than-desirable level. UNDP will maintain the option to withhold part of institutional budget resources for countries with significant deficits, with an emphasis on middle-income countries.</w:t>
            </w:r>
          </w:p>
          <w:p w14:paraId="7F800C08" w14:textId="3B7AE74D" w:rsidR="00B95A86" w:rsidRPr="008C7224" w:rsidRDefault="00B95A86" w:rsidP="00511232">
            <w:pPr>
              <w:pStyle w:val="SingleTxt"/>
              <w:numPr>
                <w:ilvl w:val="0"/>
                <w:numId w:val="6"/>
              </w:numPr>
              <w:tabs>
                <w:tab w:val="clear" w:pos="1267"/>
                <w:tab w:val="clear" w:pos="1742"/>
                <w:tab w:val="left" w:pos="1170"/>
              </w:tabs>
              <w:ind w:right="0"/>
              <w:rPr>
                <w:rFonts w:eastAsia="MS Mincho"/>
                <w:spacing w:val="0"/>
                <w:w w:val="100"/>
                <w:kern w:val="0"/>
                <w:lang w:val="en-US" w:eastAsia="ja-JP"/>
              </w:rPr>
            </w:pPr>
            <w:r w:rsidRPr="008C7224">
              <w:rPr>
                <w:rFonts w:eastAsia="MS Mincho"/>
                <w:spacing w:val="0"/>
                <w:w w:val="100"/>
                <w:kern w:val="0"/>
                <w:lang w:val="en-US" w:eastAsia="ja-JP"/>
              </w:rPr>
              <w:t xml:space="preserve">Waivers, granted based on respective gross national income levels, are an integral part of calculating programme country obligations. Local costs of a UNDP country office (the basis for the calculation) are reduced by a waiver percentage using the gross national income level. Waivers are reviewed in line with the decision on a new programme period. Table </w:t>
            </w:r>
            <w:r w:rsidR="00F37C56">
              <w:rPr>
                <w:rFonts w:eastAsia="MS Mincho"/>
                <w:spacing w:val="0"/>
                <w:w w:val="100"/>
                <w:kern w:val="0"/>
                <w:lang w:val="en-US" w:eastAsia="ja-JP"/>
              </w:rPr>
              <w:t>4</w:t>
            </w:r>
            <w:proofErr w:type="gramStart"/>
            <w:r w:rsidR="00BE7795" w:rsidRPr="008C7224">
              <w:rPr>
                <w:rFonts w:eastAsia="MS Mincho"/>
                <w:spacing w:val="0"/>
                <w:w w:val="100"/>
                <w:kern w:val="0"/>
                <w:lang w:val="en-US" w:eastAsia="ja-JP"/>
              </w:rPr>
              <w:t>c.ii</w:t>
            </w:r>
            <w:proofErr w:type="gramEnd"/>
            <w:r w:rsidR="00123610" w:rsidRPr="008C7224">
              <w:rPr>
                <w:rFonts w:eastAsia="MS Mincho"/>
                <w:spacing w:val="0"/>
                <w:w w:val="100"/>
                <w:kern w:val="0"/>
                <w:lang w:val="en-US" w:eastAsia="ja-JP"/>
              </w:rPr>
              <w:t xml:space="preserve"> </w:t>
            </w:r>
            <w:r w:rsidRPr="008C7224">
              <w:rPr>
                <w:rFonts w:eastAsia="MS Mincho"/>
                <w:spacing w:val="0"/>
                <w:w w:val="100"/>
                <w:kern w:val="0"/>
                <w:lang w:val="en-US" w:eastAsia="ja-JP"/>
              </w:rPr>
              <w:t xml:space="preserve">in </w:t>
            </w:r>
            <w:r w:rsidR="00A018E8">
              <w:rPr>
                <w:rFonts w:eastAsia="MS Mincho"/>
                <w:spacing w:val="0"/>
                <w:w w:val="100"/>
                <w:kern w:val="0"/>
                <w:lang w:val="en-US" w:eastAsia="ja-JP"/>
              </w:rPr>
              <w:t>annex I</w:t>
            </w:r>
            <w:r w:rsidRPr="008C7224">
              <w:rPr>
                <w:rFonts w:eastAsia="MS Mincho"/>
                <w:spacing w:val="0"/>
                <w:w w:val="100"/>
                <w:kern w:val="0"/>
                <w:lang w:val="en-US" w:eastAsia="ja-JP"/>
              </w:rPr>
              <w:t>, presents the new income classifications and waivers for 20</w:t>
            </w:r>
            <w:r w:rsidR="00F37C56">
              <w:rPr>
                <w:rFonts w:eastAsia="MS Mincho"/>
                <w:spacing w:val="0"/>
                <w:w w:val="100"/>
                <w:kern w:val="0"/>
                <w:lang w:val="en-US" w:eastAsia="ja-JP"/>
              </w:rPr>
              <w:t>22</w:t>
            </w:r>
            <w:r w:rsidRPr="008C7224">
              <w:rPr>
                <w:rFonts w:eastAsia="MS Mincho"/>
                <w:spacing w:val="0"/>
                <w:w w:val="100"/>
                <w:kern w:val="0"/>
                <w:lang w:val="en-US" w:eastAsia="ja-JP"/>
              </w:rPr>
              <w:t>-20</w:t>
            </w:r>
            <w:r w:rsidR="00F37C56">
              <w:rPr>
                <w:rFonts w:eastAsia="MS Mincho"/>
                <w:spacing w:val="0"/>
                <w:w w:val="100"/>
                <w:kern w:val="0"/>
                <w:lang w:val="en-US" w:eastAsia="ja-JP"/>
              </w:rPr>
              <w:t>23</w:t>
            </w:r>
            <w:r w:rsidRPr="008C7224">
              <w:rPr>
                <w:rFonts w:eastAsia="MS Mincho"/>
                <w:spacing w:val="0"/>
                <w:w w:val="100"/>
                <w:kern w:val="0"/>
                <w:lang w:val="en-US" w:eastAsia="ja-JP"/>
              </w:rPr>
              <w:t xml:space="preserve">. </w:t>
            </w:r>
          </w:p>
          <w:p w14:paraId="6E5A915B" w14:textId="7AB54812" w:rsidR="00B95A86" w:rsidRPr="00BF407B" w:rsidRDefault="00B95A86" w:rsidP="00511232">
            <w:pPr>
              <w:pStyle w:val="SingleTxt"/>
              <w:numPr>
                <w:ilvl w:val="0"/>
                <w:numId w:val="6"/>
              </w:numPr>
              <w:tabs>
                <w:tab w:val="clear" w:pos="1267"/>
                <w:tab w:val="clear" w:pos="1742"/>
                <w:tab w:val="left" w:pos="1170"/>
              </w:tabs>
              <w:ind w:right="0"/>
              <w:rPr>
                <w:rFonts w:eastAsia="MS Mincho"/>
                <w:spacing w:val="0"/>
                <w:w w:val="100"/>
                <w:kern w:val="0"/>
                <w:lang w:val="en-US" w:eastAsia="ja-JP"/>
              </w:rPr>
            </w:pPr>
            <w:r w:rsidRPr="008C7224">
              <w:rPr>
                <w:rFonts w:eastAsia="MS Mincho"/>
                <w:spacing w:val="0"/>
                <w:w w:val="100"/>
                <w:kern w:val="0"/>
                <w:lang w:val="en-US" w:eastAsia="ja-JP"/>
              </w:rPr>
              <w:t>The gross national income per capita levels presented in the table are based on the average for 201</w:t>
            </w:r>
            <w:r w:rsidR="00AE0E47">
              <w:rPr>
                <w:rFonts w:eastAsia="MS Mincho"/>
                <w:spacing w:val="0"/>
                <w:w w:val="100"/>
                <w:kern w:val="0"/>
                <w:lang w:val="en-US" w:eastAsia="ja-JP"/>
              </w:rPr>
              <w:t>6</w:t>
            </w:r>
            <w:r w:rsidRPr="008C7224">
              <w:rPr>
                <w:rFonts w:eastAsia="MS Mincho"/>
                <w:spacing w:val="0"/>
                <w:w w:val="100"/>
                <w:kern w:val="0"/>
                <w:lang w:val="en-US" w:eastAsia="ja-JP"/>
              </w:rPr>
              <w:t>-201</w:t>
            </w:r>
            <w:r w:rsidR="00AE0E47">
              <w:rPr>
                <w:rFonts w:eastAsia="MS Mincho"/>
                <w:spacing w:val="0"/>
                <w:w w:val="100"/>
                <w:kern w:val="0"/>
                <w:lang w:val="en-US" w:eastAsia="ja-JP"/>
              </w:rPr>
              <w:t>9</w:t>
            </w:r>
            <w:r w:rsidRPr="008C7224">
              <w:rPr>
                <w:rFonts w:eastAsia="MS Mincho"/>
                <w:spacing w:val="0"/>
                <w:w w:val="100"/>
                <w:kern w:val="0"/>
                <w:lang w:val="en-US" w:eastAsia="ja-JP"/>
              </w:rPr>
              <w:t xml:space="preserve">, as endorsed in decision 2012/28. These will be updated in the biennial update at the mid-point of the </w:t>
            </w:r>
            <w:r w:rsidR="00BF407B">
              <w:rPr>
                <w:rFonts w:eastAsia="MS Mincho"/>
                <w:spacing w:val="0"/>
                <w:w w:val="100"/>
                <w:kern w:val="0"/>
                <w:lang w:val="en-US" w:eastAsia="ja-JP"/>
              </w:rPr>
              <w:t>i</w:t>
            </w:r>
            <w:r w:rsidRPr="008C7224">
              <w:rPr>
                <w:rFonts w:eastAsia="MS Mincho"/>
                <w:spacing w:val="0"/>
                <w:w w:val="100"/>
                <w:kern w:val="0"/>
                <w:lang w:val="en-US" w:eastAsia="ja-JP"/>
              </w:rPr>
              <w:t xml:space="preserve">ntegrated </w:t>
            </w:r>
            <w:r w:rsidR="00BF407B">
              <w:rPr>
                <w:rFonts w:eastAsia="MS Mincho"/>
                <w:spacing w:val="0"/>
                <w:w w:val="100"/>
                <w:kern w:val="0"/>
                <w:lang w:val="en-US" w:eastAsia="ja-JP"/>
              </w:rPr>
              <w:t>b</w:t>
            </w:r>
            <w:r w:rsidRPr="008C7224">
              <w:rPr>
                <w:rFonts w:eastAsia="MS Mincho"/>
                <w:spacing w:val="0"/>
                <w:w w:val="100"/>
                <w:kern w:val="0"/>
                <w:lang w:val="en-US" w:eastAsia="ja-JP"/>
              </w:rPr>
              <w:t xml:space="preserve">udget with the average </w:t>
            </w:r>
            <w:r w:rsidR="00C51948" w:rsidRPr="008C7224">
              <w:rPr>
                <w:rFonts w:eastAsia="MS Mincho"/>
                <w:spacing w:val="0"/>
                <w:w w:val="100"/>
                <w:kern w:val="0"/>
                <w:lang w:val="en-US" w:eastAsia="ja-JP"/>
              </w:rPr>
              <w:t>GNI</w:t>
            </w:r>
            <w:r w:rsidRPr="008C7224">
              <w:rPr>
                <w:rFonts w:eastAsia="MS Mincho"/>
                <w:spacing w:val="0"/>
                <w:w w:val="100"/>
                <w:kern w:val="0"/>
                <w:lang w:val="en-US" w:eastAsia="ja-JP"/>
              </w:rPr>
              <w:t xml:space="preserve"> per capita for 201</w:t>
            </w:r>
            <w:r w:rsidR="00AE0E47">
              <w:rPr>
                <w:rFonts w:eastAsia="MS Mincho"/>
                <w:spacing w:val="0"/>
                <w:w w:val="100"/>
                <w:kern w:val="0"/>
                <w:lang w:val="en-US" w:eastAsia="ja-JP"/>
              </w:rPr>
              <w:t>8</w:t>
            </w:r>
            <w:r w:rsidRPr="008C7224">
              <w:rPr>
                <w:rFonts w:eastAsia="MS Mincho"/>
                <w:spacing w:val="0"/>
                <w:w w:val="100"/>
                <w:kern w:val="0"/>
                <w:lang w:val="en-US" w:eastAsia="ja-JP"/>
              </w:rPr>
              <w:t>-20</w:t>
            </w:r>
            <w:r w:rsidR="00AE0E47">
              <w:rPr>
                <w:rFonts w:eastAsia="MS Mincho"/>
                <w:spacing w:val="0"/>
                <w:w w:val="100"/>
                <w:kern w:val="0"/>
                <w:lang w:val="en-US" w:eastAsia="ja-JP"/>
              </w:rPr>
              <w:t>21</w:t>
            </w:r>
            <w:r w:rsidRPr="008C7224">
              <w:rPr>
                <w:rFonts w:eastAsia="MS Mincho"/>
                <w:spacing w:val="0"/>
                <w:w w:val="100"/>
                <w:kern w:val="0"/>
                <w:lang w:val="en-US" w:eastAsia="ja-JP"/>
              </w:rPr>
              <w:t xml:space="preserve">. </w:t>
            </w:r>
          </w:p>
          <w:p w14:paraId="2387416D" w14:textId="77777777" w:rsidR="008365FE" w:rsidRDefault="008365FE" w:rsidP="00946468">
            <w:pPr>
              <w:pStyle w:val="ListParagraph"/>
              <w:ind w:left="360"/>
              <w:jc w:val="both"/>
              <w:rPr>
                <w:b/>
              </w:rPr>
            </w:pPr>
          </w:p>
          <w:p w14:paraId="16E5C5B2" w14:textId="77777777" w:rsidR="00BF407B" w:rsidRDefault="00BF407B" w:rsidP="00946468">
            <w:pPr>
              <w:pStyle w:val="ListParagraph"/>
              <w:ind w:left="360"/>
              <w:jc w:val="both"/>
              <w:rPr>
                <w:b/>
              </w:rPr>
            </w:pPr>
          </w:p>
          <w:p w14:paraId="07DE0201" w14:textId="7F580A51" w:rsidR="00967EF9" w:rsidRPr="00CD69AD" w:rsidRDefault="00DB03E5" w:rsidP="00946468">
            <w:pPr>
              <w:pStyle w:val="ListParagraph"/>
              <w:ind w:left="360"/>
              <w:jc w:val="both"/>
            </w:pPr>
            <w:r>
              <w:rPr>
                <w:b/>
              </w:rPr>
              <w:t>III</w:t>
            </w:r>
            <w:r w:rsidR="006838CB" w:rsidRPr="002C3F41">
              <w:rPr>
                <w:b/>
              </w:rPr>
              <w:t xml:space="preserve">. </w:t>
            </w:r>
            <w:r w:rsidR="00C74770" w:rsidRPr="002C3F41">
              <w:rPr>
                <w:b/>
              </w:rPr>
              <w:t>Funding of country office presence in MICs with GNI per capita above $6,6</w:t>
            </w:r>
            <w:r w:rsidR="00AD7008">
              <w:rPr>
                <w:b/>
              </w:rPr>
              <w:t>92</w:t>
            </w:r>
            <w:r w:rsidR="00DA17A1">
              <w:rPr>
                <w:b/>
              </w:rPr>
              <w:t xml:space="preserve">     </w:t>
            </w:r>
          </w:p>
          <w:p w14:paraId="6AFF86A6" w14:textId="77777777" w:rsidR="00967EF9" w:rsidRDefault="00967EF9" w:rsidP="00946468">
            <w:pPr>
              <w:ind w:left="907"/>
              <w:jc w:val="both"/>
            </w:pPr>
          </w:p>
          <w:p w14:paraId="67DD8789" w14:textId="5DA78333" w:rsidR="00C74770" w:rsidRPr="008C7224" w:rsidRDefault="00C74770" w:rsidP="00511232">
            <w:pPr>
              <w:pStyle w:val="SingleTxt"/>
              <w:numPr>
                <w:ilvl w:val="0"/>
                <w:numId w:val="6"/>
              </w:numPr>
              <w:tabs>
                <w:tab w:val="clear" w:pos="1267"/>
                <w:tab w:val="clear" w:pos="1742"/>
                <w:tab w:val="left" w:pos="1170"/>
              </w:tabs>
              <w:ind w:right="0"/>
              <w:rPr>
                <w:rFonts w:eastAsia="MS Mincho"/>
                <w:spacing w:val="0"/>
                <w:w w:val="100"/>
                <w:kern w:val="0"/>
                <w:lang w:val="en-US" w:eastAsia="ja-JP"/>
              </w:rPr>
            </w:pPr>
            <w:r w:rsidRPr="008C7224">
              <w:rPr>
                <w:rFonts w:eastAsia="MS Mincho"/>
                <w:spacing w:val="0"/>
                <w:w w:val="100"/>
                <w:kern w:val="0"/>
                <w:lang w:val="en-US" w:eastAsia="ja-JP"/>
              </w:rPr>
              <w:t xml:space="preserve">The </w:t>
            </w:r>
            <w:r w:rsidR="00BF407B">
              <w:rPr>
                <w:rFonts w:eastAsia="MS Mincho"/>
                <w:spacing w:val="0"/>
                <w:w w:val="100"/>
                <w:kern w:val="0"/>
                <w:lang w:val="en-US" w:eastAsia="ja-JP"/>
              </w:rPr>
              <w:t>i</w:t>
            </w:r>
            <w:r w:rsidRPr="008C7224">
              <w:rPr>
                <w:rFonts w:eastAsia="MS Mincho"/>
                <w:spacing w:val="0"/>
                <w:w w:val="100"/>
                <w:kern w:val="0"/>
                <w:lang w:val="en-US" w:eastAsia="ja-JP"/>
              </w:rPr>
              <w:t xml:space="preserve">ntegrated </w:t>
            </w:r>
            <w:r w:rsidR="00BF407B">
              <w:rPr>
                <w:rFonts w:eastAsia="MS Mincho"/>
                <w:spacing w:val="0"/>
                <w:w w:val="100"/>
                <w:kern w:val="0"/>
                <w:lang w:val="en-US" w:eastAsia="ja-JP"/>
              </w:rPr>
              <w:t>r</w:t>
            </w:r>
            <w:r w:rsidRPr="008C7224">
              <w:rPr>
                <w:rFonts w:eastAsia="MS Mincho"/>
                <w:spacing w:val="0"/>
                <w:w w:val="100"/>
                <w:kern w:val="0"/>
                <w:lang w:val="en-US" w:eastAsia="ja-JP"/>
              </w:rPr>
              <w:t xml:space="preserve">esources </w:t>
            </w:r>
            <w:r w:rsidR="00BF407B">
              <w:rPr>
                <w:rFonts w:eastAsia="MS Mincho"/>
                <w:spacing w:val="0"/>
                <w:w w:val="100"/>
                <w:kern w:val="0"/>
                <w:lang w:val="en-US" w:eastAsia="ja-JP"/>
              </w:rPr>
              <w:t>p</w:t>
            </w:r>
            <w:r w:rsidRPr="008C7224">
              <w:rPr>
                <w:rFonts w:eastAsia="MS Mincho"/>
                <w:spacing w:val="0"/>
                <w:w w:val="100"/>
                <w:kern w:val="0"/>
                <w:lang w:val="en-US" w:eastAsia="ja-JP"/>
              </w:rPr>
              <w:t xml:space="preserve">lan and </w:t>
            </w:r>
            <w:r w:rsidR="00BF407B">
              <w:rPr>
                <w:rFonts w:eastAsia="MS Mincho"/>
                <w:spacing w:val="0"/>
                <w:w w:val="100"/>
                <w:kern w:val="0"/>
                <w:lang w:val="en-US" w:eastAsia="ja-JP"/>
              </w:rPr>
              <w:t>i</w:t>
            </w:r>
            <w:r w:rsidRPr="008C7224">
              <w:rPr>
                <w:rFonts w:eastAsia="MS Mincho"/>
                <w:spacing w:val="0"/>
                <w:w w:val="100"/>
                <w:kern w:val="0"/>
                <w:lang w:val="en-US" w:eastAsia="ja-JP"/>
              </w:rPr>
              <w:t xml:space="preserve">ntegrated </w:t>
            </w:r>
            <w:r w:rsidR="00BF407B">
              <w:rPr>
                <w:rFonts w:eastAsia="MS Mincho"/>
                <w:spacing w:val="0"/>
                <w:w w:val="100"/>
                <w:kern w:val="0"/>
                <w:lang w:val="en-US" w:eastAsia="ja-JP"/>
              </w:rPr>
              <w:t>b</w:t>
            </w:r>
            <w:r w:rsidRPr="008C7224">
              <w:rPr>
                <w:rFonts w:eastAsia="MS Mincho"/>
                <w:spacing w:val="0"/>
                <w:w w:val="100"/>
                <w:kern w:val="0"/>
                <w:lang w:val="en-US" w:eastAsia="ja-JP"/>
              </w:rPr>
              <w:t>udget, 20</w:t>
            </w:r>
            <w:r w:rsidR="00B11027">
              <w:rPr>
                <w:rFonts w:eastAsia="MS Mincho"/>
                <w:spacing w:val="0"/>
                <w:w w:val="100"/>
                <w:kern w:val="0"/>
                <w:lang w:val="en-US" w:eastAsia="ja-JP"/>
              </w:rPr>
              <w:t>22</w:t>
            </w:r>
            <w:r w:rsidRPr="008C7224">
              <w:rPr>
                <w:rFonts w:eastAsia="MS Mincho"/>
                <w:spacing w:val="0"/>
                <w:w w:val="100"/>
                <w:kern w:val="0"/>
                <w:lang w:val="en-US" w:eastAsia="ja-JP"/>
              </w:rPr>
              <w:t>-202</w:t>
            </w:r>
            <w:r w:rsidR="00B11027">
              <w:rPr>
                <w:rFonts w:eastAsia="MS Mincho"/>
                <w:spacing w:val="0"/>
                <w:w w:val="100"/>
                <w:kern w:val="0"/>
                <w:lang w:val="en-US" w:eastAsia="ja-JP"/>
              </w:rPr>
              <w:t>5</w:t>
            </w:r>
            <w:r w:rsidRPr="008C7224">
              <w:rPr>
                <w:rFonts w:eastAsia="MS Mincho"/>
                <w:spacing w:val="0"/>
                <w:w w:val="100"/>
                <w:kern w:val="0"/>
                <w:lang w:val="en-US" w:eastAsia="ja-JP"/>
              </w:rPr>
              <w:t>, is prepared in compliance with the provisions of two key Executive Board decisions on the funding of UNDP country office presence in middle-income countries (MICs) with Gross National Income (GNI) per capita above the $6,6</w:t>
            </w:r>
            <w:r w:rsidR="000E1359">
              <w:rPr>
                <w:rFonts w:eastAsia="MS Mincho"/>
                <w:spacing w:val="0"/>
                <w:w w:val="100"/>
                <w:kern w:val="0"/>
                <w:lang w:val="en-US" w:eastAsia="ja-JP"/>
              </w:rPr>
              <w:t>92</w:t>
            </w:r>
            <w:r w:rsidRPr="008C7224">
              <w:rPr>
                <w:rFonts w:eastAsia="MS Mincho"/>
                <w:spacing w:val="0"/>
                <w:w w:val="100"/>
                <w:kern w:val="0"/>
                <w:lang w:val="en-US" w:eastAsia="ja-JP"/>
              </w:rPr>
              <w:t xml:space="preserve"> threshold as follows:</w:t>
            </w:r>
          </w:p>
          <w:p w14:paraId="38A58F14" w14:textId="77777777" w:rsidR="00C74770" w:rsidRPr="00EA4325" w:rsidRDefault="00C74770" w:rsidP="00511232">
            <w:pPr>
              <w:pStyle w:val="ListParagraph"/>
              <w:numPr>
                <w:ilvl w:val="1"/>
                <w:numId w:val="6"/>
              </w:numPr>
              <w:spacing w:after="160" w:line="259" w:lineRule="auto"/>
              <w:jc w:val="both"/>
              <w:rPr>
                <w:sz w:val="20"/>
                <w:szCs w:val="20"/>
              </w:rPr>
            </w:pPr>
            <w:r w:rsidRPr="00957EFF">
              <w:rPr>
                <w:rFonts w:eastAsia="Calibri"/>
                <w:color w:val="212121"/>
                <w:sz w:val="20"/>
                <w:szCs w:val="20"/>
              </w:rPr>
              <w:t xml:space="preserve">decision 2012/28 which endorsed a system of biennial updates for graduation for MICs with high levels of GNI per capita and transitional NCCs after a 2-year grace period; and </w:t>
            </w:r>
          </w:p>
          <w:p w14:paraId="426EB2DB" w14:textId="77777777" w:rsidR="00EA4325" w:rsidRPr="0052244D" w:rsidRDefault="00EA4325" w:rsidP="00EA4325">
            <w:pPr>
              <w:pStyle w:val="ListParagraph"/>
              <w:spacing w:after="160" w:line="259" w:lineRule="auto"/>
              <w:jc w:val="both"/>
              <w:rPr>
                <w:sz w:val="20"/>
                <w:szCs w:val="20"/>
              </w:rPr>
            </w:pPr>
          </w:p>
          <w:p w14:paraId="2BD04511" w14:textId="4204114E" w:rsidR="00C74770" w:rsidRPr="00FF1157" w:rsidRDefault="00C74770" w:rsidP="00511232">
            <w:pPr>
              <w:pStyle w:val="ListParagraph"/>
              <w:numPr>
                <w:ilvl w:val="1"/>
                <w:numId w:val="6"/>
              </w:numPr>
              <w:spacing w:after="160" w:line="259" w:lineRule="auto"/>
              <w:jc w:val="both"/>
              <w:rPr>
                <w:rFonts w:eastAsia="Calibri"/>
                <w:color w:val="212121"/>
                <w:sz w:val="20"/>
                <w:szCs w:val="20"/>
              </w:rPr>
            </w:pPr>
            <w:r w:rsidRPr="00957EFF">
              <w:rPr>
                <w:rFonts w:eastAsia="Calibri"/>
                <w:color w:val="212121"/>
                <w:sz w:val="20"/>
                <w:szCs w:val="20"/>
              </w:rPr>
              <w:t xml:space="preserve">decision 2013/30 which endorsed a differentiated approach for the use of regular resource funding of UNDP's physical presence in MICs with GNI per capita above </w:t>
            </w:r>
            <w:r w:rsidR="000F64FA">
              <w:rPr>
                <w:rFonts w:eastAsia="Calibri"/>
                <w:color w:val="212121"/>
                <w:sz w:val="20"/>
                <w:szCs w:val="20"/>
              </w:rPr>
              <w:t>the th</w:t>
            </w:r>
            <w:r w:rsidR="00F93E91">
              <w:rPr>
                <w:rFonts w:eastAsia="Calibri"/>
                <w:color w:val="212121"/>
                <w:sz w:val="20"/>
                <w:szCs w:val="20"/>
              </w:rPr>
              <w:t>reshold (</w:t>
            </w:r>
            <w:r w:rsidRPr="00957EFF">
              <w:rPr>
                <w:rFonts w:eastAsia="Calibri"/>
                <w:color w:val="212121"/>
                <w:sz w:val="20"/>
                <w:szCs w:val="20"/>
              </w:rPr>
              <w:t>$6,6</w:t>
            </w:r>
            <w:r w:rsidR="001B0EE9">
              <w:rPr>
                <w:rFonts w:eastAsia="Calibri"/>
                <w:color w:val="212121"/>
                <w:sz w:val="20"/>
                <w:szCs w:val="20"/>
              </w:rPr>
              <w:t>92</w:t>
            </w:r>
            <w:r w:rsidRPr="00957EFF">
              <w:rPr>
                <w:rFonts w:eastAsia="Calibri"/>
                <w:color w:val="212121"/>
                <w:sz w:val="20"/>
                <w:szCs w:val="20"/>
              </w:rPr>
              <w:t xml:space="preserve"> </w:t>
            </w:r>
            <w:r w:rsidR="00F93E91">
              <w:rPr>
                <w:rFonts w:eastAsia="Calibri"/>
                <w:color w:val="212121"/>
                <w:sz w:val="20"/>
                <w:szCs w:val="20"/>
              </w:rPr>
              <w:t>in 2022-2025)</w:t>
            </w:r>
            <w:r w:rsidRPr="00957EFF">
              <w:rPr>
                <w:rFonts w:eastAsia="Calibri"/>
                <w:color w:val="212121"/>
                <w:sz w:val="20"/>
                <w:szCs w:val="20"/>
              </w:rPr>
              <w:t xml:space="preserve">. </w:t>
            </w:r>
          </w:p>
          <w:p w14:paraId="6FF657EB" w14:textId="57C7B5A2" w:rsidR="00967EF9" w:rsidRPr="008C7224" w:rsidRDefault="00967EF9" w:rsidP="00511232">
            <w:pPr>
              <w:pStyle w:val="SingleTxt"/>
              <w:numPr>
                <w:ilvl w:val="0"/>
                <w:numId w:val="6"/>
              </w:numPr>
              <w:tabs>
                <w:tab w:val="clear" w:pos="1267"/>
                <w:tab w:val="clear" w:pos="1742"/>
                <w:tab w:val="left" w:pos="1170"/>
              </w:tabs>
              <w:ind w:right="0"/>
              <w:rPr>
                <w:rFonts w:eastAsia="MS Mincho"/>
                <w:spacing w:val="0"/>
                <w:w w:val="100"/>
                <w:kern w:val="0"/>
                <w:lang w:val="en-US" w:eastAsia="ja-JP"/>
              </w:rPr>
            </w:pPr>
            <w:r w:rsidRPr="008C7224">
              <w:rPr>
                <w:rFonts w:eastAsia="MS Mincho"/>
                <w:spacing w:val="0"/>
                <w:w w:val="100"/>
                <w:kern w:val="0"/>
                <w:lang w:val="en-US" w:eastAsia="ja-JP"/>
              </w:rPr>
              <w:t xml:space="preserve">The overall change in programme country status across the LIC to NCC spectrum is presented in detail in </w:t>
            </w:r>
            <w:r w:rsidR="00A018E8">
              <w:rPr>
                <w:rFonts w:eastAsia="MS Mincho"/>
                <w:spacing w:val="0"/>
                <w:w w:val="100"/>
                <w:kern w:val="0"/>
                <w:lang w:val="en-US" w:eastAsia="ja-JP"/>
              </w:rPr>
              <w:t>annex I</w:t>
            </w:r>
            <w:r w:rsidRPr="008C7224">
              <w:rPr>
                <w:rFonts w:eastAsia="MS Mincho"/>
                <w:spacing w:val="0"/>
                <w:w w:val="100"/>
                <w:kern w:val="0"/>
                <w:lang w:val="en-US" w:eastAsia="ja-JP"/>
              </w:rPr>
              <w:t xml:space="preserve">, table </w:t>
            </w:r>
            <w:r w:rsidR="00AA3F08" w:rsidRPr="008C7224">
              <w:rPr>
                <w:rFonts w:eastAsia="MS Mincho"/>
                <w:spacing w:val="0"/>
                <w:w w:val="100"/>
                <w:kern w:val="0"/>
                <w:lang w:val="en-US" w:eastAsia="ja-JP"/>
              </w:rPr>
              <w:t>4d</w:t>
            </w:r>
            <w:r w:rsidRPr="008C7224">
              <w:rPr>
                <w:rFonts w:eastAsia="MS Mincho"/>
                <w:spacing w:val="0"/>
                <w:w w:val="100"/>
                <w:kern w:val="0"/>
                <w:lang w:val="en-US" w:eastAsia="ja-JP"/>
              </w:rPr>
              <w:t xml:space="preserve">. Highlights with respect to </w:t>
            </w:r>
            <w:r w:rsidR="00E66315">
              <w:rPr>
                <w:rFonts w:eastAsia="MS Mincho"/>
                <w:spacing w:val="0"/>
                <w:w w:val="100"/>
                <w:kern w:val="0"/>
                <w:lang w:val="en-US" w:eastAsia="ja-JP"/>
              </w:rPr>
              <w:t xml:space="preserve">funding of differentiated </w:t>
            </w:r>
            <w:r w:rsidRPr="008C7224">
              <w:rPr>
                <w:rFonts w:eastAsia="MS Mincho"/>
                <w:spacing w:val="0"/>
                <w:w w:val="100"/>
                <w:kern w:val="0"/>
                <w:lang w:val="en-US" w:eastAsia="ja-JP"/>
              </w:rPr>
              <w:t>physical presence are as follows:</w:t>
            </w:r>
          </w:p>
          <w:p w14:paraId="3445DCE2" w14:textId="5486C221" w:rsidR="003D652B" w:rsidRPr="00C27E1C" w:rsidRDefault="001134B5" w:rsidP="00C27E1C">
            <w:pPr>
              <w:pStyle w:val="ListParagraph"/>
              <w:numPr>
                <w:ilvl w:val="1"/>
                <w:numId w:val="6"/>
              </w:numPr>
              <w:spacing w:after="160" w:line="259" w:lineRule="auto"/>
              <w:jc w:val="both"/>
              <w:rPr>
                <w:rFonts w:eastAsia="Calibri"/>
                <w:color w:val="212121"/>
                <w:sz w:val="20"/>
                <w:szCs w:val="20"/>
              </w:rPr>
            </w:pPr>
            <w:r w:rsidRPr="005C1165">
              <w:rPr>
                <w:rFonts w:eastAsia="Calibri"/>
                <w:color w:val="212121"/>
                <w:sz w:val="20"/>
                <w:szCs w:val="20"/>
              </w:rPr>
              <w:t>Panama</w:t>
            </w:r>
            <w:r w:rsidR="00967EF9" w:rsidRPr="005C1165">
              <w:rPr>
                <w:rFonts w:eastAsia="Calibri"/>
                <w:color w:val="212121"/>
                <w:sz w:val="20"/>
                <w:szCs w:val="20"/>
              </w:rPr>
              <w:t xml:space="preserve"> will graduate to full-fledged NCC status starting in 20</w:t>
            </w:r>
            <w:r w:rsidRPr="005C1165">
              <w:rPr>
                <w:rFonts w:eastAsia="Calibri"/>
                <w:color w:val="212121"/>
                <w:sz w:val="20"/>
                <w:szCs w:val="20"/>
              </w:rPr>
              <w:t>22</w:t>
            </w:r>
            <w:r w:rsidR="00E666D5">
              <w:rPr>
                <w:rFonts w:eastAsia="Calibri"/>
                <w:color w:val="212121"/>
                <w:sz w:val="20"/>
                <w:szCs w:val="20"/>
              </w:rPr>
              <w:t xml:space="preserve"> and </w:t>
            </w:r>
            <w:r w:rsidR="00967EF9" w:rsidRPr="005C1165">
              <w:rPr>
                <w:rFonts w:eastAsia="Calibri"/>
                <w:color w:val="212121"/>
                <w:sz w:val="20"/>
                <w:szCs w:val="20"/>
              </w:rPr>
              <w:t xml:space="preserve">will no longer receive TRAC-1 resources.  Institutional </w:t>
            </w:r>
            <w:r w:rsidR="00BF407B" w:rsidRPr="005C1165">
              <w:rPr>
                <w:rFonts w:eastAsia="Calibri"/>
                <w:color w:val="212121"/>
                <w:sz w:val="20"/>
                <w:szCs w:val="20"/>
              </w:rPr>
              <w:t>b</w:t>
            </w:r>
            <w:r w:rsidR="00967EF9" w:rsidRPr="005C1165">
              <w:rPr>
                <w:rFonts w:eastAsia="Calibri"/>
                <w:color w:val="212121"/>
                <w:sz w:val="20"/>
                <w:szCs w:val="20"/>
              </w:rPr>
              <w:t>udget (IB) will consist of full funding of the Resident Representative (RR) position and appropriate office capacities for the RR</w:t>
            </w:r>
            <w:r w:rsidR="003D652B" w:rsidRPr="00C27E1C">
              <w:rPr>
                <w:rFonts w:eastAsia="Calibri"/>
                <w:color w:val="212121"/>
                <w:sz w:val="20"/>
                <w:szCs w:val="20"/>
              </w:rPr>
              <w:t>.</w:t>
            </w:r>
          </w:p>
          <w:p w14:paraId="500C4A77" w14:textId="77777777" w:rsidR="00EA4325" w:rsidRPr="008C7224" w:rsidRDefault="00EA4325" w:rsidP="00EA4325">
            <w:pPr>
              <w:pStyle w:val="ListParagraph"/>
              <w:spacing w:after="160" w:line="259" w:lineRule="auto"/>
              <w:jc w:val="both"/>
              <w:rPr>
                <w:rFonts w:eastAsia="Calibri"/>
                <w:color w:val="212121"/>
                <w:sz w:val="20"/>
                <w:szCs w:val="20"/>
              </w:rPr>
            </w:pPr>
          </w:p>
          <w:p w14:paraId="055966B4" w14:textId="0CE0C4F6" w:rsidR="00E95DCC" w:rsidRPr="00E95DCC" w:rsidRDefault="009C371E" w:rsidP="00E95DCC">
            <w:pPr>
              <w:pStyle w:val="ListParagraph"/>
              <w:numPr>
                <w:ilvl w:val="1"/>
                <w:numId w:val="6"/>
              </w:numPr>
              <w:spacing w:after="160" w:line="259" w:lineRule="auto"/>
              <w:jc w:val="both"/>
              <w:rPr>
                <w:rFonts w:eastAsia="Calibri"/>
                <w:color w:val="212121"/>
                <w:sz w:val="20"/>
                <w:szCs w:val="20"/>
              </w:rPr>
            </w:pPr>
            <w:r>
              <w:rPr>
                <w:rFonts w:eastAsia="Calibri"/>
                <w:color w:val="212121"/>
                <w:sz w:val="20"/>
                <w:szCs w:val="20"/>
              </w:rPr>
              <w:t>Dominican Re</w:t>
            </w:r>
            <w:r w:rsidR="007232C8">
              <w:rPr>
                <w:rFonts w:eastAsia="Calibri"/>
                <w:color w:val="212121"/>
                <w:sz w:val="20"/>
                <w:szCs w:val="20"/>
              </w:rPr>
              <w:t xml:space="preserve">public, </w:t>
            </w:r>
            <w:r w:rsidR="00D61C82">
              <w:rPr>
                <w:rFonts w:eastAsia="Calibri"/>
                <w:color w:val="212121"/>
                <w:sz w:val="20"/>
                <w:szCs w:val="20"/>
              </w:rPr>
              <w:t xml:space="preserve">Cuba, </w:t>
            </w:r>
            <w:r w:rsidR="00AF18F9">
              <w:rPr>
                <w:rFonts w:eastAsia="Calibri"/>
                <w:color w:val="212121"/>
                <w:sz w:val="20"/>
                <w:szCs w:val="20"/>
              </w:rPr>
              <w:t xml:space="preserve">and the Maldives </w:t>
            </w:r>
            <w:r w:rsidR="008C3C9C">
              <w:rPr>
                <w:rFonts w:eastAsia="Calibri"/>
                <w:color w:val="212121"/>
                <w:sz w:val="20"/>
                <w:szCs w:val="20"/>
              </w:rPr>
              <w:t xml:space="preserve">will </w:t>
            </w:r>
            <w:r w:rsidR="006F180B" w:rsidRPr="00064439">
              <w:rPr>
                <w:rFonts w:eastAsia="Calibri"/>
                <w:color w:val="212121"/>
                <w:sz w:val="20"/>
                <w:szCs w:val="20"/>
              </w:rPr>
              <w:t>graduate to MIC status with GNI per capita above the $6,6</w:t>
            </w:r>
            <w:r w:rsidR="006F180B">
              <w:rPr>
                <w:rFonts w:eastAsia="Calibri"/>
                <w:color w:val="212121"/>
                <w:sz w:val="20"/>
                <w:szCs w:val="20"/>
              </w:rPr>
              <w:t>92</w:t>
            </w:r>
            <w:r w:rsidR="006F180B" w:rsidRPr="00064439">
              <w:rPr>
                <w:rFonts w:eastAsia="Calibri"/>
                <w:color w:val="212121"/>
                <w:sz w:val="20"/>
                <w:szCs w:val="20"/>
              </w:rPr>
              <w:t xml:space="preserve"> threshold. The annual TRAC-1 allocation for these countries will </w:t>
            </w:r>
            <w:r w:rsidR="006F180B">
              <w:rPr>
                <w:rFonts w:eastAsia="Calibri"/>
                <w:color w:val="212121"/>
                <w:sz w:val="20"/>
                <w:szCs w:val="20"/>
              </w:rPr>
              <w:t>be</w:t>
            </w:r>
            <w:r w:rsidR="006F180B" w:rsidRPr="00064439">
              <w:rPr>
                <w:rFonts w:eastAsia="Calibri"/>
                <w:color w:val="212121"/>
                <w:sz w:val="20"/>
                <w:szCs w:val="20"/>
              </w:rPr>
              <w:t xml:space="preserve"> $150,000, and, with respect to use of regular resources to finance UNDP’s physical presence, the two</w:t>
            </w:r>
            <w:r w:rsidR="004905B3">
              <w:rPr>
                <w:rFonts w:eastAsia="Calibri"/>
                <w:color w:val="212121"/>
                <w:sz w:val="20"/>
                <w:szCs w:val="20"/>
              </w:rPr>
              <w:t>-</w:t>
            </w:r>
            <w:r w:rsidR="006F180B" w:rsidRPr="00064439">
              <w:rPr>
                <w:rFonts w:eastAsia="Calibri"/>
                <w:color w:val="212121"/>
                <w:sz w:val="20"/>
                <w:szCs w:val="20"/>
              </w:rPr>
              <w:t>year grace period will commence starting 20</w:t>
            </w:r>
            <w:r w:rsidR="00B13154">
              <w:rPr>
                <w:rFonts w:eastAsia="Calibri"/>
                <w:color w:val="212121"/>
                <w:sz w:val="20"/>
                <w:szCs w:val="20"/>
              </w:rPr>
              <w:t>22</w:t>
            </w:r>
            <w:r w:rsidR="006F180B" w:rsidRPr="00064439">
              <w:rPr>
                <w:rFonts w:eastAsia="Calibri"/>
                <w:color w:val="212121"/>
                <w:sz w:val="20"/>
                <w:szCs w:val="20"/>
              </w:rPr>
              <w:t>.</w:t>
            </w:r>
          </w:p>
          <w:p w14:paraId="65338A9C" w14:textId="77777777" w:rsidR="00E95DCC" w:rsidRPr="00E95DCC" w:rsidRDefault="00E95DCC" w:rsidP="00E95DCC">
            <w:pPr>
              <w:spacing w:after="160" w:line="259" w:lineRule="auto"/>
              <w:jc w:val="both"/>
              <w:rPr>
                <w:rFonts w:eastAsia="Calibri"/>
                <w:color w:val="212121"/>
                <w:sz w:val="20"/>
                <w:szCs w:val="20"/>
              </w:rPr>
            </w:pPr>
          </w:p>
          <w:p w14:paraId="56322F92" w14:textId="7AFA2DFF" w:rsidR="00C60DBF" w:rsidRDefault="002A59BE" w:rsidP="00511232">
            <w:pPr>
              <w:pStyle w:val="ListParagraph"/>
              <w:numPr>
                <w:ilvl w:val="1"/>
                <w:numId w:val="6"/>
              </w:numPr>
              <w:spacing w:after="160" w:line="259" w:lineRule="auto"/>
              <w:jc w:val="both"/>
              <w:rPr>
                <w:rFonts w:eastAsia="Calibri"/>
                <w:color w:val="212121"/>
                <w:sz w:val="20"/>
                <w:szCs w:val="20"/>
              </w:rPr>
            </w:pPr>
            <w:r w:rsidRPr="002A59BE">
              <w:rPr>
                <w:rFonts w:eastAsia="Calibri"/>
                <w:color w:val="212121"/>
                <w:sz w:val="20"/>
                <w:szCs w:val="20"/>
              </w:rPr>
              <w:t>For Azerbaijan, Belarus, Libya</w:t>
            </w:r>
            <w:r w:rsidR="00171A94">
              <w:rPr>
                <w:rFonts w:eastAsia="Calibri"/>
                <w:color w:val="212121"/>
                <w:sz w:val="20"/>
                <w:szCs w:val="20"/>
              </w:rPr>
              <w:t>, Colombia,</w:t>
            </w:r>
            <w:r w:rsidRPr="002A59BE">
              <w:rPr>
                <w:rFonts w:eastAsia="Calibri"/>
                <w:color w:val="212121"/>
                <w:sz w:val="20"/>
                <w:szCs w:val="20"/>
              </w:rPr>
              <w:t xml:space="preserve"> </w:t>
            </w:r>
            <w:r w:rsidR="0048029F">
              <w:rPr>
                <w:rFonts w:eastAsia="Calibri"/>
                <w:color w:val="212121"/>
                <w:sz w:val="20"/>
                <w:szCs w:val="20"/>
              </w:rPr>
              <w:t xml:space="preserve">Venezuela, </w:t>
            </w:r>
            <w:r w:rsidR="00EC0789">
              <w:rPr>
                <w:rFonts w:eastAsia="Calibri"/>
                <w:color w:val="212121"/>
                <w:sz w:val="20"/>
                <w:szCs w:val="20"/>
              </w:rPr>
              <w:t xml:space="preserve">Suriname, </w:t>
            </w:r>
            <w:r w:rsidRPr="002A59BE">
              <w:rPr>
                <w:rFonts w:eastAsia="Calibri"/>
                <w:color w:val="212121"/>
                <w:sz w:val="20"/>
                <w:szCs w:val="20"/>
              </w:rPr>
              <w:t xml:space="preserve">and South Africa, the 4-year average GNI per capita dropped </w:t>
            </w:r>
            <w:r w:rsidR="00D54C07">
              <w:rPr>
                <w:rFonts w:eastAsia="Calibri"/>
                <w:color w:val="212121"/>
                <w:sz w:val="20"/>
                <w:szCs w:val="20"/>
              </w:rPr>
              <w:t>to</w:t>
            </w:r>
            <w:r w:rsidRPr="002A59BE">
              <w:rPr>
                <w:rFonts w:eastAsia="Calibri"/>
                <w:color w:val="212121"/>
                <w:sz w:val="20"/>
                <w:szCs w:val="20"/>
              </w:rPr>
              <w:t xml:space="preserve"> the level below the ‘</w:t>
            </w:r>
            <w:r w:rsidRPr="00064439">
              <w:rPr>
                <w:rFonts w:eastAsia="Calibri"/>
                <w:color w:val="212121"/>
                <w:sz w:val="20"/>
                <w:szCs w:val="20"/>
              </w:rPr>
              <w:t>MIC status with GNI per capita above the $6,6</w:t>
            </w:r>
            <w:r>
              <w:rPr>
                <w:rFonts w:eastAsia="Calibri"/>
                <w:color w:val="212121"/>
                <w:sz w:val="20"/>
                <w:szCs w:val="20"/>
              </w:rPr>
              <w:t>92</w:t>
            </w:r>
            <w:r w:rsidRPr="002A59BE">
              <w:rPr>
                <w:rFonts w:eastAsia="Calibri"/>
                <w:color w:val="212121"/>
                <w:sz w:val="20"/>
                <w:szCs w:val="20"/>
              </w:rPr>
              <w:t>’ threshold, hence they will be considered as regular ‘MICs’ for purposes of the funding of physical presence.  Thus, the regular mechanism for funding of the CO presence in MICs, including through meeting their respective GLOC obligations, will apply.</w:t>
            </w:r>
          </w:p>
          <w:p w14:paraId="5283061B" w14:textId="77777777" w:rsidR="00296944" w:rsidRPr="00296944" w:rsidRDefault="00296944" w:rsidP="00946468">
            <w:pPr>
              <w:pStyle w:val="ListParagraph"/>
              <w:jc w:val="both"/>
              <w:rPr>
                <w:rFonts w:eastAsia="Calibri"/>
                <w:color w:val="212121"/>
                <w:sz w:val="20"/>
                <w:szCs w:val="20"/>
              </w:rPr>
            </w:pPr>
          </w:p>
          <w:p w14:paraId="122CEDBE" w14:textId="3E97C767" w:rsidR="009D48F7" w:rsidRPr="00AE6404" w:rsidRDefault="00512B98" w:rsidP="005F298B">
            <w:pPr>
              <w:pStyle w:val="ListParagraph"/>
              <w:numPr>
                <w:ilvl w:val="1"/>
                <w:numId w:val="6"/>
              </w:numPr>
              <w:spacing w:after="160" w:line="259" w:lineRule="auto"/>
              <w:jc w:val="both"/>
              <w:rPr>
                <w:rFonts w:eastAsia="Calibri"/>
                <w:color w:val="212121"/>
                <w:sz w:val="20"/>
                <w:szCs w:val="20"/>
              </w:rPr>
            </w:pPr>
            <w:r w:rsidRPr="00E13FA4">
              <w:rPr>
                <w:rFonts w:eastAsia="Calibri"/>
                <w:color w:val="212121"/>
                <w:sz w:val="20"/>
                <w:szCs w:val="20"/>
              </w:rPr>
              <w:t xml:space="preserve">For Argentina, </w:t>
            </w:r>
            <w:r w:rsidR="0027275A">
              <w:rPr>
                <w:rFonts w:eastAsia="Calibri"/>
                <w:color w:val="212121"/>
                <w:sz w:val="20"/>
                <w:szCs w:val="20"/>
              </w:rPr>
              <w:t xml:space="preserve">which was a transitional NCC in 2020-2021, </w:t>
            </w:r>
            <w:r w:rsidRPr="00E13FA4">
              <w:rPr>
                <w:rFonts w:eastAsia="Calibri"/>
                <w:color w:val="212121"/>
                <w:sz w:val="20"/>
                <w:szCs w:val="20"/>
              </w:rPr>
              <w:t xml:space="preserve">the 4-year average GNI per capita dropped to the level below the </w:t>
            </w:r>
            <w:r w:rsidR="001D79C8">
              <w:rPr>
                <w:rFonts w:eastAsia="Calibri"/>
                <w:color w:val="212121"/>
                <w:sz w:val="20"/>
                <w:szCs w:val="20"/>
              </w:rPr>
              <w:t xml:space="preserve">NCC </w:t>
            </w:r>
            <w:r w:rsidRPr="00E13FA4">
              <w:rPr>
                <w:rFonts w:eastAsia="Calibri"/>
                <w:color w:val="212121"/>
                <w:sz w:val="20"/>
                <w:szCs w:val="20"/>
              </w:rPr>
              <w:t>threshold</w:t>
            </w:r>
            <w:r w:rsidR="001D79C8">
              <w:rPr>
                <w:rFonts w:eastAsia="Calibri"/>
                <w:color w:val="212121"/>
                <w:sz w:val="20"/>
                <w:szCs w:val="20"/>
              </w:rPr>
              <w:t xml:space="preserve"> of </w:t>
            </w:r>
            <w:r w:rsidR="001D79C8" w:rsidRPr="00E13FA4">
              <w:rPr>
                <w:rFonts w:eastAsia="Calibri"/>
                <w:color w:val="212121"/>
                <w:sz w:val="20"/>
                <w:szCs w:val="20"/>
              </w:rPr>
              <w:t>$12,535</w:t>
            </w:r>
            <w:r w:rsidRPr="00E13FA4">
              <w:rPr>
                <w:rFonts w:eastAsia="Calibri"/>
                <w:color w:val="212121"/>
                <w:sz w:val="20"/>
                <w:szCs w:val="20"/>
              </w:rPr>
              <w:t>, hence</w:t>
            </w:r>
            <w:r w:rsidR="00E13FA4">
              <w:rPr>
                <w:rFonts w:eastAsia="Calibri"/>
                <w:color w:val="212121"/>
                <w:sz w:val="20"/>
                <w:szCs w:val="20"/>
              </w:rPr>
              <w:t>,</w:t>
            </w:r>
            <w:r w:rsidRPr="00E13FA4">
              <w:rPr>
                <w:rFonts w:eastAsia="Calibri"/>
                <w:color w:val="212121"/>
                <w:sz w:val="20"/>
                <w:szCs w:val="20"/>
              </w:rPr>
              <w:t xml:space="preserve"> </w:t>
            </w:r>
            <w:r w:rsidR="00E13FA4">
              <w:rPr>
                <w:rFonts w:eastAsia="Calibri"/>
                <w:color w:val="212121"/>
                <w:sz w:val="20"/>
                <w:szCs w:val="20"/>
              </w:rPr>
              <w:t>it</w:t>
            </w:r>
            <w:r w:rsidRPr="00E13FA4">
              <w:rPr>
                <w:rFonts w:eastAsia="Calibri"/>
                <w:color w:val="212121"/>
                <w:sz w:val="20"/>
                <w:szCs w:val="20"/>
              </w:rPr>
              <w:t xml:space="preserve"> will </w:t>
            </w:r>
            <w:r w:rsidR="001D79C8">
              <w:rPr>
                <w:rFonts w:eastAsia="Calibri"/>
                <w:color w:val="212121"/>
                <w:sz w:val="20"/>
                <w:szCs w:val="20"/>
              </w:rPr>
              <w:t>not graduate to the full -</w:t>
            </w:r>
            <w:r w:rsidR="00D21195">
              <w:rPr>
                <w:rFonts w:eastAsia="Calibri"/>
                <w:color w:val="212121"/>
                <w:sz w:val="20"/>
                <w:szCs w:val="20"/>
              </w:rPr>
              <w:t xml:space="preserve">fledged NCC status, and, instead, it will </w:t>
            </w:r>
            <w:r w:rsidRPr="00E13FA4">
              <w:rPr>
                <w:rFonts w:eastAsia="Calibri"/>
                <w:color w:val="212121"/>
                <w:sz w:val="20"/>
                <w:szCs w:val="20"/>
              </w:rPr>
              <w:t xml:space="preserve">be considered as MIC with the GNI per capita above $6,692 for the purpose of the funding </w:t>
            </w:r>
            <w:r w:rsidR="00E13FA4">
              <w:rPr>
                <w:rFonts w:eastAsia="Calibri"/>
                <w:color w:val="212121"/>
                <w:sz w:val="20"/>
                <w:szCs w:val="20"/>
              </w:rPr>
              <w:t xml:space="preserve">of </w:t>
            </w:r>
            <w:r w:rsidRPr="00E13FA4">
              <w:rPr>
                <w:rFonts w:eastAsia="Calibri"/>
                <w:color w:val="212121"/>
                <w:sz w:val="20"/>
                <w:szCs w:val="20"/>
              </w:rPr>
              <w:t xml:space="preserve">the differentiated physical presence.  </w:t>
            </w:r>
            <w:r w:rsidR="00983DB8" w:rsidRPr="00064439">
              <w:rPr>
                <w:rFonts w:eastAsia="Calibri"/>
                <w:color w:val="212121"/>
                <w:sz w:val="20"/>
                <w:szCs w:val="20"/>
              </w:rPr>
              <w:t xml:space="preserve">The annual TRAC-1 allocation for </w:t>
            </w:r>
            <w:r w:rsidR="0027275A">
              <w:rPr>
                <w:rFonts w:eastAsia="Calibri"/>
                <w:color w:val="212121"/>
                <w:sz w:val="20"/>
                <w:szCs w:val="20"/>
              </w:rPr>
              <w:t xml:space="preserve">Argentina will </w:t>
            </w:r>
            <w:proofErr w:type="spellStart"/>
            <w:r w:rsidR="0027275A">
              <w:rPr>
                <w:rFonts w:eastAsia="Calibri"/>
                <w:color w:val="212121"/>
                <w:sz w:val="20"/>
                <w:szCs w:val="20"/>
              </w:rPr>
              <w:t>comtinue</w:t>
            </w:r>
            <w:proofErr w:type="spellEnd"/>
            <w:r w:rsidR="0027275A">
              <w:rPr>
                <w:rFonts w:eastAsia="Calibri"/>
                <w:color w:val="212121"/>
                <w:sz w:val="20"/>
                <w:szCs w:val="20"/>
              </w:rPr>
              <w:t xml:space="preserve"> to be</w:t>
            </w:r>
            <w:r w:rsidR="00983DB8" w:rsidRPr="00064439">
              <w:rPr>
                <w:rFonts w:eastAsia="Calibri"/>
                <w:color w:val="212121"/>
                <w:sz w:val="20"/>
                <w:szCs w:val="20"/>
              </w:rPr>
              <w:t xml:space="preserve"> $150,000</w:t>
            </w:r>
            <w:r w:rsidR="00D21195">
              <w:rPr>
                <w:rFonts w:eastAsia="Calibri"/>
                <w:color w:val="212121"/>
                <w:sz w:val="20"/>
                <w:szCs w:val="20"/>
              </w:rPr>
              <w:t>.</w:t>
            </w:r>
          </w:p>
        </w:tc>
      </w:tr>
    </w:tbl>
    <w:p w14:paraId="5B5194D9" w14:textId="77777777" w:rsidR="00024B83" w:rsidRPr="00B60C79" w:rsidRDefault="00024B83" w:rsidP="00077AD0">
      <w:pPr>
        <w:pStyle w:val="ADRText"/>
        <w:ind w:left="0"/>
        <w:jc w:val="both"/>
        <w:rPr>
          <w:sz w:val="20"/>
          <w:lang w:val="en-US"/>
        </w:rPr>
      </w:pPr>
    </w:p>
    <w:sectPr w:rsidR="00024B83" w:rsidRPr="00B60C79" w:rsidSect="0029161C">
      <w:footerReference w:type="even" r:id="rId16"/>
      <w:footerReference w:type="default" r:id="rId17"/>
      <w:headerReference w:type="first" r:id="rId18"/>
      <w:pgSz w:w="12240" w:h="15840" w:code="1"/>
      <w:pgMar w:top="907" w:right="2160" w:bottom="1267" w:left="1440" w:header="187" w:footer="720" w:gutter="0"/>
      <w:pgBorders w:offsetFrom="page">
        <w:top w:val="single" w:sz="4" w:space="0" w:color="auto"/>
        <w:left w:val="single" w:sz="4" w:space="0" w:color="auto"/>
        <w:bottom w:val="single" w:sz="4" w:space="0" w:color="auto"/>
        <w:right w:val="single" w:sz="4" w:space="0"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D273CA" w14:textId="77777777" w:rsidR="00AF7834" w:rsidRDefault="00AF7834" w:rsidP="007458AB">
      <w:r>
        <w:separator/>
      </w:r>
    </w:p>
    <w:p w14:paraId="6DB0F2CF" w14:textId="77777777" w:rsidR="00AF7834" w:rsidRDefault="00AF7834"/>
  </w:endnote>
  <w:endnote w:type="continuationSeparator" w:id="0">
    <w:p w14:paraId="4F6DE269" w14:textId="77777777" w:rsidR="00AF7834" w:rsidRDefault="00AF7834" w:rsidP="007458AB">
      <w:r>
        <w:continuationSeparator/>
      </w:r>
    </w:p>
    <w:p w14:paraId="4593A485" w14:textId="77777777" w:rsidR="00AF7834" w:rsidRDefault="00AF7834"/>
  </w:endnote>
  <w:endnote w:type="continuationNotice" w:id="1">
    <w:p w14:paraId="50A57C76" w14:textId="77777777" w:rsidR="00AF7834" w:rsidRDefault="00AF7834"/>
    <w:p w14:paraId="77A49C7F" w14:textId="77777777" w:rsidR="00AF7834" w:rsidRDefault="00AF78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NewRomanPSMT">
    <w:altName w:val="Times New Roman"/>
    <w:charset w:val="00"/>
    <w:family w:val="roman"/>
    <w:pitch w:val="variable"/>
    <w:sig w:usb0="E0002AEF" w:usb1="C0007841" w:usb2="00000009" w:usb3="00000000" w:csb0="000001FF" w:csb1="00000000"/>
  </w:font>
  <w:font w:name="TimesNewRomanP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42200428"/>
      <w:docPartObj>
        <w:docPartGallery w:val="Page Numbers (Bottom of Page)"/>
        <w:docPartUnique/>
      </w:docPartObj>
    </w:sdtPr>
    <w:sdtEndPr>
      <w:rPr>
        <w:b/>
        <w:noProof/>
        <w:sz w:val="17"/>
        <w:szCs w:val="17"/>
      </w:rPr>
    </w:sdtEndPr>
    <w:sdtContent>
      <w:p w14:paraId="01597036" w14:textId="77777777" w:rsidR="00077824" w:rsidRPr="004233D8" w:rsidRDefault="004233D8" w:rsidP="004233D8">
        <w:pPr>
          <w:pStyle w:val="Footer"/>
          <w:rPr>
            <w:b/>
            <w:sz w:val="17"/>
            <w:szCs w:val="17"/>
          </w:rPr>
        </w:pPr>
        <w:r w:rsidRPr="004233D8">
          <w:rPr>
            <w:b/>
            <w:sz w:val="17"/>
            <w:szCs w:val="17"/>
          </w:rPr>
          <w:fldChar w:fldCharType="begin"/>
        </w:r>
        <w:r w:rsidRPr="004233D8">
          <w:rPr>
            <w:b/>
            <w:sz w:val="17"/>
            <w:szCs w:val="17"/>
          </w:rPr>
          <w:instrText xml:space="preserve"> PAGE   \* MERGEFORMAT </w:instrText>
        </w:r>
        <w:r w:rsidRPr="004233D8">
          <w:rPr>
            <w:b/>
            <w:sz w:val="17"/>
            <w:szCs w:val="17"/>
          </w:rPr>
          <w:fldChar w:fldCharType="separate"/>
        </w:r>
        <w:r w:rsidR="00FC07BF">
          <w:rPr>
            <w:b/>
            <w:noProof/>
            <w:sz w:val="17"/>
            <w:szCs w:val="17"/>
          </w:rPr>
          <w:t>1</w:t>
        </w:r>
        <w:r w:rsidR="00FC07BF">
          <w:rPr>
            <w:b/>
            <w:noProof/>
            <w:sz w:val="17"/>
            <w:szCs w:val="17"/>
          </w:rPr>
          <w:t>0</w:t>
        </w:r>
        <w:r w:rsidRPr="004233D8">
          <w:rPr>
            <w:b/>
            <w:noProof/>
            <w:sz w:val="17"/>
            <w:szCs w:val="17"/>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08551089"/>
      <w:docPartObj>
        <w:docPartGallery w:val="Page Numbers (Bottom of Page)"/>
        <w:docPartUnique/>
      </w:docPartObj>
    </w:sdtPr>
    <w:sdtEndPr>
      <w:rPr>
        <w:noProof/>
      </w:rPr>
    </w:sdtEndPr>
    <w:sdtContent>
      <w:p w14:paraId="3101DE5D" w14:textId="77777777" w:rsidR="004233D8" w:rsidRDefault="004233D8">
        <w:pPr>
          <w:pStyle w:val="Footer"/>
          <w:jc w:val="right"/>
        </w:pPr>
        <w:r w:rsidRPr="004233D8">
          <w:rPr>
            <w:b/>
            <w:sz w:val="17"/>
            <w:szCs w:val="17"/>
          </w:rPr>
          <w:fldChar w:fldCharType="begin"/>
        </w:r>
        <w:r w:rsidRPr="004233D8">
          <w:rPr>
            <w:b/>
            <w:sz w:val="17"/>
            <w:szCs w:val="17"/>
          </w:rPr>
          <w:instrText xml:space="preserve"> PAGE   \* MERGEFORMAT </w:instrText>
        </w:r>
        <w:r w:rsidRPr="004233D8">
          <w:rPr>
            <w:b/>
            <w:sz w:val="17"/>
            <w:szCs w:val="17"/>
          </w:rPr>
          <w:fldChar w:fldCharType="separate"/>
        </w:r>
        <w:r w:rsidR="00FC07BF">
          <w:rPr>
            <w:b/>
            <w:noProof/>
            <w:sz w:val="17"/>
            <w:szCs w:val="17"/>
          </w:rPr>
          <w:t>1</w:t>
        </w:r>
        <w:r w:rsidR="00FC07BF">
          <w:rPr>
            <w:b/>
            <w:noProof/>
            <w:sz w:val="17"/>
            <w:szCs w:val="17"/>
          </w:rPr>
          <w:t>1</w:t>
        </w:r>
        <w:r w:rsidRPr="004233D8">
          <w:rPr>
            <w:b/>
            <w:noProof/>
            <w:sz w:val="17"/>
            <w:szCs w:val="17"/>
          </w:rPr>
          <w:fldChar w:fldCharType="end"/>
        </w:r>
      </w:p>
    </w:sdtContent>
  </w:sdt>
  <w:p w14:paraId="2FBC6955" w14:textId="77777777" w:rsidR="00077824" w:rsidRDefault="00077824" w:rsidP="004233D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FEA087" w14:textId="77777777" w:rsidR="00AF7834" w:rsidRDefault="00AF7834" w:rsidP="007458AB">
      <w:r>
        <w:separator/>
      </w:r>
    </w:p>
    <w:p w14:paraId="6D6129CA" w14:textId="77777777" w:rsidR="00AF7834" w:rsidRDefault="00AF7834"/>
  </w:footnote>
  <w:footnote w:type="continuationSeparator" w:id="0">
    <w:p w14:paraId="191AB4A7" w14:textId="77777777" w:rsidR="00AF7834" w:rsidRDefault="00AF7834" w:rsidP="007458AB">
      <w:r>
        <w:continuationSeparator/>
      </w:r>
    </w:p>
    <w:p w14:paraId="309135BF" w14:textId="77777777" w:rsidR="00AF7834" w:rsidRDefault="00AF7834"/>
  </w:footnote>
  <w:footnote w:type="continuationNotice" w:id="1">
    <w:p w14:paraId="0245D47D" w14:textId="77777777" w:rsidR="00AF7834" w:rsidRDefault="00AF7834"/>
    <w:p w14:paraId="4BF56A32" w14:textId="77777777" w:rsidR="00AF7834" w:rsidRDefault="00AF78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885" w:type="dxa"/>
      <w:tblBorders>
        <w:bottom w:val="single" w:sz="2" w:space="0" w:color="auto"/>
      </w:tblBorders>
      <w:tblLayout w:type="fixed"/>
      <w:tblCellMar>
        <w:left w:w="0" w:type="dxa"/>
        <w:right w:w="0" w:type="dxa"/>
      </w:tblCellMar>
      <w:tblLook w:val="0000" w:firstRow="0" w:lastRow="0" w:firstColumn="0" w:lastColumn="0" w:noHBand="0" w:noVBand="0"/>
    </w:tblPr>
    <w:tblGrid>
      <w:gridCol w:w="4838"/>
      <w:gridCol w:w="5047"/>
    </w:tblGrid>
    <w:tr w:rsidR="00DD6295" w:rsidRPr="00F202B1" w14:paraId="014E2555" w14:textId="77777777" w:rsidTr="00FA34F3">
      <w:trPr>
        <w:trHeight w:hRule="exact" w:val="864"/>
      </w:trPr>
      <w:tc>
        <w:tcPr>
          <w:tcW w:w="4838" w:type="dxa"/>
          <w:vAlign w:val="bottom"/>
        </w:tcPr>
        <w:p w14:paraId="287692AF" w14:textId="22427080" w:rsidR="008125CF" w:rsidRPr="00FC07BF" w:rsidRDefault="00DD6295" w:rsidP="00DD6295">
          <w:pPr>
            <w:pStyle w:val="Header"/>
            <w:spacing w:after="80"/>
            <w:rPr>
              <w:b/>
              <w:bCs/>
              <w:sz w:val="20"/>
              <w:szCs w:val="20"/>
              <w:lang w:val="en-US"/>
            </w:rPr>
          </w:pPr>
          <w:r w:rsidRPr="00FC07BF">
            <w:rPr>
              <w:b/>
              <w:bCs/>
              <w:sz w:val="20"/>
              <w:szCs w:val="20"/>
              <w:lang w:val="en-US"/>
            </w:rPr>
            <w:t xml:space="preserve">Annex </w:t>
          </w:r>
          <w:r w:rsidR="00DB6B96">
            <w:rPr>
              <w:b/>
              <w:bCs/>
              <w:sz w:val="20"/>
              <w:szCs w:val="20"/>
              <w:lang w:val="en-US"/>
            </w:rPr>
            <w:t>II</w:t>
          </w:r>
          <w:r w:rsidRPr="00FC07BF">
            <w:rPr>
              <w:b/>
              <w:bCs/>
              <w:sz w:val="20"/>
              <w:szCs w:val="20"/>
              <w:lang w:val="en-US"/>
            </w:rPr>
            <w:t xml:space="preserve"> to DP/20</w:t>
          </w:r>
          <w:r w:rsidR="006A1174">
            <w:rPr>
              <w:b/>
              <w:bCs/>
              <w:sz w:val="20"/>
              <w:szCs w:val="20"/>
              <w:lang w:val="en-US"/>
            </w:rPr>
            <w:t>21</w:t>
          </w:r>
          <w:r w:rsidRPr="00FC07BF">
            <w:rPr>
              <w:b/>
              <w:bCs/>
              <w:sz w:val="20"/>
              <w:szCs w:val="20"/>
              <w:lang w:val="en-US"/>
            </w:rPr>
            <w:t>/</w:t>
          </w:r>
          <w:r w:rsidR="008125CF">
            <w:rPr>
              <w:b/>
              <w:bCs/>
              <w:sz w:val="20"/>
              <w:szCs w:val="20"/>
              <w:lang w:val="en-US"/>
            </w:rPr>
            <w:t xml:space="preserve">29 </w:t>
          </w:r>
        </w:p>
      </w:tc>
      <w:tc>
        <w:tcPr>
          <w:tcW w:w="5047" w:type="dxa"/>
          <w:vAlign w:val="bottom"/>
        </w:tcPr>
        <w:p w14:paraId="67E618B1" w14:textId="245CF88F" w:rsidR="00DD6295" w:rsidRPr="00FC07BF" w:rsidRDefault="00DD6295" w:rsidP="00DD6295">
          <w:pPr>
            <w:pStyle w:val="Header"/>
            <w:jc w:val="right"/>
            <w:rPr>
              <w:b/>
              <w:sz w:val="20"/>
              <w:szCs w:val="20"/>
              <w:lang w:val="en-US"/>
            </w:rPr>
          </w:pPr>
          <w:r w:rsidRPr="00FC07BF">
            <w:rPr>
              <w:b/>
              <w:sz w:val="20"/>
              <w:szCs w:val="20"/>
              <w:lang w:val="en-US"/>
            </w:rPr>
            <w:t xml:space="preserve">17 </w:t>
          </w:r>
          <w:r w:rsidR="006A1174">
            <w:rPr>
              <w:b/>
              <w:sz w:val="20"/>
              <w:szCs w:val="20"/>
              <w:lang w:val="en-US"/>
            </w:rPr>
            <w:t>June</w:t>
          </w:r>
          <w:r w:rsidRPr="00FC07BF">
            <w:rPr>
              <w:b/>
              <w:sz w:val="20"/>
              <w:szCs w:val="20"/>
              <w:lang w:val="en-US"/>
            </w:rPr>
            <w:t xml:space="preserve"> 20</w:t>
          </w:r>
          <w:r w:rsidR="006A1174">
            <w:rPr>
              <w:b/>
              <w:sz w:val="20"/>
              <w:szCs w:val="20"/>
              <w:lang w:val="en-US"/>
            </w:rPr>
            <w:t>21</w:t>
          </w:r>
        </w:p>
      </w:tc>
    </w:tr>
  </w:tbl>
  <w:p w14:paraId="2DFAD7FD" w14:textId="77777777" w:rsidR="00E6386B" w:rsidRDefault="00E6386B" w:rsidP="00316980">
    <w:pPr>
      <w:rPr>
        <w:sz w:val="17"/>
        <w:szCs w:val="17"/>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33470"/>
    <w:multiLevelType w:val="multilevel"/>
    <w:tmpl w:val="0A166D90"/>
    <w:lvl w:ilvl="0">
      <w:start w:val="1"/>
      <w:numFmt w:val="decimal"/>
      <w:pStyle w:val="normalHeader"/>
      <w:lvlText w:val="%1."/>
      <w:lvlJc w:val="left"/>
      <w:pPr>
        <w:ind w:left="360" w:hanging="360"/>
      </w:pPr>
    </w:lvl>
    <w:lvl w:ilvl="1">
      <w:start w:val="1"/>
      <w:numFmt w:val="decimal"/>
      <w:lvlText w:val="%1.%2."/>
      <w:lvlJc w:val="left"/>
      <w:pPr>
        <w:ind w:left="106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914BFE"/>
    <w:multiLevelType w:val="multilevel"/>
    <w:tmpl w:val="567AEA0A"/>
    <w:lvl w:ilvl="0">
      <w:start w:val="41"/>
      <w:numFmt w:val="decimal"/>
      <w:lvlText w:val="%1)"/>
      <w:lvlJc w:val="left"/>
      <w:pPr>
        <w:ind w:left="360" w:hanging="360"/>
      </w:pPr>
      <w:rPr>
        <w:rFonts w:hint="default"/>
        <w:b w:val="0"/>
        <w:color w:val="auto"/>
        <w:sz w:val="20"/>
        <w:szCs w:val="20"/>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b w:val="0"/>
        <w:color w:val="auto"/>
        <w:sz w:val="20"/>
        <w:szCs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E712E84"/>
    <w:multiLevelType w:val="multilevel"/>
    <w:tmpl w:val="840C6910"/>
    <w:lvl w:ilvl="0">
      <w:start w:val="21"/>
      <w:numFmt w:val="decimal"/>
      <w:lvlText w:val="%1)"/>
      <w:lvlJc w:val="left"/>
      <w:pPr>
        <w:ind w:left="360" w:hanging="360"/>
      </w:pPr>
      <w:rPr>
        <w:rFonts w:hint="default"/>
        <w:b w:val="0"/>
        <w:color w:val="auto"/>
        <w:sz w:val="20"/>
        <w:szCs w:val="20"/>
      </w:rPr>
    </w:lvl>
    <w:lvl w:ilvl="1">
      <w:start w:val="1"/>
      <w:numFmt w:val="lowerLetter"/>
      <w:lvlText w:val="%2)"/>
      <w:lvlJc w:val="left"/>
      <w:pPr>
        <w:ind w:left="720" w:hanging="360"/>
      </w:pPr>
      <w:rPr>
        <w:rFonts w:hint="default"/>
      </w:rPr>
    </w:lvl>
    <w:lvl w:ilvl="2">
      <w:start w:val="2"/>
      <w:numFmt w:val="lowerLetter"/>
      <w:lvlText w:val="%3)"/>
      <w:lvlJc w:val="left"/>
      <w:pPr>
        <w:ind w:left="1080" w:hanging="360"/>
      </w:pPr>
      <w:rPr>
        <w:rFonts w:hint="default"/>
        <w:b w:val="0"/>
        <w:color w:val="auto"/>
        <w:sz w:val="20"/>
        <w:szCs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62F340F"/>
    <w:multiLevelType w:val="multilevel"/>
    <w:tmpl w:val="1332A3A6"/>
    <w:lvl w:ilvl="0">
      <w:start w:val="1"/>
      <w:numFmt w:val="decimal"/>
      <w:lvlText w:val="%1)"/>
      <w:lvlJc w:val="left"/>
      <w:pPr>
        <w:ind w:left="360" w:hanging="360"/>
      </w:pPr>
      <w:rPr>
        <w:rFonts w:hint="default"/>
        <w:b w:val="0"/>
        <w:color w:val="auto"/>
        <w:sz w:val="20"/>
        <w:szCs w:val="20"/>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b w:val="0"/>
        <w:i w:val="0"/>
        <w:iCs w:val="0"/>
        <w:color w:val="auto"/>
        <w:sz w:val="20"/>
        <w:szCs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i w:val="0"/>
        <w:iCs/>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8651D55"/>
    <w:multiLevelType w:val="multilevel"/>
    <w:tmpl w:val="2452E90C"/>
    <w:lvl w:ilvl="0">
      <w:start w:val="1"/>
      <w:numFmt w:val="decimal"/>
      <w:lvlText w:val="%1)"/>
      <w:lvlJc w:val="left"/>
      <w:pPr>
        <w:ind w:left="360" w:hanging="360"/>
      </w:pPr>
      <w:rPr>
        <w:b w:val="0"/>
        <w:color w:val="auto"/>
        <w:sz w:val="20"/>
        <w:szCs w:val="20"/>
      </w:rPr>
    </w:lvl>
    <w:lvl w:ilvl="1">
      <w:start w:val="1"/>
      <w:numFmt w:val="lowerLetter"/>
      <w:lvlText w:val="%2)"/>
      <w:lvlJc w:val="left"/>
      <w:pPr>
        <w:ind w:left="720" w:hanging="360"/>
      </w:pPr>
    </w:lvl>
    <w:lvl w:ilvl="2">
      <w:start w:val="2"/>
      <w:numFmt w:val="lowerLetter"/>
      <w:lvlText w:val="%3)"/>
      <w:lvlJc w:val="left"/>
      <w:pPr>
        <w:ind w:left="1080" w:hanging="360"/>
      </w:pPr>
      <w:rPr>
        <w:rFonts w:hint="default"/>
        <w:b w:val="0"/>
        <w:color w:val="auto"/>
        <w:sz w:val="20"/>
        <w:szCs w:val="2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CBA45D5"/>
    <w:multiLevelType w:val="multilevel"/>
    <w:tmpl w:val="20A827EC"/>
    <w:lvl w:ilvl="0">
      <w:start w:val="21"/>
      <w:numFmt w:val="decimal"/>
      <w:lvlText w:val="%1)"/>
      <w:lvlJc w:val="left"/>
      <w:pPr>
        <w:ind w:left="360" w:hanging="360"/>
      </w:pPr>
      <w:rPr>
        <w:rFonts w:hint="default"/>
        <w:b w:val="0"/>
        <w:color w:val="auto"/>
        <w:sz w:val="20"/>
        <w:szCs w:val="20"/>
      </w:rPr>
    </w:lvl>
    <w:lvl w:ilvl="1">
      <w:start w:val="1"/>
      <w:numFmt w:val="lowerLetter"/>
      <w:lvlText w:val="%2)"/>
      <w:lvlJc w:val="left"/>
      <w:pPr>
        <w:ind w:left="720" w:hanging="360"/>
      </w:pPr>
      <w:rPr>
        <w:rFonts w:hint="default"/>
      </w:rPr>
    </w:lvl>
    <w:lvl w:ilvl="2">
      <w:start w:val="2"/>
      <w:numFmt w:val="lowerLetter"/>
      <w:lvlText w:val="%3)"/>
      <w:lvlJc w:val="left"/>
      <w:pPr>
        <w:ind w:left="1080" w:hanging="360"/>
      </w:pPr>
      <w:rPr>
        <w:rFonts w:hint="default"/>
        <w:b w:val="0"/>
        <w:color w:val="auto"/>
        <w:sz w:val="20"/>
        <w:szCs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1487D13"/>
    <w:multiLevelType w:val="multilevel"/>
    <w:tmpl w:val="16204A7E"/>
    <w:lvl w:ilvl="0">
      <w:start w:val="32"/>
      <w:numFmt w:val="decimal"/>
      <w:lvlText w:val="%1)"/>
      <w:lvlJc w:val="left"/>
      <w:pPr>
        <w:ind w:left="360" w:hanging="360"/>
      </w:pPr>
      <w:rPr>
        <w:rFonts w:hint="default"/>
        <w:b w:val="0"/>
        <w:color w:val="auto"/>
        <w:sz w:val="20"/>
        <w:szCs w:val="20"/>
      </w:rPr>
    </w:lvl>
    <w:lvl w:ilvl="1">
      <w:start w:val="1"/>
      <w:numFmt w:val="lowerLetter"/>
      <w:lvlText w:val="%2)"/>
      <w:lvlJc w:val="left"/>
      <w:pPr>
        <w:ind w:left="720" w:hanging="360"/>
      </w:pPr>
    </w:lvl>
    <w:lvl w:ilvl="2">
      <w:start w:val="1"/>
      <w:numFmt w:val="lowerLetter"/>
      <w:lvlText w:val="%3)"/>
      <w:lvlJc w:val="left"/>
      <w:pPr>
        <w:ind w:left="1080" w:hanging="360"/>
      </w:pPr>
      <w:rPr>
        <w:b w:val="0"/>
        <w:color w:val="auto"/>
        <w:sz w:val="20"/>
        <w:szCs w:val="2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07B14D2"/>
    <w:multiLevelType w:val="hybridMultilevel"/>
    <w:tmpl w:val="EA543752"/>
    <w:lvl w:ilvl="0" w:tplc="966E9FA2">
      <w:start w:val="1"/>
      <w:numFmt w:val="lowerLetter"/>
      <w:pStyle w:val="normalsubnumber"/>
      <w:lvlText w:val="%1."/>
      <w:lvlJc w:val="left"/>
      <w:pPr>
        <w:ind w:left="720" w:hanging="360"/>
      </w:pPr>
      <w:rPr>
        <w:rFonts w:hint="default"/>
        <w:b w:val="0"/>
        <w:color w:val="auto"/>
        <w:sz w:val="20"/>
        <w:szCs w:val="20"/>
      </w:rPr>
    </w:lvl>
    <w:lvl w:ilvl="1" w:tplc="04090019">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8" w15:restartNumberingAfterBreak="0">
    <w:nsid w:val="470263FF"/>
    <w:multiLevelType w:val="multilevel"/>
    <w:tmpl w:val="0D168496"/>
    <w:lvl w:ilvl="0">
      <w:start w:val="21"/>
      <w:numFmt w:val="decimal"/>
      <w:lvlText w:val="%1)"/>
      <w:lvlJc w:val="left"/>
      <w:pPr>
        <w:ind w:left="360" w:hanging="360"/>
      </w:pPr>
      <w:rPr>
        <w:rFonts w:hint="default"/>
        <w:b w:val="0"/>
        <w:color w:val="auto"/>
        <w:sz w:val="20"/>
        <w:szCs w:val="20"/>
      </w:rPr>
    </w:lvl>
    <w:lvl w:ilvl="1">
      <w:start w:val="1"/>
      <w:numFmt w:val="lowerLetter"/>
      <w:lvlText w:val="%2)"/>
      <w:lvlJc w:val="left"/>
      <w:pPr>
        <w:ind w:left="720" w:hanging="360"/>
      </w:pPr>
    </w:lvl>
    <w:lvl w:ilvl="2">
      <w:start w:val="2"/>
      <w:numFmt w:val="lowerLetter"/>
      <w:lvlText w:val="%3)"/>
      <w:lvlJc w:val="left"/>
      <w:pPr>
        <w:ind w:left="1080" w:hanging="360"/>
      </w:pPr>
      <w:rPr>
        <w:rFonts w:hint="default"/>
        <w:b w:val="0"/>
        <w:color w:val="auto"/>
        <w:sz w:val="20"/>
        <w:szCs w:val="2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7BC0ADC"/>
    <w:multiLevelType w:val="multilevel"/>
    <w:tmpl w:val="0409001D"/>
    <w:lvl w:ilvl="0">
      <w:start w:val="1"/>
      <w:numFmt w:val="decimal"/>
      <w:lvlText w:val="%1)"/>
      <w:lvlJc w:val="left"/>
      <w:pPr>
        <w:ind w:left="360" w:hanging="360"/>
      </w:pPr>
      <w:rPr>
        <w:b w:val="0"/>
        <w:color w:val="auto"/>
        <w:sz w:val="20"/>
        <w:szCs w:val="20"/>
      </w:rPr>
    </w:lvl>
    <w:lvl w:ilvl="1">
      <w:start w:val="1"/>
      <w:numFmt w:val="lowerLetter"/>
      <w:lvlText w:val="%2)"/>
      <w:lvlJc w:val="left"/>
      <w:pPr>
        <w:ind w:left="720" w:hanging="360"/>
      </w:pPr>
    </w:lvl>
    <w:lvl w:ilvl="2">
      <w:start w:val="1"/>
      <w:numFmt w:val="lowerRoman"/>
      <w:lvlText w:val="%3)"/>
      <w:lvlJc w:val="left"/>
      <w:pPr>
        <w:ind w:left="1080" w:hanging="360"/>
      </w:pPr>
      <w:rPr>
        <w:b w:val="0"/>
        <w:color w:val="auto"/>
        <w:sz w:val="20"/>
        <w:szCs w:val="2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5BF80449"/>
    <w:multiLevelType w:val="multilevel"/>
    <w:tmpl w:val="0409001D"/>
    <w:lvl w:ilvl="0">
      <w:start w:val="1"/>
      <w:numFmt w:val="decimal"/>
      <w:lvlText w:val="%1)"/>
      <w:lvlJc w:val="left"/>
      <w:pPr>
        <w:ind w:left="360" w:hanging="360"/>
      </w:pPr>
      <w:rPr>
        <w:b w:val="0"/>
        <w:color w:val="auto"/>
        <w:sz w:val="20"/>
        <w:szCs w:val="20"/>
      </w:rPr>
    </w:lvl>
    <w:lvl w:ilvl="1">
      <w:start w:val="1"/>
      <w:numFmt w:val="lowerLetter"/>
      <w:lvlText w:val="%2)"/>
      <w:lvlJc w:val="left"/>
      <w:pPr>
        <w:ind w:left="720" w:hanging="360"/>
      </w:pPr>
    </w:lvl>
    <w:lvl w:ilvl="2">
      <w:start w:val="1"/>
      <w:numFmt w:val="lowerRoman"/>
      <w:lvlText w:val="%3)"/>
      <w:lvlJc w:val="left"/>
      <w:pPr>
        <w:ind w:left="1080" w:hanging="360"/>
      </w:pPr>
      <w:rPr>
        <w:b w:val="0"/>
        <w:color w:val="auto"/>
        <w:sz w:val="20"/>
        <w:szCs w:val="2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C2550DC"/>
    <w:multiLevelType w:val="hybridMultilevel"/>
    <w:tmpl w:val="1640F3B4"/>
    <w:lvl w:ilvl="0" w:tplc="C79E867E">
      <w:start w:val="1"/>
      <w:numFmt w:val="bullet"/>
      <w:pStyle w:val="nornalbullet"/>
      <w:lvlText w:val=""/>
      <w:lvlJc w:val="left"/>
      <w:pPr>
        <w:ind w:left="1080" w:hanging="360"/>
      </w:pPr>
      <w:rPr>
        <w:rFonts w:ascii="Symbol" w:hAnsi="Symbol" w:hint="default"/>
        <w:b w:val="0"/>
        <w:color w:val="auto"/>
        <w:sz w:val="20"/>
        <w:szCs w:val="20"/>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60DA630B"/>
    <w:multiLevelType w:val="hybridMultilevel"/>
    <w:tmpl w:val="4F087FD0"/>
    <w:lvl w:ilvl="0" w:tplc="41221AF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F6D71BF"/>
    <w:multiLevelType w:val="multilevel"/>
    <w:tmpl w:val="B4CEE7B6"/>
    <w:lvl w:ilvl="0">
      <w:start w:val="1"/>
      <w:numFmt w:val="decimal"/>
      <w:lvlText w:val="%1)"/>
      <w:lvlJc w:val="left"/>
      <w:pPr>
        <w:ind w:left="360" w:hanging="360"/>
      </w:pPr>
      <w:rPr>
        <w:b w:val="0"/>
        <w:color w:val="auto"/>
        <w:sz w:val="20"/>
        <w:szCs w:val="20"/>
      </w:rPr>
    </w:lvl>
    <w:lvl w:ilvl="1">
      <w:start w:val="1"/>
      <w:numFmt w:val="lowerLetter"/>
      <w:lvlText w:val="%2)"/>
      <w:lvlJc w:val="left"/>
      <w:pPr>
        <w:ind w:left="720" w:hanging="360"/>
      </w:pPr>
    </w:lvl>
    <w:lvl w:ilvl="2">
      <w:start w:val="1"/>
      <w:numFmt w:val="lowerLetter"/>
      <w:lvlText w:val="%3)"/>
      <w:lvlJc w:val="left"/>
      <w:pPr>
        <w:ind w:left="1080" w:hanging="360"/>
      </w:pPr>
      <w:rPr>
        <w:b w:val="0"/>
        <w:color w:val="auto"/>
        <w:sz w:val="20"/>
        <w:szCs w:val="2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72D5349B"/>
    <w:multiLevelType w:val="multilevel"/>
    <w:tmpl w:val="0D168496"/>
    <w:lvl w:ilvl="0">
      <w:start w:val="21"/>
      <w:numFmt w:val="decimal"/>
      <w:lvlText w:val="%1)"/>
      <w:lvlJc w:val="left"/>
      <w:pPr>
        <w:ind w:left="360" w:hanging="360"/>
      </w:pPr>
      <w:rPr>
        <w:rFonts w:hint="default"/>
        <w:b w:val="0"/>
        <w:color w:val="auto"/>
        <w:sz w:val="20"/>
        <w:szCs w:val="20"/>
      </w:rPr>
    </w:lvl>
    <w:lvl w:ilvl="1">
      <w:start w:val="1"/>
      <w:numFmt w:val="lowerLetter"/>
      <w:lvlText w:val="%2)"/>
      <w:lvlJc w:val="left"/>
      <w:pPr>
        <w:ind w:left="720" w:hanging="360"/>
      </w:pPr>
    </w:lvl>
    <w:lvl w:ilvl="2">
      <w:start w:val="2"/>
      <w:numFmt w:val="lowerLetter"/>
      <w:lvlText w:val="%3)"/>
      <w:lvlJc w:val="left"/>
      <w:pPr>
        <w:ind w:left="1080" w:hanging="360"/>
      </w:pPr>
      <w:rPr>
        <w:rFonts w:hint="default"/>
        <w:b w:val="0"/>
        <w:color w:val="auto"/>
        <w:sz w:val="20"/>
        <w:szCs w:val="2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6"/>
  </w:num>
  <w:num w:numId="2">
    <w:abstractNumId w:val="11"/>
  </w:num>
  <w:num w:numId="3">
    <w:abstractNumId w:val="0"/>
  </w:num>
  <w:num w:numId="4">
    <w:abstractNumId w:val="7"/>
  </w:num>
  <w:num w:numId="5">
    <w:abstractNumId w:val="12"/>
  </w:num>
  <w:num w:numId="6">
    <w:abstractNumId w:val="3"/>
  </w:num>
  <w:num w:numId="7">
    <w:abstractNumId w:val="9"/>
  </w:num>
  <w:num w:numId="8">
    <w:abstractNumId w:val="10"/>
  </w:num>
  <w:num w:numId="9">
    <w:abstractNumId w:val="4"/>
  </w:num>
  <w:num w:numId="10">
    <w:abstractNumId w:val="8"/>
  </w:num>
  <w:num w:numId="11">
    <w:abstractNumId w:val="14"/>
  </w:num>
  <w:num w:numId="12">
    <w:abstractNumId w:val="5"/>
  </w:num>
  <w:num w:numId="13">
    <w:abstractNumId w:val="2"/>
  </w:num>
  <w:num w:numId="14">
    <w:abstractNumId w:val="1"/>
  </w:num>
  <w:num w:numId="15">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3CD"/>
    <w:rsid w:val="00000499"/>
    <w:rsid w:val="0000079D"/>
    <w:rsid w:val="00000ABC"/>
    <w:rsid w:val="00001CE4"/>
    <w:rsid w:val="000025CE"/>
    <w:rsid w:val="00002E30"/>
    <w:rsid w:val="0000303A"/>
    <w:rsid w:val="00003259"/>
    <w:rsid w:val="00004BD1"/>
    <w:rsid w:val="00004C96"/>
    <w:rsid w:val="00004D38"/>
    <w:rsid w:val="000055FB"/>
    <w:rsid w:val="000060E1"/>
    <w:rsid w:val="000072E2"/>
    <w:rsid w:val="000074E3"/>
    <w:rsid w:val="00010333"/>
    <w:rsid w:val="00010AA7"/>
    <w:rsid w:val="00011583"/>
    <w:rsid w:val="00011CA4"/>
    <w:rsid w:val="00012C8A"/>
    <w:rsid w:val="00012F35"/>
    <w:rsid w:val="00012FD4"/>
    <w:rsid w:val="000137E0"/>
    <w:rsid w:val="00013E3B"/>
    <w:rsid w:val="000141F7"/>
    <w:rsid w:val="000146B7"/>
    <w:rsid w:val="00014764"/>
    <w:rsid w:val="000148F8"/>
    <w:rsid w:val="00014F69"/>
    <w:rsid w:val="0001500D"/>
    <w:rsid w:val="00015111"/>
    <w:rsid w:val="00015726"/>
    <w:rsid w:val="00016257"/>
    <w:rsid w:val="00016AB7"/>
    <w:rsid w:val="00016E45"/>
    <w:rsid w:val="00017922"/>
    <w:rsid w:val="00020047"/>
    <w:rsid w:val="00020977"/>
    <w:rsid w:val="00020F1F"/>
    <w:rsid w:val="00021695"/>
    <w:rsid w:val="0002297D"/>
    <w:rsid w:val="00022A52"/>
    <w:rsid w:val="00022CC5"/>
    <w:rsid w:val="00023BC3"/>
    <w:rsid w:val="00023DE3"/>
    <w:rsid w:val="00024B83"/>
    <w:rsid w:val="000251CA"/>
    <w:rsid w:val="000255E9"/>
    <w:rsid w:val="00026404"/>
    <w:rsid w:val="00026532"/>
    <w:rsid w:val="00026D8C"/>
    <w:rsid w:val="00027F8E"/>
    <w:rsid w:val="00030A73"/>
    <w:rsid w:val="00031376"/>
    <w:rsid w:val="00031957"/>
    <w:rsid w:val="00031A48"/>
    <w:rsid w:val="00031A9A"/>
    <w:rsid w:val="00031C30"/>
    <w:rsid w:val="00031C49"/>
    <w:rsid w:val="0003256B"/>
    <w:rsid w:val="00032940"/>
    <w:rsid w:val="00032A5E"/>
    <w:rsid w:val="00032A97"/>
    <w:rsid w:val="00034807"/>
    <w:rsid w:val="00034CCF"/>
    <w:rsid w:val="00034F46"/>
    <w:rsid w:val="00035706"/>
    <w:rsid w:val="00035CA9"/>
    <w:rsid w:val="00037003"/>
    <w:rsid w:val="0003717B"/>
    <w:rsid w:val="00037332"/>
    <w:rsid w:val="0003792C"/>
    <w:rsid w:val="00037B43"/>
    <w:rsid w:val="00037C5A"/>
    <w:rsid w:val="0004167F"/>
    <w:rsid w:val="00041690"/>
    <w:rsid w:val="000418F4"/>
    <w:rsid w:val="00041E2F"/>
    <w:rsid w:val="0004200D"/>
    <w:rsid w:val="00042206"/>
    <w:rsid w:val="00043014"/>
    <w:rsid w:val="0004346F"/>
    <w:rsid w:val="0004426C"/>
    <w:rsid w:val="00045967"/>
    <w:rsid w:val="00045A2D"/>
    <w:rsid w:val="00045D3F"/>
    <w:rsid w:val="00046D8D"/>
    <w:rsid w:val="00046EFF"/>
    <w:rsid w:val="00047EA8"/>
    <w:rsid w:val="0005033D"/>
    <w:rsid w:val="00050AE6"/>
    <w:rsid w:val="00050AF2"/>
    <w:rsid w:val="00051359"/>
    <w:rsid w:val="00051961"/>
    <w:rsid w:val="000526AC"/>
    <w:rsid w:val="0005293F"/>
    <w:rsid w:val="000533D6"/>
    <w:rsid w:val="000539E1"/>
    <w:rsid w:val="000548AB"/>
    <w:rsid w:val="00054D4A"/>
    <w:rsid w:val="00054D5F"/>
    <w:rsid w:val="00054F49"/>
    <w:rsid w:val="000551E1"/>
    <w:rsid w:val="00055297"/>
    <w:rsid w:val="0005657E"/>
    <w:rsid w:val="0005661C"/>
    <w:rsid w:val="000579AD"/>
    <w:rsid w:val="000579BE"/>
    <w:rsid w:val="00060810"/>
    <w:rsid w:val="0006085C"/>
    <w:rsid w:val="000608A3"/>
    <w:rsid w:val="00060B4C"/>
    <w:rsid w:val="00060FCF"/>
    <w:rsid w:val="00061A9E"/>
    <w:rsid w:val="000624CD"/>
    <w:rsid w:val="00062709"/>
    <w:rsid w:val="00062A7C"/>
    <w:rsid w:val="00062DE9"/>
    <w:rsid w:val="00062ED1"/>
    <w:rsid w:val="000638C7"/>
    <w:rsid w:val="00064439"/>
    <w:rsid w:val="00064951"/>
    <w:rsid w:val="00065319"/>
    <w:rsid w:val="00065527"/>
    <w:rsid w:val="00065D99"/>
    <w:rsid w:val="000662AB"/>
    <w:rsid w:val="00066544"/>
    <w:rsid w:val="00066786"/>
    <w:rsid w:val="00066808"/>
    <w:rsid w:val="000671BD"/>
    <w:rsid w:val="00067802"/>
    <w:rsid w:val="00070897"/>
    <w:rsid w:val="00070C27"/>
    <w:rsid w:val="00071258"/>
    <w:rsid w:val="00071A43"/>
    <w:rsid w:val="000726A0"/>
    <w:rsid w:val="00072A6E"/>
    <w:rsid w:val="00072C99"/>
    <w:rsid w:val="000734B9"/>
    <w:rsid w:val="00073732"/>
    <w:rsid w:val="00075194"/>
    <w:rsid w:val="00075D9D"/>
    <w:rsid w:val="000763CE"/>
    <w:rsid w:val="00076BE8"/>
    <w:rsid w:val="00077079"/>
    <w:rsid w:val="000770CA"/>
    <w:rsid w:val="00077824"/>
    <w:rsid w:val="00077AD0"/>
    <w:rsid w:val="00077F4F"/>
    <w:rsid w:val="00080C7E"/>
    <w:rsid w:val="00080E3F"/>
    <w:rsid w:val="0008104F"/>
    <w:rsid w:val="00081841"/>
    <w:rsid w:val="0008207E"/>
    <w:rsid w:val="00082198"/>
    <w:rsid w:val="000832BF"/>
    <w:rsid w:val="00083387"/>
    <w:rsid w:val="00083562"/>
    <w:rsid w:val="00083DF6"/>
    <w:rsid w:val="000841E6"/>
    <w:rsid w:val="000848F5"/>
    <w:rsid w:val="00084B8B"/>
    <w:rsid w:val="00084D8B"/>
    <w:rsid w:val="00084F78"/>
    <w:rsid w:val="0008505E"/>
    <w:rsid w:val="000852BF"/>
    <w:rsid w:val="0008603D"/>
    <w:rsid w:val="00086074"/>
    <w:rsid w:val="0008627A"/>
    <w:rsid w:val="00087646"/>
    <w:rsid w:val="00090635"/>
    <w:rsid w:val="00090CDD"/>
    <w:rsid w:val="00091990"/>
    <w:rsid w:val="00091C8E"/>
    <w:rsid w:val="00091DF5"/>
    <w:rsid w:val="00092370"/>
    <w:rsid w:val="00092A37"/>
    <w:rsid w:val="00092BD0"/>
    <w:rsid w:val="00094E72"/>
    <w:rsid w:val="0009542A"/>
    <w:rsid w:val="00095F6C"/>
    <w:rsid w:val="000963C6"/>
    <w:rsid w:val="000968CF"/>
    <w:rsid w:val="000968F6"/>
    <w:rsid w:val="00096A5F"/>
    <w:rsid w:val="00096E4A"/>
    <w:rsid w:val="0009786D"/>
    <w:rsid w:val="000A0091"/>
    <w:rsid w:val="000A00B6"/>
    <w:rsid w:val="000A02A0"/>
    <w:rsid w:val="000A04B5"/>
    <w:rsid w:val="000A0616"/>
    <w:rsid w:val="000A0703"/>
    <w:rsid w:val="000A196A"/>
    <w:rsid w:val="000A1B99"/>
    <w:rsid w:val="000A2123"/>
    <w:rsid w:val="000A2476"/>
    <w:rsid w:val="000A25A2"/>
    <w:rsid w:val="000A37BD"/>
    <w:rsid w:val="000A3F33"/>
    <w:rsid w:val="000A48E1"/>
    <w:rsid w:val="000A4F38"/>
    <w:rsid w:val="000A5DE5"/>
    <w:rsid w:val="000A5FA0"/>
    <w:rsid w:val="000A6590"/>
    <w:rsid w:val="000A65CB"/>
    <w:rsid w:val="000A65FE"/>
    <w:rsid w:val="000A6F9E"/>
    <w:rsid w:val="000A77CC"/>
    <w:rsid w:val="000A7A26"/>
    <w:rsid w:val="000A7DC2"/>
    <w:rsid w:val="000B070A"/>
    <w:rsid w:val="000B0B0D"/>
    <w:rsid w:val="000B0B92"/>
    <w:rsid w:val="000B0F4F"/>
    <w:rsid w:val="000B1CBB"/>
    <w:rsid w:val="000B2016"/>
    <w:rsid w:val="000B2654"/>
    <w:rsid w:val="000B2838"/>
    <w:rsid w:val="000B338D"/>
    <w:rsid w:val="000B36A7"/>
    <w:rsid w:val="000B3958"/>
    <w:rsid w:val="000B5187"/>
    <w:rsid w:val="000B522B"/>
    <w:rsid w:val="000B54BE"/>
    <w:rsid w:val="000B5546"/>
    <w:rsid w:val="000B5E3E"/>
    <w:rsid w:val="000B5EAA"/>
    <w:rsid w:val="000B605F"/>
    <w:rsid w:val="000B649A"/>
    <w:rsid w:val="000B73A6"/>
    <w:rsid w:val="000B73D0"/>
    <w:rsid w:val="000B7440"/>
    <w:rsid w:val="000B7544"/>
    <w:rsid w:val="000B767D"/>
    <w:rsid w:val="000B7801"/>
    <w:rsid w:val="000B7EDF"/>
    <w:rsid w:val="000C0211"/>
    <w:rsid w:val="000C0429"/>
    <w:rsid w:val="000C0B9E"/>
    <w:rsid w:val="000C1019"/>
    <w:rsid w:val="000C2883"/>
    <w:rsid w:val="000C2906"/>
    <w:rsid w:val="000C2C94"/>
    <w:rsid w:val="000C2CC7"/>
    <w:rsid w:val="000C2F2E"/>
    <w:rsid w:val="000C38D5"/>
    <w:rsid w:val="000C3FE5"/>
    <w:rsid w:val="000C47C1"/>
    <w:rsid w:val="000C4D8B"/>
    <w:rsid w:val="000C4DA3"/>
    <w:rsid w:val="000C50BB"/>
    <w:rsid w:val="000C54DE"/>
    <w:rsid w:val="000C5788"/>
    <w:rsid w:val="000C5C63"/>
    <w:rsid w:val="000D077D"/>
    <w:rsid w:val="000D0D7F"/>
    <w:rsid w:val="000D104D"/>
    <w:rsid w:val="000D1CDE"/>
    <w:rsid w:val="000D1E7C"/>
    <w:rsid w:val="000D1EE3"/>
    <w:rsid w:val="000D2570"/>
    <w:rsid w:val="000D2FC2"/>
    <w:rsid w:val="000D33CD"/>
    <w:rsid w:val="000D3E69"/>
    <w:rsid w:val="000D40E5"/>
    <w:rsid w:val="000D4631"/>
    <w:rsid w:val="000D4F80"/>
    <w:rsid w:val="000D5726"/>
    <w:rsid w:val="000D5EDC"/>
    <w:rsid w:val="000D6292"/>
    <w:rsid w:val="000D6C30"/>
    <w:rsid w:val="000D6DB4"/>
    <w:rsid w:val="000D7635"/>
    <w:rsid w:val="000D7BA3"/>
    <w:rsid w:val="000D7D39"/>
    <w:rsid w:val="000E02D5"/>
    <w:rsid w:val="000E11C6"/>
    <w:rsid w:val="000E130C"/>
    <w:rsid w:val="000E1359"/>
    <w:rsid w:val="000E13DD"/>
    <w:rsid w:val="000E1871"/>
    <w:rsid w:val="000E1D3A"/>
    <w:rsid w:val="000E271B"/>
    <w:rsid w:val="000E2878"/>
    <w:rsid w:val="000E319B"/>
    <w:rsid w:val="000E3334"/>
    <w:rsid w:val="000E3C2E"/>
    <w:rsid w:val="000E4A91"/>
    <w:rsid w:val="000E4F24"/>
    <w:rsid w:val="000E5A08"/>
    <w:rsid w:val="000E66D2"/>
    <w:rsid w:val="000E6D39"/>
    <w:rsid w:val="000E70CF"/>
    <w:rsid w:val="000E7DFB"/>
    <w:rsid w:val="000F0101"/>
    <w:rsid w:val="000F060D"/>
    <w:rsid w:val="000F0E3E"/>
    <w:rsid w:val="000F1073"/>
    <w:rsid w:val="000F1356"/>
    <w:rsid w:val="000F13BB"/>
    <w:rsid w:val="000F1408"/>
    <w:rsid w:val="000F1424"/>
    <w:rsid w:val="000F16F9"/>
    <w:rsid w:val="000F1FAC"/>
    <w:rsid w:val="000F2CA3"/>
    <w:rsid w:val="000F2EFB"/>
    <w:rsid w:val="000F3833"/>
    <w:rsid w:val="000F3DC7"/>
    <w:rsid w:val="000F3F10"/>
    <w:rsid w:val="000F3F2F"/>
    <w:rsid w:val="000F40EC"/>
    <w:rsid w:val="000F440D"/>
    <w:rsid w:val="000F471B"/>
    <w:rsid w:val="000F4861"/>
    <w:rsid w:val="000F4D05"/>
    <w:rsid w:val="000F52BE"/>
    <w:rsid w:val="000F5549"/>
    <w:rsid w:val="000F5BB1"/>
    <w:rsid w:val="000F64FA"/>
    <w:rsid w:val="000F653E"/>
    <w:rsid w:val="000F6D4C"/>
    <w:rsid w:val="000F7084"/>
    <w:rsid w:val="000F711A"/>
    <w:rsid w:val="000F73FE"/>
    <w:rsid w:val="000F750E"/>
    <w:rsid w:val="000F75D6"/>
    <w:rsid w:val="000F77BB"/>
    <w:rsid w:val="000F7DE3"/>
    <w:rsid w:val="0010013B"/>
    <w:rsid w:val="001018D0"/>
    <w:rsid w:val="00102E01"/>
    <w:rsid w:val="00104A82"/>
    <w:rsid w:val="00104BCE"/>
    <w:rsid w:val="00104D21"/>
    <w:rsid w:val="001051C9"/>
    <w:rsid w:val="00105CB3"/>
    <w:rsid w:val="001063E7"/>
    <w:rsid w:val="00107014"/>
    <w:rsid w:val="00107989"/>
    <w:rsid w:val="00107A27"/>
    <w:rsid w:val="00107D61"/>
    <w:rsid w:val="00110148"/>
    <w:rsid w:val="00110696"/>
    <w:rsid w:val="001115BE"/>
    <w:rsid w:val="001118EE"/>
    <w:rsid w:val="00111A29"/>
    <w:rsid w:val="00111B84"/>
    <w:rsid w:val="00111C89"/>
    <w:rsid w:val="00111ED5"/>
    <w:rsid w:val="001121CD"/>
    <w:rsid w:val="001121DB"/>
    <w:rsid w:val="001123A9"/>
    <w:rsid w:val="00112442"/>
    <w:rsid w:val="001125DA"/>
    <w:rsid w:val="001126C4"/>
    <w:rsid w:val="001129A8"/>
    <w:rsid w:val="00112BC9"/>
    <w:rsid w:val="001134B5"/>
    <w:rsid w:val="00114008"/>
    <w:rsid w:val="00114A86"/>
    <w:rsid w:val="00115212"/>
    <w:rsid w:val="001159C1"/>
    <w:rsid w:val="00116748"/>
    <w:rsid w:val="00116CF5"/>
    <w:rsid w:val="00116F98"/>
    <w:rsid w:val="001172D9"/>
    <w:rsid w:val="00117308"/>
    <w:rsid w:val="001176F9"/>
    <w:rsid w:val="0011795B"/>
    <w:rsid w:val="00117BA4"/>
    <w:rsid w:val="0012016F"/>
    <w:rsid w:val="00120631"/>
    <w:rsid w:val="00120948"/>
    <w:rsid w:val="00120B99"/>
    <w:rsid w:val="00121027"/>
    <w:rsid w:val="00121191"/>
    <w:rsid w:val="00121230"/>
    <w:rsid w:val="00121243"/>
    <w:rsid w:val="0012187D"/>
    <w:rsid w:val="00121B73"/>
    <w:rsid w:val="00122F1B"/>
    <w:rsid w:val="00122F7A"/>
    <w:rsid w:val="00122F7D"/>
    <w:rsid w:val="00123610"/>
    <w:rsid w:val="00123DA8"/>
    <w:rsid w:val="00124297"/>
    <w:rsid w:val="001249F8"/>
    <w:rsid w:val="001254C5"/>
    <w:rsid w:val="00125B3F"/>
    <w:rsid w:val="001273BE"/>
    <w:rsid w:val="00130232"/>
    <w:rsid w:val="001306DF"/>
    <w:rsid w:val="0013082F"/>
    <w:rsid w:val="00130B57"/>
    <w:rsid w:val="00130D8A"/>
    <w:rsid w:val="001319E2"/>
    <w:rsid w:val="00132716"/>
    <w:rsid w:val="00132831"/>
    <w:rsid w:val="001335DD"/>
    <w:rsid w:val="0013390A"/>
    <w:rsid w:val="00133CB8"/>
    <w:rsid w:val="00133DBF"/>
    <w:rsid w:val="00133FB5"/>
    <w:rsid w:val="00134138"/>
    <w:rsid w:val="001345AE"/>
    <w:rsid w:val="00134BB4"/>
    <w:rsid w:val="00134DE0"/>
    <w:rsid w:val="00135773"/>
    <w:rsid w:val="00135864"/>
    <w:rsid w:val="001359CA"/>
    <w:rsid w:val="00135E8B"/>
    <w:rsid w:val="00136924"/>
    <w:rsid w:val="0013790C"/>
    <w:rsid w:val="001379FF"/>
    <w:rsid w:val="00137CA9"/>
    <w:rsid w:val="00140FB8"/>
    <w:rsid w:val="00141082"/>
    <w:rsid w:val="0014166C"/>
    <w:rsid w:val="0014184D"/>
    <w:rsid w:val="0014184F"/>
    <w:rsid w:val="0014268C"/>
    <w:rsid w:val="00142B7D"/>
    <w:rsid w:val="00142D4E"/>
    <w:rsid w:val="00142F56"/>
    <w:rsid w:val="00143497"/>
    <w:rsid w:val="00143FA5"/>
    <w:rsid w:val="0014426A"/>
    <w:rsid w:val="001443E0"/>
    <w:rsid w:val="00144AD4"/>
    <w:rsid w:val="00144B23"/>
    <w:rsid w:val="00146825"/>
    <w:rsid w:val="00147505"/>
    <w:rsid w:val="00150089"/>
    <w:rsid w:val="001502E6"/>
    <w:rsid w:val="00150B9F"/>
    <w:rsid w:val="00151FBC"/>
    <w:rsid w:val="0015276C"/>
    <w:rsid w:val="0015296A"/>
    <w:rsid w:val="00152AE9"/>
    <w:rsid w:val="0015308D"/>
    <w:rsid w:val="00153DC7"/>
    <w:rsid w:val="00153EA3"/>
    <w:rsid w:val="001542AE"/>
    <w:rsid w:val="00154CD1"/>
    <w:rsid w:val="001554CB"/>
    <w:rsid w:val="0015584A"/>
    <w:rsid w:val="00155B76"/>
    <w:rsid w:val="001565D2"/>
    <w:rsid w:val="0015754F"/>
    <w:rsid w:val="00157DA6"/>
    <w:rsid w:val="001602D0"/>
    <w:rsid w:val="00160348"/>
    <w:rsid w:val="00161363"/>
    <w:rsid w:val="00161519"/>
    <w:rsid w:val="00161A07"/>
    <w:rsid w:val="001627E5"/>
    <w:rsid w:val="00162913"/>
    <w:rsid w:val="00163207"/>
    <w:rsid w:val="0016338D"/>
    <w:rsid w:val="001636B4"/>
    <w:rsid w:val="00163A69"/>
    <w:rsid w:val="0016451B"/>
    <w:rsid w:val="00164693"/>
    <w:rsid w:val="00164D59"/>
    <w:rsid w:val="00164D97"/>
    <w:rsid w:val="00164FA4"/>
    <w:rsid w:val="00165448"/>
    <w:rsid w:val="00166360"/>
    <w:rsid w:val="0016645A"/>
    <w:rsid w:val="00166EE8"/>
    <w:rsid w:val="00167331"/>
    <w:rsid w:val="00167701"/>
    <w:rsid w:val="001715BB"/>
    <w:rsid w:val="00171612"/>
    <w:rsid w:val="00171A94"/>
    <w:rsid w:val="001738A0"/>
    <w:rsid w:val="00173B2F"/>
    <w:rsid w:val="00173B49"/>
    <w:rsid w:val="00173DAD"/>
    <w:rsid w:val="001742E1"/>
    <w:rsid w:val="001749FD"/>
    <w:rsid w:val="00174C70"/>
    <w:rsid w:val="00175281"/>
    <w:rsid w:val="00175703"/>
    <w:rsid w:val="001757B4"/>
    <w:rsid w:val="00175C86"/>
    <w:rsid w:val="00176C65"/>
    <w:rsid w:val="00176E0E"/>
    <w:rsid w:val="001774ED"/>
    <w:rsid w:val="00177E62"/>
    <w:rsid w:val="0018067D"/>
    <w:rsid w:val="001818DD"/>
    <w:rsid w:val="0018206C"/>
    <w:rsid w:val="001829EB"/>
    <w:rsid w:val="00182E4C"/>
    <w:rsid w:val="00182FC7"/>
    <w:rsid w:val="0018418B"/>
    <w:rsid w:val="001851D6"/>
    <w:rsid w:val="00185373"/>
    <w:rsid w:val="00185F6F"/>
    <w:rsid w:val="00186634"/>
    <w:rsid w:val="001867BC"/>
    <w:rsid w:val="0018696C"/>
    <w:rsid w:val="00187259"/>
    <w:rsid w:val="00187C9D"/>
    <w:rsid w:val="0019085B"/>
    <w:rsid w:val="00190E21"/>
    <w:rsid w:val="001919E3"/>
    <w:rsid w:val="001922E5"/>
    <w:rsid w:val="001924F0"/>
    <w:rsid w:val="001932CC"/>
    <w:rsid w:val="001936D5"/>
    <w:rsid w:val="00193D44"/>
    <w:rsid w:val="00194051"/>
    <w:rsid w:val="0019424D"/>
    <w:rsid w:val="00194852"/>
    <w:rsid w:val="00194CBA"/>
    <w:rsid w:val="0019509A"/>
    <w:rsid w:val="00195150"/>
    <w:rsid w:val="0019594C"/>
    <w:rsid w:val="00195EC1"/>
    <w:rsid w:val="00195EED"/>
    <w:rsid w:val="0019600F"/>
    <w:rsid w:val="001965C4"/>
    <w:rsid w:val="00196959"/>
    <w:rsid w:val="00196BA5"/>
    <w:rsid w:val="001976E6"/>
    <w:rsid w:val="00197862"/>
    <w:rsid w:val="00197955"/>
    <w:rsid w:val="00197C42"/>
    <w:rsid w:val="001A07B2"/>
    <w:rsid w:val="001A0A4E"/>
    <w:rsid w:val="001A0FFF"/>
    <w:rsid w:val="001A18EE"/>
    <w:rsid w:val="001A1CF7"/>
    <w:rsid w:val="001A21D0"/>
    <w:rsid w:val="001A2534"/>
    <w:rsid w:val="001A33DD"/>
    <w:rsid w:val="001A3855"/>
    <w:rsid w:val="001A3C69"/>
    <w:rsid w:val="001A4D89"/>
    <w:rsid w:val="001A4E29"/>
    <w:rsid w:val="001A573F"/>
    <w:rsid w:val="001A5EE5"/>
    <w:rsid w:val="001A5F0A"/>
    <w:rsid w:val="001A62CF"/>
    <w:rsid w:val="001A6D05"/>
    <w:rsid w:val="001A76F0"/>
    <w:rsid w:val="001B013D"/>
    <w:rsid w:val="001B0362"/>
    <w:rsid w:val="001B03AD"/>
    <w:rsid w:val="001B0EE9"/>
    <w:rsid w:val="001B1091"/>
    <w:rsid w:val="001B1242"/>
    <w:rsid w:val="001B33AD"/>
    <w:rsid w:val="001B3499"/>
    <w:rsid w:val="001B3DC3"/>
    <w:rsid w:val="001B4127"/>
    <w:rsid w:val="001B4182"/>
    <w:rsid w:val="001B4317"/>
    <w:rsid w:val="001B455F"/>
    <w:rsid w:val="001B5994"/>
    <w:rsid w:val="001B655D"/>
    <w:rsid w:val="001B6DD9"/>
    <w:rsid w:val="001B7940"/>
    <w:rsid w:val="001B7A1A"/>
    <w:rsid w:val="001B7CC8"/>
    <w:rsid w:val="001C0499"/>
    <w:rsid w:val="001C088A"/>
    <w:rsid w:val="001C08BE"/>
    <w:rsid w:val="001C0C60"/>
    <w:rsid w:val="001C165B"/>
    <w:rsid w:val="001C265A"/>
    <w:rsid w:val="001C2719"/>
    <w:rsid w:val="001C30E4"/>
    <w:rsid w:val="001C3183"/>
    <w:rsid w:val="001C3895"/>
    <w:rsid w:val="001C39AD"/>
    <w:rsid w:val="001C3C4A"/>
    <w:rsid w:val="001C412C"/>
    <w:rsid w:val="001C41EA"/>
    <w:rsid w:val="001C4384"/>
    <w:rsid w:val="001C5A83"/>
    <w:rsid w:val="001C6B9E"/>
    <w:rsid w:val="001D0239"/>
    <w:rsid w:val="001D08D0"/>
    <w:rsid w:val="001D0943"/>
    <w:rsid w:val="001D16AD"/>
    <w:rsid w:val="001D2757"/>
    <w:rsid w:val="001D2B5A"/>
    <w:rsid w:val="001D2EB0"/>
    <w:rsid w:val="001D3C8D"/>
    <w:rsid w:val="001D4174"/>
    <w:rsid w:val="001D45E8"/>
    <w:rsid w:val="001D4BC8"/>
    <w:rsid w:val="001D4FB9"/>
    <w:rsid w:val="001D58F9"/>
    <w:rsid w:val="001D5ED9"/>
    <w:rsid w:val="001D5EE7"/>
    <w:rsid w:val="001D6891"/>
    <w:rsid w:val="001D6A25"/>
    <w:rsid w:val="001D79C8"/>
    <w:rsid w:val="001D7A62"/>
    <w:rsid w:val="001E0226"/>
    <w:rsid w:val="001E02CA"/>
    <w:rsid w:val="001E05A7"/>
    <w:rsid w:val="001E0759"/>
    <w:rsid w:val="001E2334"/>
    <w:rsid w:val="001E2BB2"/>
    <w:rsid w:val="001E2E4A"/>
    <w:rsid w:val="001E4B5E"/>
    <w:rsid w:val="001E4EA2"/>
    <w:rsid w:val="001E50D5"/>
    <w:rsid w:val="001E54C3"/>
    <w:rsid w:val="001E58DA"/>
    <w:rsid w:val="001E5AA8"/>
    <w:rsid w:val="001E6261"/>
    <w:rsid w:val="001E702A"/>
    <w:rsid w:val="001E7BD6"/>
    <w:rsid w:val="001E7D2E"/>
    <w:rsid w:val="001F0A11"/>
    <w:rsid w:val="001F1091"/>
    <w:rsid w:val="001F235C"/>
    <w:rsid w:val="001F242E"/>
    <w:rsid w:val="001F2478"/>
    <w:rsid w:val="001F27C0"/>
    <w:rsid w:val="001F2B71"/>
    <w:rsid w:val="001F2FA7"/>
    <w:rsid w:val="001F2FCB"/>
    <w:rsid w:val="001F3765"/>
    <w:rsid w:val="001F3F12"/>
    <w:rsid w:val="001F45E3"/>
    <w:rsid w:val="001F46F4"/>
    <w:rsid w:val="001F5444"/>
    <w:rsid w:val="001F5999"/>
    <w:rsid w:val="001F5C5A"/>
    <w:rsid w:val="001F6869"/>
    <w:rsid w:val="001F6B9D"/>
    <w:rsid w:val="001F7AE1"/>
    <w:rsid w:val="0020008F"/>
    <w:rsid w:val="00201BB5"/>
    <w:rsid w:val="00201CA8"/>
    <w:rsid w:val="00201FEB"/>
    <w:rsid w:val="002023D7"/>
    <w:rsid w:val="00202794"/>
    <w:rsid w:val="00202C60"/>
    <w:rsid w:val="0020312F"/>
    <w:rsid w:val="00203351"/>
    <w:rsid w:val="0020348C"/>
    <w:rsid w:val="00203A45"/>
    <w:rsid w:val="00204167"/>
    <w:rsid w:val="00204184"/>
    <w:rsid w:val="00204AA2"/>
    <w:rsid w:val="00204C4F"/>
    <w:rsid w:val="00204F4F"/>
    <w:rsid w:val="002051C5"/>
    <w:rsid w:val="002059B7"/>
    <w:rsid w:val="00206A4A"/>
    <w:rsid w:val="00207704"/>
    <w:rsid w:val="00210440"/>
    <w:rsid w:val="00210B07"/>
    <w:rsid w:val="00210D9D"/>
    <w:rsid w:val="00210DBF"/>
    <w:rsid w:val="002112B6"/>
    <w:rsid w:val="0021138B"/>
    <w:rsid w:val="002117CE"/>
    <w:rsid w:val="00212387"/>
    <w:rsid w:val="002130EC"/>
    <w:rsid w:val="00213622"/>
    <w:rsid w:val="00213994"/>
    <w:rsid w:val="0021498F"/>
    <w:rsid w:val="00214AEC"/>
    <w:rsid w:val="00215808"/>
    <w:rsid w:val="00215BAE"/>
    <w:rsid w:val="002161BF"/>
    <w:rsid w:val="00216829"/>
    <w:rsid w:val="00217076"/>
    <w:rsid w:val="0021727D"/>
    <w:rsid w:val="00217360"/>
    <w:rsid w:val="0021746A"/>
    <w:rsid w:val="00217A7C"/>
    <w:rsid w:val="00220865"/>
    <w:rsid w:val="00220873"/>
    <w:rsid w:val="00221096"/>
    <w:rsid w:val="002216C0"/>
    <w:rsid w:val="002219A9"/>
    <w:rsid w:val="00221B2F"/>
    <w:rsid w:val="00221D59"/>
    <w:rsid w:val="002237EF"/>
    <w:rsid w:val="00223A57"/>
    <w:rsid w:val="00224309"/>
    <w:rsid w:val="00224591"/>
    <w:rsid w:val="00224784"/>
    <w:rsid w:val="00224BEC"/>
    <w:rsid w:val="00225F3A"/>
    <w:rsid w:val="002268F6"/>
    <w:rsid w:val="00226B47"/>
    <w:rsid w:val="00226FF9"/>
    <w:rsid w:val="00227499"/>
    <w:rsid w:val="00230155"/>
    <w:rsid w:val="00230344"/>
    <w:rsid w:val="002304D0"/>
    <w:rsid w:val="00230C00"/>
    <w:rsid w:val="002320B1"/>
    <w:rsid w:val="00232DC2"/>
    <w:rsid w:val="00232FD7"/>
    <w:rsid w:val="002330B4"/>
    <w:rsid w:val="00233D6A"/>
    <w:rsid w:val="0023481F"/>
    <w:rsid w:val="002349BB"/>
    <w:rsid w:val="00234C8B"/>
    <w:rsid w:val="002350F2"/>
    <w:rsid w:val="00235949"/>
    <w:rsid w:val="002359F4"/>
    <w:rsid w:val="00235FDB"/>
    <w:rsid w:val="0023602F"/>
    <w:rsid w:val="0023676A"/>
    <w:rsid w:val="00237184"/>
    <w:rsid w:val="00240190"/>
    <w:rsid w:val="0024291B"/>
    <w:rsid w:val="0024450B"/>
    <w:rsid w:val="00244557"/>
    <w:rsid w:val="002445E7"/>
    <w:rsid w:val="00244B13"/>
    <w:rsid w:val="00244D80"/>
    <w:rsid w:val="002450AC"/>
    <w:rsid w:val="00245B17"/>
    <w:rsid w:val="00245C8C"/>
    <w:rsid w:val="00246100"/>
    <w:rsid w:val="002464CB"/>
    <w:rsid w:val="002473AA"/>
    <w:rsid w:val="002478C4"/>
    <w:rsid w:val="00247C41"/>
    <w:rsid w:val="00247D17"/>
    <w:rsid w:val="00247F29"/>
    <w:rsid w:val="00251481"/>
    <w:rsid w:val="0025209B"/>
    <w:rsid w:val="00252D0A"/>
    <w:rsid w:val="00253B11"/>
    <w:rsid w:val="0025438B"/>
    <w:rsid w:val="002543DB"/>
    <w:rsid w:val="00254528"/>
    <w:rsid w:val="0025494E"/>
    <w:rsid w:val="00254A7B"/>
    <w:rsid w:val="00254BE5"/>
    <w:rsid w:val="00254D2C"/>
    <w:rsid w:val="00254F99"/>
    <w:rsid w:val="00255CFF"/>
    <w:rsid w:val="002578DB"/>
    <w:rsid w:val="002601A7"/>
    <w:rsid w:val="00260331"/>
    <w:rsid w:val="00260E6B"/>
    <w:rsid w:val="00260F31"/>
    <w:rsid w:val="00261D1B"/>
    <w:rsid w:val="0026227F"/>
    <w:rsid w:val="00262524"/>
    <w:rsid w:val="002645D8"/>
    <w:rsid w:val="002649A8"/>
    <w:rsid w:val="002654D2"/>
    <w:rsid w:val="00265704"/>
    <w:rsid w:val="00265B65"/>
    <w:rsid w:val="00266D3D"/>
    <w:rsid w:val="00267729"/>
    <w:rsid w:val="00267D84"/>
    <w:rsid w:val="0027033E"/>
    <w:rsid w:val="002712D6"/>
    <w:rsid w:val="002718A2"/>
    <w:rsid w:val="00271EF9"/>
    <w:rsid w:val="002723B9"/>
    <w:rsid w:val="00272705"/>
    <w:rsid w:val="0027275A"/>
    <w:rsid w:val="00272A1C"/>
    <w:rsid w:val="00272F03"/>
    <w:rsid w:val="002731A8"/>
    <w:rsid w:val="00273470"/>
    <w:rsid w:val="00274355"/>
    <w:rsid w:val="002743C2"/>
    <w:rsid w:val="0027451A"/>
    <w:rsid w:val="002747C4"/>
    <w:rsid w:val="00275665"/>
    <w:rsid w:val="00275711"/>
    <w:rsid w:val="002764EA"/>
    <w:rsid w:val="00276EB3"/>
    <w:rsid w:val="0027710B"/>
    <w:rsid w:val="002778D4"/>
    <w:rsid w:val="00277968"/>
    <w:rsid w:val="00280048"/>
    <w:rsid w:val="0028021D"/>
    <w:rsid w:val="0028028F"/>
    <w:rsid w:val="00280CF4"/>
    <w:rsid w:val="002812F6"/>
    <w:rsid w:val="00281499"/>
    <w:rsid w:val="00281D2D"/>
    <w:rsid w:val="00282326"/>
    <w:rsid w:val="00282CAF"/>
    <w:rsid w:val="00283564"/>
    <w:rsid w:val="002838C2"/>
    <w:rsid w:val="002845F3"/>
    <w:rsid w:val="00284812"/>
    <w:rsid w:val="0028485E"/>
    <w:rsid w:val="002856F0"/>
    <w:rsid w:val="00285FE4"/>
    <w:rsid w:val="00286457"/>
    <w:rsid w:val="0028686A"/>
    <w:rsid w:val="00286C18"/>
    <w:rsid w:val="00286E99"/>
    <w:rsid w:val="00286F72"/>
    <w:rsid w:val="00287415"/>
    <w:rsid w:val="00287843"/>
    <w:rsid w:val="002903BC"/>
    <w:rsid w:val="00290E94"/>
    <w:rsid w:val="00290EBE"/>
    <w:rsid w:val="00290EEF"/>
    <w:rsid w:val="00291377"/>
    <w:rsid w:val="0029161C"/>
    <w:rsid w:val="0029300B"/>
    <w:rsid w:val="00293639"/>
    <w:rsid w:val="00294FA5"/>
    <w:rsid w:val="00295179"/>
    <w:rsid w:val="00295269"/>
    <w:rsid w:val="0029528A"/>
    <w:rsid w:val="0029539F"/>
    <w:rsid w:val="002961BF"/>
    <w:rsid w:val="00296944"/>
    <w:rsid w:val="00296E2B"/>
    <w:rsid w:val="002974E1"/>
    <w:rsid w:val="00297E62"/>
    <w:rsid w:val="002A084B"/>
    <w:rsid w:val="002A18B0"/>
    <w:rsid w:val="002A1962"/>
    <w:rsid w:val="002A259B"/>
    <w:rsid w:val="002A33F9"/>
    <w:rsid w:val="002A3691"/>
    <w:rsid w:val="002A3C7D"/>
    <w:rsid w:val="002A45BE"/>
    <w:rsid w:val="002A5924"/>
    <w:rsid w:val="002A59BE"/>
    <w:rsid w:val="002A6CF2"/>
    <w:rsid w:val="002A70B3"/>
    <w:rsid w:val="002A7B3E"/>
    <w:rsid w:val="002A7BBC"/>
    <w:rsid w:val="002B027E"/>
    <w:rsid w:val="002B055E"/>
    <w:rsid w:val="002B0657"/>
    <w:rsid w:val="002B1166"/>
    <w:rsid w:val="002B1783"/>
    <w:rsid w:val="002B1C8B"/>
    <w:rsid w:val="002B203A"/>
    <w:rsid w:val="002B26F0"/>
    <w:rsid w:val="002B2B52"/>
    <w:rsid w:val="002B38C0"/>
    <w:rsid w:val="002B3D9E"/>
    <w:rsid w:val="002B3DC7"/>
    <w:rsid w:val="002B3F5D"/>
    <w:rsid w:val="002B4A3C"/>
    <w:rsid w:val="002B4A48"/>
    <w:rsid w:val="002B4FED"/>
    <w:rsid w:val="002B5302"/>
    <w:rsid w:val="002B61C2"/>
    <w:rsid w:val="002B6B0B"/>
    <w:rsid w:val="002B7279"/>
    <w:rsid w:val="002B76FD"/>
    <w:rsid w:val="002B7C08"/>
    <w:rsid w:val="002C05CD"/>
    <w:rsid w:val="002C151E"/>
    <w:rsid w:val="002C2F57"/>
    <w:rsid w:val="002C3890"/>
    <w:rsid w:val="002C3F41"/>
    <w:rsid w:val="002C41D8"/>
    <w:rsid w:val="002C46BD"/>
    <w:rsid w:val="002C5918"/>
    <w:rsid w:val="002C6155"/>
    <w:rsid w:val="002C64EE"/>
    <w:rsid w:val="002C668E"/>
    <w:rsid w:val="002C7066"/>
    <w:rsid w:val="002C71AF"/>
    <w:rsid w:val="002C7318"/>
    <w:rsid w:val="002C7682"/>
    <w:rsid w:val="002C7B36"/>
    <w:rsid w:val="002C7CBB"/>
    <w:rsid w:val="002D0687"/>
    <w:rsid w:val="002D0DEB"/>
    <w:rsid w:val="002D0FF7"/>
    <w:rsid w:val="002D2488"/>
    <w:rsid w:val="002D2EC0"/>
    <w:rsid w:val="002D2F06"/>
    <w:rsid w:val="002D301C"/>
    <w:rsid w:val="002D3417"/>
    <w:rsid w:val="002D37C8"/>
    <w:rsid w:val="002D3822"/>
    <w:rsid w:val="002D3950"/>
    <w:rsid w:val="002D50DA"/>
    <w:rsid w:val="002D594D"/>
    <w:rsid w:val="002D7226"/>
    <w:rsid w:val="002D7BA7"/>
    <w:rsid w:val="002E03EB"/>
    <w:rsid w:val="002E0601"/>
    <w:rsid w:val="002E0687"/>
    <w:rsid w:val="002E0935"/>
    <w:rsid w:val="002E0BF9"/>
    <w:rsid w:val="002E0CA0"/>
    <w:rsid w:val="002E0DDC"/>
    <w:rsid w:val="002E1279"/>
    <w:rsid w:val="002E14A7"/>
    <w:rsid w:val="002E1763"/>
    <w:rsid w:val="002E192E"/>
    <w:rsid w:val="002E28F6"/>
    <w:rsid w:val="002E2C7C"/>
    <w:rsid w:val="002E2CF9"/>
    <w:rsid w:val="002E4360"/>
    <w:rsid w:val="002E43C0"/>
    <w:rsid w:val="002E517B"/>
    <w:rsid w:val="002E56CE"/>
    <w:rsid w:val="002E58BB"/>
    <w:rsid w:val="002E5AEF"/>
    <w:rsid w:val="002E6354"/>
    <w:rsid w:val="002E70AC"/>
    <w:rsid w:val="002E74A6"/>
    <w:rsid w:val="002E7DC2"/>
    <w:rsid w:val="002F0230"/>
    <w:rsid w:val="002F050B"/>
    <w:rsid w:val="002F07BF"/>
    <w:rsid w:val="002F09E2"/>
    <w:rsid w:val="002F0C51"/>
    <w:rsid w:val="002F0E0F"/>
    <w:rsid w:val="002F1467"/>
    <w:rsid w:val="002F187E"/>
    <w:rsid w:val="002F1A9C"/>
    <w:rsid w:val="002F1B0F"/>
    <w:rsid w:val="002F1BAF"/>
    <w:rsid w:val="002F1F55"/>
    <w:rsid w:val="002F2B0A"/>
    <w:rsid w:val="002F2C74"/>
    <w:rsid w:val="002F300E"/>
    <w:rsid w:val="002F37E9"/>
    <w:rsid w:val="002F389D"/>
    <w:rsid w:val="002F4A4E"/>
    <w:rsid w:val="002F4E38"/>
    <w:rsid w:val="002F4F39"/>
    <w:rsid w:val="002F4F74"/>
    <w:rsid w:val="002F562B"/>
    <w:rsid w:val="002F5697"/>
    <w:rsid w:val="002F5CFF"/>
    <w:rsid w:val="002F63D2"/>
    <w:rsid w:val="002F6B01"/>
    <w:rsid w:val="002F7013"/>
    <w:rsid w:val="002F7739"/>
    <w:rsid w:val="002F7772"/>
    <w:rsid w:val="002F789A"/>
    <w:rsid w:val="002F7F29"/>
    <w:rsid w:val="00300785"/>
    <w:rsid w:val="003007BE"/>
    <w:rsid w:val="00300C00"/>
    <w:rsid w:val="00300D11"/>
    <w:rsid w:val="00302714"/>
    <w:rsid w:val="00302FED"/>
    <w:rsid w:val="00305367"/>
    <w:rsid w:val="003053AA"/>
    <w:rsid w:val="00305DB9"/>
    <w:rsid w:val="00306254"/>
    <w:rsid w:val="00306468"/>
    <w:rsid w:val="00307726"/>
    <w:rsid w:val="00307D97"/>
    <w:rsid w:val="00310276"/>
    <w:rsid w:val="00310B04"/>
    <w:rsid w:val="00310CE7"/>
    <w:rsid w:val="00310D83"/>
    <w:rsid w:val="00310EDE"/>
    <w:rsid w:val="00311BCD"/>
    <w:rsid w:val="003129DB"/>
    <w:rsid w:val="00312C02"/>
    <w:rsid w:val="00312ED4"/>
    <w:rsid w:val="003147B9"/>
    <w:rsid w:val="00314C1B"/>
    <w:rsid w:val="003155A7"/>
    <w:rsid w:val="00315B93"/>
    <w:rsid w:val="00315D29"/>
    <w:rsid w:val="0031614D"/>
    <w:rsid w:val="003162C8"/>
    <w:rsid w:val="00316980"/>
    <w:rsid w:val="00316A11"/>
    <w:rsid w:val="003177B7"/>
    <w:rsid w:val="00317B51"/>
    <w:rsid w:val="00320255"/>
    <w:rsid w:val="00320806"/>
    <w:rsid w:val="00321043"/>
    <w:rsid w:val="00321403"/>
    <w:rsid w:val="0032162D"/>
    <w:rsid w:val="00322495"/>
    <w:rsid w:val="0032255C"/>
    <w:rsid w:val="00322672"/>
    <w:rsid w:val="003229C3"/>
    <w:rsid w:val="003234A2"/>
    <w:rsid w:val="00324177"/>
    <w:rsid w:val="003245B5"/>
    <w:rsid w:val="003245E1"/>
    <w:rsid w:val="0032466E"/>
    <w:rsid w:val="003251DC"/>
    <w:rsid w:val="00325815"/>
    <w:rsid w:val="00326046"/>
    <w:rsid w:val="0032608D"/>
    <w:rsid w:val="003260A6"/>
    <w:rsid w:val="00326F96"/>
    <w:rsid w:val="0032707A"/>
    <w:rsid w:val="003279EA"/>
    <w:rsid w:val="00327E0A"/>
    <w:rsid w:val="003300F9"/>
    <w:rsid w:val="003308D5"/>
    <w:rsid w:val="00330FF9"/>
    <w:rsid w:val="003312D3"/>
    <w:rsid w:val="00331947"/>
    <w:rsid w:val="003327C6"/>
    <w:rsid w:val="00333285"/>
    <w:rsid w:val="0033364A"/>
    <w:rsid w:val="003336F7"/>
    <w:rsid w:val="00333A1D"/>
    <w:rsid w:val="003345B7"/>
    <w:rsid w:val="0033469E"/>
    <w:rsid w:val="00335BF8"/>
    <w:rsid w:val="00335C29"/>
    <w:rsid w:val="00335F57"/>
    <w:rsid w:val="00336E84"/>
    <w:rsid w:val="0033773A"/>
    <w:rsid w:val="00340162"/>
    <w:rsid w:val="00340839"/>
    <w:rsid w:val="00341ACD"/>
    <w:rsid w:val="00342245"/>
    <w:rsid w:val="003423B0"/>
    <w:rsid w:val="00342983"/>
    <w:rsid w:val="00342F79"/>
    <w:rsid w:val="00343345"/>
    <w:rsid w:val="003442CC"/>
    <w:rsid w:val="00345266"/>
    <w:rsid w:val="003455E4"/>
    <w:rsid w:val="00345C91"/>
    <w:rsid w:val="00345E35"/>
    <w:rsid w:val="00345ED5"/>
    <w:rsid w:val="00345F2F"/>
    <w:rsid w:val="0034669F"/>
    <w:rsid w:val="00347B19"/>
    <w:rsid w:val="00347C34"/>
    <w:rsid w:val="00347E43"/>
    <w:rsid w:val="00350617"/>
    <w:rsid w:val="00350D9A"/>
    <w:rsid w:val="00350DCF"/>
    <w:rsid w:val="00350FCD"/>
    <w:rsid w:val="00351E9D"/>
    <w:rsid w:val="0035255F"/>
    <w:rsid w:val="00352825"/>
    <w:rsid w:val="00352B3C"/>
    <w:rsid w:val="00352E93"/>
    <w:rsid w:val="00353168"/>
    <w:rsid w:val="00353E42"/>
    <w:rsid w:val="00353FBA"/>
    <w:rsid w:val="00353FDB"/>
    <w:rsid w:val="00354482"/>
    <w:rsid w:val="00354B7F"/>
    <w:rsid w:val="00354D0D"/>
    <w:rsid w:val="00354E0F"/>
    <w:rsid w:val="003560CC"/>
    <w:rsid w:val="003561B2"/>
    <w:rsid w:val="003563FD"/>
    <w:rsid w:val="003570B9"/>
    <w:rsid w:val="003577C7"/>
    <w:rsid w:val="00357AC3"/>
    <w:rsid w:val="0036058F"/>
    <w:rsid w:val="0036189A"/>
    <w:rsid w:val="00361F6C"/>
    <w:rsid w:val="00362089"/>
    <w:rsid w:val="00362B8C"/>
    <w:rsid w:val="00362D1C"/>
    <w:rsid w:val="00363DFE"/>
    <w:rsid w:val="00363FDF"/>
    <w:rsid w:val="00364550"/>
    <w:rsid w:val="00364E04"/>
    <w:rsid w:val="00364F4C"/>
    <w:rsid w:val="00365095"/>
    <w:rsid w:val="00365FF2"/>
    <w:rsid w:val="0036616E"/>
    <w:rsid w:val="0036663C"/>
    <w:rsid w:val="00366981"/>
    <w:rsid w:val="00366DDA"/>
    <w:rsid w:val="003670DD"/>
    <w:rsid w:val="003676CD"/>
    <w:rsid w:val="003678A6"/>
    <w:rsid w:val="00367D40"/>
    <w:rsid w:val="00367F9F"/>
    <w:rsid w:val="00370482"/>
    <w:rsid w:val="00370E90"/>
    <w:rsid w:val="00371A19"/>
    <w:rsid w:val="00372098"/>
    <w:rsid w:val="003722EE"/>
    <w:rsid w:val="0037253B"/>
    <w:rsid w:val="00373A40"/>
    <w:rsid w:val="00374578"/>
    <w:rsid w:val="00374AC3"/>
    <w:rsid w:val="00374B8E"/>
    <w:rsid w:val="003750C4"/>
    <w:rsid w:val="00376443"/>
    <w:rsid w:val="0037693E"/>
    <w:rsid w:val="00377672"/>
    <w:rsid w:val="00377AEC"/>
    <w:rsid w:val="00377D10"/>
    <w:rsid w:val="0038027D"/>
    <w:rsid w:val="00380841"/>
    <w:rsid w:val="003808DF"/>
    <w:rsid w:val="00380A80"/>
    <w:rsid w:val="00381A20"/>
    <w:rsid w:val="003823BA"/>
    <w:rsid w:val="003825F5"/>
    <w:rsid w:val="00382667"/>
    <w:rsid w:val="00382A8C"/>
    <w:rsid w:val="00382ADF"/>
    <w:rsid w:val="00384CE7"/>
    <w:rsid w:val="00384ECE"/>
    <w:rsid w:val="00385016"/>
    <w:rsid w:val="00385408"/>
    <w:rsid w:val="0038594E"/>
    <w:rsid w:val="003867CB"/>
    <w:rsid w:val="00386E99"/>
    <w:rsid w:val="003871C8"/>
    <w:rsid w:val="00387208"/>
    <w:rsid w:val="003875A6"/>
    <w:rsid w:val="0039001A"/>
    <w:rsid w:val="003901C9"/>
    <w:rsid w:val="00390934"/>
    <w:rsid w:val="00390FEF"/>
    <w:rsid w:val="003913A5"/>
    <w:rsid w:val="003916E8"/>
    <w:rsid w:val="00391EAC"/>
    <w:rsid w:val="00392057"/>
    <w:rsid w:val="0039335D"/>
    <w:rsid w:val="0039348D"/>
    <w:rsid w:val="003940B0"/>
    <w:rsid w:val="00394CD9"/>
    <w:rsid w:val="00394E11"/>
    <w:rsid w:val="003956A1"/>
    <w:rsid w:val="00395700"/>
    <w:rsid w:val="00395702"/>
    <w:rsid w:val="00396C54"/>
    <w:rsid w:val="00396CCF"/>
    <w:rsid w:val="00397313"/>
    <w:rsid w:val="00397AE6"/>
    <w:rsid w:val="00397CB7"/>
    <w:rsid w:val="00397E93"/>
    <w:rsid w:val="00397ED1"/>
    <w:rsid w:val="003A06F3"/>
    <w:rsid w:val="003A0AA0"/>
    <w:rsid w:val="003A0CC4"/>
    <w:rsid w:val="003A12E1"/>
    <w:rsid w:val="003A21FB"/>
    <w:rsid w:val="003A29BE"/>
    <w:rsid w:val="003A29FD"/>
    <w:rsid w:val="003A2CD1"/>
    <w:rsid w:val="003A313A"/>
    <w:rsid w:val="003A33A2"/>
    <w:rsid w:val="003A3814"/>
    <w:rsid w:val="003A3ADB"/>
    <w:rsid w:val="003A5187"/>
    <w:rsid w:val="003A5196"/>
    <w:rsid w:val="003A539D"/>
    <w:rsid w:val="003A5465"/>
    <w:rsid w:val="003A5C3C"/>
    <w:rsid w:val="003A5C3D"/>
    <w:rsid w:val="003A608A"/>
    <w:rsid w:val="003A7707"/>
    <w:rsid w:val="003A7F5F"/>
    <w:rsid w:val="003B02D4"/>
    <w:rsid w:val="003B17C2"/>
    <w:rsid w:val="003B182E"/>
    <w:rsid w:val="003B22A2"/>
    <w:rsid w:val="003B254F"/>
    <w:rsid w:val="003B2B50"/>
    <w:rsid w:val="003B2C74"/>
    <w:rsid w:val="003B2C8C"/>
    <w:rsid w:val="003B35B4"/>
    <w:rsid w:val="003B3C98"/>
    <w:rsid w:val="003B3EC0"/>
    <w:rsid w:val="003B4394"/>
    <w:rsid w:val="003B44A2"/>
    <w:rsid w:val="003B45A1"/>
    <w:rsid w:val="003B4797"/>
    <w:rsid w:val="003B4812"/>
    <w:rsid w:val="003B4B9B"/>
    <w:rsid w:val="003B53EF"/>
    <w:rsid w:val="003B5B9C"/>
    <w:rsid w:val="003B6496"/>
    <w:rsid w:val="003B6B9A"/>
    <w:rsid w:val="003B6CEA"/>
    <w:rsid w:val="003B7DDF"/>
    <w:rsid w:val="003B7FB4"/>
    <w:rsid w:val="003B7FBB"/>
    <w:rsid w:val="003C07CB"/>
    <w:rsid w:val="003C0D87"/>
    <w:rsid w:val="003C19FD"/>
    <w:rsid w:val="003C1E99"/>
    <w:rsid w:val="003C2873"/>
    <w:rsid w:val="003C28F1"/>
    <w:rsid w:val="003C292D"/>
    <w:rsid w:val="003C2A46"/>
    <w:rsid w:val="003C2C9E"/>
    <w:rsid w:val="003C2F98"/>
    <w:rsid w:val="003C3C53"/>
    <w:rsid w:val="003C43F5"/>
    <w:rsid w:val="003C4545"/>
    <w:rsid w:val="003C5019"/>
    <w:rsid w:val="003C5142"/>
    <w:rsid w:val="003C6011"/>
    <w:rsid w:val="003C61D8"/>
    <w:rsid w:val="003C6E2B"/>
    <w:rsid w:val="003C7893"/>
    <w:rsid w:val="003D07EE"/>
    <w:rsid w:val="003D0A2F"/>
    <w:rsid w:val="003D10AE"/>
    <w:rsid w:val="003D11B9"/>
    <w:rsid w:val="003D1869"/>
    <w:rsid w:val="003D1971"/>
    <w:rsid w:val="003D20C4"/>
    <w:rsid w:val="003D3A63"/>
    <w:rsid w:val="003D45F6"/>
    <w:rsid w:val="003D4B46"/>
    <w:rsid w:val="003D526E"/>
    <w:rsid w:val="003D6348"/>
    <w:rsid w:val="003D652B"/>
    <w:rsid w:val="003D68B8"/>
    <w:rsid w:val="003D6D22"/>
    <w:rsid w:val="003D7B20"/>
    <w:rsid w:val="003D7D70"/>
    <w:rsid w:val="003E0063"/>
    <w:rsid w:val="003E008D"/>
    <w:rsid w:val="003E1111"/>
    <w:rsid w:val="003E1EC6"/>
    <w:rsid w:val="003E2D09"/>
    <w:rsid w:val="003E3108"/>
    <w:rsid w:val="003E39F4"/>
    <w:rsid w:val="003E4050"/>
    <w:rsid w:val="003E43C6"/>
    <w:rsid w:val="003E4665"/>
    <w:rsid w:val="003E478D"/>
    <w:rsid w:val="003E4D77"/>
    <w:rsid w:val="003E5947"/>
    <w:rsid w:val="003E5DDA"/>
    <w:rsid w:val="003E60D1"/>
    <w:rsid w:val="003E6766"/>
    <w:rsid w:val="003E6854"/>
    <w:rsid w:val="003E69DB"/>
    <w:rsid w:val="003E6CFE"/>
    <w:rsid w:val="003E73F4"/>
    <w:rsid w:val="003E7659"/>
    <w:rsid w:val="003E7683"/>
    <w:rsid w:val="003E775A"/>
    <w:rsid w:val="003E77F4"/>
    <w:rsid w:val="003E7BF1"/>
    <w:rsid w:val="003E7F35"/>
    <w:rsid w:val="003F0174"/>
    <w:rsid w:val="003F0778"/>
    <w:rsid w:val="003F0E4C"/>
    <w:rsid w:val="003F12B3"/>
    <w:rsid w:val="003F2137"/>
    <w:rsid w:val="003F2173"/>
    <w:rsid w:val="003F23FE"/>
    <w:rsid w:val="003F2472"/>
    <w:rsid w:val="003F275F"/>
    <w:rsid w:val="003F29BF"/>
    <w:rsid w:val="003F2D04"/>
    <w:rsid w:val="003F2D20"/>
    <w:rsid w:val="003F47C3"/>
    <w:rsid w:val="003F4D33"/>
    <w:rsid w:val="003F53AC"/>
    <w:rsid w:val="003F56EA"/>
    <w:rsid w:val="003F6912"/>
    <w:rsid w:val="003F7138"/>
    <w:rsid w:val="003F7F24"/>
    <w:rsid w:val="0040022B"/>
    <w:rsid w:val="00400463"/>
    <w:rsid w:val="00400884"/>
    <w:rsid w:val="00400A0B"/>
    <w:rsid w:val="004011EB"/>
    <w:rsid w:val="00401705"/>
    <w:rsid w:val="00402074"/>
    <w:rsid w:val="0040251E"/>
    <w:rsid w:val="00402667"/>
    <w:rsid w:val="00403522"/>
    <w:rsid w:val="00403FA9"/>
    <w:rsid w:val="004043F0"/>
    <w:rsid w:val="004045A1"/>
    <w:rsid w:val="00404FBD"/>
    <w:rsid w:val="0040523D"/>
    <w:rsid w:val="0040545B"/>
    <w:rsid w:val="004055D3"/>
    <w:rsid w:val="00405812"/>
    <w:rsid w:val="004068A4"/>
    <w:rsid w:val="004073A4"/>
    <w:rsid w:val="00411AF0"/>
    <w:rsid w:val="00411B9D"/>
    <w:rsid w:val="00411D32"/>
    <w:rsid w:val="0041204A"/>
    <w:rsid w:val="004132F7"/>
    <w:rsid w:val="004136B0"/>
    <w:rsid w:val="004137E0"/>
    <w:rsid w:val="00413E3B"/>
    <w:rsid w:val="004144D5"/>
    <w:rsid w:val="004149BD"/>
    <w:rsid w:val="00414D4B"/>
    <w:rsid w:val="00414FC6"/>
    <w:rsid w:val="004153AA"/>
    <w:rsid w:val="00415AF7"/>
    <w:rsid w:val="00415CDD"/>
    <w:rsid w:val="00415CF4"/>
    <w:rsid w:val="00415E51"/>
    <w:rsid w:val="00416546"/>
    <w:rsid w:val="00416560"/>
    <w:rsid w:val="00416749"/>
    <w:rsid w:val="0041676E"/>
    <w:rsid w:val="0041689A"/>
    <w:rsid w:val="0041735F"/>
    <w:rsid w:val="00417E82"/>
    <w:rsid w:val="00420CBC"/>
    <w:rsid w:val="00420D84"/>
    <w:rsid w:val="00420DFE"/>
    <w:rsid w:val="00421C32"/>
    <w:rsid w:val="00421EA2"/>
    <w:rsid w:val="0042222F"/>
    <w:rsid w:val="0042242E"/>
    <w:rsid w:val="00422574"/>
    <w:rsid w:val="00422FF3"/>
    <w:rsid w:val="00423378"/>
    <w:rsid w:val="004233D8"/>
    <w:rsid w:val="00423ADA"/>
    <w:rsid w:val="0042420B"/>
    <w:rsid w:val="0042472A"/>
    <w:rsid w:val="004247E2"/>
    <w:rsid w:val="004247FE"/>
    <w:rsid w:val="00424A80"/>
    <w:rsid w:val="00424B48"/>
    <w:rsid w:val="00424BC8"/>
    <w:rsid w:val="0042545D"/>
    <w:rsid w:val="00425E35"/>
    <w:rsid w:val="00426797"/>
    <w:rsid w:val="00426A7D"/>
    <w:rsid w:val="00426F4D"/>
    <w:rsid w:val="00426FC1"/>
    <w:rsid w:val="00427334"/>
    <w:rsid w:val="004278C3"/>
    <w:rsid w:val="0043152F"/>
    <w:rsid w:val="00431D64"/>
    <w:rsid w:val="00432664"/>
    <w:rsid w:val="00432685"/>
    <w:rsid w:val="004327F2"/>
    <w:rsid w:val="00432D38"/>
    <w:rsid w:val="0043307B"/>
    <w:rsid w:val="00433481"/>
    <w:rsid w:val="00433763"/>
    <w:rsid w:val="004339C8"/>
    <w:rsid w:val="00433E9A"/>
    <w:rsid w:val="00433F1D"/>
    <w:rsid w:val="00434024"/>
    <w:rsid w:val="00434047"/>
    <w:rsid w:val="00434287"/>
    <w:rsid w:val="004342CF"/>
    <w:rsid w:val="004342D1"/>
    <w:rsid w:val="004347DE"/>
    <w:rsid w:val="0043480E"/>
    <w:rsid w:val="00434A37"/>
    <w:rsid w:val="00434E22"/>
    <w:rsid w:val="004359BF"/>
    <w:rsid w:val="00435DC8"/>
    <w:rsid w:val="00436043"/>
    <w:rsid w:val="0043780E"/>
    <w:rsid w:val="00437E92"/>
    <w:rsid w:val="0044031E"/>
    <w:rsid w:val="00440D88"/>
    <w:rsid w:val="0044154A"/>
    <w:rsid w:val="0044168D"/>
    <w:rsid w:val="004418DE"/>
    <w:rsid w:val="00441AF6"/>
    <w:rsid w:val="00441BE7"/>
    <w:rsid w:val="00442145"/>
    <w:rsid w:val="004425CB"/>
    <w:rsid w:val="0044268C"/>
    <w:rsid w:val="0044285E"/>
    <w:rsid w:val="004429CA"/>
    <w:rsid w:val="00442C57"/>
    <w:rsid w:val="00444160"/>
    <w:rsid w:val="0044421D"/>
    <w:rsid w:val="0044436A"/>
    <w:rsid w:val="004462EB"/>
    <w:rsid w:val="004466F6"/>
    <w:rsid w:val="004474C4"/>
    <w:rsid w:val="0044756A"/>
    <w:rsid w:val="004475F9"/>
    <w:rsid w:val="00447833"/>
    <w:rsid w:val="0044797D"/>
    <w:rsid w:val="0045066D"/>
    <w:rsid w:val="004507E0"/>
    <w:rsid w:val="00450835"/>
    <w:rsid w:val="00450E26"/>
    <w:rsid w:val="00451704"/>
    <w:rsid w:val="00452334"/>
    <w:rsid w:val="0045299E"/>
    <w:rsid w:val="00452D00"/>
    <w:rsid w:val="00452F3F"/>
    <w:rsid w:val="004533B7"/>
    <w:rsid w:val="004536D7"/>
    <w:rsid w:val="004549D2"/>
    <w:rsid w:val="00454F0F"/>
    <w:rsid w:val="00454FE5"/>
    <w:rsid w:val="00456021"/>
    <w:rsid w:val="00456925"/>
    <w:rsid w:val="00456AD0"/>
    <w:rsid w:val="004576CE"/>
    <w:rsid w:val="0045770F"/>
    <w:rsid w:val="00457835"/>
    <w:rsid w:val="00460414"/>
    <w:rsid w:val="00460ADA"/>
    <w:rsid w:val="00460DB4"/>
    <w:rsid w:val="004614AF"/>
    <w:rsid w:val="00461A84"/>
    <w:rsid w:val="00461D21"/>
    <w:rsid w:val="0046243B"/>
    <w:rsid w:val="0046246D"/>
    <w:rsid w:val="004627B4"/>
    <w:rsid w:val="00463DD7"/>
    <w:rsid w:val="00463FEB"/>
    <w:rsid w:val="004643D3"/>
    <w:rsid w:val="00464BCF"/>
    <w:rsid w:val="00465263"/>
    <w:rsid w:val="0046642C"/>
    <w:rsid w:val="00466553"/>
    <w:rsid w:val="00466CF5"/>
    <w:rsid w:val="00467800"/>
    <w:rsid w:val="00467FEF"/>
    <w:rsid w:val="00470069"/>
    <w:rsid w:val="00470454"/>
    <w:rsid w:val="00471235"/>
    <w:rsid w:val="004713F7"/>
    <w:rsid w:val="0047197D"/>
    <w:rsid w:val="0047203D"/>
    <w:rsid w:val="00472E55"/>
    <w:rsid w:val="00473098"/>
    <w:rsid w:val="00474833"/>
    <w:rsid w:val="00474A84"/>
    <w:rsid w:val="00474B0A"/>
    <w:rsid w:val="00474DCE"/>
    <w:rsid w:val="00475344"/>
    <w:rsid w:val="004755D3"/>
    <w:rsid w:val="00475911"/>
    <w:rsid w:val="00475934"/>
    <w:rsid w:val="00475D10"/>
    <w:rsid w:val="00475EE3"/>
    <w:rsid w:val="00476FE0"/>
    <w:rsid w:val="00477118"/>
    <w:rsid w:val="00477924"/>
    <w:rsid w:val="00477FAD"/>
    <w:rsid w:val="0048029F"/>
    <w:rsid w:val="004818B1"/>
    <w:rsid w:val="00481CCB"/>
    <w:rsid w:val="00482DCD"/>
    <w:rsid w:val="00483D8B"/>
    <w:rsid w:val="00484045"/>
    <w:rsid w:val="004845F4"/>
    <w:rsid w:val="00485072"/>
    <w:rsid w:val="004850C3"/>
    <w:rsid w:val="00485664"/>
    <w:rsid w:val="00485B29"/>
    <w:rsid w:val="00486799"/>
    <w:rsid w:val="004873DF"/>
    <w:rsid w:val="004901B2"/>
    <w:rsid w:val="004905B3"/>
    <w:rsid w:val="00491169"/>
    <w:rsid w:val="00491377"/>
    <w:rsid w:val="00493A84"/>
    <w:rsid w:val="00493E6B"/>
    <w:rsid w:val="00494E4A"/>
    <w:rsid w:val="00494FB4"/>
    <w:rsid w:val="00495450"/>
    <w:rsid w:val="00495941"/>
    <w:rsid w:val="00495C2D"/>
    <w:rsid w:val="00497A28"/>
    <w:rsid w:val="00497EF1"/>
    <w:rsid w:val="004A0348"/>
    <w:rsid w:val="004A0E05"/>
    <w:rsid w:val="004A1001"/>
    <w:rsid w:val="004A12AB"/>
    <w:rsid w:val="004A1975"/>
    <w:rsid w:val="004A1C26"/>
    <w:rsid w:val="004A1EED"/>
    <w:rsid w:val="004A225A"/>
    <w:rsid w:val="004A313A"/>
    <w:rsid w:val="004A36FC"/>
    <w:rsid w:val="004A3A80"/>
    <w:rsid w:val="004A40A9"/>
    <w:rsid w:val="004A55D3"/>
    <w:rsid w:val="004A65AD"/>
    <w:rsid w:val="004A74AA"/>
    <w:rsid w:val="004A75F0"/>
    <w:rsid w:val="004A7A04"/>
    <w:rsid w:val="004A7B96"/>
    <w:rsid w:val="004B00BB"/>
    <w:rsid w:val="004B0A31"/>
    <w:rsid w:val="004B0F0C"/>
    <w:rsid w:val="004B0F60"/>
    <w:rsid w:val="004B0F8B"/>
    <w:rsid w:val="004B10FF"/>
    <w:rsid w:val="004B1750"/>
    <w:rsid w:val="004B1FE9"/>
    <w:rsid w:val="004B2934"/>
    <w:rsid w:val="004B34F2"/>
    <w:rsid w:val="004B3ADD"/>
    <w:rsid w:val="004B4C83"/>
    <w:rsid w:val="004B5978"/>
    <w:rsid w:val="004B6123"/>
    <w:rsid w:val="004B7498"/>
    <w:rsid w:val="004B7B8B"/>
    <w:rsid w:val="004B7E76"/>
    <w:rsid w:val="004C06E0"/>
    <w:rsid w:val="004C1A18"/>
    <w:rsid w:val="004C2945"/>
    <w:rsid w:val="004C29F0"/>
    <w:rsid w:val="004C3645"/>
    <w:rsid w:val="004C3C02"/>
    <w:rsid w:val="004C3DE6"/>
    <w:rsid w:val="004C447C"/>
    <w:rsid w:val="004C4897"/>
    <w:rsid w:val="004C4AD0"/>
    <w:rsid w:val="004C4B2C"/>
    <w:rsid w:val="004C54B3"/>
    <w:rsid w:val="004C5D04"/>
    <w:rsid w:val="004C61EC"/>
    <w:rsid w:val="004C62DA"/>
    <w:rsid w:val="004C6BAF"/>
    <w:rsid w:val="004C7146"/>
    <w:rsid w:val="004C7A94"/>
    <w:rsid w:val="004D0096"/>
    <w:rsid w:val="004D0308"/>
    <w:rsid w:val="004D04B8"/>
    <w:rsid w:val="004D07B1"/>
    <w:rsid w:val="004D14D8"/>
    <w:rsid w:val="004D33A1"/>
    <w:rsid w:val="004D364A"/>
    <w:rsid w:val="004D4014"/>
    <w:rsid w:val="004D4344"/>
    <w:rsid w:val="004D49BC"/>
    <w:rsid w:val="004D4A74"/>
    <w:rsid w:val="004D50CE"/>
    <w:rsid w:val="004D58D6"/>
    <w:rsid w:val="004D64FC"/>
    <w:rsid w:val="004D6621"/>
    <w:rsid w:val="004D669A"/>
    <w:rsid w:val="004D6CCC"/>
    <w:rsid w:val="004D6EAA"/>
    <w:rsid w:val="004D6F50"/>
    <w:rsid w:val="004D7253"/>
    <w:rsid w:val="004D726D"/>
    <w:rsid w:val="004D794C"/>
    <w:rsid w:val="004E0211"/>
    <w:rsid w:val="004E0538"/>
    <w:rsid w:val="004E0DC9"/>
    <w:rsid w:val="004E1818"/>
    <w:rsid w:val="004E31B3"/>
    <w:rsid w:val="004E3CA6"/>
    <w:rsid w:val="004E3DFE"/>
    <w:rsid w:val="004E3ED9"/>
    <w:rsid w:val="004E429A"/>
    <w:rsid w:val="004E4574"/>
    <w:rsid w:val="004E48CF"/>
    <w:rsid w:val="004E4B08"/>
    <w:rsid w:val="004E51B6"/>
    <w:rsid w:val="004E525E"/>
    <w:rsid w:val="004E5844"/>
    <w:rsid w:val="004E584B"/>
    <w:rsid w:val="004E5A6E"/>
    <w:rsid w:val="004E5B4A"/>
    <w:rsid w:val="004E6239"/>
    <w:rsid w:val="004E6381"/>
    <w:rsid w:val="004E654D"/>
    <w:rsid w:val="004E68C0"/>
    <w:rsid w:val="004E6A63"/>
    <w:rsid w:val="004E72C0"/>
    <w:rsid w:val="004E7303"/>
    <w:rsid w:val="004E74E9"/>
    <w:rsid w:val="004E793F"/>
    <w:rsid w:val="004E79F1"/>
    <w:rsid w:val="004F0041"/>
    <w:rsid w:val="004F0286"/>
    <w:rsid w:val="004F02A3"/>
    <w:rsid w:val="004F14D5"/>
    <w:rsid w:val="004F1E80"/>
    <w:rsid w:val="004F28B2"/>
    <w:rsid w:val="004F2E53"/>
    <w:rsid w:val="004F3010"/>
    <w:rsid w:val="004F3323"/>
    <w:rsid w:val="004F3C54"/>
    <w:rsid w:val="004F4125"/>
    <w:rsid w:val="004F4D1D"/>
    <w:rsid w:val="004F4F3E"/>
    <w:rsid w:val="004F55E6"/>
    <w:rsid w:val="004F6019"/>
    <w:rsid w:val="004F6C95"/>
    <w:rsid w:val="004F6E34"/>
    <w:rsid w:val="004F76FA"/>
    <w:rsid w:val="004F78D0"/>
    <w:rsid w:val="004F7E51"/>
    <w:rsid w:val="005002E2"/>
    <w:rsid w:val="0050078C"/>
    <w:rsid w:val="00500BC1"/>
    <w:rsid w:val="0050148A"/>
    <w:rsid w:val="00501B75"/>
    <w:rsid w:val="00501E93"/>
    <w:rsid w:val="00502165"/>
    <w:rsid w:val="00502210"/>
    <w:rsid w:val="005022C2"/>
    <w:rsid w:val="005023BA"/>
    <w:rsid w:val="005025F2"/>
    <w:rsid w:val="00502D35"/>
    <w:rsid w:val="00503AF2"/>
    <w:rsid w:val="00503BC0"/>
    <w:rsid w:val="005048E7"/>
    <w:rsid w:val="00504ED3"/>
    <w:rsid w:val="00504FEC"/>
    <w:rsid w:val="0050593A"/>
    <w:rsid w:val="00506616"/>
    <w:rsid w:val="00506DFC"/>
    <w:rsid w:val="00506E06"/>
    <w:rsid w:val="00506F67"/>
    <w:rsid w:val="005073D8"/>
    <w:rsid w:val="005075C8"/>
    <w:rsid w:val="00507851"/>
    <w:rsid w:val="00507E1E"/>
    <w:rsid w:val="00510047"/>
    <w:rsid w:val="005107F5"/>
    <w:rsid w:val="00511066"/>
    <w:rsid w:val="00511232"/>
    <w:rsid w:val="00511A7B"/>
    <w:rsid w:val="00512B98"/>
    <w:rsid w:val="00512D45"/>
    <w:rsid w:val="00513B22"/>
    <w:rsid w:val="00513D67"/>
    <w:rsid w:val="00513E65"/>
    <w:rsid w:val="00513FDC"/>
    <w:rsid w:val="005152E5"/>
    <w:rsid w:val="005152FA"/>
    <w:rsid w:val="0051588A"/>
    <w:rsid w:val="0051598C"/>
    <w:rsid w:val="00515B24"/>
    <w:rsid w:val="00515D6B"/>
    <w:rsid w:val="005169C2"/>
    <w:rsid w:val="00516BD3"/>
    <w:rsid w:val="0051794E"/>
    <w:rsid w:val="00517D41"/>
    <w:rsid w:val="00517DF3"/>
    <w:rsid w:val="0052005B"/>
    <w:rsid w:val="005202F2"/>
    <w:rsid w:val="00520A06"/>
    <w:rsid w:val="00521008"/>
    <w:rsid w:val="00521A9B"/>
    <w:rsid w:val="00522203"/>
    <w:rsid w:val="00522567"/>
    <w:rsid w:val="00522CA6"/>
    <w:rsid w:val="00522E7C"/>
    <w:rsid w:val="0052359C"/>
    <w:rsid w:val="00523938"/>
    <w:rsid w:val="00524281"/>
    <w:rsid w:val="00524C71"/>
    <w:rsid w:val="00524ECD"/>
    <w:rsid w:val="005253AB"/>
    <w:rsid w:val="00527C00"/>
    <w:rsid w:val="00527D5E"/>
    <w:rsid w:val="00527DB6"/>
    <w:rsid w:val="005302EE"/>
    <w:rsid w:val="00530AB3"/>
    <w:rsid w:val="00530E81"/>
    <w:rsid w:val="005320BA"/>
    <w:rsid w:val="0053236C"/>
    <w:rsid w:val="00532444"/>
    <w:rsid w:val="00532D15"/>
    <w:rsid w:val="00533B94"/>
    <w:rsid w:val="00533FA1"/>
    <w:rsid w:val="0053405A"/>
    <w:rsid w:val="00534A07"/>
    <w:rsid w:val="00534A9B"/>
    <w:rsid w:val="00534D48"/>
    <w:rsid w:val="00535D49"/>
    <w:rsid w:val="00536719"/>
    <w:rsid w:val="00536E2B"/>
    <w:rsid w:val="005373D4"/>
    <w:rsid w:val="00537816"/>
    <w:rsid w:val="00537D5D"/>
    <w:rsid w:val="00537E3A"/>
    <w:rsid w:val="00540020"/>
    <w:rsid w:val="00540433"/>
    <w:rsid w:val="005410E9"/>
    <w:rsid w:val="00541D97"/>
    <w:rsid w:val="00541EE7"/>
    <w:rsid w:val="0054219D"/>
    <w:rsid w:val="00542689"/>
    <w:rsid w:val="005429E5"/>
    <w:rsid w:val="00543026"/>
    <w:rsid w:val="00543259"/>
    <w:rsid w:val="00543288"/>
    <w:rsid w:val="00543410"/>
    <w:rsid w:val="00543C9D"/>
    <w:rsid w:val="00543DD1"/>
    <w:rsid w:val="00544144"/>
    <w:rsid w:val="0054470A"/>
    <w:rsid w:val="005449BD"/>
    <w:rsid w:val="00545C29"/>
    <w:rsid w:val="00545C56"/>
    <w:rsid w:val="00546023"/>
    <w:rsid w:val="005465E1"/>
    <w:rsid w:val="005471F9"/>
    <w:rsid w:val="005509D7"/>
    <w:rsid w:val="00550A88"/>
    <w:rsid w:val="005518D3"/>
    <w:rsid w:val="00551F87"/>
    <w:rsid w:val="00552240"/>
    <w:rsid w:val="00553241"/>
    <w:rsid w:val="00553265"/>
    <w:rsid w:val="005537FB"/>
    <w:rsid w:val="00553F08"/>
    <w:rsid w:val="005545F5"/>
    <w:rsid w:val="0055489F"/>
    <w:rsid w:val="00554988"/>
    <w:rsid w:val="00554B29"/>
    <w:rsid w:val="00554B64"/>
    <w:rsid w:val="00554FDE"/>
    <w:rsid w:val="00555472"/>
    <w:rsid w:val="0055637A"/>
    <w:rsid w:val="00556C92"/>
    <w:rsid w:val="005571D0"/>
    <w:rsid w:val="005573E7"/>
    <w:rsid w:val="00557D97"/>
    <w:rsid w:val="00557EDA"/>
    <w:rsid w:val="00560914"/>
    <w:rsid w:val="00560BAE"/>
    <w:rsid w:val="00561E11"/>
    <w:rsid w:val="00561E9E"/>
    <w:rsid w:val="00562254"/>
    <w:rsid w:val="0056237E"/>
    <w:rsid w:val="005623BF"/>
    <w:rsid w:val="00563414"/>
    <w:rsid w:val="005638FD"/>
    <w:rsid w:val="0056391A"/>
    <w:rsid w:val="00564D1D"/>
    <w:rsid w:val="00565038"/>
    <w:rsid w:val="00565313"/>
    <w:rsid w:val="00565777"/>
    <w:rsid w:val="005665B5"/>
    <w:rsid w:val="00566678"/>
    <w:rsid w:val="00566AB9"/>
    <w:rsid w:val="00566D63"/>
    <w:rsid w:val="00566FF0"/>
    <w:rsid w:val="0056739A"/>
    <w:rsid w:val="005701C6"/>
    <w:rsid w:val="005705E8"/>
    <w:rsid w:val="00572174"/>
    <w:rsid w:val="00572792"/>
    <w:rsid w:val="00573466"/>
    <w:rsid w:val="005738EF"/>
    <w:rsid w:val="00573B92"/>
    <w:rsid w:val="00573F87"/>
    <w:rsid w:val="005742DB"/>
    <w:rsid w:val="00574455"/>
    <w:rsid w:val="0057570D"/>
    <w:rsid w:val="005761A8"/>
    <w:rsid w:val="0057640F"/>
    <w:rsid w:val="00576890"/>
    <w:rsid w:val="005768CB"/>
    <w:rsid w:val="00576931"/>
    <w:rsid w:val="00576F24"/>
    <w:rsid w:val="00577BA4"/>
    <w:rsid w:val="0058052A"/>
    <w:rsid w:val="00580841"/>
    <w:rsid w:val="00580BB9"/>
    <w:rsid w:val="00580E31"/>
    <w:rsid w:val="00581152"/>
    <w:rsid w:val="00581421"/>
    <w:rsid w:val="0058157E"/>
    <w:rsid w:val="00581B2F"/>
    <w:rsid w:val="00582489"/>
    <w:rsid w:val="00582775"/>
    <w:rsid w:val="00583901"/>
    <w:rsid w:val="00583953"/>
    <w:rsid w:val="00583976"/>
    <w:rsid w:val="00583E47"/>
    <w:rsid w:val="005842B3"/>
    <w:rsid w:val="005845FD"/>
    <w:rsid w:val="00584D88"/>
    <w:rsid w:val="00585414"/>
    <w:rsid w:val="00585671"/>
    <w:rsid w:val="005865A5"/>
    <w:rsid w:val="0058683F"/>
    <w:rsid w:val="0058688F"/>
    <w:rsid w:val="00586A58"/>
    <w:rsid w:val="00586AE8"/>
    <w:rsid w:val="00586DB3"/>
    <w:rsid w:val="005877DC"/>
    <w:rsid w:val="00587B35"/>
    <w:rsid w:val="005901C4"/>
    <w:rsid w:val="00590587"/>
    <w:rsid w:val="00590864"/>
    <w:rsid w:val="005908A6"/>
    <w:rsid w:val="005912DD"/>
    <w:rsid w:val="005924BD"/>
    <w:rsid w:val="00592DD9"/>
    <w:rsid w:val="0059332F"/>
    <w:rsid w:val="00593A53"/>
    <w:rsid w:val="00593C7E"/>
    <w:rsid w:val="0059413D"/>
    <w:rsid w:val="00594566"/>
    <w:rsid w:val="005945DF"/>
    <w:rsid w:val="0059486A"/>
    <w:rsid w:val="005949A4"/>
    <w:rsid w:val="00595338"/>
    <w:rsid w:val="005957E6"/>
    <w:rsid w:val="005959A7"/>
    <w:rsid w:val="005971B4"/>
    <w:rsid w:val="00597794"/>
    <w:rsid w:val="005A0132"/>
    <w:rsid w:val="005A060D"/>
    <w:rsid w:val="005A075D"/>
    <w:rsid w:val="005A1197"/>
    <w:rsid w:val="005A1840"/>
    <w:rsid w:val="005A1988"/>
    <w:rsid w:val="005A1FA9"/>
    <w:rsid w:val="005A230C"/>
    <w:rsid w:val="005A2BA9"/>
    <w:rsid w:val="005A34D1"/>
    <w:rsid w:val="005A43B1"/>
    <w:rsid w:val="005A4E5F"/>
    <w:rsid w:val="005A5225"/>
    <w:rsid w:val="005A5260"/>
    <w:rsid w:val="005A531A"/>
    <w:rsid w:val="005A548B"/>
    <w:rsid w:val="005A5510"/>
    <w:rsid w:val="005A5E70"/>
    <w:rsid w:val="005A63B5"/>
    <w:rsid w:val="005A66C8"/>
    <w:rsid w:val="005A6CE8"/>
    <w:rsid w:val="005A6D93"/>
    <w:rsid w:val="005A6EE5"/>
    <w:rsid w:val="005A70A5"/>
    <w:rsid w:val="005A7147"/>
    <w:rsid w:val="005A7635"/>
    <w:rsid w:val="005A7CB7"/>
    <w:rsid w:val="005A7D20"/>
    <w:rsid w:val="005A7E55"/>
    <w:rsid w:val="005B02F9"/>
    <w:rsid w:val="005B0724"/>
    <w:rsid w:val="005B093B"/>
    <w:rsid w:val="005B0A67"/>
    <w:rsid w:val="005B1082"/>
    <w:rsid w:val="005B20CD"/>
    <w:rsid w:val="005B26D7"/>
    <w:rsid w:val="005B3672"/>
    <w:rsid w:val="005B3BD5"/>
    <w:rsid w:val="005B3E3C"/>
    <w:rsid w:val="005B4573"/>
    <w:rsid w:val="005B4C7A"/>
    <w:rsid w:val="005B572C"/>
    <w:rsid w:val="005B615D"/>
    <w:rsid w:val="005B628D"/>
    <w:rsid w:val="005B71E1"/>
    <w:rsid w:val="005B7B8E"/>
    <w:rsid w:val="005B7FE5"/>
    <w:rsid w:val="005C02FF"/>
    <w:rsid w:val="005C04C8"/>
    <w:rsid w:val="005C05EB"/>
    <w:rsid w:val="005C0B2A"/>
    <w:rsid w:val="005C1165"/>
    <w:rsid w:val="005C12CD"/>
    <w:rsid w:val="005C19EC"/>
    <w:rsid w:val="005C21FE"/>
    <w:rsid w:val="005C2B6A"/>
    <w:rsid w:val="005C38B7"/>
    <w:rsid w:val="005C3E7D"/>
    <w:rsid w:val="005C3FD5"/>
    <w:rsid w:val="005C4291"/>
    <w:rsid w:val="005C4952"/>
    <w:rsid w:val="005C4B43"/>
    <w:rsid w:val="005C53E6"/>
    <w:rsid w:val="005C5A11"/>
    <w:rsid w:val="005C63F6"/>
    <w:rsid w:val="005C653F"/>
    <w:rsid w:val="005C65A3"/>
    <w:rsid w:val="005C75C1"/>
    <w:rsid w:val="005C7B1D"/>
    <w:rsid w:val="005C7CDF"/>
    <w:rsid w:val="005C7E38"/>
    <w:rsid w:val="005D0049"/>
    <w:rsid w:val="005D18C8"/>
    <w:rsid w:val="005D18F9"/>
    <w:rsid w:val="005D193A"/>
    <w:rsid w:val="005D1E63"/>
    <w:rsid w:val="005D2271"/>
    <w:rsid w:val="005D2423"/>
    <w:rsid w:val="005D2B6E"/>
    <w:rsid w:val="005D2C26"/>
    <w:rsid w:val="005D2E44"/>
    <w:rsid w:val="005D3648"/>
    <w:rsid w:val="005D3ABE"/>
    <w:rsid w:val="005D4370"/>
    <w:rsid w:val="005D5BC2"/>
    <w:rsid w:val="005D5C58"/>
    <w:rsid w:val="005D6109"/>
    <w:rsid w:val="005D6A37"/>
    <w:rsid w:val="005D6E41"/>
    <w:rsid w:val="005D714B"/>
    <w:rsid w:val="005D775A"/>
    <w:rsid w:val="005D7C36"/>
    <w:rsid w:val="005D7E0C"/>
    <w:rsid w:val="005E050D"/>
    <w:rsid w:val="005E17F9"/>
    <w:rsid w:val="005E180A"/>
    <w:rsid w:val="005E1888"/>
    <w:rsid w:val="005E1FC9"/>
    <w:rsid w:val="005E211A"/>
    <w:rsid w:val="005E22D2"/>
    <w:rsid w:val="005E2BCE"/>
    <w:rsid w:val="005E2EA4"/>
    <w:rsid w:val="005E3618"/>
    <w:rsid w:val="005E40C0"/>
    <w:rsid w:val="005E4374"/>
    <w:rsid w:val="005E43BB"/>
    <w:rsid w:val="005E5199"/>
    <w:rsid w:val="005E5502"/>
    <w:rsid w:val="005E5BF5"/>
    <w:rsid w:val="005E7234"/>
    <w:rsid w:val="005F0563"/>
    <w:rsid w:val="005F070E"/>
    <w:rsid w:val="005F075A"/>
    <w:rsid w:val="005F09E9"/>
    <w:rsid w:val="005F0BF9"/>
    <w:rsid w:val="005F14A2"/>
    <w:rsid w:val="005F16AA"/>
    <w:rsid w:val="005F16B0"/>
    <w:rsid w:val="005F1AF5"/>
    <w:rsid w:val="005F298B"/>
    <w:rsid w:val="005F2C7B"/>
    <w:rsid w:val="005F37A5"/>
    <w:rsid w:val="005F3858"/>
    <w:rsid w:val="005F386A"/>
    <w:rsid w:val="005F3D03"/>
    <w:rsid w:val="005F3FBA"/>
    <w:rsid w:val="005F4932"/>
    <w:rsid w:val="005F49E4"/>
    <w:rsid w:val="005F552F"/>
    <w:rsid w:val="005F5F42"/>
    <w:rsid w:val="005F655A"/>
    <w:rsid w:val="005F6D75"/>
    <w:rsid w:val="005F7422"/>
    <w:rsid w:val="005F7DE4"/>
    <w:rsid w:val="00600660"/>
    <w:rsid w:val="00600AB8"/>
    <w:rsid w:val="00600B6C"/>
    <w:rsid w:val="00601233"/>
    <w:rsid w:val="006018FF"/>
    <w:rsid w:val="00602149"/>
    <w:rsid w:val="00602424"/>
    <w:rsid w:val="006027C1"/>
    <w:rsid w:val="00602B57"/>
    <w:rsid w:val="00602C99"/>
    <w:rsid w:val="0060379D"/>
    <w:rsid w:val="0060502C"/>
    <w:rsid w:val="00605820"/>
    <w:rsid w:val="0060597B"/>
    <w:rsid w:val="00606974"/>
    <w:rsid w:val="0060699A"/>
    <w:rsid w:val="00606E12"/>
    <w:rsid w:val="00606F49"/>
    <w:rsid w:val="00607091"/>
    <w:rsid w:val="00607C92"/>
    <w:rsid w:val="00610020"/>
    <w:rsid w:val="0061069F"/>
    <w:rsid w:val="00610D54"/>
    <w:rsid w:val="006113F7"/>
    <w:rsid w:val="00611733"/>
    <w:rsid w:val="00611F4A"/>
    <w:rsid w:val="00612D8F"/>
    <w:rsid w:val="00612F8B"/>
    <w:rsid w:val="006131C1"/>
    <w:rsid w:val="006133A3"/>
    <w:rsid w:val="006138D8"/>
    <w:rsid w:val="00613AF3"/>
    <w:rsid w:val="00613D48"/>
    <w:rsid w:val="00613F5E"/>
    <w:rsid w:val="006141A7"/>
    <w:rsid w:val="00614D42"/>
    <w:rsid w:val="00615BFD"/>
    <w:rsid w:val="00616379"/>
    <w:rsid w:val="00616987"/>
    <w:rsid w:val="00616C46"/>
    <w:rsid w:val="00617829"/>
    <w:rsid w:val="00620453"/>
    <w:rsid w:val="00620497"/>
    <w:rsid w:val="00620E72"/>
    <w:rsid w:val="00621929"/>
    <w:rsid w:val="006220C2"/>
    <w:rsid w:val="00622D15"/>
    <w:rsid w:val="00622E99"/>
    <w:rsid w:val="0062357E"/>
    <w:rsid w:val="00623DE2"/>
    <w:rsid w:val="00624AA7"/>
    <w:rsid w:val="00624FED"/>
    <w:rsid w:val="00625990"/>
    <w:rsid w:val="00625B99"/>
    <w:rsid w:val="006268DF"/>
    <w:rsid w:val="00626A36"/>
    <w:rsid w:val="00626E07"/>
    <w:rsid w:val="00626ED1"/>
    <w:rsid w:val="006275DE"/>
    <w:rsid w:val="00627E79"/>
    <w:rsid w:val="00630E0F"/>
    <w:rsid w:val="00630FD3"/>
    <w:rsid w:val="00631107"/>
    <w:rsid w:val="00631741"/>
    <w:rsid w:val="00631D4F"/>
    <w:rsid w:val="00632F40"/>
    <w:rsid w:val="00633242"/>
    <w:rsid w:val="006333A9"/>
    <w:rsid w:val="00633B54"/>
    <w:rsid w:val="00633D48"/>
    <w:rsid w:val="00633E87"/>
    <w:rsid w:val="0063422A"/>
    <w:rsid w:val="00635368"/>
    <w:rsid w:val="00635DE6"/>
    <w:rsid w:val="00635F30"/>
    <w:rsid w:val="00636144"/>
    <w:rsid w:val="006365BD"/>
    <w:rsid w:val="006368A7"/>
    <w:rsid w:val="00636953"/>
    <w:rsid w:val="00636955"/>
    <w:rsid w:val="00636CD0"/>
    <w:rsid w:val="00636EAC"/>
    <w:rsid w:val="00640230"/>
    <w:rsid w:val="006404A9"/>
    <w:rsid w:val="006405C0"/>
    <w:rsid w:val="00640957"/>
    <w:rsid w:val="00640B3E"/>
    <w:rsid w:val="00640F49"/>
    <w:rsid w:val="00641407"/>
    <w:rsid w:val="00641B5C"/>
    <w:rsid w:val="00641C66"/>
    <w:rsid w:val="006420EA"/>
    <w:rsid w:val="0064218D"/>
    <w:rsid w:val="00642459"/>
    <w:rsid w:val="006425F6"/>
    <w:rsid w:val="00642948"/>
    <w:rsid w:val="00642E40"/>
    <w:rsid w:val="00643045"/>
    <w:rsid w:val="0064315A"/>
    <w:rsid w:val="006438DB"/>
    <w:rsid w:val="00644168"/>
    <w:rsid w:val="0064417F"/>
    <w:rsid w:val="00645A6D"/>
    <w:rsid w:val="00645D39"/>
    <w:rsid w:val="00645E1E"/>
    <w:rsid w:val="00645E61"/>
    <w:rsid w:val="00646460"/>
    <w:rsid w:val="006469D4"/>
    <w:rsid w:val="00646CF2"/>
    <w:rsid w:val="006471AB"/>
    <w:rsid w:val="00647640"/>
    <w:rsid w:val="00647779"/>
    <w:rsid w:val="00647985"/>
    <w:rsid w:val="006503F9"/>
    <w:rsid w:val="00650A59"/>
    <w:rsid w:val="00650D30"/>
    <w:rsid w:val="00651778"/>
    <w:rsid w:val="00652019"/>
    <w:rsid w:val="0065245C"/>
    <w:rsid w:val="0065287C"/>
    <w:rsid w:val="0065318A"/>
    <w:rsid w:val="006533B3"/>
    <w:rsid w:val="0065347E"/>
    <w:rsid w:val="00653838"/>
    <w:rsid w:val="00653ABA"/>
    <w:rsid w:val="00653BBB"/>
    <w:rsid w:val="00653DFD"/>
    <w:rsid w:val="00653FC2"/>
    <w:rsid w:val="0065439D"/>
    <w:rsid w:val="0065440A"/>
    <w:rsid w:val="00654461"/>
    <w:rsid w:val="0065540C"/>
    <w:rsid w:val="0065620F"/>
    <w:rsid w:val="0065670A"/>
    <w:rsid w:val="00656CB1"/>
    <w:rsid w:val="00656D70"/>
    <w:rsid w:val="00660F90"/>
    <w:rsid w:val="006617AF"/>
    <w:rsid w:val="0066187A"/>
    <w:rsid w:val="00661CCF"/>
    <w:rsid w:val="00661CF7"/>
    <w:rsid w:val="00661DA7"/>
    <w:rsid w:val="00661F93"/>
    <w:rsid w:val="006628B6"/>
    <w:rsid w:val="0066291B"/>
    <w:rsid w:val="00662EAF"/>
    <w:rsid w:val="00662EF8"/>
    <w:rsid w:val="00663289"/>
    <w:rsid w:val="00663E8C"/>
    <w:rsid w:val="00664A0C"/>
    <w:rsid w:val="00665D2C"/>
    <w:rsid w:val="006667DF"/>
    <w:rsid w:val="0066757B"/>
    <w:rsid w:val="00667A38"/>
    <w:rsid w:val="00670894"/>
    <w:rsid w:val="006709F2"/>
    <w:rsid w:val="006711ED"/>
    <w:rsid w:val="00671607"/>
    <w:rsid w:val="00671EB5"/>
    <w:rsid w:val="00673864"/>
    <w:rsid w:val="00673CC4"/>
    <w:rsid w:val="0067516C"/>
    <w:rsid w:val="00675273"/>
    <w:rsid w:val="00675275"/>
    <w:rsid w:val="0067532F"/>
    <w:rsid w:val="00675AB2"/>
    <w:rsid w:val="00675D1D"/>
    <w:rsid w:val="006763A0"/>
    <w:rsid w:val="00676686"/>
    <w:rsid w:val="00676752"/>
    <w:rsid w:val="00676778"/>
    <w:rsid w:val="00676A47"/>
    <w:rsid w:val="00676BB5"/>
    <w:rsid w:val="00676BFC"/>
    <w:rsid w:val="00677156"/>
    <w:rsid w:val="006773C6"/>
    <w:rsid w:val="0067774D"/>
    <w:rsid w:val="0067776D"/>
    <w:rsid w:val="00681642"/>
    <w:rsid w:val="0068218D"/>
    <w:rsid w:val="00682C13"/>
    <w:rsid w:val="0068316E"/>
    <w:rsid w:val="006838CB"/>
    <w:rsid w:val="00683CBD"/>
    <w:rsid w:val="006845AE"/>
    <w:rsid w:val="00684F01"/>
    <w:rsid w:val="00685B6E"/>
    <w:rsid w:val="00685BDD"/>
    <w:rsid w:val="00686110"/>
    <w:rsid w:val="006865E1"/>
    <w:rsid w:val="00687322"/>
    <w:rsid w:val="00690757"/>
    <w:rsid w:val="00691346"/>
    <w:rsid w:val="006918B9"/>
    <w:rsid w:val="00691B2B"/>
    <w:rsid w:val="00691C0F"/>
    <w:rsid w:val="0069220D"/>
    <w:rsid w:val="006925EE"/>
    <w:rsid w:val="00692772"/>
    <w:rsid w:val="00692D30"/>
    <w:rsid w:val="00692EAF"/>
    <w:rsid w:val="00692FFC"/>
    <w:rsid w:val="006935D5"/>
    <w:rsid w:val="00693B28"/>
    <w:rsid w:val="00694677"/>
    <w:rsid w:val="00694964"/>
    <w:rsid w:val="00694A66"/>
    <w:rsid w:val="00695EFE"/>
    <w:rsid w:val="00695F53"/>
    <w:rsid w:val="00696246"/>
    <w:rsid w:val="00696A23"/>
    <w:rsid w:val="00696AF5"/>
    <w:rsid w:val="00697BA9"/>
    <w:rsid w:val="00697E65"/>
    <w:rsid w:val="006A009B"/>
    <w:rsid w:val="006A1174"/>
    <w:rsid w:val="006A14A3"/>
    <w:rsid w:val="006A1C05"/>
    <w:rsid w:val="006A1E02"/>
    <w:rsid w:val="006A212A"/>
    <w:rsid w:val="006A24D3"/>
    <w:rsid w:val="006A2713"/>
    <w:rsid w:val="006A3881"/>
    <w:rsid w:val="006A3C7D"/>
    <w:rsid w:val="006A4486"/>
    <w:rsid w:val="006A4710"/>
    <w:rsid w:val="006A48A5"/>
    <w:rsid w:val="006A4A0E"/>
    <w:rsid w:val="006A4A3E"/>
    <w:rsid w:val="006A54C8"/>
    <w:rsid w:val="006A66A6"/>
    <w:rsid w:val="006A6D89"/>
    <w:rsid w:val="006A6E22"/>
    <w:rsid w:val="006A71BD"/>
    <w:rsid w:val="006A73C2"/>
    <w:rsid w:val="006A7581"/>
    <w:rsid w:val="006B0364"/>
    <w:rsid w:val="006B06E9"/>
    <w:rsid w:val="006B1913"/>
    <w:rsid w:val="006B2296"/>
    <w:rsid w:val="006B278C"/>
    <w:rsid w:val="006B345B"/>
    <w:rsid w:val="006B347C"/>
    <w:rsid w:val="006B398B"/>
    <w:rsid w:val="006B479B"/>
    <w:rsid w:val="006B4830"/>
    <w:rsid w:val="006B4D21"/>
    <w:rsid w:val="006B6A2F"/>
    <w:rsid w:val="006B6C5E"/>
    <w:rsid w:val="006B739E"/>
    <w:rsid w:val="006B7D7A"/>
    <w:rsid w:val="006C0998"/>
    <w:rsid w:val="006C13B4"/>
    <w:rsid w:val="006C13EF"/>
    <w:rsid w:val="006C1A00"/>
    <w:rsid w:val="006C28BA"/>
    <w:rsid w:val="006C2A9E"/>
    <w:rsid w:val="006C34D5"/>
    <w:rsid w:val="006C36FE"/>
    <w:rsid w:val="006C3FDF"/>
    <w:rsid w:val="006C549E"/>
    <w:rsid w:val="006C5F03"/>
    <w:rsid w:val="006C636D"/>
    <w:rsid w:val="006C64FA"/>
    <w:rsid w:val="006C6534"/>
    <w:rsid w:val="006C6895"/>
    <w:rsid w:val="006C6E1C"/>
    <w:rsid w:val="006C72C7"/>
    <w:rsid w:val="006C75DD"/>
    <w:rsid w:val="006C7898"/>
    <w:rsid w:val="006C7F88"/>
    <w:rsid w:val="006D0023"/>
    <w:rsid w:val="006D1435"/>
    <w:rsid w:val="006D170A"/>
    <w:rsid w:val="006D181F"/>
    <w:rsid w:val="006D1B1D"/>
    <w:rsid w:val="006D1C86"/>
    <w:rsid w:val="006D207B"/>
    <w:rsid w:val="006D233B"/>
    <w:rsid w:val="006D301D"/>
    <w:rsid w:val="006D3B6F"/>
    <w:rsid w:val="006D3CB5"/>
    <w:rsid w:val="006D3D53"/>
    <w:rsid w:val="006D3F87"/>
    <w:rsid w:val="006D47D5"/>
    <w:rsid w:val="006D4886"/>
    <w:rsid w:val="006D4C06"/>
    <w:rsid w:val="006D4DE9"/>
    <w:rsid w:val="006D5BD4"/>
    <w:rsid w:val="006D6974"/>
    <w:rsid w:val="006D6B45"/>
    <w:rsid w:val="006D6D61"/>
    <w:rsid w:val="006D70AE"/>
    <w:rsid w:val="006D7C74"/>
    <w:rsid w:val="006E0FA8"/>
    <w:rsid w:val="006E152C"/>
    <w:rsid w:val="006E1958"/>
    <w:rsid w:val="006E263C"/>
    <w:rsid w:val="006E27D5"/>
    <w:rsid w:val="006E30ED"/>
    <w:rsid w:val="006E3142"/>
    <w:rsid w:val="006E3A27"/>
    <w:rsid w:val="006E3CF6"/>
    <w:rsid w:val="006E5224"/>
    <w:rsid w:val="006E5267"/>
    <w:rsid w:val="006E5351"/>
    <w:rsid w:val="006E57CC"/>
    <w:rsid w:val="006E61C2"/>
    <w:rsid w:val="006E651B"/>
    <w:rsid w:val="006E69A6"/>
    <w:rsid w:val="006E69BD"/>
    <w:rsid w:val="006E6C20"/>
    <w:rsid w:val="006E6C9B"/>
    <w:rsid w:val="006E726E"/>
    <w:rsid w:val="006F08AF"/>
    <w:rsid w:val="006F0FC2"/>
    <w:rsid w:val="006F180B"/>
    <w:rsid w:val="006F1CA6"/>
    <w:rsid w:val="006F2178"/>
    <w:rsid w:val="006F2E71"/>
    <w:rsid w:val="006F30F0"/>
    <w:rsid w:val="006F342E"/>
    <w:rsid w:val="006F3810"/>
    <w:rsid w:val="006F40C6"/>
    <w:rsid w:val="006F434E"/>
    <w:rsid w:val="006F545C"/>
    <w:rsid w:val="006F63E2"/>
    <w:rsid w:val="006F6BB4"/>
    <w:rsid w:val="006F7B7A"/>
    <w:rsid w:val="00701340"/>
    <w:rsid w:val="0070159B"/>
    <w:rsid w:val="00701703"/>
    <w:rsid w:val="0070177D"/>
    <w:rsid w:val="0070392D"/>
    <w:rsid w:val="00703963"/>
    <w:rsid w:val="007039DB"/>
    <w:rsid w:val="007042FE"/>
    <w:rsid w:val="0070488A"/>
    <w:rsid w:val="0070488C"/>
    <w:rsid w:val="00704A0E"/>
    <w:rsid w:val="00705C35"/>
    <w:rsid w:val="00706133"/>
    <w:rsid w:val="007066F7"/>
    <w:rsid w:val="00706FAE"/>
    <w:rsid w:val="00707043"/>
    <w:rsid w:val="007077CB"/>
    <w:rsid w:val="007103AB"/>
    <w:rsid w:val="0071078A"/>
    <w:rsid w:val="0071094C"/>
    <w:rsid w:val="00711248"/>
    <w:rsid w:val="00711BE4"/>
    <w:rsid w:val="007123DF"/>
    <w:rsid w:val="00712BD2"/>
    <w:rsid w:val="00712C08"/>
    <w:rsid w:val="0071521E"/>
    <w:rsid w:val="00716782"/>
    <w:rsid w:val="007171F7"/>
    <w:rsid w:val="00717776"/>
    <w:rsid w:val="00720F51"/>
    <w:rsid w:val="0072123E"/>
    <w:rsid w:val="00721370"/>
    <w:rsid w:val="007215F8"/>
    <w:rsid w:val="007217C5"/>
    <w:rsid w:val="007222E2"/>
    <w:rsid w:val="0072279F"/>
    <w:rsid w:val="00722B53"/>
    <w:rsid w:val="007232C8"/>
    <w:rsid w:val="00723364"/>
    <w:rsid w:val="0072348F"/>
    <w:rsid w:val="00723A60"/>
    <w:rsid w:val="0072541A"/>
    <w:rsid w:val="0072573C"/>
    <w:rsid w:val="00725E32"/>
    <w:rsid w:val="00725FB0"/>
    <w:rsid w:val="0072616F"/>
    <w:rsid w:val="00726EA3"/>
    <w:rsid w:val="00727622"/>
    <w:rsid w:val="0072764D"/>
    <w:rsid w:val="0072772E"/>
    <w:rsid w:val="0072794D"/>
    <w:rsid w:val="00727BAA"/>
    <w:rsid w:val="00730B76"/>
    <w:rsid w:val="00731318"/>
    <w:rsid w:val="00731546"/>
    <w:rsid w:val="00731D11"/>
    <w:rsid w:val="00731DBF"/>
    <w:rsid w:val="00731E19"/>
    <w:rsid w:val="007324DD"/>
    <w:rsid w:val="007326DA"/>
    <w:rsid w:val="007327C3"/>
    <w:rsid w:val="00733020"/>
    <w:rsid w:val="007333DD"/>
    <w:rsid w:val="007349C3"/>
    <w:rsid w:val="00734B33"/>
    <w:rsid w:val="00735300"/>
    <w:rsid w:val="0073559B"/>
    <w:rsid w:val="00735B10"/>
    <w:rsid w:val="00736D45"/>
    <w:rsid w:val="00740064"/>
    <w:rsid w:val="00740770"/>
    <w:rsid w:val="00741032"/>
    <w:rsid w:val="00741291"/>
    <w:rsid w:val="007414D2"/>
    <w:rsid w:val="00741C91"/>
    <w:rsid w:val="00743711"/>
    <w:rsid w:val="00744A19"/>
    <w:rsid w:val="00745043"/>
    <w:rsid w:val="00745732"/>
    <w:rsid w:val="007458AB"/>
    <w:rsid w:val="00746216"/>
    <w:rsid w:val="00746505"/>
    <w:rsid w:val="00746BEF"/>
    <w:rsid w:val="0074790D"/>
    <w:rsid w:val="00747A33"/>
    <w:rsid w:val="00747A78"/>
    <w:rsid w:val="007501CD"/>
    <w:rsid w:val="00750EC6"/>
    <w:rsid w:val="0075101B"/>
    <w:rsid w:val="00751178"/>
    <w:rsid w:val="00751D88"/>
    <w:rsid w:val="00752019"/>
    <w:rsid w:val="007525EA"/>
    <w:rsid w:val="00753336"/>
    <w:rsid w:val="0075396C"/>
    <w:rsid w:val="00753EEA"/>
    <w:rsid w:val="007541F6"/>
    <w:rsid w:val="0075477B"/>
    <w:rsid w:val="00754847"/>
    <w:rsid w:val="00754A8F"/>
    <w:rsid w:val="00754C98"/>
    <w:rsid w:val="00754CFD"/>
    <w:rsid w:val="00754D52"/>
    <w:rsid w:val="00754EEB"/>
    <w:rsid w:val="00755D1F"/>
    <w:rsid w:val="007565FB"/>
    <w:rsid w:val="00756621"/>
    <w:rsid w:val="007567BC"/>
    <w:rsid w:val="007567E8"/>
    <w:rsid w:val="00756B22"/>
    <w:rsid w:val="007571ED"/>
    <w:rsid w:val="0075722D"/>
    <w:rsid w:val="00757B9F"/>
    <w:rsid w:val="00757FBB"/>
    <w:rsid w:val="00761214"/>
    <w:rsid w:val="0076150D"/>
    <w:rsid w:val="007617B3"/>
    <w:rsid w:val="00761AE2"/>
    <w:rsid w:val="007622DB"/>
    <w:rsid w:val="007628FA"/>
    <w:rsid w:val="00762E75"/>
    <w:rsid w:val="00765A67"/>
    <w:rsid w:val="0076663B"/>
    <w:rsid w:val="00766D3E"/>
    <w:rsid w:val="00766D92"/>
    <w:rsid w:val="00766E16"/>
    <w:rsid w:val="00767239"/>
    <w:rsid w:val="0076753D"/>
    <w:rsid w:val="00767AE6"/>
    <w:rsid w:val="0077025C"/>
    <w:rsid w:val="00770CD9"/>
    <w:rsid w:val="00771E71"/>
    <w:rsid w:val="007723CD"/>
    <w:rsid w:val="00772AE5"/>
    <w:rsid w:val="00772B9F"/>
    <w:rsid w:val="00772D3A"/>
    <w:rsid w:val="007741FA"/>
    <w:rsid w:val="007746B2"/>
    <w:rsid w:val="00774A45"/>
    <w:rsid w:val="00774B44"/>
    <w:rsid w:val="00774E63"/>
    <w:rsid w:val="00775183"/>
    <w:rsid w:val="00775435"/>
    <w:rsid w:val="00775558"/>
    <w:rsid w:val="0077594F"/>
    <w:rsid w:val="00775A3C"/>
    <w:rsid w:val="007775D6"/>
    <w:rsid w:val="00777C28"/>
    <w:rsid w:val="00780064"/>
    <w:rsid w:val="00780346"/>
    <w:rsid w:val="00781CD8"/>
    <w:rsid w:val="00781FDA"/>
    <w:rsid w:val="00781FDE"/>
    <w:rsid w:val="00782339"/>
    <w:rsid w:val="00782906"/>
    <w:rsid w:val="00782D91"/>
    <w:rsid w:val="00783660"/>
    <w:rsid w:val="007837EA"/>
    <w:rsid w:val="0078390C"/>
    <w:rsid w:val="0078527C"/>
    <w:rsid w:val="0078637C"/>
    <w:rsid w:val="0078662B"/>
    <w:rsid w:val="00786A00"/>
    <w:rsid w:val="00786A08"/>
    <w:rsid w:val="00786E65"/>
    <w:rsid w:val="00787128"/>
    <w:rsid w:val="0078724F"/>
    <w:rsid w:val="007873BD"/>
    <w:rsid w:val="00787933"/>
    <w:rsid w:val="0079042C"/>
    <w:rsid w:val="007907D7"/>
    <w:rsid w:val="007908A2"/>
    <w:rsid w:val="00790F77"/>
    <w:rsid w:val="00792651"/>
    <w:rsid w:val="00793118"/>
    <w:rsid w:val="00793541"/>
    <w:rsid w:val="00794029"/>
    <w:rsid w:val="007942EF"/>
    <w:rsid w:val="00794726"/>
    <w:rsid w:val="00795B99"/>
    <w:rsid w:val="00796135"/>
    <w:rsid w:val="007961F4"/>
    <w:rsid w:val="00797B8F"/>
    <w:rsid w:val="007A0067"/>
    <w:rsid w:val="007A00E4"/>
    <w:rsid w:val="007A0325"/>
    <w:rsid w:val="007A062E"/>
    <w:rsid w:val="007A088F"/>
    <w:rsid w:val="007A1301"/>
    <w:rsid w:val="007A2B8E"/>
    <w:rsid w:val="007A31C7"/>
    <w:rsid w:val="007A3635"/>
    <w:rsid w:val="007A3A36"/>
    <w:rsid w:val="007A3DDB"/>
    <w:rsid w:val="007A47FB"/>
    <w:rsid w:val="007A50B6"/>
    <w:rsid w:val="007A5101"/>
    <w:rsid w:val="007A513E"/>
    <w:rsid w:val="007A59BA"/>
    <w:rsid w:val="007A6087"/>
    <w:rsid w:val="007A6862"/>
    <w:rsid w:val="007A6ECB"/>
    <w:rsid w:val="007A7556"/>
    <w:rsid w:val="007B0A17"/>
    <w:rsid w:val="007B1045"/>
    <w:rsid w:val="007B1B6F"/>
    <w:rsid w:val="007B1CCB"/>
    <w:rsid w:val="007B2718"/>
    <w:rsid w:val="007B278D"/>
    <w:rsid w:val="007B3D7E"/>
    <w:rsid w:val="007B3DC9"/>
    <w:rsid w:val="007B3F9E"/>
    <w:rsid w:val="007B548A"/>
    <w:rsid w:val="007B59AB"/>
    <w:rsid w:val="007B5BCE"/>
    <w:rsid w:val="007B6401"/>
    <w:rsid w:val="007B6EF7"/>
    <w:rsid w:val="007B6FF2"/>
    <w:rsid w:val="007B71C8"/>
    <w:rsid w:val="007B7373"/>
    <w:rsid w:val="007B73E7"/>
    <w:rsid w:val="007B7CC9"/>
    <w:rsid w:val="007C0E8B"/>
    <w:rsid w:val="007C18CD"/>
    <w:rsid w:val="007C190C"/>
    <w:rsid w:val="007C1DB7"/>
    <w:rsid w:val="007C1E9E"/>
    <w:rsid w:val="007C227D"/>
    <w:rsid w:val="007C2C09"/>
    <w:rsid w:val="007C34C8"/>
    <w:rsid w:val="007C36F8"/>
    <w:rsid w:val="007C46F9"/>
    <w:rsid w:val="007C48F0"/>
    <w:rsid w:val="007C4C60"/>
    <w:rsid w:val="007C53DC"/>
    <w:rsid w:val="007C559D"/>
    <w:rsid w:val="007C5952"/>
    <w:rsid w:val="007C5AFA"/>
    <w:rsid w:val="007C6595"/>
    <w:rsid w:val="007C67B4"/>
    <w:rsid w:val="007C6F81"/>
    <w:rsid w:val="007C727F"/>
    <w:rsid w:val="007C7326"/>
    <w:rsid w:val="007C7C5C"/>
    <w:rsid w:val="007C7EE0"/>
    <w:rsid w:val="007D1307"/>
    <w:rsid w:val="007D166D"/>
    <w:rsid w:val="007D1997"/>
    <w:rsid w:val="007D22D7"/>
    <w:rsid w:val="007D2C8F"/>
    <w:rsid w:val="007D366E"/>
    <w:rsid w:val="007D3F05"/>
    <w:rsid w:val="007D3F0E"/>
    <w:rsid w:val="007D455A"/>
    <w:rsid w:val="007D4A3C"/>
    <w:rsid w:val="007D5BB8"/>
    <w:rsid w:val="007D5E09"/>
    <w:rsid w:val="007D60E1"/>
    <w:rsid w:val="007D6433"/>
    <w:rsid w:val="007D6B2D"/>
    <w:rsid w:val="007D7426"/>
    <w:rsid w:val="007D77A3"/>
    <w:rsid w:val="007D7B33"/>
    <w:rsid w:val="007E023A"/>
    <w:rsid w:val="007E036B"/>
    <w:rsid w:val="007E0924"/>
    <w:rsid w:val="007E0D83"/>
    <w:rsid w:val="007E1BC7"/>
    <w:rsid w:val="007E3C38"/>
    <w:rsid w:val="007E404E"/>
    <w:rsid w:val="007E4867"/>
    <w:rsid w:val="007E4A07"/>
    <w:rsid w:val="007E4A37"/>
    <w:rsid w:val="007E625E"/>
    <w:rsid w:val="007E67F3"/>
    <w:rsid w:val="007E693C"/>
    <w:rsid w:val="007F0001"/>
    <w:rsid w:val="007F00CD"/>
    <w:rsid w:val="007F019B"/>
    <w:rsid w:val="007F0AD2"/>
    <w:rsid w:val="007F1212"/>
    <w:rsid w:val="007F14DA"/>
    <w:rsid w:val="007F1A65"/>
    <w:rsid w:val="007F1E9A"/>
    <w:rsid w:val="007F233F"/>
    <w:rsid w:val="007F2A69"/>
    <w:rsid w:val="007F36A6"/>
    <w:rsid w:val="007F38D4"/>
    <w:rsid w:val="007F3A34"/>
    <w:rsid w:val="007F4208"/>
    <w:rsid w:val="007F46B1"/>
    <w:rsid w:val="007F5452"/>
    <w:rsid w:val="007F5858"/>
    <w:rsid w:val="007F5B3D"/>
    <w:rsid w:val="007F64BA"/>
    <w:rsid w:val="007F703D"/>
    <w:rsid w:val="007F77BF"/>
    <w:rsid w:val="007F7DD1"/>
    <w:rsid w:val="00800332"/>
    <w:rsid w:val="00800823"/>
    <w:rsid w:val="00800924"/>
    <w:rsid w:val="00800DC6"/>
    <w:rsid w:val="00800E83"/>
    <w:rsid w:val="00801003"/>
    <w:rsid w:val="00801655"/>
    <w:rsid w:val="00801A4C"/>
    <w:rsid w:val="008020F7"/>
    <w:rsid w:val="00802980"/>
    <w:rsid w:val="00802E25"/>
    <w:rsid w:val="00802E34"/>
    <w:rsid w:val="0080399B"/>
    <w:rsid w:val="00803EE9"/>
    <w:rsid w:val="008049E7"/>
    <w:rsid w:val="00804A5B"/>
    <w:rsid w:val="00804E30"/>
    <w:rsid w:val="00805163"/>
    <w:rsid w:val="008051C5"/>
    <w:rsid w:val="008052B1"/>
    <w:rsid w:val="00805A16"/>
    <w:rsid w:val="00805DA2"/>
    <w:rsid w:val="00806166"/>
    <w:rsid w:val="008062D0"/>
    <w:rsid w:val="008062F5"/>
    <w:rsid w:val="00806778"/>
    <w:rsid w:val="00806BE6"/>
    <w:rsid w:val="00806CE9"/>
    <w:rsid w:val="00807AB3"/>
    <w:rsid w:val="00807E38"/>
    <w:rsid w:val="00810009"/>
    <w:rsid w:val="008104CD"/>
    <w:rsid w:val="00810553"/>
    <w:rsid w:val="00811019"/>
    <w:rsid w:val="008110FB"/>
    <w:rsid w:val="00811279"/>
    <w:rsid w:val="00811536"/>
    <w:rsid w:val="0081156A"/>
    <w:rsid w:val="008125CF"/>
    <w:rsid w:val="00812975"/>
    <w:rsid w:val="008129F7"/>
    <w:rsid w:val="00812C3C"/>
    <w:rsid w:val="00813031"/>
    <w:rsid w:val="008131B5"/>
    <w:rsid w:val="008131C3"/>
    <w:rsid w:val="00813A0F"/>
    <w:rsid w:val="00813ADD"/>
    <w:rsid w:val="008148BF"/>
    <w:rsid w:val="00814D1A"/>
    <w:rsid w:val="0081567E"/>
    <w:rsid w:val="00815859"/>
    <w:rsid w:val="0081668C"/>
    <w:rsid w:val="00817B12"/>
    <w:rsid w:val="00817D2E"/>
    <w:rsid w:val="008206C8"/>
    <w:rsid w:val="00820EAF"/>
    <w:rsid w:val="00821270"/>
    <w:rsid w:val="008215DB"/>
    <w:rsid w:val="00823252"/>
    <w:rsid w:val="008235BF"/>
    <w:rsid w:val="00823E28"/>
    <w:rsid w:val="00824140"/>
    <w:rsid w:val="00824727"/>
    <w:rsid w:val="00825968"/>
    <w:rsid w:val="00825C4A"/>
    <w:rsid w:val="008266B4"/>
    <w:rsid w:val="00826B15"/>
    <w:rsid w:val="00826D26"/>
    <w:rsid w:val="00827563"/>
    <w:rsid w:val="0082761C"/>
    <w:rsid w:val="00827B58"/>
    <w:rsid w:val="0083035C"/>
    <w:rsid w:val="00830465"/>
    <w:rsid w:val="0083051A"/>
    <w:rsid w:val="00832022"/>
    <w:rsid w:val="00832699"/>
    <w:rsid w:val="0083281C"/>
    <w:rsid w:val="00832CD4"/>
    <w:rsid w:val="00833497"/>
    <w:rsid w:val="008339AF"/>
    <w:rsid w:val="00834476"/>
    <w:rsid w:val="00835296"/>
    <w:rsid w:val="0083542D"/>
    <w:rsid w:val="00835BB7"/>
    <w:rsid w:val="00835DE6"/>
    <w:rsid w:val="008365FE"/>
    <w:rsid w:val="00836CD1"/>
    <w:rsid w:val="00837688"/>
    <w:rsid w:val="00837BD9"/>
    <w:rsid w:val="00840577"/>
    <w:rsid w:val="008415E7"/>
    <w:rsid w:val="0084190E"/>
    <w:rsid w:val="008431E7"/>
    <w:rsid w:val="00843655"/>
    <w:rsid w:val="00843696"/>
    <w:rsid w:val="00843B5F"/>
    <w:rsid w:val="00843ECE"/>
    <w:rsid w:val="0084402E"/>
    <w:rsid w:val="00844148"/>
    <w:rsid w:val="00844457"/>
    <w:rsid w:val="008446D9"/>
    <w:rsid w:val="00844839"/>
    <w:rsid w:val="008448FA"/>
    <w:rsid w:val="00846E09"/>
    <w:rsid w:val="0084739F"/>
    <w:rsid w:val="00847DD3"/>
    <w:rsid w:val="00847F92"/>
    <w:rsid w:val="0085031C"/>
    <w:rsid w:val="00850370"/>
    <w:rsid w:val="008505A3"/>
    <w:rsid w:val="0085077B"/>
    <w:rsid w:val="00850F61"/>
    <w:rsid w:val="00851216"/>
    <w:rsid w:val="008512C4"/>
    <w:rsid w:val="00851552"/>
    <w:rsid w:val="00851C42"/>
    <w:rsid w:val="00851D79"/>
    <w:rsid w:val="008520A5"/>
    <w:rsid w:val="008524B0"/>
    <w:rsid w:val="008525CF"/>
    <w:rsid w:val="0085286F"/>
    <w:rsid w:val="00852DB5"/>
    <w:rsid w:val="008530DC"/>
    <w:rsid w:val="00853515"/>
    <w:rsid w:val="008544B4"/>
    <w:rsid w:val="00854997"/>
    <w:rsid w:val="00855774"/>
    <w:rsid w:val="00855A96"/>
    <w:rsid w:val="008566AD"/>
    <w:rsid w:val="00856EC5"/>
    <w:rsid w:val="0086022C"/>
    <w:rsid w:val="00860321"/>
    <w:rsid w:val="0086035D"/>
    <w:rsid w:val="008610B6"/>
    <w:rsid w:val="0086120E"/>
    <w:rsid w:val="00861CB6"/>
    <w:rsid w:val="00863AAA"/>
    <w:rsid w:val="008640E7"/>
    <w:rsid w:val="00866016"/>
    <w:rsid w:val="00866687"/>
    <w:rsid w:val="00870034"/>
    <w:rsid w:val="00870102"/>
    <w:rsid w:val="00870301"/>
    <w:rsid w:val="008704B1"/>
    <w:rsid w:val="008704D4"/>
    <w:rsid w:val="008705C5"/>
    <w:rsid w:val="00870934"/>
    <w:rsid w:val="008711F0"/>
    <w:rsid w:val="00871348"/>
    <w:rsid w:val="00871444"/>
    <w:rsid w:val="0087169D"/>
    <w:rsid w:val="00871844"/>
    <w:rsid w:val="00871F61"/>
    <w:rsid w:val="008728E2"/>
    <w:rsid w:val="00873451"/>
    <w:rsid w:val="008737C1"/>
    <w:rsid w:val="008738FF"/>
    <w:rsid w:val="008750E0"/>
    <w:rsid w:val="00875112"/>
    <w:rsid w:val="0087542D"/>
    <w:rsid w:val="00875A3B"/>
    <w:rsid w:val="00875AFA"/>
    <w:rsid w:val="00876130"/>
    <w:rsid w:val="00876BD6"/>
    <w:rsid w:val="00876F83"/>
    <w:rsid w:val="00877493"/>
    <w:rsid w:val="008803FD"/>
    <w:rsid w:val="0088040A"/>
    <w:rsid w:val="0088049C"/>
    <w:rsid w:val="0088111C"/>
    <w:rsid w:val="0088112F"/>
    <w:rsid w:val="008811A1"/>
    <w:rsid w:val="00881625"/>
    <w:rsid w:val="008819FF"/>
    <w:rsid w:val="00882158"/>
    <w:rsid w:val="00882280"/>
    <w:rsid w:val="00882BBA"/>
    <w:rsid w:val="00882D91"/>
    <w:rsid w:val="0088310A"/>
    <w:rsid w:val="008842F9"/>
    <w:rsid w:val="00884E08"/>
    <w:rsid w:val="00885459"/>
    <w:rsid w:val="0088586A"/>
    <w:rsid w:val="00885A19"/>
    <w:rsid w:val="008861D2"/>
    <w:rsid w:val="00886315"/>
    <w:rsid w:val="00887126"/>
    <w:rsid w:val="008879DA"/>
    <w:rsid w:val="008902BE"/>
    <w:rsid w:val="00891551"/>
    <w:rsid w:val="0089190E"/>
    <w:rsid w:val="008923C6"/>
    <w:rsid w:val="00892EED"/>
    <w:rsid w:val="00892FDB"/>
    <w:rsid w:val="00893209"/>
    <w:rsid w:val="0089321D"/>
    <w:rsid w:val="00893625"/>
    <w:rsid w:val="00893B12"/>
    <w:rsid w:val="008943CD"/>
    <w:rsid w:val="00894BC5"/>
    <w:rsid w:val="0089524C"/>
    <w:rsid w:val="0089533D"/>
    <w:rsid w:val="0089573D"/>
    <w:rsid w:val="00896052"/>
    <w:rsid w:val="008964F8"/>
    <w:rsid w:val="00896AE1"/>
    <w:rsid w:val="00897E33"/>
    <w:rsid w:val="008A0E51"/>
    <w:rsid w:val="008A1108"/>
    <w:rsid w:val="008A1579"/>
    <w:rsid w:val="008A1679"/>
    <w:rsid w:val="008A223A"/>
    <w:rsid w:val="008A362B"/>
    <w:rsid w:val="008A36F0"/>
    <w:rsid w:val="008A3C9E"/>
    <w:rsid w:val="008A4804"/>
    <w:rsid w:val="008A5261"/>
    <w:rsid w:val="008A5471"/>
    <w:rsid w:val="008A5E77"/>
    <w:rsid w:val="008A5F66"/>
    <w:rsid w:val="008A6980"/>
    <w:rsid w:val="008A6B77"/>
    <w:rsid w:val="008A6D16"/>
    <w:rsid w:val="008A6F36"/>
    <w:rsid w:val="008A7075"/>
    <w:rsid w:val="008A7096"/>
    <w:rsid w:val="008A7803"/>
    <w:rsid w:val="008A7CCA"/>
    <w:rsid w:val="008A7DB5"/>
    <w:rsid w:val="008B0BF5"/>
    <w:rsid w:val="008B1ECE"/>
    <w:rsid w:val="008B20BE"/>
    <w:rsid w:val="008B27B4"/>
    <w:rsid w:val="008B28EA"/>
    <w:rsid w:val="008B2D02"/>
    <w:rsid w:val="008B351F"/>
    <w:rsid w:val="008B382B"/>
    <w:rsid w:val="008B478E"/>
    <w:rsid w:val="008B4A13"/>
    <w:rsid w:val="008B5363"/>
    <w:rsid w:val="008B7485"/>
    <w:rsid w:val="008B763D"/>
    <w:rsid w:val="008B7AE2"/>
    <w:rsid w:val="008B7CD7"/>
    <w:rsid w:val="008C0B35"/>
    <w:rsid w:val="008C0F55"/>
    <w:rsid w:val="008C20DA"/>
    <w:rsid w:val="008C2204"/>
    <w:rsid w:val="008C2D69"/>
    <w:rsid w:val="008C3295"/>
    <w:rsid w:val="008C3BD6"/>
    <w:rsid w:val="008C3C9C"/>
    <w:rsid w:val="008C3D8E"/>
    <w:rsid w:val="008C3F51"/>
    <w:rsid w:val="008C40C5"/>
    <w:rsid w:val="008C4171"/>
    <w:rsid w:val="008C4AAC"/>
    <w:rsid w:val="008C4B2B"/>
    <w:rsid w:val="008C4F74"/>
    <w:rsid w:val="008C53AE"/>
    <w:rsid w:val="008C57BC"/>
    <w:rsid w:val="008C5810"/>
    <w:rsid w:val="008C5AAE"/>
    <w:rsid w:val="008C5F91"/>
    <w:rsid w:val="008C6C07"/>
    <w:rsid w:val="008C7224"/>
    <w:rsid w:val="008C7769"/>
    <w:rsid w:val="008C789E"/>
    <w:rsid w:val="008D0714"/>
    <w:rsid w:val="008D0B82"/>
    <w:rsid w:val="008D0C18"/>
    <w:rsid w:val="008D12F8"/>
    <w:rsid w:val="008D1743"/>
    <w:rsid w:val="008D233B"/>
    <w:rsid w:val="008D2620"/>
    <w:rsid w:val="008D2667"/>
    <w:rsid w:val="008D2937"/>
    <w:rsid w:val="008D335E"/>
    <w:rsid w:val="008D3690"/>
    <w:rsid w:val="008D3F34"/>
    <w:rsid w:val="008D46FA"/>
    <w:rsid w:val="008D48F4"/>
    <w:rsid w:val="008D4970"/>
    <w:rsid w:val="008D4D00"/>
    <w:rsid w:val="008D5874"/>
    <w:rsid w:val="008D5ABF"/>
    <w:rsid w:val="008D5E34"/>
    <w:rsid w:val="008D61DE"/>
    <w:rsid w:val="008D62BD"/>
    <w:rsid w:val="008D6919"/>
    <w:rsid w:val="008D6A99"/>
    <w:rsid w:val="008D76E7"/>
    <w:rsid w:val="008D78E8"/>
    <w:rsid w:val="008D7A32"/>
    <w:rsid w:val="008E03C7"/>
    <w:rsid w:val="008E050D"/>
    <w:rsid w:val="008E0528"/>
    <w:rsid w:val="008E0791"/>
    <w:rsid w:val="008E0937"/>
    <w:rsid w:val="008E0D50"/>
    <w:rsid w:val="008E0E49"/>
    <w:rsid w:val="008E117D"/>
    <w:rsid w:val="008E254A"/>
    <w:rsid w:val="008E2A26"/>
    <w:rsid w:val="008E2D3B"/>
    <w:rsid w:val="008E30AD"/>
    <w:rsid w:val="008E4C6E"/>
    <w:rsid w:val="008E554B"/>
    <w:rsid w:val="008E6406"/>
    <w:rsid w:val="008E6B2A"/>
    <w:rsid w:val="008F060D"/>
    <w:rsid w:val="008F07E9"/>
    <w:rsid w:val="008F15A5"/>
    <w:rsid w:val="008F2A79"/>
    <w:rsid w:val="008F370B"/>
    <w:rsid w:val="008F374D"/>
    <w:rsid w:val="008F40C0"/>
    <w:rsid w:val="008F46F2"/>
    <w:rsid w:val="008F5567"/>
    <w:rsid w:val="008F59A1"/>
    <w:rsid w:val="008F5B88"/>
    <w:rsid w:val="008F62F0"/>
    <w:rsid w:val="008F6424"/>
    <w:rsid w:val="008F6B12"/>
    <w:rsid w:val="008F79C3"/>
    <w:rsid w:val="008F7A5A"/>
    <w:rsid w:val="008F7A89"/>
    <w:rsid w:val="0090042D"/>
    <w:rsid w:val="00900671"/>
    <w:rsid w:val="00900C35"/>
    <w:rsid w:val="00900E69"/>
    <w:rsid w:val="0090158A"/>
    <w:rsid w:val="00902D33"/>
    <w:rsid w:val="00902F98"/>
    <w:rsid w:val="009030EF"/>
    <w:rsid w:val="00904C22"/>
    <w:rsid w:val="00904EAC"/>
    <w:rsid w:val="00905E99"/>
    <w:rsid w:val="00906157"/>
    <w:rsid w:val="009065D4"/>
    <w:rsid w:val="00906F18"/>
    <w:rsid w:val="009074C2"/>
    <w:rsid w:val="009074C9"/>
    <w:rsid w:val="009076D0"/>
    <w:rsid w:val="0090779D"/>
    <w:rsid w:val="00907BA3"/>
    <w:rsid w:val="00907C21"/>
    <w:rsid w:val="00907D07"/>
    <w:rsid w:val="0091017B"/>
    <w:rsid w:val="00910180"/>
    <w:rsid w:val="00910453"/>
    <w:rsid w:val="00912434"/>
    <w:rsid w:val="00912712"/>
    <w:rsid w:val="00912E0F"/>
    <w:rsid w:val="0091336E"/>
    <w:rsid w:val="009135BE"/>
    <w:rsid w:val="00914240"/>
    <w:rsid w:val="00914CAE"/>
    <w:rsid w:val="00915CF6"/>
    <w:rsid w:val="009160C7"/>
    <w:rsid w:val="009161DE"/>
    <w:rsid w:val="00916845"/>
    <w:rsid w:val="009168A1"/>
    <w:rsid w:val="00916DA4"/>
    <w:rsid w:val="00916ED9"/>
    <w:rsid w:val="00916F06"/>
    <w:rsid w:val="00917141"/>
    <w:rsid w:val="009204CD"/>
    <w:rsid w:val="00921C40"/>
    <w:rsid w:val="00921C64"/>
    <w:rsid w:val="00921DE8"/>
    <w:rsid w:val="00921F39"/>
    <w:rsid w:val="00923168"/>
    <w:rsid w:val="009233CA"/>
    <w:rsid w:val="009233CC"/>
    <w:rsid w:val="00923C73"/>
    <w:rsid w:val="009241AF"/>
    <w:rsid w:val="00924C80"/>
    <w:rsid w:val="00924E33"/>
    <w:rsid w:val="00926BC6"/>
    <w:rsid w:val="00927278"/>
    <w:rsid w:val="0092743A"/>
    <w:rsid w:val="00927B36"/>
    <w:rsid w:val="00927E7E"/>
    <w:rsid w:val="00930354"/>
    <w:rsid w:val="00930900"/>
    <w:rsid w:val="00930ED3"/>
    <w:rsid w:val="00931E1B"/>
    <w:rsid w:val="00932C1C"/>
    <w:rsid w:val="00932EA0"/>
    <w:rsid w:val="00932F66"/>
    <w:rsid w:val="00933019"/>
    <w:rsid w:val="0093396A"/>
    <w:rsid w:val="0093398F"/>
    <w:rsid w:val="00934444"/>
    <w:rsid w:val="0093499F"/>
    <w:rsid w:val="00934A2A"/>
    <w:rsid w:val="00935B41"/>
    <w:rsid w:val="00936616"/>
    <w:rsid w:val="0093737B"/>
    <w:rsid w:val="009404AE"/>
    <w:rsid w:val="00940878"/>
    <w:rsid w:val="00940DFF"/>
    <w:rsid w:val="0094326D"/>
    <w:rsid w:val="00943844"/>
    <w:rsid w:val="00943AFD"/>
    <w:rsid w:val="00943C1F"/>
    <w:rsid w:val="00944BA8"/>
    <w:rsid w:val="00945571"/>
    <w:rsid w:val="00945B9C"/>
    <w:rsid w:val="00945D21"/>
    <w:rsid w:val="00945E8E"/>
    <w:rsid w:val="00946468"/>
    <w:rsid w:val="00946581"/>
    <w:rsid w:val="009467ED"/>
    <w:rsid w:val="00946800"/>
    <w:rsid w:val="0094701E"/>
    <w:rsid w:val="00947302"/>
    <w:rsid w:val="00947384"/>
    <w:rsid w:val="00950212"/>
    <w:rsid w:val="00950397"/>
    <w:rsid w:val="0095098A"/>
    <w:rsid w:val="009509B5"/>
    <w:rsid w:val="00951508"/>
    <w:rsid w:val="00951915"/>
    <w:rsid w:val="00951DCA"/>
    <w:rsid w:val="00951E0F"/>
    <w:rsid w:val="00952366"/>
    <w:rsid w:val="00952C60"/>
    <w:rsid w:val="00953A30"/>
    <w:rsid w:val="00953D5C"/>
    <w:rsid w:val="00954182"/>
    <w:rsid w:val="009543CD"/>
    <w:rsid w:val="009558AD"/>
    <w:rsid w:val="0095590A"/>
    <w:rsid w:val="00955A3A"/>
    <w:rsid w:val="009566C3"/>
    <w:rsid w:val="009569A8"/>
    <w:rsid w:val="0095723F"/>
    <w:rsid w:val="00957842"/>
    <w:rsid w:val="00957C87"/>
    <w:rsid w:val="00957E74"/>
    <w:rsid w:val="00960911"/>
    <w:rsid w:val="009618D4"/>
    <w:rsid w:val="009622A9"/>
    <w:rsid w:val="009628A1"/>
    <w:rsid w:val="00962AF2"/>
    <w:rsid w:val="009632E9"/>
    <w:rsid w:val="00963413"/>
    <w:rsid w:val="0096393E"/>
    <w:rsid w:val="009642A3"/>
    <w:rsid w:val="009647AB"/>
    <w:rsid w:val="00965BCD"/>
    <w:rsid w:val="00965D77"/>
    <w:rsid w:val="00966142"/>
    <w:rsid w:val="00966963"/>
    <w:rsid w:val="00966C04"/>
    <w:rsid w:val="00966D2F"/>
    <w:rsid w:val="00966E0F"/>
    <w:rsid w:val="00967051"/>
    <w:rsid w:val="009676F9"/>
    <w:rsid w:val="00967815"/>
    <w:rsid w:val="00967BA3"/>
    <w:rsid w:val="00967EF9"/>
    <w:rsid w:val="009700EA"/>
    <w:rsid w:val="009702C0"/>
    <w:rsid w:val="009704B2"/>
    <w:rsid w:val="009709CB"/>
    <w:rsid w:val="00970F90"/>
    <w:rsid w:val="009712DB"/>
    <w:rsid w:val="00971E9F"/>
    <w:rsid w:val="00972188"/>
    <w:rsid w:val="009724C6"/>
    <w:rsid w:val="00973DC1"/>
    <w:rsid w:val="009740EF"/>
    <w:rsid w:val="00976051"/>
    <w:rsid w:val="00976957"/>
    <w:rsid w:val="00976B3B"/>
    <w:rsid w:val="00976BA0"/>
    <w:rsid w:val="00976D57"/>
    <w:rsid w:val="0097788B"/>
    <w:rsid w:val="0097794F"/>
    <w:rsid w:val="00977EDB"/>
    <w:rsid w:val="00980179"/>
    <w:rsid w:val="00982414"/>
    <w:rsid w:val="00982A4C"/>
    <w:rsid w:val="00982F4A"/>
    <w:rsid w:val="009830C2"/>
    <w:rsid w:val="0098326E"/>
    <w:rsid w:val="009833B8"/>
    <w:rsid w:val="009838D1"/>
    <w:rsid w:val="00983DB8"/>
    <w:rsid w:val="00983FEA"/>
    <w:rsid w:val="009851E1"/>
    <w:rsid w:val="00985276"/>
    <w:rsid w:val="0098547A"/>
    <w:rsid w:val="00985780"/>
    <w:rsid w:val="0098630B"/>
    <w:rsid w:val="00986B56"/>
    <w:rsid w:val="009872A1"/>
    <w:rsid w:val="00987356"/>
    <w:rsid w:val="0098755E"/>
    <w:rsid w:val="009875A1"/>
    <w:rsid w:val="009903B4"/>
    <w:rsid w:val="00990D33"/>
    <w:rsid w:val="00990ECA"/>
    <w:rsid w:val="00991267"/>
    <w:rsid w:val="009913CB"/>
    <w:rsid w:val="009919AE"/>
    <w:rsid w:val="00992148"/>
    <w:rsid w:val="00992F4D"/>
    <w:rsid w:val="00993955"/>
    <w:rsid w:val="009946AF"/>
    <w:rsid w:val="00995693"/>
    <w:rsid w:val="00996345"/>
    <w:rsid w:val="00996FCD"/>
    <w:rsid w:val="009970D4"/>
    <w:rsid w:val="00997379"/>
    <w:rsid w:val="0099739A"/>
    <w:rsid w:val="0099755D"/>
    <w:rsid w:val="009A0181"/>
    <w:rsid w:val="009A0800"/>
    <w:rsid w:val="009A08A9"/>
    <w:rsid w:val="009A0BAF"/>
    <w:rsid w:val="009A13C7"/>
    <w:rsid w:val="009A22B2"/>
    <w:rsid w:val="009A2E40"/>
    <w:rsid w:val="009A3C3D"/>
    <w:rsid w:val="009A4296"/>
    <w:rsid w:val="009A4C72"/>
    <w:rsid w:val="009A4E24"/>
    <w:rsid w:val="009A53F3"/>
    <w:rsid w:val="009A5ED4"/>
    <w:rsid w:val="009A619F"/>
    <w:rsid w:val="009A7021"/>
    <w:rsid w:val="009A7904"/>
    <w:rsid w:val="009A795B"/>
    <w:rsid w:val="009B1533"/>
    <w:rsid w:val="009B2DDA"/>
    <w:rsid w:val="009B3B03"/>
    <w:rsid w:val="009B3BB5"/>
    <w:rsid w:val="009B3CA6"/>
    <w:rsid w:val="009B3D71"/>
    <w:rsid w:val="009B40C5"/>
    <w:rsid w:val="009B4374"/>
    <w:rsid w:val="009B484E"/>
    <w:rsid w:val="009B4C7E"/>
    <w:rsid w:val="009B5B1B"/>
    <w:rsid w:val="009B5D70"/>
    <w:rsid w:val="009B7DEB"/>
    <w:rsid w:val="009C03AB"/>
    <w:rsid w:val="009C09C5"/>
    <w:rsid w:val="009C09FB"/>
    <w:rsid w:val="009C0FA8"/>
    <w:rsid w:val="009C15DD"/>
    <w:rsid w:val="009C2518"/>
    <w:rsid w:val="009C2D8B"/>
    <w:rsid w:val="009C319C"/>
    <w:rsid w:val="009C371E"/>
    <w:rsid w:val="009C486B"/>
    <w:rsid w:val="009C4DD8"/>
    <w:rsid w:val="009C62C2"/>
    <w:rsid w:val="009C656A"/>
    <w:rsid w:val="009C6A46"/>
    <w:rsid w:val="009C6C6F"/>
    <w:rsid w:val="009C6EE1"/>
    <w:rsid w:val="009C71FF"/>
    <w:rsid w:val="009C7B95"/>
    <w:rsid w:val="009D005A"/>
    <w:rsid w:val="009D05B7"/>
    <w:rsid w:val="009D06A3"/>
    <w:rsid w:val="009D0739"/>
    <w:rsid w:val="009D0DBB"/>
    <w:rsid w:val="009D0F4A"/>
    <w:rsid w:val="009D1580"/>
    <w:rsid w:val="009D17CD"/>
    <w:rsid w:val="009D2CF7"/>
    <w:rsid w:val="009D3A35"/>
    <w:rsid w:val="009D48CD"/>
    <w:rsid w:val="009D48F7"/>
    <w:rsid w:val="009D4A3A"/>
    <w:rsid w:val="009D4E0D"/>
    <w:rsid w:val="009D5500"/>
    <w:rsid w:val="009D6652"/>
    <w:rsid w:val="009D6814"/>
    <w:rsid w:val="009D7E37"/>
    <w:rsid w:val="009E066B"/>
    <w:rsid w:val="009E0A46"/>
    <w:rsid w:val="009E0B6F"/>
    <w:rsid w:val="009E1684"/>
    <w:rsid w:val="009E16BB"/>
    <w:rsid w:val="009E18B8"/>
    <w:rsid w:val="009E22A3"/>
    <w:rsid w:val="009E2C6D"/>
    <w:rsid w:val="009E35E2"/>
    <w:rsid w:val="009E38C9"/>
    <w:rsid w:val="009E3F3F"/>
    <w:rsid w:val="009E3F45"/>
    <w:rsid w:val="009E47B1"/>
    <w:rsid w:val="009E530E"/>
    <w:rsid w:val="009E57BC"/>
    <w:rsid w:val="009E5E1A"/>
    <w:rsid w:val="009E637C"/>
    <w:rsid w:val="009E63B6"/>
    <w:rsid w:val="009E6507"/>
    <w:rsid w:val="009F13E9"/>
    <w:rsid w:val="009F148A"/>
    <w:rsid w:val="009F1CCF"/>
    <w:rsid w:val="009F23C7"/>
    <w:rsid w:val="009F2F0E"/>
    <w:rsid w:val="009F2F49"/>
    <w:rsid w:val="009F300F"/>
    <w:rsid w:val="009F3982"/>
    <w:rsid w:val="009F3EFD"/>
    <w:rsid w:val="009F4597"/>
    <w:rsid w:val="009F4627"/>
    <w:rsid w:val="009F4813"/>
    <w:rsid w:val="009F4A03"/>
    <w:rsid w:val="009F4E56"/>
    <w:rsid w:val="009F558E"/>
    <w:rsid w:val="009F5A33"/>
    <w:rsid w:val="009F5BA7"/>
    <w:rsid w:val="009F6005"/>
    <w:rsid w:val="009F6112"/>
    <w:rsid w:val="009F6146"/>
    <w:rsid w:val="009F65D7"/>
    <w:rsid w:val="009F6DDF"/>
    <w:rsid w:val="009F6F8D"/>
    <w:rsid w:val="009F70E6"/>
    <w:rsid w:val="009F7997"/>
    <w:rsid w:val="009F7D34"/>
    <w:rsid w:val="00A00527"/>
    <w:rsid w:val="00A00BF3"/>
    <w:rsid w:val="00A00EC9"/>
    <w:rsid w:val="00A0112B"/>
    <w:rsid w:val="00A011E6"/>
    <w:rsid w:val="00A018E8"/>
    <w:rsid w:val="00A01EAC"/>
    <w:rsid w:val="00A02BA8"/>
    <w:rsid w:val="00A03043"/>
    <w:rsid w:val="00A03847"/>
    <w:rsid w:val="00A03DE5"/>
    <w:rsid w:val="00A06049"/>
    <w:rsid w:val="00A07515"/>
    <w:rsid w:val="00A10BB3"/>
    <w:rsid w:val="00A11AC0"/>
    <w:rsid w:val="00A12F5E"/>
    <w:rsid w:val="00A13166"/>
    <w:rsid w:val="00A132E7"/>
    <w:rsid w:val="00A13CBC"/>
    <w:rsid w:val="00A13E27"/>
    <w:rsid w:val="00A13ECE"/>
    <w:rsid w:val="00A14101"/>
    <w:rsid w:val="00A1494E"/>
    <w:rsid w:val="00A15DA8"/>
    <w:rsid w:val="00A1610D"/>
    <w:rsid w:val="00A162FA"/>
    <w:rsid w:val="00A164F0"/>
    <w:rsid w:val="00A167DE"/>
    <w:rsid w:val="00A16FA6"/>
    <w:rsid w:val="00A1759A"/>
    <w:rsid w:val="00A17A93"/>
    <w:rsid w:val="00A20134"/>
    <w:rsid w:val="00A209A2"/>
    <w:rsid w:val="00A2100E"/>
    <w:rsid w:val="00A21BE1"/>
    <w:rsid w:val="00A224D3"/>
    <w:rsid w:val="00A22841"/>
    <w:rsid w:val="00A22C23"/>
    <w:rsid w:val="00A24977"/>
    <w:rsid w:val="00A24A2D"/>
    <w:rsid w:val="00A25100"/>
    <w:rsid w:val="00A2572D"/>
    <w:rsid w:val="00A2618E"/>
    <w:rsid w:val="00A26539"/>
    <w:rsid w:val="00A26B33"/>
    <w:rsid w:val="00A26BB7"/>
    <w:rsid w:val="00A26DBA"/>
    <w:rsid w:val="00A272A1"/>
    <w:rsid w:val="00A277BA"/>
    <w:rsid w:val="00A302A6"/>
    <w:rsid w:val="00A305F1"/>
    <w:rsid w:val="00A306C9"/>
    <w:rsid w:val="00A30D9A"/>
    <w:rsid w:val="00A3174A"/>
    <w:rsid w:val="00A3199F"/>
    <w:rsid w:val="00A31A17"/>
    <w:rsid w:val="00A31AA5"/>
    <w:rsid w:val="00A31AB1"/>
    <w:rsid w:val="00A31E1F"/>
    <w:rsid w:val="00A32113"/>
    <w:rsid w:val="00A32221"/>
    <w:rsid w:val="00A3275D"/>
    <w:rsid w:val="00A32DD4"/>
    <w:rsid w:val="00A32EEE"/>
    <w:rsid w:val="00A34B4A"/>
    <w:rsid w:val="00A351CB"/>
    <w:rsid w:val="00A3551F"/>
    <w:rsid w:val="00A35704"/>
    <w:rsid w:val="00A35B11"/>
    <w:rsid w:val="00A35B3D"/>
    <w:rsid w:val="00A36E18"/>
    <w:rsid w:val="00A374EA"/>
    <w:rsid w:val="00A3792E"/>
    <w:rsid w:val="00A37C9D"/>
    <w:rsid w:val="00A37E06"/>
    <w:rsid w:val="00A402EB"/>
    <w:rsid w:val="00A40AC2"/>
    <w:rsid w:val="00A42054"/>
    <w:rsid w:val="00A42297"/>
    <w:rsid w:val="00A425FD"/>
    <w:rsid w:val="00A4291B"/>
    <w:rsid w:val="00A429B4"/>
    <w:rsid w:val="00A42CDE"/>
    <w:rsid w:val="00A432EC"/>
    <w:rsid w:val="00A43599"/>
    <w:rsid w:val="00A43EC9"/>
    <w:rsid w:val="00A44785"/>
    <w:rsid w:val="00A448F7"/>
    <w:rsid w:val="00A44A89"/>
    <w:rsid w:val="00A453C3"/>
    <w:rsid w:val="00A45581"/>
    <w:rsid w:val="00A4651E"/>
    <w:rsid w:val="00A46678"/>
    <w:rsid w:val="00A46743"/>
    <w:rsid w:val="00A471C2"/>
    <w:rsid w:val="00A4728E"/>
    <w:rsid w:val="00A4731E"/>
    <w:rsid w:val="00A473DD"/>
    <w:rsid w:val="00A50ADD"/>
    <w:rsid w:val="00A50E9E"/>
    <w:rsid w:val="00A514B7"/>
    <w:rsid w:val="00A51778"/>
    <w:rsid w:val="00A51FD5"/>
    <w:rsid w:val="00A5242C"/>
    <w:rsid w:val="00A534F8"/>
    <w:rsid w:val="00A5378F"/>
    <w:rsid w:val="00A53C1D"/>
    <w:rsid w:val="00A53F13"/>
    <w:rsid w:val="00A54BAE"/>
    <w:rsid w:val="00A54D92"/>
    <w:rsid w:val="00A5557E"/>
    <w:rsid w:val="00A558C3"/>
    <w:rsid w:val="00A55D86"/>
    <w:rsid w:val="00A55E40"/>
    <w:rsid w:val="00A55FC8"/>
    <w:rsid w:val="00A56870"/>
    <w:rsid w:val="00A569DD"/>
    <w:rsid w:val="00A5732A"/>
    <w:rsid w:val="00A57A56"/>
    <w:rsid w:val="00A57E1E"/>
    <w:rsid w:val="00A60986"/>
    <w:rsid w:val="00A61399"/>
    <w:rsid w:val="00A61AD7"/>
    <w:rsid w:val="00A61B37"/>
    <w:rsid w:val="00A61B4A"/>
    <w:rsid w:val="00A62432"/>
    <w:rsid w:val="00A62805"/>
    <w:rsid w:val="00A6284E"/>
    <w:rsid w:val="00A635AE"/>
    <w:rsid w:val="00A639B9"/>
    <w:rsid w:val="00A63B35"/>
    <w:rsid w:val="00A6423F"/>
    <w:rsid w:val="00A644AE"/>
    <w:rsid w:val="00A64834"/>
    <w:rsid w:val="00A64E07"/>
    <w:rsid w:val="00A651D3"/>
    <w:rsid w:val="00A6553C"/>
    <w:rsid w:val="00A65901"/>
    <w:rsid w:val="00A65C45"/>
    <w:rsid w:val="00A660DF"/>
    <w:rsid w:val="00A6628D"/>
    <w:rsid w:val="00A6656B"/>
    <w:rsid w:val="00A674B7"/>
    <w:rsid w:val="00A713E2"/>
    <w:rsid w:val="00A72C58"/>
    <w:rsid w:val="00A7319C"/>
    <w:rsid w:val="00A733DA"/>
    <w:rsid w:val="00A73BF2"/>
    <w:rsid w:val="00A73C4C"/>
    <w:rsid w:val="00A74699"/>
    <w:rsid w:val="00A74AEE"/>
    <w:rsid w:val="00A76C2F"/>
    <w:rsid w:val="00A774B9"/>
    <w:rsid w:val="00A7783E"/>
    <w:rsid w:val="00A77DC6"/>
    <w:rsid w:val="00A77FE7"/>
    <w:rsid w:val="00A8012E"/>
    <w:rsid w:val="00A807EA"/>
    <w:rsid w:val="00A80A7E"/>
    <w:rsid w:val="00A80C10"/>
    <w:rsid w:val="00A81685"/>
    <w:rsid w:val="00A8226E"/>
    <w:rsid w:val="00A8278D"/>
    <w:rsid w:val="00A829B7"/>
    <w:rsid w:val="00A82F97"/>
    <w:rsid w:val="00A836BF"/>
    <w:rsid w:val="00A837D6"/>
    <w:rsid w:val="00A84A3B"/>
    <w:rsid w:val="00A84FDA"/>
    <w:rsid w:val="00A85776"/>
    <w:rsid w:val="00A8595D"/>
    <w:rsid w:val="00A85A1D"/>
    <w:rsid w:val="00A85A84"/>
    <w:rsid w:val="00A866DC"/>
    <w:rsid w:val="00A8768C"/>
    <w:rsid w:val="00A87BA4"/>
    <w:rsid w:val="00A87F75"/>
    <w:rsid w:val="00A91E32"/>
    <w:rsid w:val="00A9231D"/>
    <w:rsid w:val="00A92A85"/>
    <w:rsid w:val="00A92D70"/>
    <w:rsid w:val="00A9386B"/>
    <w:rsid w:val="00A93D3D"/>
    <w:rsid w:val="00A94656"/>
    <w:rsid w:val="00A94F3A"/>
    <w:rsid w:val="00A954B8"/>
    <w:rsid w:val="00A959B0"/>
    <w:rsid w:val="00A9639C"/>
    <w:rsid w:val="00A964B0"/>
    <w:rsid w:val="00A964BC"/>
    <w:rsid w:val="00A9766C"/>
    <w:rsid w:val="00A9799A"/>
    <w:rsid w:val="00A97F96"/>
    <w:rsid w:val="00AA03F5"/>
    <w:rsid w:val="00AA0435"/>
    <w:rsid w:val="00AA05DF"/>
    <w:rsid w:val="00AA10A9"/>
    <w:rsid w:val="00AA13AD"/>
    <w:rsid w:val="00AA14AB"/>
    <w:rsid w:val="00AA15D2"/>
    <w:rsid w:val="00AA1674"/>
    <w:rsid w:val="00AA1911"/>
    <w:rsid w:val="00AA1B39"/>
    <w:rsid w:val="00AA22F6"/>
    <w:rsid w:val="00AA2F13"/>
    <w:rsid w:val="00AA34F0"/>
    <w:rsid w:val="00AA3B6B"/>
    <w:rsid w:val="00AA3C0F"/>
    <w:rsid w:val="00AA3E73"/>
    <w:rsid w:val="00AA3F08"/>
    <w:rsid w:val="00AA40FC"/>
    <w:rsid w:val="00AA4484"/>
    <w:rsid w:val="00AA4531"/>
    <w:rsid w:val="00AA4C66"/>
    <w:rsid w:val="00AA52F3"/>
    <w:rsid w:val="00AA573F"/>
    <w:rsid w:val="00AA65CF"/>
    <w:rsid w:val="00AA6CF1"/>
    <w:rsid w:val="00AA6F8A"/>
    <w:rsid w:val="00AA75D1"/>
    <w:rsid w:val="00AA7923"/>
    <w:rsid w:val="00AB01C6"/>
    <w:rsid w:val="00AB04B2"/>
    <w:rsid w:val="00AB0BAB"/>
    <w:rsid w:val="00AB0C62"/>
    <w:rsid w:val="00AB2A2D"/>
    <w:rsid w:val="00AB2F45"/>
    <w:rsid w:val="00AB2F62"/>
    <w:rsid w:val="00AB32D6"/>
    <w:rsid w:val="00AB360C"/>
    <w:rsid w:val="00AB3CCD"/>
    <w:rsid w:val="00AB4067"/>
    <w:rsid w:val="00AB424E"/>
    <w:rsid w:val="00AB4453"/>
    <w:rsid w:val="00AB4E51"/>
    <w:rsid w:val="00AB4ED4"/>
    <w:rsid w:val="00AB5DAC"/>
    <w:rsid w:val="00AB7338"/>
    <w:rsid w:val="00AB789E"/>
    <w:rsid w:val="00AC0396"/>
    <w:rsid w:val="00AC11E9"/>
    <w:rsid w:val="00AC194F"/>
    <w:rsid w:val="00AC2022"/>
    <w:rsid w:val="00AC2A99"/>
    <w:rsid w:val="00AC2CA9"/>
    <w:rsid w:val="00AC3285"/>
    <w:rsid w:val="00AC3B59"/>
    <w:rsid w:val="00AC3EBF"/>
    <w:rsid w:val="00AC52E6"/>
    <w:rsid w:val="00AC6438"/>
    <w:rsid w:val="00AC65F9"/>
    <w:rsid w:val="00AC660D"/>
    <w:rsid w:val="00AC669B"/>
    <w:rsid w:val="00AC688C"/>
    <w:rsid w:val="00AC68ED"/>
    <w:rsid w:val="00AC6AD6"/>
    <w:rsid w:val="00AC6BCA"/>
    <w:rsid w:val="00AC7431"/>
    <w:rsid w:val="00AD0238"/>
    <w:rsid w:val="00AD0A98"/>
    <w:rsid w:val="00AD0FE8"/>
    <w:rsid w:val="00AD1092"/>
    <w:rsid w:val="00AD185A"/>
    <w:rsid w:val="00AD1BBD"/>
    <w:rsid w:val="00AD1E9D"/>
    <w:rsid w:val="00AD2204"/>
    <w:rsid w:val="00AD27B0"/>
    <w:rsid w:val="00AD4050"/>
    <w:rsid w:val="00AD4467"/>
    <w:rsid w:val="00AD559B"/>
    <w:rsid w:val="00AD5A1D"/>
    <w:rsid w:val="00AD6B4A"/>
    <w:rsid w:val="00AD7008"/>
    <w:rsid w:val="00AD77A8"/>
    <w:rsid w:val="00AD7EBD"/>
    <w:rsid w:val="00AE004A"/>
    <w:rsid w:val="00AE0274"/>
    <w:rsid w:val="00AE044B"/>
    <w:rsid w:val="00AE0923"/>
    <w:rsid w:val="00AE0E47"/>
    <w:rsid w:val="00AE14B0"/>
    <w:rsid w:val="00AE1D14"/>
    <w:rsid w:val="00AE1E99"/>
    <w:rsid w:val="00AE244B"/>
    <w:rsid w:val="00AE2786"/>
    <w:rsid w:val="00AE296D"/>
    <w:rsid w:val="00AE3177"/>
    <w:rsid w:val="00AE3205"/>
    <w:rsid w:val="00AE3E92"/>
    <w:rsid w:val="00AE3E9C"/>
    <w:rsid w:val="00AE4891"/>
    <w:rsid w:val="00AE4AE6"/>
    <w:rsid w:val="00AE4B9C"/>
    <w:rsid w:val="00AE52B9"/>
    <w:rsid w:val="00AE56C6"/>
    <w:rsid w:val="00AE5C61"/>
    <w:rsid w:val="00AE6140"/>
    <w:rsid w:val="00AE622A"/>
    <w:rsid w:val="00AE6404"/>
    <w:rsid w:val="00AE66BF"/>
    <w:rsid w:val="00AE6709"/>
    <w:rsid w:val="00AE73D2"/>
    <w:rsid w:val="00AE74E1"/>
    <w:rsid w:val="00AE75C4"/>
    <w:rsid w:val="00AE7814"/>
    <w:rsid w:val="00AE7DB1"/>
    <w:rsid w:val="00AF0473"/>
    <w:rsid w:val="00AF18F9"/>
    <w:rsid w:val="00AF1F1A"/>
    <w:rsid w:val="00AF2F54"/>
    <w:rsid w:val="00AF34BD"/>
    <w:rsid w:val="00AF3F42"/>
    <w:rsid w:val="00AF411E"/>
    <w:rsid w:val="00AF4F4C"/>
    <w:rsid w:val="00AF52F6"/>
    <w:rsid w:val="00AF59C0"/>
    <w:rsid w:val="00AF5BC7"/>
    <w:rsid w:val="00AF73A6"/>
    <w:rsid w:val="00AF7504"/>
    <w:rsid w:val="00AF76B5"/>
    <w:rsid w:val="00AF77BD"/>
    <w:rsid w:val="00AF7815"/>
    <w:rsid w:val="00AF7834"/>
    <w:rsid w:val="00AF7A9B"/>
    <w:rsid w:val="00AF7AD3"/>
    <w:rsid w:val="00AF7B3C"/>
    <w:rsid w:val="00AF7EA8"/>
    <w:rsid w:val="00B004D0"/>
    <w:rsid w:val="00B004E4"/>
    <w:rsid w:val="00B01D2A"/>
    <w:rsid w:val="00B01D38"/>
    <w:rsid w:val="00B021A0"/>
    <w:rsid w:val="00B02F14"/>
    <w:rsid w:val="00B0381C"/>
    <w:rsid w:val="00B03952"/>
    <w:rsid w:val="00B03C5B"/>
    <w:rsid w:val="00B042D9"/>
    <w:rsid w:val="00B04758"/>
    <w:rsid w:val="00B0497D"/>
    <w:rsid w:val="00B04A31"/>
    <w:rsid w:val="00B05024"/>
    <w:rsid w:val="00B05368"/>
    <w:rsid w:val="00B05B8C"/>
    <w:rsid w:val="00B060D4"/>
    <w:rsid w:val="00B0735D"/>
    <w:rsid w:val="00B076ED"/>
    <w:rsid w:val="00B07EBD"/>
    <w:rsid w:val="00B108F4"/>
    <w:rsid w:val="00B10B3A"/>
    <w:rsid w:val="00B11027"/>
    <w:rsid w:val="00B1153E"/>
    <w:rsid w:val="00B117E8"/>
    <w:rsid w:val="00B11D19"/>
    <w:rsid w:val="00B120CD"/>
    <w:rsid w:val="00B120D0"/>
    <w:rsid w:val="00B12E0A"/>
    <w:rsid w:val="00B13154"/>
    <w:rsid w:val="00B13F00"/>
    <w:rsid w:val="00B13F09"/>
    <w:rsid w:val="00B14628"/>
    <w:rsid w:val="00B14F3A"/>
    <w:rsid w:val="00B1589B"/>
    <w:rsid w:val="00B15D5A"/>
    <w:rsid w:val="00B16AA0"/>
    <w:rsid w:val="00B175E1"/>
    <w:rsid w:val="00B17EB3"/>
    <w:rsid w:val="00B20AE2"/>
    <w:rsid w:val="00B20B2B"/>
    <w:rsid w:val="00B20BD7"/>
    <w:rsid w:val="00B20CBB"/>
    <w:rsid w:val="00B21181"/>
    <w:rsid w:val="00B2191D"/>
    <w:rsid w:val="00B21EA2"/>
    <w:rsid w:val="00B2323D"/>
    <w:rsid w:val="00B236FC"/>
    <w:rsid w:val="00B2390E"/>
    <w:rsid w:val="00B239B1"/>
    <w:rsid w:val="00B239C5"/>
    <w:rsid w:val="00B23FAA"/>
    <w:rsid w:val="00B24195"/>
    <w:rsid w:val="00B24D70"/>
    <w:rsid w:val="00B255FC"/>
    <w:rsid w:val="00B25D71"/>
    <w:rsid w:val="00B26F1F"/>
    <w:rsid w:val="00B27373"/>
    <w:rsid w:val="00B273AE"/>
    <w:rsid w:val="00B2786F"/>
    <w:rsid w:val="00B27A02"/>
    <w:rsid w:val="00B27A27"/>
    <w:rsid w:val="00B27F2F"/>
    <w:rsid w:val="00B30A6F"/>
    <w:rsid w:val="00B30CCC"/>
    <w:rsid w:val="00B30FAC"/>
    <w:rsid w:val="00B31106"/>
    <w:rsid w:val="00B311F8"/>
    <w:rsid w:val="00B3153F"/>
    <w:rsid w:val="00B323B5"/>
    <w:rsid w:val="00B32865"/>
    <w:rsid w:val="00B34622"/>
    <w:rsid w:val="00B349FD"/>
    <w:rsid w:val="00B34A54"/>
    <w:rsid w:val="00B34E25"/>
    <w:rsid w:val="00B35970"/>
    <w:rsid w:val="00B36062"/>
    <w:rsid w:val="00B36C36"/>
    <w:rsid w:val="00B37D85"/>
    <w:rsid w:val="00B40888"/>
    <w:rsid w:val="00B41B8A"/>
    <w:rsid w:val="00B420CC"/>
    <w:rsid w:val="00B43A5D"/>
    <w:rsid w:val="00B43DA9"/>
    <w:rsid w:val="00B44329"/>
    <w:rsid w:val="00B44B08"/>
    <w:rsid w:val="00B44C38"/>
    <w:rsid w:val="00B44EE7"/>
    <w:rsid w:val="00B4548B"/>
    <w:rsid w:val="00B457F4"/>
    <w:rsid w:val="00B460D4"/>
    <w:rsid w:val="00B466BB"/>
    <w:rsid w:val="00B46B4E"/>
    <w:rsid w:val="00B46C82"/>
    <w:rsid w:val="00B47A96"/>
    <w:rsid w:val="00B504D2"/>
    <w:rsid w:val="00B507DD"/>
    <w:rsid w:val="00B50950"/>
    <w:rsid w:val="00B50DE3"/>
    <w:rsid w:val="00B52498"/>
    <w:rsid w:val="00B5342D"/>
    <w:rsid w:val="00B53656"/>
    <w:rsid w:val="00B540CB"/>
    <w:rsid w:val="00B54299"/>
    <w:rsid w:val="00B5494C"/>
    <w:rsid w:val="00B54C1E"/>
    <w:rsid w:val="00B54DAE"/>
    <w:rsid w:val="00B55616"/>
    <w:rsid w:val="00B556C4"/>
    <w:rsid w:val="00B563CF"/>
    <w:rsid w:val="00B56727"/>
    <w:rsid w:val="00B5695C"/>
    <w:rsid w:val="00B56D15"/>
    <w:rsid w:val="00B56DA8"/>
    <w:rsid w:val="00B56EE9"/>
    <w:rsid w:val="00B57262"/>
    <w:rsid w:val="00B578C6"/>
    <w:rsid w:val="00B606A7"/>
    <w:rsid w:val="00B60C79"/>
    <w:rsid w:val="00B60FF5"/>
    <w:rsid w:val="00B61006"/>
    <w:rsid w:val="00B62331"/>
    <w:rsid w:val="00B62EC6"/>
    <w:rsid w:val="00B63080"/>
    <w:rsid w:val="00B631EB"/>
    <w:rsid w:val="00B633B5"/>
    <w:rsid w:val="00B645D7"/>
    <w:rsid w:val="00B648E0"/>
    <w:rsid w:val="00B64A88"/>
    <w:rsid w:val="00B65C07"/>
    <w:rsid w:val="00B65F62"/>
    <w:rsid w:val="00B662F0"/>
    <w:rsid w:val="00B665B0"/>
    <w:rsid w:val="00B66D97"/>
    <w:rsid w:val="00B66E29"/>
    <w:rsid w:val="00B6716E"/>
    <w:rsid w:val="00B671E3"/>
    <w:rsid w:val="00B6743D"/>
    <w:rsid w:val="00B677B7"/>
    <w:rsid w:val="00B70137"/>
    <w:rsid w:val="00B706A0"/>
    <w:rsid w:val="00B710EF"/>
    <w:rsid w:val="00B71116"/>
    <w:rsid w:val="00B7120E"/>
    <w:rsid w:val="00B7126E"/>
    <w:rsid w:val="00B713F3"/>
    <w:rsid w:val="00B71543"/>
    <w:rsid w:val="00B71EC2"/>
    <w:rsid w:val="00B721AE"/>
    <w:rsid w:val="00B72729"/>
    <w:rsid w:val="00B7309B"/>
    <w:rsid w:val="00B737E7"/>
    <w:rsid w:val="00B73CC3"/>
    <w:rsid w:val="00B7441C"/>
    <w:rsid w:val="00B74C2E"/>
    <w:rsid w:val="00B74D09"/>
    <w:rsid w:val="00B750E5"/>
    <w:rsid w:val="00B75F40"/>
    <w:rsid w:val="00B760E0"/>
    <w:rsid w:val="00B767BA"/>
    <w:rsid w:val="00B8051D"/>
    <w:rsid w:val="00B80A2D"/>
    <w:rsid w:val="00B80E31"/>
    <w:rsid w:val="00B8101C"/>
    <w:rsid w:val="00B81B94"/>
    <w:rsid w:val="00B81BB4"/>
    <w:rsid w:val="00B83295"/>
    <w:rsid w:val="00B83328"/>
    <w:rsid w:val="00B83432"/>
    <w:rsid w:val="00B83BC4"/>
    <w:rsid w:val="00B8468E"/>
    <w:rsid w:val="00B848FF"/>
    <w:rsid w:val="00B850AA"/>
    <w:rsid w:val="00B850D2"/>
    <w:rsid w:val="00B8604C"/>
    <w:rsid w:val="00B86C70"/>
    <w:rsid w:val="00B86F41"/>
    <w:rsid w:val="00B8709F"/>
    <w:rsid w:val="00B873B3"/>
    <w:rsid w:val="00B87F1C"/>
    <w:rsid w:val="00B90D6C"/>
    <w:rsid w:val="00B912D3"/>
    <w:rsid w:val="00B927F6"/>
    <w:rsid w:val="00B928A2"/>
    <w:rsid w:val="00B93D03"/>
    <w:rsid w:val="00B94470"/>
    <w:rsid w:val="00B95689"/>
    <w:rsid w:val="00B95988"/>
    <w:rsid w:val="00B95A86"/>
    <w:rsid w:val="00B96309"/>
    <w:rsid w:val="00B96874"/>
    <w:rsid w:val="00B96B2A"/>
    <w:rsid w:val="00B96B6A"/>
    <w:rsid w:val="00B970B9"/>
    <w:rsid w:val="00BA03A3"/>
    <w:rsid w:val="00BA0746"/>
    <w:rsid w:val="00BA0EFA"/>
    <w:rsid w:val="00BA1B96"/>
    <w:rsid w:val="00BA1BD5"/>
    <w:rsid w:val="00BA20B5"/>
    <w:rsid w:val="00BA20BA"/>
    <w:rsid w:val="00BA2F34"/>
    <w:rsid w:val="00BA483A"/>
    <w:rsid w:val="00BA4941"/>
    <w:rsid w:val="00BA5630"/>
    <w:rsid w:val="00BA59ED"/>
    <w:rsid w:val="00BA5A9D"/>
    <w:rsid w:val="00BA5F82"/>
    <w:rsid w:val="00BA60EA"/>
    <w:rsid w:val="00BA656A"/>
    <w:rsid w:val="00BA6EB9"/>
    <w:rsid w:val="00BA6EE1"/>
    <w:rsid w:val="00BA6EE5"/>
    <w:rsid w:val="00BA78C4"/>
    <w:rsid w:val="00BA7B3B"/>
    <w:rsid w:val="00BA7FEE"/>
    <w:rsid w:val="00BB02E1"/>
    <w:rsid w:val="00BB04DF"/>
    <w:rsid w:val="00BB07F7"/>
    <w:rsid w:val="00BB0F62"/>
    <w:rsid w:val="00BB1671"/>
    <w:rsid w:val="00BB24D0"/>
    <w:rsid w:val="00BB2DDD"/>
    <w:rsid w:val="00BB338D"/>
    <w:rsid w:val="00BB341E"/>
    <w:rsid w:val="00BB3C24"/>
    <w:rsid w:val="00BB3C45"/>
    <w:rsid w:val="00BB46A2"/>
    <w:rsid w:val="00BB50D5"/>
    <w:rsid w:val="00BB55B2"/>
    <w:rsid w:val="00BB57DD"/>
    <w:rsid w:val="00BB5809"/>
    <w:rsid w:val="00BB5878"/>
    <w:rsid w:val="00BB5F9C"/>
    <w:rsid w:val="00BB6EF5"/>
    <w:rsid w:val="00BB753C"/>
    <w:rsid w:val="00BB76F4"/>
    <w:rsid w:val="00BB7A12"/>
    <w:rsid w:val="00BB7C69"/>
    <w:rsid w:val="00BB7D74"/>
    <w:rsid w:val="00BC03C3"/>
    <w:rsid w:val="00BC049B"/>
    <w:rsid w:val="00BC07DA"/>
    <w:rsid w:val="00BC148A"/>
    <w:rsid w:val="00BC1530"/>
    <w:rsid w:val="00BC1FFD"/>
    <w:rsid w:val="00BC295B"/>
    <w:rsid w:val="00BC34E6"/>
    <w:rsid w:val="00BC3CB6"/>
    <w:rsid w:val="00BC4D3C"/>
    <w:rsid w:val="00BC6D82"/>
    <w:rsid w:val="00BC78E2"/>
    <w:rsid w:val="00BC7F08"/>
    <w:rsid w:val="00BD01E4"/>
    <w:rsid w:val="00BD034A"/>
    <w:rsid w:val="00BD0956"/>
    <w:rsid w:val="00BD0A52"/>
    <w:rsid w:val="00BD18CA"/>
    <w:rsid w:val="00BD1A32"/>
    <w:rsid w:val="00BD2A53"/>
    <w:rsid w:val="00BD2C6D"/>
    <w:rsid w:val="00BD2D74"/>
    <w:rsid w:val="00BD344A"/>
    <w:rsid w:val="00BD3A9C"/>
    <w:rsid w:val="00BD3FBB"/>
    <w:rsid w:val="00BD4740"/>
    <w:rsid w:val="00BD4EAD"/>
    <w:rsid w:val="00BD5B5B"/>
    <w:rsid w:val="00BD605B"/>
    <w:rsid w:val="00BD6210"/>
    <w:rsid w:val="00BD6FE1"/>
    <w:rsid w:val="00BD73F8"/>
    <w:rsid w:val="00BD7A4C"/>
    <w:rsid w:val="00BD7B7F"/>
    <w:rsid w:val="00BD7EF5"/>
    <w:rsid w:val="00BE0036"/>
    <w:rsid w:val="00BE0AC2"/>
    <w:rsid w:val="00BE0D2A"/>
    <w:rsid w:val="00BE11E0"/>
    <w:rsid w:val="00BE1604"/>
    <w:rsid w:val="00BE2A77"/>
    <w:rsid w:val="00BE2E0A"/>
    <w:rsid w:val="00BE424D"/>
    <w:rsid w:val="00BE459A"/>
    <w:rsid w:val="00BE48B3"/>
    <w:rsid w:val="00BE4CD1"/>
    <w:rsid w:val="00BE50A5"/>
    <w:rsid w:val="00BE5F72"/>
    <w:rsid w:val="00BE6A1E"/>
    <w:rsid w:val="00BE6B2D"/>
    <w:rsid w:val="00BE7378"/>
    <w:rsid w:val="00BE75FF"/>
    <w:rsid w:val="00BE7795"/>
    <w:rsid w:val="00BF13B7"/>
    <w:rsid w:val="00BF15A0"/>
    <w:rsid w:val="00BF1928"/>
    <w:rsid w:val="00BF23CB"/>
    <w:rsid w:val="00BF25B2"/>
    <w:rsid w:val="00BF28E1"/>
    <w:rsid w:val="00BF2A4F"/>
    <w:rsid w:val="00BF2DE9"/>
    <w:rsid w:val="00BF3254"/>
    <w:rsid w:val="00BF328F"/>
    <w:rsid w:val="00BF347B"/>
    <w:rsid w:val="00BF38B4"/>
    <w:rsid w:val="00BF407B"/>
    <w:rsid w:val="00BF44AC"/>
    <w:rsid w:val="00BF4E2E"/>
    <w:rsid w:val="00BF570F"/>
    <w:rsid w:val="00BF5A26"/>
    <w:rsid w:val="00BF5C35"/>
    <w:rsid w:val="00BF61D9"/>
    <w:rsid w:val="00BF67FD"/>
    <w:rsid w:val="00BF6B48"/>
    <w:rsid w:val="00BF790C"/>
    <w:rsid w:val="00C00AD7"/>
    <w:rsid w:val="00C00F14"/>
    <w:rsid w:val="00C00F4D"/>
    <w:rsid w:val="00C01FD5"/>
    <w:rsid w:val="00C035EA"/>
    <w:rsid w:val="00C0363A"/>
    <w:rsid w:val="00C03F77"/>
    <w:rsid w:val="00C040B2"/>
    <w:rsid w:val="00C0539E"/>
    <w:rsid w:val="00C05625"/>
    <w:rsid w:val="00C05973"/>
    <w:rsid w:val="00C06BCF"/>
    <w:rsid w:val="00C06E44"/>
    <w:rsid w:val="00C07437"/>
    <w:rsid w:val="00C075B5"/>
    <w:rsid w:val="00C07E13"/>
    <w:rsid w:val="00C100A6"/>
    <w:rsid w:val="00C1115F"/>
    <w:rsid w:val="00C113EE"/>
    <w:rsid w:val="00C11D18"/>
    <w:rsid w:val="00C125CA"/>
    <w:rsid w:val="00C126F9"/>
    <w:rsid w:val="00C127B0"/>
    <w:rsid w:val="00C12FF6"/>
    <w:rsid w:val="00C13521"/>
    <w:rsid w:val="00C13678"/>
    <w:rsid w:val="00C14496"/>
    <w:rsid w:val="00C1469D"/>
    <w:rsid w:val="00C149AE"/>
    <w:rsid w:val="00C14D30"/>
    <w:rsid w:val="00C14E10"/>
    <w:rsid w:val="00C154B1"/>
    <w:rsid w:val="00C15B4C"/>
    <w:rsid w:val="00C1758B"/>
    <w:rsid w:val="00C1771D"/>
    <w:rsid w:val="00C179AB"/>
    <w:rsid w:val="00C207C6"/>
    <w:rsid w:val="00C20AA0"/>
    <w:rsid w:val="00C20BEC"/>
    <w:rsid w:val="00C20BF5"/>
    <w:rsid w:val="00C20CE4"/>
    <w:rsid w:val="00C20F38"/>
    <w:rsid w:val="00C21688"/>
    <w:rsid w:val="00C2170E"/>
    <w:rsid w:val="00C21A4E"/>
    <w:rsid w:val="00C21FFB"/>
    <w:rsid w:val="00C22487"/>
    <w:rsid w:val="00C22856"/>
    <w:rsid w:val="00C22A3C"/>
    <w:rsid w:val="00C2308E"/>
    <w:rsid w:val="00C23171"/>
    <w:rsid w:val="00C23925"/>
    <w:rsid w:val="00C23C5D"/>
    <w:rsid w:val="00C24E6D"/>
    <w:rsid w:val="00C24F81"/>
    <w:rsid w:val="00C250F8"/>
    <w:rsid w:val="00C25360"/>
    <w:rsid w:val="00C2538C"/>
    <w:rsid w:val="00C256CA"/>
    <w:rsid w:val="00C25A1E"/>
    <w:rsid w:val="00C2664F"/>
    <w:rsid w:val="00C26991"/>
    <w:rsid w:val="00C26D06"/>
    <w:rsid w:val="00C272D5"/>
    <w:rsid w:val="00C2762D"/>
    <w:rsid w:val="00C276FF"/>
    <w:rsid w:val="00C27E1C"/>
    <w:rsid w:val="00C30EE3"/>
    <w:rsid w:val="00C31C9E"/>
    <w:rsid w:val="00C325B2"/>
    <w:rsid w:val="00C32CDD"/>
    <w:rsid w:val="00C32EE1"/>
    <w:rsid w:val="00C334C7"/>
    <w:rsid w:val="00C337B5"/>
    <w:rsid w:val="00C33F67"/>
    <w:rsid w:val="00C34075"/>
    <w:rsid w:val="00C3418D"/>
    <w:rsid w:val="00C34643"/>
    <w:rsid w:val="00C34735"/>
    <w:rsid w:val="00C348DB"/>
    <w:rsid w:val="00C35E0E"/>
    <w:rsid w:val="00C35FA0"/>
    <w:rsid w:val="00C36B21"/>
    <w:rsid w:val="00C36D6E"/>
    <w:rsid w:val="00C36DBB"/>
    <w:rsid w:val="00C3719F"/>
    <w:rsid w:val="00C375B3"/>
    <w:rsid w:val="00C37C25"/>
    <w:rsid w:val="00C40623"/>
    <w:rsid w:val="00C41CB2"/>
    <w:rsid w:val="00C42D77"/>
    <w:rsid w:val="00C435D9"/>
    <w:rsid w:val="00C436D7"/>
    <w:rsid w:val="00C43A93"/>
    <w:rsid w:val="00C43CDC"/>
    <w:rsid w:val="00C45E0A"/>
    <w:rsid w:val="00C4764E"/>
    <w:rsid w:val="00C4799A"/>
    <w:rsid w:val="00C47BA1"/>
    <w:rsid w:val="00C47C57"/>
    <w:rsid w:val="00C47F55"/>
    <w:rsid w:val="00C501A4"/>
    <w:rsid w:val="00C50210"/>
    <w:rsid w:val="00C503C6"/>
    <w:rsid w:val="00C5075A"/>
    <w:rsid w:val="00C508C6"/>
    <w:rsid w:val="00C50E27"/>
    <w:rsid w:val="00C510EE"/>
    <w:rsid w:val="00C5146D"/>
    <w:rsid w:val="00C5153E"/>
    <w:rsid w:val="00C5177A"/>
    <w:rsid w:val="00C51948"/>
    <w:rsid w:val="00C51D7B"/>
    <w:rsid w:val="00C52450"/>
    <w:rsid w:val="00C528B6"/>
    <w:rsid w:val="00C52B54"/>
    <w:rsid w:val="00C5379D"/>
    <w:rsid w:val="00C53E6A"/>
    <w:rsid w:val="00C5420D"/>
    <w:rsid w:val="00C5488F"/>
    <w:rsid w:val="00C5493A"/>
    <w:rsid w:val="00C558C8"/>
    <w:rsid w:val="00C55A58"/>
    <w:rsid w:val="00C5618D"/>
    <w:rsid w:val="00C56384"/>
    <w:rsid w:val="00C56BF1"/>
    <w:rsid w:val="00C56C6F"/>
    <w:rsid w:val="00C57D18"/>
    <w:rsid w:val="00C60DBF"/>
    <w:rsid w:val="00C6131F"/>
    <w:rsid w:val="00C6235D"/>
    <w:rsid w:val="00C62769"/>
    <w:rsid w:val="00C628FC"/>
    <w:rsid w:val="00C62F59"/>
    <w:rsid w:val="00C6331E"/>
    <w:rsid w:val="00C63336"/>
    <w:rsid w:val="00C63B6A"/>
    <w:rsid w:val="00C6415E"/>
    <w:rsid w:val="00C643A8"/>
    <w:rsid w:val="00C65C9F"/>
    <w:rsid w:val="00C65EE8"/>
    <w:rsid w:val="00C66552"/>
    <w:rsid w:val="00C66FDD"/>
    <w:rsid w:val="00C709F7"/>
    <w:rsid w:val="00C70F0D"/>
    <w:rsid w:val="00C729F4"/>
    <w:rsid w:val="00C72A13"/>
    <w:rsid w:val="00C72EC3"/>
    <w:rsid w:val="00C72F4D"/>
    <w:rsid w:val="00C73160"/>
    <w:rsid w:val="00C731F2"/>
    <w:rsid w:val="00C73420"/>
    <w:rsid w:val="00C74770"/>
    <w:rsid w:val="00C753DE"/>
    <w:rsid w:val="00C75B0C"/>
    <w:rsid w:val="00C767AE"/>
    <w:rsid w:val="00C7712E"/>
    <w:rsid w:val="00C77B7D"/>
    <w:rsid w:val="00C77C8E"/>
    <w:rsid w:val="00C77D20"/>
    <w:rsid w:val="00C802EE"/>
    <w:rsid w:val="00C8035A"/>
    <w:rsid w:val="00C80C0E"/>
    <w:rsid w:val="00C80EE4"/>
    <w:rsid w:val="00C81105"/>
    <w:rsid w:val="00C81533"/>
    <w:rsid w:val="00C819EA"/>
    <w:rsid w:val="00C81FE1"/>
    <w:rsid w:val="00C821D1"/>
    <w:rsid w:val="00C82384"/>
    <w:rsid w:val="00C82544"/>
    <w:rsid w:val="00C832AC"/>
    <w:rsid w:val="00C83500"/>
    <w:rsid w:val="00C841F8"/>
    <w:rsid w:val="00C844A8"/>
    <w:rsid w:val="00C858F2"/>
    <w:rsid w:val="00C86A3B"/>
    <w:rsid w:val="00C86A67"/>
    <w:rsid w:val="00C86CAF"/>
    <w:rsid w:val="00C86D6C"/>
    <w:rsid w:val="00C902DD"/>
    <w:rsid w:val="00C90DCB"/>
    <w:rsid w:val="00C9156E"/>
    <w:rsid w:val="00C91633"/>
    <w:rsid w:val="00C91887"/>
    <w:rsid w:val="00C91A98"/>
    <w:rsid w:val="00C91D07"/>
    <w:rsid w:val="00C922AB"/>
    <w:rsid w:val="00C92CF8"/>
    <w:rsid w:val="00C92D72"/>
    <w:rsid w:val="00C930FE"/>
    <w:rsid w:val="00C9310B"/>
    <w:rsid w:val="00C93739"/>
    <w:rsid w:val="00C93B47"/>
    <w:rsid w:val="00C940F4"/>
    <w:rsid w:val="00C94349"/>
    <w:rsid w:val="00C948AE"/>
    <w:rsid w:val="00C94E7A"/>
    <w:rsid w:val="00C9513F"/>
    <w:rsid w:val="00C95283"/>
    <w:rsid w:val="00C95297"/>
    <w:rsid w:val="00C957E8"/>
    <w:rsid w:val="00C95D14"/>
    <w:rsid w:val="00C96AD4"/>
    <w:rsid w:val="00C97848"/>
    <w:rsid w:val="00C97A9C"/>
    <w:rsid w:val="00C97D36"/>
    <w:rsid w:val="00C97EDD"/>
    <w:rsid w:val="00CA0217"/>
    <w:rsid w:val="00CA03EE"/>
    <w:rsid w:val="00CA05A6"/>
    <w:rsid w:val="00CA0CB2"/>
    <w:rsid w:val="00CA0FA4"/>
    <w:rsid w:val="00CA0FD1"/>
    <w:rsid w:val="00CA13BF"/>
    <w:rsid w:val="00CA24EF"/>
    <w:rsid w:val="00CA2AAE"/>
    <w:rsid w:val="00CA2CC6"/>
    <w:rsid w:val="00CA3D81"/>
    <w:rsid w:val="00CA4266"/>
    <w:rsid w:val="00CA4AFA"/>
    <w:rsid w:val="00CA4FFF"/>
    <w:rsid w:val="00CA545C"/>
    <w:rsid w:val="00CA622C"/>
    <w:rsid w:val="00CA6B79"/>
    <w:rsid w:val="00CA716F"/>
    <w:rsid w:val="00CA733F"/>
    <w:rsid w:val="00CA7BE0"/>
    <w:rsid w:val="00CB0361"/>
    <w:rsid w:val="00CB03FE"/>
    <w:rsid w:val="00CB05B8"/>
    <w:rsid w:val="00CB0AFD"/>
    <w:rsid w:val="00CB1797"/>
    <w:rsid w:val="00CB1BDD"/>
    <w:rsid w:val="00CB2161"/>
    <w:rsid w:val="00CB21DB"/>
    <w:rsid w:val="00CB2514"/>
    <w:rsid w:val="00CB26B2"/>
    <w:rsid w:val="00CB2CBB"/>
    <w:rsid w:val="00CB33AE"/>
    <w:rsid w:val="00CB5413"/>
    <w:rsid w:val="00CB56D6"/>
    <w:rsid w:val="00CB5904"/>
    <w:rsid w:val="00CB5C93"/>
    <w:rsid w:val="00CB5DD3"/>
    <w:rsid w:val="00CB5E0B"/>
    <w:rsid w:val="00CB6323"/>
    <w:rsid w:val="00CC0384"/>
    <w:rsid w:val="00CC1947"/>
    <w:rsid w:val="00CC2143"/>
    <w:rsid w:val="00CC2281"/>
    <w:rsid w:val="00CC22BB"/>
    <w:rsid w:val="00CC2320"/>
    <w:rsid w:val="00CC28C5"/>
    <w:rsid w:val="00CC324C"/>
    <w:rsid w:val="00CC3531"/>
    <w:rsid w:val="00CC3633"/>
    <w:rsid w:val="00CC3854"/>
    <w:rsid w:val="00CC38EF"/>
    <w:rsid w:val="00CC3B84"/>
    <w:rsid w:val="00CC3CE6"/>
    <w:rsid w:val="00CC3DF3"/>
    <w:rsid w:val="00CC458B"/>
    <w:rsid w:val="00CC548F"/>
    <w:rsid w:val="00CC6417"/>
    <w:rsid w:val="00CC6765"/>
    <w:rsid w:val="00CC6CFC"/>
    <w:rsid w:val="00CC745A"/>
    <w:rsid w:val="00CC7B12"/>
    <w:rsid w:val="00CD0696"/>
    <w:rsid w:val="00CD0699"/>
    <w:rsid w:val="00CD074E"/>
    <w:rsid w:val="00CD13D4"/>
    <w:rsid w:val="00CD1514"/>
    <w:rsid w:val="00CD1549"/>
    <w:rsid w:val="00CD17CF"/>
    <w:rsid w:val="00CD196C"/>
    <w:rsid w:val="00CD1BBE"/>
    <w:rsid w:val="00CD2BB3"/>
    <w:rsid w:val="00CD42CE"/>
    <w:rsid w:val="00CD4872"/>
    <w:rsid w:val="00CD4C6C"/>
    <w:rsid w:val="00CD4DB2"/>
    <w:rsid w:val="00CD555A"/>
    <w:rsid w:val="00CD5F18"/>
    <w:rsid w:val="00CD69AD"/>
    <w:rsid w:val="00CD6D43"/>
    <w:rsid w:val="00CD73AE"/>
    <w:rsid w:val="00CD7D51"/>
    <w:rsid w:val="00CE0485"/>
    <w:rsid w:val="00CE0754"/>
    <w:rsid w:val="00CE087C"/>
    <w:rsid w:val="00CE096B"/>
    <w:rsid w:val="00CE0DE0"/>
    <w:rsid w:val="00CE0FC5"/>
    <w:rsid w:val="00CE14ED"/>
    <w:rsid w:val="00CE17D3"/>
    <w:rsid w:val="00CE185F"/>
    <w:rsid w:val="00CE1B28"/>
    <w:rsid w:val="00CE26F2"/>
    <w:rsid w:val="00CE28E8"/>
    <w:rsid w:val="00CE2CC9"/>
    <w:rsid w:val="00CE2ED7"/>
    <w:rsid w:val="00CE3FB8"/>
    <w:rsid w:val="00CE4F41"/>
    <w:rsid w:val="00CE5BFC"/>
    <w:rsid w:val="00CE5C1B"/>
    <w:rsid w:val="00CE5F8B"/>
    <w:rsid w:val="00CE63B2"/>
    <w:rsid w:val="00CE6A4C"/>
    <w:rsid w:val="00CE6DDE"/>
    <w:rsid w:val="00CE706A"/>
    <w:rsid w:val="00CE7758"/>
    <w:rsid w:val="00CF0152"/>
    <w:rsid w:val="00CF0642"/>
    <w:rsid w:val="00CF0E1E"/>
    <w:rsid w:val="00CF0F06"/>
    <w:rsid w:val="00CF1A3D"/>
    <w:rsid w:val="00CF1F69"/>
    <w:rsid w:val="00CF2892"/>
    <w:rsid w:val="00CF28B5"/>
    <w:rsid w:val="00CF2BF2"/>
    <w:rsid w:val="00CF448C"/>
    <w:rsid w:val="00CF55B8"/>
    <w:rsid w:val="00CF5C9D"/>
    <w:rsid w:val="00CF623E"/>
    <w:rsid w:val="00CF6D3A"/>
    <w:rsid w:val="00CF7504"/>
    <w:rsid w:val="00CF7ECB"/>
    <w:rsid w:val="00D004B0"/>
    <w:rsid w:val="00D00B73"/>
    <w:rsid w:val="00D0135F"/>
    <w:rsid w:val="00D01519"/>
    <w:rsid w:val="00D01C0E"/>
    <w:rsid w:val="00D02372"/>
    <w:rsid w:val="00D03F0F"/>
    <w:rsid w:val="00D04659"/>
    <w:rsid w:val="00D04BA8"/>
    <w:rsid w:val="00D04E8B"/>
    <w:rsid w:val="00D057A5"/>
    <w:rsid w:val="00D063A5"/>
    <w:rsid w:val="00D06AF8"/>
    <w:rsid w:val="00D06FAF"/>
    <w:rsid w:val="00D07745"/>
    <w:rsid w:val="00D100E9"/>
    <w:rsid w:val="00D103BA"/>
    <w:rsid w:val="00D1051C"/>
    <w:rsid w:val="00D10948"/>
    <w:rsid w:val="00D11336"/>
    <w:rsid w:val="00D11964"/>
    <w:rsid w:val="00D11999"/>
    <w:rsid w:val="00D1204D"/>
    <w:rsid w:val="00D12369"/>
    <w:rsid w:val="00D12FB3"/>
    <w:rsid w:val="00D13506"/>
    <w:rsid w:val="00D1382B"/>
    <w:rsid w:val="00D13C55"/>
    <w:rsid w:val="00D14F30"/>
    <w:rsid w:val="00D1517E"/>
    <w:rsid w:val="00D1558B"/>
    <w:rsid w:val="00D15CE4"/>
    <w:rsid w:val="00D1603C"/>
    <w:rsid w:val="00D1629B"/>
    <w:rsid w:val="00D16B98"/>
    <w:rsid w:val="00D1746A"/>
    <w:rsid w:val="00D17B07"/>
    <w:rsid w:val="00D17DE1"/>
    <w:rsid w:val="00D20A71"/>
    <w:rsid w:val="00D21195"/>
    <w:rsid w:val="00D21439"/>
    <w:rsid w:val="00D21819"/>
    <w:rsid w:val="00D23912"/>
    <w:rsid w:val="00D2413F"/>
    <w:rsid w:val="00D24AEA"/>
    <w:rsid w:val="00D256A5"/>
    <w:rsid w:val="00D2580C"/>
    <w:rsid w:val="00D25992"/>
    <w:rsid w:val="00D25A58"/>
    <w:rsid w:val="00D26336"/>
    <w:rsid w:val="00D26509"/>
    <w:rsid w:val="00D26ACA"/>
    <w:rsid w:val="00D272F5"/>
    <w:rsid w:val="00D277F1"/>
    <w:rsid w:val="00D27ACB"/>
    <w:rsid w:val="00D305AE"/>
    <w:rsid w:val="00D30947"/>
    <w:rsid w:val="00D30A6E"/>
    <w:rsid w:val="00D311C0"/>
    <w:rsid w:val="00D31630"/>
    <w:rsid w:val="00D317F5"/>
    <w:rsid w:val="00D31D0A"/>
    <w:rsid w:val="00D31EE0"/>
    <w:rsid w:val="00D31F8F"/>
    <w:rsid w:val="00D3220F"/>
    <w:rsid w:val="00D32D34"/>
    <w:rsid w:val="00D3343A"/>
    <w:rsid w:val="00D336FE"/>
    <w:rsid w:val="00D338EE"/>
    <w:rsid w:val="00D33B6D"/>
    <w:rsid w:val="00D33FF4"/>
    <w:rsid w:val="00D341BB"/>
    <w:rsid w:val="00D34563"/>
    <w:rsid w:val="00D345D1"/>
    <w:rsid w:val="00D34BC4"/>
    <w:rsid w:val="00D355B7"/>
    <w:rsid w:val="00D357F7"/>
    <w:rsid w:val="00D35A59"/>
    <w:rsid w:val="00D361D3"/>
    <w:rsid w:val="00D361F1"/>
    <w:rsid w:val="00D37344"/>
    <w:rsid w:val="00D37D40"/>
    <w:rsid w:val="00D40176"/>
    <w:rsid w:val="00D40263"/>
    <w:rsid w:val="00D402A6"/>
    <w:rsid w:val="00D40914"/>
    <w:rsid w:val="00D40F7C"/>
    <w:rsid w:val="00D4115E"/>
    <w:rsid w:val="00D41552"/>
    <w:rsid w:val="00D415D3"/>
    <w:rsid w:val="00D42FE0"/>
    <w:rsid w:val="00D43612"/>
    <w:rsid w:val="00D43FF5"/>
    <w:rsid w:val="00D440E9"/>
    <w:rsid w:val="00D44692"/>
    <w:rsid w:val="00D44797"/>
    <w:rsid w:val="00D447A9"/>
    <w:rsid w:val="00D44819"/>
    <w:rsid w:val="00D44A5C"/>
    <w:rsid w:val="00D45F59"/>
    <w:rsid w:val="00D461B3"/>
    <w:rsid w:val="00D4630A"/>
    <w:rsid w:val="00D47D1B"/>
    <w:rsid w:val="00D51134"/>
    <w:rsid w:val="00D5137E"/>
    <w:rsid w:val="00D5153F"/>
    <w:rsid w:val="00D51F0E"/>
    <w:rsid w:val="00D52081"/>
    <w:rsid w:val="00D5230B"/>
    <w:rsid w:val="00D52339"/>
    <w:rsid w:val="00D52575"/>
    <w:rsid w:val="00D52F78"/>
    <w:rsid w:val="00D52FF6"/>
    <w:rsid w:val="00D5335F"/>
    <w:rsid w:val="00D5342B"/>
    <w:rsid w:val="00D53EB1"/>
    <w:rsid w:val="00D543DB"/>
    <w:rsid w:val="00D545BA"/>
    <w:rsid w:val="00D54695"/>
    <w:rsid w:val="00D546AF"/>
    <w:rsid w:val="00D546F7"/>
    <w:rsid w:val="00D54C07"/>
    <w:rsid w:val="00D54CE2"/>
    <w:rsid w:val="00D550C3"/>
    <w:rsid w:val="00D559F2"/>
    <w:rsid w:val="00D55A11"/>
    <w:rsid w:val="00D55F36"/>
    <w:rsid w:val="00D56056"/>
    <w:rsid w:val="00D570C6"/>
    <w:rsid w:val="00D573BE"/>
    <w:rsid w:val="00D57E82"/>
    <w:rsid w:val="00D603EB"/>
    <w:rsid w:val="00D612FB"/>
    <w:rsid w:val="00D614A5"/>
    <w:rsid w:val="00D61830"/>
    <w:rsid w:val="00D61B3D"/>
    <w:rsid w:val="00D61C82"/>
    <w:rsid w:val="00D61CBF"/>
    <w:rsid w:val="00D628E4"/>
    <w:rsid w:val="00D62F39"/>
    <w:rsid w:val="00D637A1"/>
    <w:rsid w:val="00D63D1B"/>
    <w:rsid w:val="00D63D4A"/>
    <w:rsid w:val="00D63D6E"/>
    <w:rsid w:val="00D63FA7"/>
    <w:rsid w:val="00D64A49"/>
    <w:rsid w:val="00D64B5E"/>
    <w:rsid w:val="00D6525A"/>
    <w:rsid w:val="00D65EB4"/>
    <w:rsid w:val="00D6719A"/>
    <w:rsid w:val="00D67265"/>
    <w:rsid w:val="00D67279"/>
    <w:rsid w:val="00D677EC"/>
    <w:rsid w:val="00D7002A"/>
    <w:rsid w:val="00D707CE"/>
    <w:rsid w:val="00D70C26"/>
    <w:rsid w:val="00D70E5D"/>
    <w:rsid w:val="00D70F9B"/>
    <w:rsid w:val="00D713CA"/>
    <w:rsid w:val="00D71BCE"/>
    <w:rsid w:val="00D71BD4"/>
    <w:rsid w:val="00D72167"/>
    <w:rsid w:val="00D726C3"/>
    <w:rsid w:val="00D72BE0"/>
    <w:rsid w:val="00D73964"/>
    <w:rsid w:val="00D741DB"/>
    <w:rsid w:val="00D74320"/>
    <w:rsid w:val="00D74D18"/>
    <w:rsid w:val="00D750F2"/>
    <w:rsid w:val="00D75325"/>
    <w:rsid w:val="00D75960"/>
    <w:rsid w:val="00D7709F"/>
    <w:rsid w:val="00D77771"/>
    <w:rsid w:val="00D802DC"/>
    <w:rsid w:val="00D80A02"/>
    <w:rsid w:val="00D80DC1"/>
    <w:rsid w:val="00D80F29"/>
    <w:rsid w:val="00D81912"/>
    <w:rsid w:val="00D81B4F"/>
    <w:rsid w:val="00D81C59"/>
    <w:rsid w:val="00D81EF0"/>
    <w:rsid w:val="00D820C2"/>
    <w:rsid w:val="00D8229B"/>
    <w:rsid w:val="00D84150"/>
    <w:rsid w:val="00D842C0"/>
    <w:rsid w:val="00D84378"/>
    <w:rsid w:val="00D848DA"/>
    <w:rsid w:val="00D852CB"/>
    <w:rsid w:val="00D8558F"/>
    <w:rsid w:val="00D85D5C"/>
    <w:rsid w:val="00D873AB"/>
    <w:rsid w:val="00D878F2"/>
    <w:rsid w:val="00D87D6A"/>
    <w:rsid w:val="00D87F34"/>
    <w:rsid w:val="00D902EF"/>
    <w:rsid w:val="00D903CB"/>
    <w:rsid w:val="00D905FE"/>
    <w:rsid w:val="00D91472"/>
    <w:rsid w:val="00D91DA1"/>
    <w:rsid w:val="00D9390E"/>
    <w:rsid w:val="00D942BC"/>
    <w:rsid w:val="00D94468"/>
    <w:rsid w:val="00D94C14"/>
    <w:rsid w:val="00D95BB5"/>
    <w:rsid w:val="00D96913"/>
    <w:rsid w:val="00D96F27"/>
    <w:rsid w:val="00D97D41"/>
    <w:rsid w:val="00DA0606"/>
    <w:rsid w:val="00DA07B7"/>
    <w:rsid w:val="00DA17A1"/>
    <w:rsid w:val="00DA1B93"/>
    <w:rsid w:val="00DA203D"/>
    <w:rsid w:val="00DA2959"/>
    <w:rsid w:val="00DA330C"/>
    <w:rsid w:val="00DA4A37"/>
    <w:rsid w:val="00DA50BF"/>
    <w:rsid w:val="00DA6585"/>
    <w:rsid w:val="00DA7258"/>
    <w:rsid w:val="00DA79AD"/>
    <w:rsid w:val="00DB00BB"/>
    <w:rsid w:val="00DB0374"/>
    <w:rsid w:val="00DB03E5"/>
    <w:rsid w:val="00DB176C"/>
    <w:rsid w:val="00DB1820"/>
    <w:rsid w:val="00DB221B"/>
    <w:rsid w:val="00DB2516"/>
    <w:rsid w:val="00DB2541"/>
    <w:rsid w:val="00DB3F6D"/>
    <w:rsid w:val="00DB41A9"/>
    <w:rsid w:val="00DB517A"/>
    <w:rsid w:val="00DB650A"/>
    <w:rsid w:val="00DB67FB"/>
    <w:rsid w:val="00DB6B96"/>
    <w:rsid w:val="00DB6EE3"/>
    <w:rsid w:val="00DB73CF"/>
    <w:rsid w:val="00DC0044"/>
    <w:rsid w:val="00DC0197"/>
    <w:rsid w:val="00DC028E"/>
    <w:rsid w:val="00DC0B6B"/>
    <w:rsid w:val="00DC0CF8"/>
    <w:rsid w:val="00DC1658"/>
    <w:rsid w:val="00DC1EC1"/>
    <w:rsid w:val="00DC220C"/>
    <w:rsid w:val="00DC3082"/>
    <w:rsid w:val="00DC3268"/>
    <w:rsid w:val="00DC3292"/>
    <w:rsid w:val="00DC3350"/>
    <w:rsid w:val="00DC381C"/>
    <w:rsid w:val="00DC4395"/>
    <w:rsid w:val="00DC45CF"/>
    <w:rsid w:val="00DC46A2"/>
    <w:rsid w:val="00DC4E58"/>
    <w:rsid w:val="00DC5C42"/>
    <w:rsid w:val="00DC5CBF"/>
    <w:rsid w:val="00DC5ECE"/>
    <w:rsid w:val="00DC63BA"/>
    <w:rsid w:val="00DC6408"/>
    <w:rsid w:val="00DC648C"/>
    <w:rsid w:val="00DC6856"/>
    <w:rsid w:val="00DC6A2B"/>
    <w:rsid w:val="00DC7C2B"/>
    <w:rsid w:val="00DD0567"/>
    <w:rsid w:val="00DD0D61"/>
    <w:rsid w:val="00DD0D91"/>
    <w:rsid w:val="00DD1022"/>
    <w:rsid w:val="00DD1210"/>
    <w:rsid w:val="00DD19AE"/>
    <w:rsid w:val="00DD1AA2"/>
    <w:rsid w:val="00DD20F7"/>
    <w:rsid w:val="00DD2A25"/>
    <w:rsid w:val="00DD2A8B"/>
    <w:rsid w:val="00DD2CC6"/>
    <w:rsid w:val="00DD3066"/>
    <w:rsid w:val="00DD4317"/>
    <w:rsid w:val="00DD53F2"/>
    <w:rsid w:val="00DD5A4A"/>
    <w:rsid w:val="00DD5C10"/>
    <w:rsid w:val="00DD6295"/>
    <w:rsid w:val="00DD6563"/>
    <w:rsid w:val="00DD6780"/>
    <w:rsid w:val="00DD6AC9"/>
    <w:rsid w:val="00DD7896"/>
    <w:rsid w:val="00DD7B3D"/>
    <w:rsid w:val="00DE0054"/>
    <w:rsid w:val="00DE080F"/>
    <w:rsid w:val="00DE0CE5"/>
    <w:rsid w:val="00DE0D8E"/>
    <w:rsid w:val="00DE1817"/>
    <w:rsid w:val="00DE1DF9"/>
    <w:rsid w:val="00DE23BF"/>
    <w:rsid w:val="00DE2C9B"/>
    <w:rsid w:val="00DE3193"/>
    <w:rsid w:val="00DE361C"/>
    <w:rsid w:val="00DE3637"/>
    <w:rsid w:val="00DE3E4D"/>
    <w:rsid w:val="00DE3E55"/>
    <w:rsid w:val="00DE4403"/>
    <w:rsid w:val="00DE4954"/>
    <w:rsid w:val="00DE4D38"/>
    <w:rsid w:val="00DE500C"/>
    <w:rsid w:val="00DE5363"/>
    <w:rsid w:val="00DE56D9"/>
    <w:rsid w:val="00DE6612"/>
    <w:rsid w:val="00DE71D9"/>
    <w:rsid w:val="00DE7E1B"/>
    <w:rsid w:val="00DF02DD"/>
    <w:rsid w:val="00DF0B35"/>
    <w:rsid w:val="00DF0E84"/>
    <w:rsid w:val="00DF11CB"/>
    <w:rsid w:val="00DF1209"/>
    <w:rsid w:val="00DF175A"/>
    <w:rsid w:val="00DF1A90"/>
    <w:rsid w:val="00DF2552"/>
    <w:rsid w:val="00DF261D"/>
    <w:rsid w:val="00DF2B66"/>
    <w:rsid w:val="00DF2BDC"/>
    <w:rsid w:val="00DF31F9"/>
    <w:rsid w:val="00DF3343"/>
    <w:rsid w:val="00DF421E"/>
    <w:rsid w:val="00DF5116"/>
    <w:rsid w:val="00DF5383"/>
    <w:rsid w:val="00DF6122"/>
    <w:rsid w:val="00DF665B"/>
    <w:rsid w:val="00DF7624"/>
    <w:rsid w:val="00DF7A26"/>
    <w:rsid w:val="00E00572"/>
    <w:rsid w:val="00E00683"/>
    <w:rsid w:val="00E00BD3"/>
    <w:rsid w:val="00E00D06"/>
    <w:rsid w:val="00E010A0"/>
    <w:rsid w:val="00E01A53"/>
    <w:rsid w:val="00E01FFE"/>
    <w:rsid w:val="00E02093"/>
    <w:rsid w:val="00E03284"/>
    <w:rsid w:val="00E035D8"/>
    <w:rsid w:val="00E042A5"/>
    <w:rsid w:val="00E0455E"/>
    <w:rsid w:val="00E04AB9"/>
    <w:rsid w:val="00E058F7"/>
    <w:rsid w:val="00E05B15"/>
    <w:rsid w:val="00E05C29"/>
    <w:rsid w:val="00E05F12"/>
    <w:rsid w:val="00E063EB"/>
    <w:rsid w:val="00E07279"/>
    <w:rsid w:val="00E07325"/>
    <w:rsid w:val="00E07804"/>
    <w:rsid w:val="00E105EC"/>
    <w:rsid w:val="00E10C14"/>
    <w:rsid w:val="00E10C4A"/>
    <w:rsid w:val="00E1152D"/>
    <w:rsid w:val="00E11825"/>
    <w:rsid w:val="00E11B09"/>
    <w:rsid w:val="00E11B77"/>
    <w:rsid w:val="00E120D0"/>
    <w:rsid w:val="00E12F85"/>
    <w:rsid w:val="00E13386"/>
    <w:rsid w:val="00E13FA4"/>
    <w:rsid w:val="00E14E0F"/>
    <w:rsid w:val="00E15645"/>
    <w:rsid w:val="00E157D7"/>
    <w:rsid w:val="00E1589D"/>
    <w:rsid w:val="00E15A7C"/>
    <w:rsid w:val="00E16139"/>
    <w:rsid w:val="00E164E2"/>
    <w:rsid w:val="00E174D5"/>
    <w:rsid w:val="00E17683"/>
    <w:rsid w:val="00E17712"/>
    <w:rsid w:val="00E17E30"/>
    <w:rsid w:val="00E2062C"/>
    <w:rsid w:val="00E20F07"/>
    <w:rsid w:val="00E213DF"/>
    <w:rsid w:val="00E216D6"/>
    <w:rsid w:val="00E227EB"/>
    <w:rsid w:val="00E2289D"/>
    <w:rsid w:val="00E22CF8"/>
    <w:rsid w:val="00E23740"/>
    <w:rsid w:val="00E23A2F"/>
    <w:rsid w:val="00E23C6E"/>
    <w:rsid w:val="00E24712"/>
    <w:rsid w:val="00E24816"/>
    <w:rsid w:val="00E24842"/>
    <w:rsid w:val="00E24F2C"/>
    <w:rsid w:val="00E2518A"/>
    <w:rsid w:val="00E255C3"/>
    <w:rsid w:val="00E25D08"/>
    <w:rsid w:val="00E2616D"/>
    <w:rsid w:val="00E26865"/>
    <w:rsid w:val="00E26D24"/>
    <w:rsid w:val="00E27000"/>
    <w:rsid w:val="00E27043"/>
    <w:rsid w:val="00E27080"/>
    <w:rsid w:val="00E2719A"/>
    <w:rsid w:val="00E27316"/>
    <w:rsid w:val="00E27B2C"/>
    <w:rsid w:val="00E27D6F"/>
    <w:rsid w:val="00E300C1"/>
    <w:rsid w:val="00E30D08"/>
    <w:rsid w:val="00E30DE5"/>
    <w:rsid w:val="00E31967"/>
    <w:rsid w:val="00E32785"/>
    <w:rsid w:val="00E33159"/>
    <w:rsid w:val="00E333CC"/>
    <w:rsid w:val="00E34343"/>
    <w:rsid w:val="00E356A5"/>
    <w:rsid w:val="00E35754"/>
    <w:rsid w:val="00E36040"/>
    <w:rsid w:val="00E36555"/>
    <w:rsid w:val="00E36E90"/>
    <w:rsid w:val="00E3753D"/>
    <w:rsid w:val="00E375AC"/>
    <w:rsid w:val="00E37F54"/>
    <w:rsid w:val="00E40DCD"/>
    <w:rsid w:val="00E40FD4"/>
    <w:rsid w:val="00E41D63"/>
    <w:rsid w:val="00E41F48"/>
    <w:rsid w:val="00E4211B"/>
    <w:rsid w:val="00E42165"/>
    <w:rsid w:val="00E421DD"/>
    <w:rsid w:val="00E431D2"/>
    <w:rsid w:val="00E4370A"/>
    <w:rsid w:val="00E439EE"/>
    <w:rsid w:val="00E44F7F"/>
    <w:rsid w:val="00E45093"/>
    <w:rsid w:val="00E45252"/>
    <w:rsid w:val="00E45516"/>
    <w:rsid w:val="00E45909"/>
    <w:rsid w:val="00E46596"/>
    <w:rsid w:val="00E46A5E"/>
    <w:rsid w:val="00E46E10"/>
    <w:rsid w:val="00E46E7C"/>
    <w:rsid w:val="00E4706B"/>
    <w:rsid w:val="00E47165"/>
    <w:rsid w:val="00E47E5E"/>
    <w:rsid w:val="00E509E3"/>
    <w:rsid w:val="00E509E5"/>
    <w:rsid w:val="00E51051"/>
    <w:rsid w:val="00E512D5"/>
    <w:rsid w:val="00E51809"/>
    <w:rsid w:val="00E535B6"/>
    <w:rsid w:val="00E53EE2"/>
    <w:rsid w:val="00E5411A"/>
    <w:rsid w:val="00E541CC"/>
    <w:rsid w:val="00E54952"/>
    <w:rsid w:val="00E54CC1"/>
    <w:rsid w:val="00E54E71"/>
    <w:rsid w:val="00E553D0"/>
    <w:rsid w:val="00E553D9"/>
    <w:rsid w:val="00E55A8E"/>
    <w:rsid w:val="00E56BC5"/>
    <w:rsid w:val="00E56C62"/>
    <w:rsid w:val="00E570C1"/>
    <w:rsid w:val="00E572DC"/>
    <w:rsid w:val="00E578BF"/>
    <w:rsid w:val="00E57F0F"/>
    <w:rsid w:val="00E57F64"/>
    <w:rsid w:val="00E632D6"/>
    <w:rsid w:val="00E637D0"/>
    <w:rsid w:val="00E6386B"/>
    <w:rsid w:val="00E63EA3"/>
    <w:rsid w:val="00E645B1"/>
    <w:rsid w:val="00E655DE"/>
    <w:rsid w:val="00E65EF9"/>
    <w:rsid w:val="00E66315"/>
    <w:rsid w:val="00E666D5"/>
    <w:rsid w:val="00E66D5C"/>
    <w:rsid w:val="00E676AD"/>
    <w:rsid w:val="00E67B25"/>
    <w:rsid w:val="00E67F49"/>
    <w:rsid w:val="00E70489"/>
    <w:rsid w:val="00E70503"/>
    <w:rsid w:val="00E706EB"/>
    <w:rsid w:val="00E70CD9"/>
    <w:rsid w:val="00E71475"/>
    <w:rsid w:val="00E717C3"/>
    <w:rsid w:val="00E72302"/>
    <w:rsid w:val="00E72306"/>
    <w:rsid w:val="00E728B7"/>
    <w:rsid w:val="00E72A1E"/>
    <w:rsid w:val="00E733BD"/>
    <w:rsid w:val="00E735F0"/>
    <w:rsid w:val="00E73A3F"/>
    <w:rsid w:val="00E73BC3"/>
    <w:rsid w:val="00E74DE0"/>
    <w:rsid w:val="00E76C2D"/>
    <w:rsid w:val="00E77157"/>
    <w:rsid w:val="00E775FB"/>
    <w:rsid w:val="00E80150"/>
    <w:rsid w:val="00E802C5"/>
    <w:rsid w:val="00E80793"/>
    <w:rsid w:val="00E808B1"/>
    <w:rsid w:val="00E80D3A"/>
    <w:rsid w:val="00E81549"/>
    <w:rsid w:val="00E81927"/>
    <w:rsid w:val="00E820CB"/>
    <w:rsid w:val="00E826D5"/>
    <w:rsid w:val="00E833DF"/>
    <w:rsid w:val="00E85642"/>
    <w:rsid w:val="00E8583B"/>
    <w:rsid w:val="00E86BDC"/>
    <w:rsid w:val="00E870DA"/>
    <w:rsid w:val="00E874C9"/>
    <w:rsid w:val="00E8764F"/>
    <w:rsid w:val="00E87938"/>
    <w:rsid w:val="00E87BBE"/>
    <w:rsid w:val="00E91FF7"/>
    <w:rsid w:val="00E9331B"/>
    <w:rsid w:val="00E93374"/>
    <w:rsid w:val="00E9344B"/>
    <w:rsid w:val="00E9372E"/>
    <w:rsid w:val="00E93C2D"/>
    <w:rsid w:val="00E93F17"/>
    <w:rsid w:val="00E944AA"/>
    <w:rsid w:val="00E9470A"/>
    <w:rsid w:val="00E94CDC"/>
    <w:rsid w:val="00E94F92"/>
    <w:rsid w:val="00E95043"/>
    <w:rsid w:val="00E952C6"/>
    <w:rsid w:val="00E95DCC"/>
    <w:rsid w:val="00E95FE2"/>
    <w:rsid w:val="00E96234"/>
    <w:rsid w:val="00E96279"/>
    <w:rsid w:val="00E9698C"/>
    <w:rsid w:val="00E972DC"/>
    <w:rsid w:val="00E97473"/>
    <w:rsid w:val="00E978E1"/>
    <w:rsid w:val="00EA0594"/>
    <w:rsid w:val="00EA0F44"/>
    <w:rsid w:val="00EA2B33"/>
    <w:rsid w:val="00EA2CD7"/>
    <w:rsid w:val="00EA2DEB"/>
    <w:rsid w:val="00EA331A"/>
    <w:rsid w:val="00EA3BFD"/>
    <w:rsid w:val="00EA4283"/>
    <w:rsid w:val="00EA4325"/>
    <w:rsid w:val="00EA46AD"/>
    <w:rsid w:val="00EA46CB"/>
    <w:rsid w:val="00EA4CF2"/>
    <w:rsid w:val="00EA6A11"/>
    <w:rsid w:val="00EA6D1C"/>
    <w:rsid w:val="00EA71E8"/>
    <w:rsid w:val="00EA72AA"/>
    <w:rsid w:val="00EA7708"/>
    <w:rsid w:val="00EA79AA"/>
    <w:rsid w:val="00EB0D7B"/>
    <w:rsid w:val="00EB1130"/>
    <w:rsid w:val="00EB15CB"/>
    <w:rsid w:val="00EB1B56"/>
    <w:rsid w:val="00EB1B85"/>
    <w:rsid w:val="00EB22B3"/>
    <w:rsid w:val="00EB2685"/>
    <w:rsid w:val="00EB30CB"/>
    <w:rsid w:val="00EB3CE5"/>
    <w:rsid w:val="00EB42E2"/>
    <w:rsid w:val="00EB4C3F"/>
    <w:rsid w:val="00EB54C0"/>
    <w:rsid w:val="00EB5E5C"/>
    <w:rsid w:val="00EB625C"/>
    <w:rsid w:val="00EB6975"/>
    <w:rsid w:val="00EB7507"/>
    <w:rsid w:val="00EB7CDB"/>
    <w:rsid w:val="00EC0789"/>
    <w:rsid w:val="00EC085C"/>
    <w:rsid w:val="00EC3378"/>
    <w:rsid w:val="00EC3ACD"/>
    <w:rsid w:val="00EC3D11"/>
    <w:rsid w:val="00EC53AE"/>
    <w:rsid w:val="00EC647A"/>
    <w:rsid w:val="00EC695E"/>
    <w:rsid w:val="00EC71A4"/>
    <w:rsid w:val="00EC754F"/>
    <w:rsid w:val="00EC7567"/>
    <w:rsid w:val="00ED0996"/>
    <w:rsid w:val="00ED0BD0"/>
    <w:rsid w:val="00ED120F"/>
    <w:rsid w:val="00ED1405"/>
    <w:rsid w:val="00ED1DF7"/>
    <w:rsid w:val="00ED36CD"/>
    <w:rsid w:val="00ED3774"/>
    <w:rsid w:val="00ED42F3"/>
    <w:rsid w:val="00ED43FE"/>
    <w:rsid w:val="00ED4DD2"/>
    <w:rsid w:val="00ED51FA"/>
    <w:rsid w:val="00ED5472"/>
    <w:rsid w:val="00ED5D49"/>
    <w:rsid w:val="00ED6FEA"/>
    <w:rsid w:val="00ED7567"/>
    <w:rsid w:val="00ED763A"/>
    <w:rsid w:val="00EE07F2"/>
    <w:rsid w:val="00EE0B86"/>
    <w:rsid w:val="00EE0D73"/>
    <w:rsid w:val="00EE1822"/>
    <w:rsid w:val="00EE1CDB"/>
    <w:rsid w:val="00EE2546"/>
    <w:rsid w:val="00EE32F2"/>
    <w:rsid w:val="00EE4540"/>
    <w:rsid w:val="00EE5106"/>
    <w:rsid w:val="00EE575D"/>
    <w:rsid w:val="00EE610F"/>
    <w:rsid w:val="00EE6620"/>
    <w:rsid w:val="00EE6E1F"/>
    <w:rsid w:val="00EE73F3"/>
    <w:rsid w:val="00EE7B04"/>
    <w:rsid w:val="00EE7DE5"/>
    <w:rsid w:val="00EF068D"/>
    <w:rsid w:val="00EF0EDC"/>
    <w:rsid w:val="00EF26D3"/>
    <w:rsid w:val="00EF2B5B"/>
    <w:rsid w:val="00EF31ED"/>
    <w:rsid w:val="00EF339F"/>
    <w:rsid w:val="00EF34CF"/>
    <w:rsid w:val="00EF34D2"/>
    <w:rsid w:val="00EF38DB"/>
    <w:rsid w:val="00EF43AB"/>
    <w:rsid w:val="00EF4B97"/>
    <w:rsid w:val="00EF4E32"/>
    <w:rsid w:val="00EF54BC"/>
    <w:rsid w:val="00EF570F"/>
    <w:rsid w:val="00EF58E1"/>
    <w:rsid w:val="00EF5B00"/>
    <w:rsid w:val="00EF5F61"/>
    <w:rsid w:val="00EF600C"/>
    <w:rsid w:val="00EF616F"/>
    <w:rsid w:val="00EF63EC"/>
    <w:rsid w:val="00EF63F6"/>
    <w:rsid w:val="00EF6469"/>
    <w:rsid w:val="00EF6603"/>
    <w:rsid w:val="00EF7190"/>
    <w:rsid w:val="00EF7695"/>
    <w:rsid w:val="00EF78F4"/>
    <w:rsid w:val="00F00373"/>
    <w:rsid w:val="00F00820"/>
    <w:rsid w:val="00F00ECF"/>
    <w:rsid w:val="00F01ACD"/>
    <w:rsid w:val="00F02483"/>
    <w:rsid w:val="00F026C9"/>
    <w:rsid w:val="00F02DD9"/>
    <w:rsid w:val="00F03179"/>
    <w:rsid w:val="00F03D68"/>
    <w:rsid w:val="00F0408D"/>
    <w:rsid w:val="00F042EA"/>
    <w:rsid w:val="00F04526"/>
    <w:rsid w:val="00F04B5A"/>
    <w:rsid w:val="00F0593A"/>
    <w:rsid w:val="00F05AC3"/>
    <w:rsid w:val="00F06557"/>
    <w:rsid w:val="00F069AB"/>
    <w:rsid w:val="00F06DFC"/>
    <w:rsid w:val="00F07057"/>
    <w:rsid w:val="00F07142"/>
    <w:rsid w:val="00F073BD"/>
    <w:rsid w:val="00F07BA2"/>
    <w:rsid w:val="00F10055"/>
    <w:rsid w:val="00F101C9"/>
    <w:rsid w:val="00F1023F"/>
    <w:rsid w:val="00F10A8F"/>
    <w:rsid w:val="00F12634"/>
    <w:rsid w:val="00F12712"/>
    <w:rsid w:val="00F12E4E"/>
    <w:rsid w:val="00F132C8"/>
    <w:rsid w:val="00F13919"/>
    <w:rsid w:val="00F13B50"/>
    <w:rsid w:val="00F13C82"/>
    <w:rsid w:val="00F14416"/>
    <w:rsid w:val="00F15BF0"/>
    <w:rsid w:val="00F1654A"/>
    <w:rsid w:val="00F16704"/>
    <w:rsid w:val="00F16B43"/>
    <w:rsid w:val="00F16E5B"/>
    <w:rsid w:val="00F17A9D"/>
    <w:rsid w:val="00F17C59"/>
    <w:rsid w:val="00F20207"/>
    <w:rsid w:val="00F20783"/>
    <w:rsid w:val="00F20AA9"/>
    <w:rsid w:val="00F20EB3"/>
    <w:rsid w:val="00F21349"/>
    <w:rsid w:val="00F21AA7"/>
    <w:rsid w:val="00F23CAD"/>
    <w:rsid w:val="00F240E4"/>
    <w:rsid w:val="00F2439D"/>
    <w:rsid w:val="00F24CB7"/>
    <w:rsid w:val="00F24D2E"/>
    <w:rsid w:val="00F258CB"/>
    <w:rsid w:val="00F25E20"/>
    <w:rsid w:val="00F306AD"/>
    <w:rsid w:val="00F31225"/>
    <w:rsid w:val="00F3146E"/>
    <w:rsid w:val="00F3192C"/>
    <w:rsid w:val="00F32914"/>
    <w:rsid w:val="00F32B5D"/>
    <w:rsid w:val="00F32E1C"/>
    <w:rsid w:val="00F32FC0"/>
    <w:rsid w:val="00F33E11"/>
    <w:rsid w:val="00F33E1C"/>
    <w:rsid w:val="00F34289"/>
    <w:rsid w:val="00F34466"/>
    <w:rsid w:val="00F345F1"/>
    <w:rsid w:val="00F34D76"/>
    <w:rsid w:val="00F355F2"/>
    <w:rsid w:val="00F35719"/>
    <w:rsid w:val="00F37688"/>
    <w:rsid w:val="00F37C56"/>
    <w:rsid w:val="00F37FF3"/>
    <w:rsid w:val="00F40245"/>
    <w:rsid w:val="00F402CA"/>
    <w:rsid w:val="00F40C5B"/>
    <w:rsid w:val="00F40D57"/>
    <w:rsid w:val="00F40DA4"/>
    <w:rsid w:val="00F413A4"/>
    <w:rsid w:val="00F415CA"/>
    <w:rsid w:val="00F41C88"/>
    <w:rsid w:val="00F423EC"/>
    <w:rsid w:val="00F424D1"/>
    <w:rsid w:val="00F42DEA"/>
    <w:rsid w:val="00F430C3"/>
    <w:rsid w:val="00F4372B"/>
    <w:rsid w:val="00F4420C"/>
    <w:rsid w:val="00F44798"/>
    <w:rsid w:val="00F45531"/>
    <w:rsid w:val="00F45823"/>
    <w:rsid w:val="00F460A9"/>
    <w:rsid w:val="00F4618D"/>
    <w:rsid w:val="00F472DC"/>
    <w:rsid w:val="00F47B16"/>
    <w:rsid w:val="00F47D2C"/>
    <w:rsid w:val="00F47D56"/>
    <w:rsid w:val="00F50B52"/>
    <w:rsid w:val="00F50EF3"/>
    <w:rsid w:val="00F515E5"/>
    <w:rsid w:val="00F51AD9"/>
    <w:rsid w:val="00F51DE3"/>
    <w:rsid w:val="00F521BB"/>
    <w:rsid w:val="00F52C25"/>
    <w:rsid w:val="00F530E3"/>
    <w:rsid w:val="00F533EF"/>
    <w:rsid w:val="00F54F8A"/>
    <w:rsid w:val="00F559AE"/>
    <w:rsid w:val="00F55A53"/>
    <w:rsid w:val="00F55E0B"/>
    <w:rsid w:val="00F563E7"/>
    <w:rsid w:val="00F56A81"/>
    <w:rsid w:val="00F56F87"/>
    <w:rsid w:val="00F57887"/>
    <w:rsid w:val="00F57A3C"/>
    <w:rsid w:val="00F57B38"/>
    <w:rsid w:val="00F57BC9"/>
    <w:rsid w:val="00F6079B"/>
    <w:rsid w:val="00F60CAF"/>
    <w:rsid w:val="00F61233"/>
    <w:rsid w:val="00F6140A"/>
    <w:rsid w:val="00F614E0"/>
    <w:rsid w:val="00F61748"/>
    <w:rsid w:val="00F6214C"/>
    <w:rsid w:val="00F62BC1"/>
    <w:rsid w:val="00F62D12"/>
    <w:rsid w:val="00F634AF"/>
    <w:rsid w:val="00F6386E"/>
    <w:rsid w:val="00F63B7D"/>
    <w:rsid w:val="00F63D5A"/>
    <w:rsid w:val="00F63D7C"/>
    <w:rsid w:val="00F64C64"/>
    <w:rsid w:val="00F651B3"/>
    <w:rsid w:val="00F653E4"/>
    <w:rsid w:val="00F6559F"/>
    <w:rsid w:val="00F657FC"/>
    <w:rsid w:val="00F662B2"/>
    <w:rsid w:val="00F66565"/>
    <w:rsid w:val="00F66A83"/>
    <w:rsid w:val="00F66EAD"/>
    <w:rsid w:val="00F6711B"/>
    <w:rsid w:val="00F6783A"/>
    <w:rsid w:val="00F67BC6"/>
    <w:rsid w:val="00F7092F"/>
    <w:rsid w:val="00F709F2"/>
    <w:rsid w:val="00F7157E"/>
    <w:rsid w:val="00F7169E"/>
    <w:rsid w:val="00F719E6"/>
    <w:rsid w:val="00F71B32"/>
    <w:rsid w:val="00F71D1F"/>
    <w:rsid w:val="00F71E9B"/>
    <w:rsid w:val="00F7225D"/>
    <w:rsid w:val="00F72EB9"/>
    <w:rsid w:val="00F739F6"/>
    <w:rsid w:val="00F7402A"/>
    <w:rsid w:val="00F74CFE"/>
    <w:rsid w:val="00F7553D"/>
    <w:rsid w:val="00F7588E"/>
    <w:rsid w:val="00F75F69"/>
    <w:rsid w:val="00F75FC1"/>
    <w:rsid w:val="00F76DED"/>
    <w:rsid w:val="00F77888"/>
    <w:rsid w:val="00F8059B"/>
    <w:rsid w:val="00F805A1"/>
    <w:rsid w:val="00F80CA4"/>
    <w:rsid w:val="00F80E21"/>
    <w:rsid w:val="00F80F8C"/>
    <w:rsid w:val="00F813C6"/>
    <w:rsid w:val="00F81A18"/>
    <w:rsid w:val="00F82080"/>
    <w:rsid w:val="00F820D2"/>
    <w:rsid w:val="00F82B87"/>
    <w:rsid w:val="00F83022"/>
    <w:rsid w:val="00F83370"/>
    <w:rsid w:val="00F83723"/>
    <w:rsid w:val="00F839E9"/>
    <w:rsid w:val="00F8528F"/>
    <w:rsid w:val="00F85DB2"/>
    <w:rsid w:val="00F85DF3"/>
    <w:rsid w:val="00F85E21"/>
    <w:rsid w:val="00F8635D"/>
    <w:rsid w:val="00F8672C"/>
    <w:rsid w:val="00F869E1"/>
    <w:rsid w:val="00F86A1B"/>
    <w:rsid w:val="00F86E71"/>
    <w:rsid w:val="00F87844"/>
    <w:rsid w:val="00F8798D"/>
    <w:rsid w:val="00F90126"/>
    <w:rsid w:val="00F90652"/>
    <w:rsid w:val="00F91127"/>
    <w:rsid w:val="00F91128"/>
    <w:rsid w:val="00F913D9"/>
    <w:rsid w:val="00F914F9"/>
    <w:rsid w:val="00F91C19"/>
    <w:rsid w:val="00F91CFD"/>
    <w:rsid w:val="00F927D1"/>
    <w:rsid w:val="00F92EC8"/>
    <w:rsid w:val="00F931C4"/>
    <w:rsid w:val="00F934FE"/>
    <w:rsid w:val="00F934FF"/>
    <w:rsid w:val="00F93D42"/>
    <w:rsid w:val="00F93E91"/>
    <w:rsid w:val="00F93F7A"/>
    <w:rsid w:val="00F94108"/>
    <w:rsid w:val="00F942B4"/>
    <w:rsid w:val="00F9437E"/>
    <w:rsid w:val="00F94BCA"/>
    <w:rsid w:val="00F94BF7"/>
    <w:rsid w:val="00F955B6"/>
    <w:rsid w:val="00F956EF"/>
    <w:rsid w:val="00F962DC"/>
    <w:rsid w:val="00F96552"/>
    <w:rsid w:val="00F96818"/>
    <w:rsid w:val="00F96CBC"/>
    <w:rsid w:val="00F96E96"/>
    <w:rsid w:val="00FA01A6"/>
    <w:rsid w:val="00FA04B2"/>
    <w:rsid w:val="00FA0739"/>
    <w:rsid w:val="00FA0C75"/>
    <w:rsid w:val="00FA0FE9"/>
    <w:rsid w:val="00FA15F4"/>
    <w:rsid w:val="00FA2560"/>
    <w:rsid w:val="00FA2EAF"/>
    <w:rsid w:val="00FA3470"/>
    <w:rsid w:val="00FA34F3"/>
    <w:rsid w:val="00FA3A67"/>
    <w:rsid w:val="00FA48E0"/>
    <w:rsid w:val="00FA536C"/>
    <w:rsid w:val="00FA556A"/>
    <w:rsid w:val="00FA5915"/>
    <w:rsid w:val="00FA5BA9"/>
    <w:rsid w:val="00FA5C7F"/>
    <w:rsid w:val="00FA5D6C"/>
    <w:rsid w:val="00FA69B3"/>
    <w:rsid w:val="00FA6DD0"/>
    <w:rsid w:val="00FB12EA"/>
    <w:rsid w:val="00FB14B2"/>
    <w:rsid w:val="00FB17E8"/>
    <w:rsid w:val="00FB19C4"/>
    <w:rsid w:val="00FB25A6"/>
    <w:rsid w:val="00FB2966"/>
    <w:rsid w:val="00FB2D52"/>
    <w:rsid w:val="00FB34D6"/>
    <w:rsid w:val="00FB35BB"/>
    <w:rsid w:val="00FB385A"/>
    <w:rsid w:val="00FB38E3"/>
    <w:rsid w:val="00FB4C32"/>
    <w:rsid w:val="00FB4D56"/>
    <w:rsid w:val="00FB4E5E"/>
    <w:rsid w:val="00FB5556"/>
    <w:rsid w:val="00FB5CC1"/>
    <w:rsid w:val="00FB6BC2"/>
    <w:rsid w:val="00FB6C7B"/>
    <w:rsid w:val="00FB6EBD"/>
    <w:rsid w:val="00FB70F8"/>
    <w:rsid w:val="00FC07BF"/>
    <w:rsid w:val="00FC0C9D"/>
    <w:rsid w:val="00FC13BC"/>
    <w:rsid w:val="00FC18FF"/>
    <w:rsid w:val="00FC1A06"/>
    <w:rsid w:val="00FC1B2F"/>
    <w:rsid w:val="00FC2535"/>
    <w:rsid w:val="00FC3365"/>
    <w:rsid w:val="00FC3448"/>
    <w:rsid w:val="00FC3770"/>
    <w:rsid w:val="00FC38C9"/>
    <w:rsid w:val="00FC39D6"/>
    <w:rsid w:val="00FC4249"/>
    <w:rsid w:val="00FC4A87"/>
    <w:rsid w:val="00FC5623"/>
    <w:rsid w:val="00FC59EA"/>
    <w:rsid w:val="00FC6364"/>
    <w:rsid w:val="00FC6517"/>
    <w:rsid w:val="00FC65B1"/>
    <w:rsid w:val="00FC6FC7"/>
    <w:rsid w:val="00FC7CA9"/>
    <w:rsid w:val="00FD0DDC"/>
    <w:rsid w:val="00FD0EE2"/>
    <w:rsid w:val="00FD186D"/>
    <w:rsid w:val="00FD1B46"/>
    <w:rsid w:val="00FD1E6B"/>
    <w:rsid w:val="00FD2D34"/>
    <w:rsid w:val="00FD41B4"/>
    <w:rsid w:val="00FD42ED"/>
    <w:rsid w:val="00FD4771"/>
    <w:rsid w:val="00FD499E"/>
    <w:rsid w:val="00FD4C6B"/>
    <w:rsid w:val="00FD6468"/>
    <w:rsid w:val="00FD70E2"/>
    <w:rsid w:val="00FD79F4"/>
    <w:rsid w:val="00FD7AF3"/>
    <w:rsid w:val="00FD7C40"/>
    <w:rsid w:val="00FD7F45"/>
    <w:rsid w:val="00FE000F"/>
    <w:rsid w:val="00FE0B25"/>
    <w:rsid w:val="00FE0BDF"/>
    <w:rsid w:val="00FE2EAF"/>
    <w:rsid w:val="00FE2F7A"/>
    <w:rsid w:val="00FE3B74"/>
    <w:rsid w:val="00FE3B97"/>
    <w:rsid w:val="00FE3E87"/>
    <w:rsid w:val="00FE408A"/>
    <w:rsid w:val="00FE4555"/>
    <w:rsid w:val="00FE4682"/>
    <w:rsid w:val="00FE4802"/>
    <w:rsid w:val="00FE65ED"/>
    <w:rsid w:val="00FE6AEE"/>
    <w:rsid w:val="00FE71AC"/>
    <w:rsid w:val="00FE74BF"/>
    <w:rsid w:val="00FE751A"/>
    <w:rsid w:val="00FF001B"/>
    <w:rsid w:val="00FF0034"/>
    <w:rsid w:val="00FF0660"/>
    <w:rsid w:val="00FF1157"/>
    <w:rsid w:val="00FF137A"/>
    <w:rsid w:val="00FF16F4"/>
    <w:rsid w:val="00FF18BB"/>
    <w:rsid w:val="00FF1AA2"/>
    <w:rsid w:val="00FF2654"/>
    <w:rsid w:val="00FF3042"/>
    <w:rsid w:val="00FF30DC"/>
    <w:rsid w:val="00FF356E"/>
    <w:rsid w:val="00FF36E6"/>
    <w:rsid w:val="00FF3B7D"/>
    <w:rsid w:val="00FF4540"/>
    <w:rsid w:val="00FF45C9"/>
    <w:rsid w:val="00FF54E6"/>
    <w:rsid w:val="00FF56DF"/>
    <w:rsid w:val="00FF6AFC"/>
    <w:rsid w:val="00FF792C"/>
    <w:rsid w:val="25B3C4D0"/>
    <w:rsid w:val="33C72AA5"/>
    <w:rsid w:val="3CA481E0"/>
    <w:rsid w:val="60125C83"/>
    <w:rsid w:val="62BB57C9"/>
    <w:rsid w:val="76337C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13B2D97"/>
  <w15:chartTrackingRefBased/>
  <w15:docId w15:val="{80607CC4-7E4C-4700-8852-4F7DC0F13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uiPriority="9"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unhideWhenUsed="1"/>
    <w:lsdException w:name="List Paragraph" w:uiPriority="34" w:qFormat="1"/>
    <w:lsdException w:name="Quote" w:qFormat="1"/>
    <w:lsdException w:name="Intense Quote" w:qFormat="1"/>
    <w:lsdException w:name="Medium List 2 Accent 1"/>
    <w:lsdException w:name="Medium Grid 1 Accent 1"/>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34"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semiHidden="1" w:uiPriority="66" w:unhideWhenUsed="1"/>
    <w:lsdException w:name="TOC Heading" w:semiHidden="1" w:uiPriority="67" w:unhideWhenUsed="1" w:qFormat="1"/>
    <w:lsdException w:name="Plain Table 1" w:uiPriority="68"/>
    <w:lsdException w:name="Plain Table 2" w:uiPriority="69"/>
    <w:lsdException w:name="Plain Table 3" w:uiPriority="70" w:qFormat="1"/>
    <w:lsdException w:name="Plain Table 4" w:uiPriority="71" w:qFormat="1"/>
    <w:lsdException w:name="Plain Table 5" w:uiPriority="72" w:qFormat="1"/>
    <w:lsdException w:name="Grid Table Light" w:uiPriority="73" w:qFormat="1"/>
    <w:lsdException w:name="Grid Table 1 Light" w:uiPriority="60" w:qFormat="1"/>
    <w:lsdException w:name="Grid Table 2" w:uiPriority="61"/>
    <w:lsdException w:name="Grid Table 3" w:uiPriority="62" w:qFormat="1"/>
    <w:lsdException w:name="Grid Table 4" w:uiPriority="63"/>
    <w:lsdException w:name="Grid Table 5 Dark" w:uiPriority="64"/>
    <w:lsdException w:name="Grid Table 6 Colorful" w:uiPriority="65" w:qFormat="1"/>
    <w:lsdException w:name="Grid Table 7 Colorful" w:uiPriority="66" w:qFormat="1"/>
    <w:lsdException w:name="Grid Table 1 Light Accent 1" w:uiPriority="67" w:qFormat="1"/>
    <w:lsdException w:name="Grid Table 2 Accent 1" w:uiPriority="68" w:qFormat="1"/>
    <w:lsdException w:name="Grid Table 3 Accent 1" w:uiPriority="69" w:qFormat="1"/>
    <w:lsdException w:name="Grid Table 4 Accent 1" w:uiPriority="70"/>
    <w:lsdException w:name="Grid Table 5 Dark Accent 1" w:uiPriority="71" w:qFormat="1"/>
    <w:lsdException w:name="Grid Table 6 Colorful Accent 1" w:uiPriority="72"/>
    <w:lsdException w:name="Grid Table 7 Colorful Accent 1" w:uiPriority="73"/>
    <w:lsdException w:name="Grid Table 1 Light Accent 2" w:uiPriority="19" w:qFormat="1"/>
    <w:lsdException w:name="Grid Table 2 Accent 2" w:uiPriority="21" w:qFormat="1"/>
    <w:lsdException w:name="Grid Table 3 Accent 2" w:uiPriority="31" w:qFormat="1"/>
    <w:lsdException w:name="Grid Table 4 Accent 2" w:uiPriority="32" w:qFormat="1"/>
    <w:lsdException w:name="Grid Table 5 Dark Accent 2" w:uiPriority="33" w:qFormat="1"/>
    <w:lsdException w:name="Grid Table 6 Colorful Accent 2" w:uiPriority="37"/>
    <w:lsdException w:name="Grid Table 7 Colorful Accent 2" w:uiPriority="39" w:qFormat="1"/>
    <w:lsdException w:name="Grid Table 1 Light Accent 3" w:uiPriority="41"/>
    <w:lsdException w:name="Grid Table 2 Accent 3" w:uiPriority="42"/>
    <w:lsdException w:name="Grid Table 3 Accent 3" w:uiPriority="43"/>
    <w:lsdException w:name="Grid Table 4 Accent 3" w:uiPriority="44"/>
    <w:lsdException w:name="Grid Table 5 Dark Accent 3" w:uiPriority="45"/>
    <w:lsdException w:name="Grid Table 6 Colorful Accent 3" w:uiPriority="40"/>
    <w:lsdException w:name="Grid Table 7 Colorful Accent 3" w:uiPriority="46"/>
    <w:lsdException w:name="Grid Table 1 Light Accent 4" w:uiPriority="47"/>
    <w:lsdException w:name="Grid Table 2 Accent 4" w:uiPriority="48"/>
    <w:lsdException w:name="Grid Table 3 Accent 4" w:uiPriority="49"/>
    <w:lsdException w:name="Grid Table 4 Accent 4" w:uiPriority="50"/>
    <w:lsdException w:name="Grid Table 5 Dark Accent 4" w:uiPriority="51"/>
    <w:lsdException w:name="Grid Table 6 Colorful Accent 4" w:uiPriority="52"/>
    <w:lsdException w:name="Grid Table 7 Colorful Accent 4" w:uiPriority="46"/>
    <w:lsdException w:name="Grid Table 1 Light Accent 5" w:uiPriority="47"/>
    <w:lsdException w:name="Grid Table 2 Accent 5" w:uiPriority="48"/>
    <w:lsdException w:name="Grid Table 3 Accent 5" w:uiPriority="49"/>
    <w:lsdException w:name="Grid Table 4 Accent 5" w:uiPriority="50"/>
    <w:lsdException w:name="Grid Table 5 Dark Accent 5" w:uiPriority="51"/>
    <w:lsdException w:name="Grid Table 6 Colorful Accent 5" w:uiPriority="52"/>
    <w:lsdException w:name="Grid Table 7 Colorful Accent 5" w:uiPriority="46"/>
    <w:lsdException w:name="Grid Table 1 Light Accent 6" w:uiPriority="47"/>
    <w:lsdException w:name="Grid Table 2 Accent 6" w:uiPriority="48"/>
    <w:lsdException w:name="Grid Table 3 Accent 6" w:uiPriority="49"/>
    <w:lsdException w:name="Grid Table 4 Accent 6" w:uiPriority="50"/>
    <w:lsdException w:name="Grid Table 5 Dark Accent 6" w:uiPriority="51"/>
    <w:lsdException w:name="Grid Table 6 Colorful Accent 6" w:uiPriority="52"/>
    <w:lsdException w:name="Grid Table 7 Colorful Accent 6" w:uiPriority="46"/>
    <w:lsdException w:name="List Table 1 Light" w:uiPriority="47"/>
    <w:lsdException w:name="List Table 2" w:uiPriority="48"/>
    <w:lsdException w:name="List Table 3" w:uiPriority="49"/>
    <w:lsdException w:name="List Table 4" w:uiPriority="50"/>
    <w:lsdException w:name="List Table 5 Dark" w:uiPriority="51"/>
    <w:lsdException w:name="List Table 6 Colorful" w:uiPriority="52"/>
    <w:lsdException w:name="List Table 7 Colorful" w:uiPriority="46"/>
    <w:lsdException w:name="List Table 1 Light Accent 1" w:uiPriority="47"/>
    <w:lsdException w:name="List Table 2 Accent 1" w:uiPriority="48"/>
    <w:lsdException w:name="List Table 3 Accent 1" w:uiPriority="49"/>
    <w:lsdException w:name="List Table 4 Accent 1" w:uiPriority="50"/>
    <w:lsdException w:name="List Table 5 Dark Accent 1" w:uiPriority="51"/>
    <w:lsdException w:name="List Table 6 Colorful Accent 1" w:uiPriority="52"/>
    <w:lsdException w:name="List Table 7 Colorful Accent 1" w:uiPriority="46"/>
    <w:lsdException w:name="List Table 1 Light Accent 2" w:uiPriority="47"/>
    <w:lsdException w:name="List Table 2 Accent 2" w:uiPriority="48"/>
    <w:lsdException w:name="List Table 3 Accent 2" w:uiPriority="49"/>
    <w:lsdException w:name="List Table 4 Accent 2" w:uiPriority="50"/>
    <w:lsdException w:name="List Table 5 Dark Accent 2" w:uiPriority="51"/>
    <w:lsdException w:name="List Table 6 Colorful Accent 2" w:uiPriority="52"/>
    <w:lsdException w:name="List Table 7 Colorful Accent 2" w:uiPriority="46"/>
    <w:lsdException w:name="List Table 1 Light Accent 3" w:uiPriority="47"/>
    <w:lsdException w:name="List Table 2 Accent 3" w:uiPriority="48"/>
    <w:lsdException w:name="List Table 3 Accent 3" w:uiPriority="49"/>
    <w:lsdException w:name="List Table 4 Accent 3" w:uiPriority="50"/>
    <w:lsdException w:name="List Table 5 Dark Accent 3" w:uiPriority="51"/>
    <w:lsdException w:name="List Table 6 Colorful Accent 3" w:uiPriority="52"/>
    <w:lsdException w:name="List Table 7 Colorful Accent 3" w:uiPriority="46"/>
    <w:lsdException w:name="List Table 1 Light Accent 4" w:uiPriority="47"/>
    <w:lsdException w:name="List Table 2 Accent 4" w:uiPriority="48"/>
    <w:lsdException w:name="List Table 3 Accent 4" w:uiPriority="49"/>
    <w:lsdException w:name="List Table 4 Accent 4" w:uiPriority="50"/>
    <w:lsdException w:name="List Table 5 Dark Accent 4" w:uiPriority="51"/>
    <w:lsdException w:name="List Table 6 Colorful Accent 4" w:uiPriority="52"/>
    <w:lsdException w:name="List Table 7 Colorful Accent 4" w:uiPriority="46"/>
    <w:lsdException w:name="List Table 1 Light Accent 5" w:uiPriority="47"/>
    <w:lsdException w:name="List Table 2 Accent 5" w:uiPriority="48"/>
    <w:lsdException w:name="List Table 3 Accent 5" w:uiPriority="49"/>
    <w:lsdException w:name="List Table 4 Accent 5" w:uiPriority="50"/>
    <w:lsdException w:name="List Table 5 Dark Accent 5" w:uiPriority="51"/>
    <w:lsdException w:name="List Table 6 Colorful Accent 5" w:uiPriority="52"/>
    <w:lsdException w:name="List Table 7 Colorful Accent 5" w:uiPriority="46"/>
    <w:lsdException w:name="List Table 1 Light Accent 6" w:uiPriority="47"/>
    <w:lsdException w:name="List Table 2 Accent 6" w:uiPriority="48"/>
    <w:lsdException w:name="List Table 3 Accent 6" w:uiPriority="49"/>
    <w:lsdException w:name="List Table 4 Accent 6" w:uiPriority="50"/>
    <w:lsdException w:name="List Table 5 Dark Accent 6" w:uiPriority="51"/>
    <w:lsdException w:name="List Table 6 Colorful Accent 6" w:uiPriority="52"/>
    <w:lsdException w:name="List Table 7 Colorful Accent 6" w:uiPriority="46"/>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C15DD"/>
    <w:rPr>
      <w:rFonts w:ascii="Times New Roman" w:eastAsia="MS Mincho" w:hAnsi="Times New Roman"/>
      <w:sz w:val="22"/>
      <w:szCs w:val="24"/>
      <w:lang w:eastAsia="ja-JP"/>
    </w:rPr>
  </w:style>
  <w:style w:type="paragraph" w:styleId="Heading1">
    <w:name w:val="heading 1"/>
    <w:basedOn w:val="Normal"/>
    <w:next w:val="Normal"/>
    <w:link w:val="Heading1Char"/>
    <w:uiPriority w:val="9"/>
    <w:qFormat/>
    <w:rsid w:val="00C948AE"/>
    <w:pPr>
      <w:keepNext/>
      <w:keepLines/>
      <w:spacing w:before="480"/>
      <w:outlineLvl w:val="0"/>
    </w:pPr>
    <w:rPr>
      <w:rFonts w:ascii="Cambria" w:eastAsia="MS Gothic" w:hAnsi="Cambria"/>
      <w:b/>
      <w:bCs/>
      <w:color w:val="365F91"/>
      <w:sz w:val="28"/>
      <w:szCs w:val="28"/>
    </w:rPr>
  </w:style>
  <w:style w:type="paragraph" w:styleId="Heading2">
    <w:name w:val="heading 2"/>
    <w:basedOn w:val="Normal"/>
    <w:next w:val="Normal"/>
    <w:link w:val="Heading2Char"/>
    <w:uiPriority w:val="9"/>
    <w:qFormat/>
    <w:rsid w:val="00AC7431"/>
    <w:pPr>
      <w:keepNext/>
      <w:keepLines/>
      <w:spacing w:before="200"/>
      <w:outlineLvl w:val="1"/>
    </w:pPr>
    <w:rPr>
      <w:rFonts w:ascii="Cambria" w:eastAsia="MS Gothic" w:hAnsi="Cambria"/>
      <w:b/>
      <w:bCs/>
      <w:color w:val="4F81BD"/>
      <w:sz w:val="26"/>
      <w:szCs w:val="26"/>
    </w:rPr>
  </w:style>
  <w:style w:type="paragraph" w:styleId="Heading3">
    <w:name w:val="heading 3"/>
    <w:basedOn w:val="Normal"/>
    <w:next w:val="Normal"/>
    <w:link w:val="Heading3Char"/>
    <w:uiPriority w:val="9"/>
    <w:qFormat/>
    <w:rsid w:val="00F66EAD"/>
    <w:pPr>
      <w:keepNext/>
      <w:keepLines/>
      <w:spacing w:before="200"/>
      <w:outlineLvl w:val="2"/>
    </w:pPr>
    <w:rPr>
      <w:rFonts w:ascii="Cambria" w:eastAsia="MS Gothic" w:hAnsi="Cambria"/>
      <w:b/>
      <w:bCs/>
      <w:color w:val="4F81BD"/>
    </w:rPr>
  </w:style>
  <w:style w:type="paragraph" w:styleId="Heading4">
    <w:name w:val="heading 4"/>
    <w:basedOn w:val="Normal"/>
    <w:next w:val="Normal"/>
    <w:link w:val="Heading4Char"/>
    <w:qFormat/>
    <w:rsid w:val="004E72C0"/>
    <w:pPr>
      <w:keepNext/>
      <w:spacing w:before="240" w:after="60" w:line="276" w:lineRule="auto"/>
      <w:outlineLvl w:val="3"/>
    </w:pPr>
    <w:rPr>
      <w:rFonts w:eastAsia="Times New Roman"/>
      <w:b/>
      <w:bCs/>
      <w:sz w:val="28"/>
      <w:szCs w:val="28"/>
      <w:lang w:val="x-none" w:eastAsia="x-none"/>
    </w:rPr>
  </w:style>
  <w:style w:type="paragraph" w:styleId="Heading6">
    <w:name w:val="heading 6"/>
    <w:basedOn w:val="Normal"/>
    <w:next w:val="Normal"/>
    <w:link w:val="Heading6Char"/>
    <w:uiPriority w:val="9"/>
    <w:qFormat/>
    <w:rsid w:val="004D14D8"/>
    <w:pPr>
      <w:spacing w:before="240" w:after="60"/>
      <w:outlineLvl w:val="5"/>
    </w:pPr>
    <w:rPr>
      <w:rFonts w:ascii="Calibri" w:eastAsia="Times New Roman" w:hAnsi="Calibri"/>
      <w:b/>
      <w:bCs/>
      <w:szCs w:val="22"/>
      <w:lang w:val="x-none"/>
    </w:rPr>
  </w:style>
  <w:style w:type="paragraph" w:styleId="Heading8">
    <w:name w:val="heading 8"/>
    <w:basedOn w:val="Normal"/>
    <w:next w:val="Normal"/>
    <w:link w:val="Heading8Char"/>
    <w:qFormat/>
    <w:rsid w:val="000D33CD"/>
    <w:pPr>
      <w:tabs>
        <w:tab w:val="num" w:pos="5760"/>
      </w:tabs>
      <w:suppressAutoHyphens/>
      <w:spacing w:before="240" w:after="60" w:line="240" w:lineRule="exact"/>
      <w:ind w:left="5760" w:hanging="360"/>
      <w:outlineLvl w:val="7"/>
    </w:pPr>
    <w:rPr>
      <w:rFonts w:ascii="Arial" w:eastAsia="Times New Roman" w:hAnsi="Arial"/>
      <w:i/>
      <w:iCs/>
      <w:spacing w:val="4"/>
      <w:w w:val="103"/>
      <w:kern w:val="14"/>
      <w:sz w:val="20"/>
      <w:szCs w:val="20"/>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link w:val="Heading8"/>
    <w:rsid w:val="000D33CD"/>
    <w:rPr>
      <w:rFonts w:ascii="Arial" w:eastAsia="Times New Roman" w:hAnsi="Arial" w:cs="Arial"/>
      <w:i/>
      <w:iCs/>
      <w:spacing w:val="4"/>
      <w:w w:val="103"/>
      <w:kern w:val="14"/>
      <w:lang w:val="en-GB"/>
    </w:rPr>
  </w:style>
  <w:style w:type="paragraph" w:customStyle="1" w:styleId="LightGrid-Accent31">
    <w:name w:val="Light Grid - Accent 31"/>
    <w:aliases w:val="List Paragraph (numbered (a))"/>
    <w:basedOn w:val="Normal"/>
    <w:link w:val="LightGrid-Accent3Char"/>
    <w:uiPriority w:val="34"/>
    <w:qFormat/>
    <w:rsid w:val="000D33CD"/>
    <w:pPr>
      <w:ind w:left="720"/>
    </w:pPr>
    <w:rPr>
      <w:rFonts w:ascii="Calibri" w:eastAsia="Calibri" w:hAnsi="Calibri"/>
      <w:szCs w:val="22"/>
      <w:lang w:val="x-none" w:eastAsia="x-none"/>
    </w:rPr>
  </w:style>
  <w:style w:type="paragraph" w:customStyle="1" w:styleId="HM">
    <w:name w:val="_ H __M"/>
    <w:basedOn w:val="Normal"/>
    <w:next w:val="Normal"/>
    <w:rsid w:val="000D33CD"/>
    <w:pPr>
      <w:keepNext/>
      <w:keepLines/>
      <w:suppressAutoHyphens/>
      <w:spacing w:line="360" w:lineRule="exact"/>
      <w:outlineLvl w:val="0"/>
    </w:pPr>
    <w:rPr>
      <w:rFonts w:eastAsia="Calibri"/>
      <w:b/>
      <w:bCs/>
      <w:spacing w:val="-3"/>
      <w:w w:val="99"/>
      <w:kern w:val="14"/>
      <w:sz w:val="34"/>
      <w:szCs w:val="34"/>
      <w:lang w:val="en-GB" w:eastAsia="en-US"/>
    </w:rPr>
  </w:style>
  <w:style w:type="character" w:styleId="FootnoteReference">
    <w:name w:val="footnote reference"/>
    <w:aliases w:val="ftref,Carattere Char1,Carattere Char Char Carattere Carattere Char Char, Carattere Char1, Carattere Char Char Carattere Carattere Char Char,16 Point,Superscript 6 Point,fr"/>
    <w:uiPriority w:val="99"/>
    <w:rsid w:val="007458AB"/>
    <w:rPr>
      <w:rFonts w:cs="Times New Roman"/>
      <w:spacing w:val="-5"/>
      <w:w w:val="130"/>
      <w:position w:val="-4"/>
      <w:vertAlign w:val="superscript"/>
    </w:rPr>
  </w:style>
  <w:style w:type="paragraph" w:styleId="FootnoteText">
    <w:name w:val="footnote text"/>
    <w:aliases w:val="single space,fn,ft,Footnote Text Char Char Char Char,Footnote Text Char Char,footnote text,Footnote Text Char2,Footnote Text Char1 Char1,Footnote Text Char Char Char,Footnote Text Char2 Char Char Char,Char,FOOTNOTES"/>
    <w:basedOn w:val="Normal"/>
    <w:link w:val="FootnoteTextChar1"/>
    <w:uiPriority w:val="99"/>
    <w:rsid w:val="007458AB"/>
    <w:pPr>
      <w:widowControl w:val="0"/>
      <w:tabs>
        <w:tab w:val="right" w:pos="418"/>
      </w:tabs>
      <w:suppressAutoHyphens/>
      <w:spacing w:line="210" w:lineRule="exact"/>
      <w:ind w:left="475" w:hanging="475"/>
    </w:pPr>
    <w:rPr>
      <w:rFonts w:eastAsia="Calibri"/>
      <w:spacing w:val="5"/>
      <w:w w:val="104"/>
      <w:kern w:val="14"/>
      <w:sz w:val="17"/>
      <w:szCs w:val="17"/>
      <w:lang w:val="en-GB" w:eastAsia="x-none"/>
    </w:rPr>
  </w:style>
  <w:style w:type="character" w:customStyle="1" w:styleId="FootnoteTextChar">
    <w:name w:val="Footnote Text Char"/>
    <w:aliases w:val="Footnote Text Char Char Char Char Char,Footnote Text Char Char Char1,footnote text Char,Footnote Text Char2 Char,Footnote Text Char1 Char1 Char,Footnote Text Char Char Char Char1,Footnote Text Char1 Char,Char Char"/>
    <w:uiPriority w:val="99"/>
    <w:rsid w:val="007458AB"/>
    <w:rPr>
      <w:rFonts w:ascii="Times New Roman" w:eastAsia="MS Mincho" w:hAnsi="Times New Roman"/>
      <w:lang w:eastAsia="ja-JP"/>
    </w:rPr>
  </w:style>
  <w:style w:type="character" w:customStyle="1" w:styleId="FootnoteTextChar1">
    <w:name w:val="Footnote Text Char1"/>
    <w:aliases w:val="single space Char,fn Char,ft Char,Footnote Text Char Char Char Char Char1,Footnote Text Char Char Char2,footnote text Char1,Footnote Text Char2 Char1,Footnote Text Char1 Char1 Char1,Footnote Text Char Char Char Char2,Char Char1"/>
    <w:link w:val="FootnoteText"/>
    <w:uiPriority w:val="99"/>
    <w:locked/>
    <w:rsid w:val="007458AB"/>
    <w:rPr>
      <w:rFonts w:ascii="Times New Roman" w:hAnsi="Times New Roman"/>
      <w:spacing w:val="5"/>
      <w:w w:val="104"/>
      <w:kern w:val="14"/>
      <w:sz w:val="17"/>
      <w:szCs w:val="17"/>
      <w:lang w:val="en-GB"/>
    </w:rPr>
  </w:style>
  <w:style w:type="character" w:styleId="Hyperlink">
    <w:name w:val="Hyperlink"/>
    <w:uiPriority w:val="99"/>
    <w:rsid w:val="007458AB"/>
    <w:rPr>
      <w:rFonts w:cs="Times New Roman"/>
      <w:color w:val="0000FF"/>
      <w:u w:val="single"/>
    </w:rPr>
  </w:style>
  <w:style w:type="paragraph" w:styleId="Header">
    <w:name w:val="header"/>
    <w:basedOn w:val="Normal"/>
    <w:link w:val="HeaderChar"/>
    <w:unhideWhenUsed/>
    <w:rsid w:val="00D543DB"/>
    <w:pPr>
      <w:tabs>
        <w:tab w:val="center" w:pos="4680"/>
        <w:tab w:val="right" w:pos="9360"/>
      </w:tabs>
    </w:pPr>
    <w:rPr>
      <w:sz w:val="24"/>
      <w:lang w:val="x-none"/>
    </w:rPr>
  </w:style>
  <w:style w:type="character" w:customStyle="1" w:styleId="HeaderChar">
    <w:name w:val="Header Char"/>
    <w:link w:val="Header"/>
    <w:rsid w:val="00D543DB"/>
    <w:rPr>
      <w:rFonts w:ascii="Times New Roman" w:eastAsia="MS Mincho" w:hAnsi="Times New Roman"/>
      <w:sz w:val="24"/>
      <w:szCs w:val="24"/>
      <w:lang w:eastAsia="ja-JP"/>
    </w:rPr>
  </w:style>
  <w:style w:type="paragraph" w:styleId="Footer">
    <w:name w:val="footer"/>
    <w:basedOn w:val="Normal"/>
    <w:link w:val="FooterChar"/>
    <w:uiPriority w:val="99"/>
    <w:unhideWhenUsed/>
    <w:rsid w:val="00D543DB"/>
    <w:pPr>
      <w:tabs>
        <w:tab w:val="center" w:pos="4680"/>
        <w:tab w:val="right" w:pos="9360"/>
      </w:tabs>
    </w:pPr>
    <w:rPr>
      <w:sz w:val="24"/>
      <w:lang w:val="x-none"/>
    </w:rPr>
  </w:style>
  <w:style w:type="character" w:customStyle="1" w:styleId="FooterChar">
    <w:name w:val="Footer Char"/>
    <w:link w:val="Footer"/>
    <w:uiPriority w:val="99"/>
    <w:rsid w:val="00D543DB"/>
    <w:rPr>
      <w:rFonts w:ascii="Times New Roman" w:eastAsia="MS Mincho" w:hAnsi="Times New Roman"/>
      <w:sz w:val="24"/>
      <w:szCs w:val="24"/>
      <w:lang w:eastAsia="ja-JP"/>
    </w:rPr>
  </w:style>
  <w:style w:type="paragraph" w:styleId="NormalWeb">
    <w:name w:val="Normal (Web)"/>
    <w:basedOn w:val="Normal"/>
    <w:uiPriority w:val="99"/>
    <w:unhideWhenUsed/>
    <w:rsid w:val="005A6D93"/>
    <w:pPr>
      <w:spacing w:before="100" w:beforeAutospacing="1" w:after="100" w:afterAutospacing="1"/>
    </w:pPr>
    <w:rPr>
      <w:rFonts w:eastAsia="Calibri"/>
      <w:lang w:eastAsia="en-US"/>
    </w:rPr>
  </w:style>
  <w:style w:type="paragraph" w:styleId="BodyText">
    <w:name w:val="Body Text"/>
    <w:aliases w:val="Body Text Char2,Body Text Char1 Char,Body Text Char Char Char,Body Text Char1 Char Char Char,Body Text Char Char Char Char Char,Body Text Char1 Char Char Char Char Char,Body Text Char Char Char Char Char Char Char,Body Text Char1,Body Text Cha"/>
    <w:basedOn w:val="Normal"/>
    <w:link w:val="BodyTextChar"/>
    <w:rsid w:val="005A6D93"/>
    <w:pPr>
      <w:spacing w:after="270" w:line="270" w:lineRule="atLeast"/>
    </w:pPr>
    <w:rPr>
      <w:rFonts w:eastAsia="Times New Roman"/>
      <w:sz w:val="23"/>
      <w:szCs w:val="20"/>
      <w:lang w:val="en-GB" w:eastAsia="da-DK"/>
    </w:rPr>
  </w:style>
  <w:style w:type="character" w:customStyle="1" w:styleId="BodyTextChar">
    <w:name w:val="Body Text Char"/>
    <w:aliases w:val="Body Text Char2 Char,Body Text Char1 Char Char,Body Text Char Char Char Char,Body Text Char1 Char Char Char Char,Body Text Char Char Char Char Char Char,Body Text Char1 Char Char Char Char Char Char,Body Text Char1 Char1"/>
    <w:link w:val="BodyText"/>
    <w:rsid w:val="005A6D93"/>
    <w:rPr>
      <w:rFonts w:ascii="Times New Roman" w:eastAsia="Times New Roman" w:hAnsi="Times New Roman"/>
      <w:sz w:val="23"/>
      <w:lang w:val="en-GB" w:eastAsia="da-DK"/>
    </w:rPr>
  </w:style>
  <w:style w:type="paragraph" w:styleId="CommentText">
    <w:name w:val="annotation text"/>
    <w:basedOn w:val="Normal"/>
    <w:link w:val="CommentTextChar"/>
    <w:uiPriority w:val="99"/>
    <w:unhideWhenUsed/>
    <w:rsid w:val="0020008F"/>
    <w:rPr>
      <w:sz w:val="20"/>
      <w:szCs w:val="20"/>
      <w:lang w:val="x-none" w:eastAsia="x-none"/>
    </w:rPr>
  </w:style>
  <w:style w:type="character" w:customStyle="1" w:styleId="CommentTextChar">
    <w:name w:val="Comment Text Char"/>
    <w:link w:val="CommentText"/>
    <w:uiPriority w:val="99"/>
    <w:rsid w:val="0020008F"/>
    <w:rPr>
      <w:rFonts w:ascii="Times New Roman" w:eastAsia="MS Mincho" w:hAnsi="Times New Roman"/>
    </w:rPr>
  </w:style>
  <w:style w:type="character" w:styleId="CommentReference">
    <w:name w:val="annotation reference"/>
    <w:uiPriority w:val="99"/>
    <w:rsid w:val="0020008F"/>
    <w:rPr>
      <w:sz w:val="16"/>
      <w:szCs w:val="16"/>
    </w:rPr>
  </w:style>
  <w:style w:type="paragraph" w:styleId="BalloonText">
    <w:name w:val="Balloon Text"/>
    <w:basedOn w:val="Normal"/>
    <w:link w:val="BalloonTextChar"/>
    <w:uiPriority w:val="99"/>
    <w:semiHidden/>
    <w:unhideWhenUsed/>
    <w:rsid w:val="0020008F"/>
    <w:rPr>
      <w:rFonts w:ascii="Tahoma" w:hAnsi="Tahoma"/>
      <w:sz w:val="16"/>
      <w:szCs w:val="16"/>
      <w:lang w:val="x-none"/>
    </w:rPr>
  </w:style>
  <w:style w:type="character" w:customStyle="1" w:styleId="BalloonTextChar">
    <w:name w:val="Balloon Text Char"/>
    <w:link w:val="BalloonText"/>
    <w:uiPriority w:val="99"/>
    <w:semiHidden/>
    <w:rsid w:val="0020008F"/>
    <w:rPr>
      <w:rFonts w:ascii="Tahoma" w:eastAsia="MS Mincho" w:hAnsi="Tahoma" w:cs="Tahoma"/>
      <w:sz w:val="16"/>
      <w:szCs w:val="16"/>
      <w:lang w:eastAsia="ja-JP"/>
    </w:rPr>
  </w:style>
  <w:style w:type="character" w:customStyle="1" w:styleId="Heading4Char">
    <w:name w:val="Heading 4 Char"/>
    <w:link w:val="Heading4"/>
    <w:rsid w:val="004E72C0"/>
    <w:rPr>
      <w:rFonts w:ascii="Times New Roman" w:eastAsia="Times New Roman" w:hAnsi="Times New Roman"/>
      <w:b/>
      <w:bCs/>
      <w:sz w:val="28"/>
      <w:szCs w:val="28"/>
    </w:rPr>
  </w:style>
  <w:style w:type="paragraph" w:customStyle="1" w:styleId="HCh">
    <w:name w:val="_ H _Ch"/>
    <w:basedOn w:val="Normal"/>
    <w:next w:val="Normal"/>
    <w:rsid w:val="004E72C0"/>
    <w:pPr>
      <w:keepNext/>
      <w:keepLines/>
      <w:suppressAutoHyphens/>
      <w:spacing w:line="300" w:lineRule="exact"/>
      <w:outlineLvl w:val="0"/>
    </w:pPr>
    <w:rPr>
      <w:rFonts w:eastAsia="Times New Roman"/>
      <w:b/>
      <w:bCs/>
      <w:spacing w:val="-2"/>
      <w:w w:val="103"/>
      <w:kern w:val="14"/>
      <w:sz w:val="28"/>
      <w:szCs w:val="28"/>
      <w:lang w:val="en-GB" w:eastAsia="en-US"/>
    </w:rPr>
  </w:style>
  <w:style w:type="paragraph" w:customStyle="1" w:styleId="H56">
    <w:name w:val="_ H_5/6"/>
    <w:basedOn w:val="Normal"/>
    <w:next w:val="Normal"/>
    <w:rsid w:val="004E72C0"/>
    <w:pPr>
      <w:keepNext/>
      <w:keepLines/>
      <w:tabs>
        <w:tab w:val="right" w:pos="360"/>
      </w:tabs>
      <w:suppressAutoHyphens/>
      <w:spacing w:line="240" w:lineRule="exact"/>
      <w:outlineLvl w:val="4"/>
    </w:pPr>
    <w:rPr>
      <w:rFonts w:eastAsia="Times New Roman"/>
      <w:spacing w:val="4"/>
      <w:w w:val="103"/>
      <w:kern w:val="14"/>
      <w:sz w:val="20"/>
      <w:szCs w:val="20"/>
      <w:lang w:val="en-GB" w:eastAsia="en-US"/>
    </w:rPr>
  </w:style>
  <w:style w:type="character" w:customStyle="1" w:styleId="HeaderChar1">
    <w:name w:val="Header Char1"/>
    <w:locked/>
    <w:rsid w:val="004E72C0"/>
    <w:rPr>
      <w:rFonts w:cs="Times New Roman"/>
      <w:noProof/>
      <w:sz w:val="17"/>
      <w:szCs w:val="17"/>
      <w:lang w:val="en-US" w:eastAsia="en-US" w:bidi="ar-SA"/>
    </w:rPr>
  </w:style>
  <w:style w:type="paragraph" w:customStyle="1" w:styleId="XLarge">
    <w:name w:val="XLarge"/>
    <w:basedOn w:val="HM"/>
    <w:rsid w:val="004E72C0"/>
    <w:pPr>
      <w:tabs>
        <w:tab w:val="right" w:leader="dot" w:pos="360"/>
      </w:tabs>
      <w:spacing w:line="390" w:lineRule="exact"/>
    </w:pPr>
    <w:rPr>
      <w:rFonts w:eastAsia="Times New Roman"/>
      <w:spacing w:val="-4"/>
      <w:w w:val="98"/>
      <w:sz w:val="40"/>
      <w:szCs w:val="40"/>
    </w:rPr>
  </w:style>
  <w:style w:type="table" w:styleId="TableGrid">
    <w:name w:val="Table Grid"/>
    <w:basedOn w:val="TableNormal"/>
    <w:uiPriority w:val="59"/>
    <w:rsid w:val="0047711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AA14AB"/>
    <w:rPr>
      <w:b/>
      <w:bCs/>
    </w:rPr>
  </w:style>
  <w:style w:type="character" w:customStyle="1" w:styleId="CommentSubjectChar">
    <w:name w:val="Comment Subject Char"/>
    <w:link w:val="CommentSubject"/>
    <w:uiPriority w:val="99"/>
    <w:semiHidden/>
    <w:rsid w:val="00AA14AB"/>
    <w:rPr>
      <w:rFonts w:ascii="Times New Roman" w:eastAsia="MS Mincho" w:hAnsi="Times New Roman"/>
      <w:b/>
      <w:bCs/>
    </w:rPr>
  </w:style>
  <w:style w:type="paragraph" w:styleId="PlainText">
    <w:name w:val="Plain Text"/>
    <w:basedOn w:val="Normal"/>
    <w:link w:val="PlainTextChar"/>
    <w:uiPriority w:val="99"/>
    <w:unhideWhenUsed/>
    <w:rsid w:val="004D0096"/>
    <w:pPr>
      <w:autoSpaceDE w:val="0"/>
      <w:autoSpaceDN w:val="0"/>
      <w:adjustRightInd w:val="0"/>
    </w:pPr>
    <w:rPr>
      <w:rFonts w:ascii="Consolas" w:eastAsia="Calibri" w:hAnsi="Consolas"/>
      <w:sz w:val="21"/>
      <w:szCs w:val="21"/>
      <w:lang w:val="en-GB" w:eastAsia="x-none"/>
    </w:rPr>
  </w:style>
  <w:style w:type="character" w:customStyle="1" w:styleId="PlainTextChar">
    <w:name w:val="Plain Text Char"/>
    <w:link w:val="PlainText"/>
    <w:uiPriority w:val="99"/>
    <w:rsid w:val="004D0096"/>
    <w:rPr>
      <w:rFonts w:ascii="Consolas" w:hAnsi="Consolas"/>
      <w:sz w:val="21"/>
      <w:szCs w:val="21"/>
      <w:lang w:val="en-GB"/>
    </w:rPr>
  </w:style>
  <w:style w:type="character" w:customStyle="1" w:styleId="LightGrid-Accent3Char">
    <w:name w:val="Light Grid - Accent 3 Char"/>
    <w:aliases w:val="List Paragraph (numbered (a)) Char,Medium Grid 1 - Accent 2 Char1"/>
    <w:link w:val="LightGrid-Accent31"/>
    <w:uiPriority w:val="34"/>
    <w:qFormat/>
    <w:rsid w:val="004D0096"/>
    <w:rPr>
      <w:rFonts w:cs="Calibri"/>
      <w:sz w:val="22"/>
      <w:szCs w:val="22"/>
    </w:rPr>
  </w:style>
  <w:style w:type="paragraph" w:customStyle="1" w:styleId="ADRText">
    <w:name w:val="ADR_Text"/>
    <w:basedOn w:val="Normal"/>
    <w:qFormat/>
    <w:rsid w:val="004D0096"/>
    <w:pPr>
      <w:autoSpaceDE w:val="0"/>
      <w:autoSpaceDN w:val="0"/>
      <w:adjustRightInd w:val="0"/>
      <w:ind w:left="-360"/>
    </w:pPr>
    <w:rPr>
      <w:rFonts w:ascii="Calibri" w:eastAsia="Times New Roman" w:hAnsi="Calibri"/>
      <w:szCs w:val="20"/>
      <w:lang w:val="en-GB" w:eastAsia="en-US"/>
    </w:rPr>
  </w:style>
  <w:style w:type="paragraph" w:customStyle="1" w:styleId="LightList-Accent31">
    <w:name w:val="Light List - Accent 31"/>
    <w:hidden/>
    <w:uiPriority w:val="99"/>
    <w:semiHidden/>
    <w:rsid w:val="0032608D"/>
    <w:rPr>
      <w:rFonts w:ascii="Times New Roman" w:eastAsia="MS Mincho" w:hAnsi="Times New Roman"/>
      <w:sz w:val="24"/>
      <w:szCs w:val="24"/>
      <w:lang w:eastAsia="ja-JP"/>
    </w:rPr>
  </w:style>
  <w:style w:type="character" w:customStyle="1" w:styleId="Heading6Char">
    <w:name w:val="Heading 6 Char"/>
    <w:link w:val="Heading6"/>
    <w:uiPriority w:val="9"/>
    <w:semiHidden/>
    <w:rsid w:val="004D14D8"/>
    <w:rPr>
      <w:rFonts w:ascii="Calibri" w:eastAsia="Times New Roman" w:hAnsi="Calibri" w:cs="Times New Roman"/>
      <w:b/>
      <w:bCs/>
      <w:sz w:val="22"/>
      <w:szCs w:val="22"/>
      <w:lang w:eastAsia="ja-JP"/>
    </w:rPr>
  </w:style>
  <w:style w:type="character" w:customStyle="1" w:styleId="MediumGrid1-Accent2Char">
    <w:name w:val="Medium Grid 1 - Accent 2 Char"/>
    <w:link w:val="MediumGrid1-Accent21"/>
    <w:uiPriority w:val="34"/>
    <w:locked/>
    <w:rsid w:val="00370482"/>
    <w:rPr>
      <w:rFonts w:cs="Calibri"/>
      <w:lang w:val="en-US"/>
    </w:rPr>
  </w:style>
  <w:style w:type="paragraph" w:customStyle="1" w:styleId="MediumGrid1-Accent21">
    <w:name w:val="Medium Grid 1 - Accent 21"/>
    <w:basedOn w:val="Normal"/>
    <w:link w:val="MediumGrid1-Accent2Char"/>
    <w:uiPriority w:val="34"/>
    <w:qFormat/>
    <w:rsid w:val="00370482"/>
    <w:pPr>
      <w:ind w:left="720"/>
    </w:pPr>
    <w:rPr>
      <w:rFonts w:ascii="Calibri" w:eastAsia="Calibri" w:hAnsi="Calibri"/>
      <w:sz w:val="20"/>
      <w:szCs w:val="20"/>
      <w:lang w:eastAsia="x-none"/>
    </w:rPr>
  </w:style>
  <w:style w:type="paragraph" w:styleId="Caption">
    <w:name w:val="caption"/>
    <w:basedOn w:val="Normal"/>
    <w:next w:val="Normal"/>
    <w:uiPriority w:val="35"/>
    <w:qFormat/>
    <w:rsid w:val="00C22A3C"/>
    <w:pPr>
      <w:spacing w:after="200"/>
    </w:pPr>
    <w:rPr>
      <w:b/>
      <w:bCs/>
      <w:color w:val="4F81BD"/>
      <w:sz w:val="18"/>
      <w:szCs w:val="18"/>
    </w:rPr>
  </w:style>
  <w:style w:type="paragraph" w:customStyle="1" w:styleId="numberednormal">
    <w:name w:val="numbered normal"/>
    <w:basedOn w:val="Normal"/>
    <w:link w:val="numberednormalChar"/>
    <w:qFormat/>
    <w:rsid w:val="00606974"/>
    <w:pPr>
      <w:tabs>
        <w:tab w:val="left" w:pos="540"/>
      </w:tabs>
      <w:spacing w:before="120" w:after="120"/>
      <w:jc w:val="both"/>
    </w:pPr>
    <w:rPr>
      <w:szCs w:val="20"/>
      <w:lang w:val="x-none"/>
    </w:rPr>
  </w:style>
  <w:style w:type="paragraph" w:customStyle="1" w:styleId="Normalsubnumbered">
    <w:name w:val="Normal sub numbered"/>
    <w:basedOn w:val="NormalsubHeader2"/>
    <w:qFormat/>
    <w:rsid w:val="00D74320"/>
    <w:pPr>
      <w:tabs>
        <w:tab w:val="left" w:pos="180"/>
      </w:tabs>
      <w:ind w:left="180"/>
    </w:pPr>
    <w:rPr>
      <w:sz w:val="22"/>
    </w:rPr>
  </w:style>
  <w:style w:type="character" w:customStyle="1" w:styleId="numberednormalChar">
    <w:name w:val="numbered normal Char"/>
    <w:link w:val="numberednormal"/>
    <w:rsid w:val="00606974"/>
    <w:rPr>
      <w:rFonts w:ascii="Times New Roman" w:eastAsia="MS Mincho" w:hAnsi="Times New Roman"/>
      <w:sz w:val="22"/>
      <w:lang w:val="x-none" w:eastAsia="ja-JP"/>
    </w:rPr>
  </w:style>
  <w:style w:type="paragraph" w:customStyle="1" w:styleId="nornalbullet">
    <w:name w:val="nornal bullet"/>
    <w:basedOn w:val="Normal"/>
    <w:link w:val="nornalbulletChar"/>
    <w:qFormat/>
    <w:rsid w:val="001636B4"/>
    <w:pPr>
      <w:numPr>
        <w:numId w:val="2"/>
      </w:numPr>
      <w:suppressAutoHyphens/>
      <w:ind w:right="446"/>
      <w:jc w:val="both"/>
    </w:pPr>
    <w:rPr>
      <w:szCs w:val="22"/>
    </w:rPr>
  </w:style>
  <w:style w:type="paragraph" w:customStyle="1" w:styleId="normalHeader">
    <w:name w:val="normal Header"/>
    <w:basedOn w:val="Normal"/>
    <w:link w:val="normalHeaderChar"/>
    <w:qFormat/>
    <w:rsid w:val="00CF6D3A"/>
    <w:pPr>
      <w:numPr>
        <w:numId w:val="3"/>
      </w:numPr>
      <w:spacing w:before="100" w:beforeAutospacing="1" w:after="120"/>
      <w:ind w:right="364" w:hanging="180"/>
    </w:pPr>
    <w:rPr>
      <w:b/>
      <w:w w:val="103"/>
      <w:kern w:val="14"/>
      <w:sz w:val="24"/>
      <w:szCs w:val="28"/>
      <w:lang w:val="x-none"/>
    </w:rPr>
  </w:style>
  <w:style w:type="character" w:customStyle="1" w:styleId="nornalbulletChar">
    <w:name w:val="nornal bullet Char"/>
    <w:link w:val="nornalbullet"/>
    <w:rsid w:val="001636B4"/>
    <w:rPr>
      <w:rFonts w:ascii="Times New Roman" w:eastAsia="MS Mincho" w:hAnsi="Times New Roman"/>
      <w:sz w:val="22"/>
      <w:szCs w:val="22"/>
      <w:lang w:eastAsia="ja-JP"/>
    </w:rPr>
  </w:style>
  <w:style w:type="paragraph" w:customStyle="1" w:styleId="Normalsubheader">
    <w:name w:val="Normal sub header"/>
    <w:basedOn w:val="Normal"/>
    <w:link w:val="NormalsubheaderChar"/>
    <w:qFormat/>
    <w:rsid w:val="00CF6D3A"/>
    <w:pPr>
      <w:suppressAutoHyphens/>
      <w:spacing w:before="120" w:after="120"/>
      <w:ind w:left="180" w:right="446"/>
      <w:jc w:val="both"/>
    </w:pPr>
    <w:rPr>
      <w:b/>
      <w:i/>
      <w:szCs w:val="20"/>
    </w:rPr>
  </w:style>
  <w:style w:type="character" w:customStyle="1" w:styleId="normalHeaderChar">
    <w:name w:val="normal Header Char"/>
    <w:link w:val="normalHeader"/>
    <w:rsid w:val="00CF6D3A"/>
    <w:rPr>
      <w:rFonts w:ascii="Times New Roman" w:eastAsia="MS Mincho" w:hAnsi="Times New Roman"/>
      <w:b/>
      <w:w w:val="103"/>
      <w:kern w:val="14"/>
      <w:sz w:val="24"/>
      <w:szCs w:val="28"/>
      <w:lang w:val="x-none" w:eastAsia="ja-JP"/>
    </w:rPr>
  </w:style>
  <w:style w:type="paragraph" w:customStyle="1" w:styleId="NormalsubHeader2">
    <w:name w:val="Normal sub Header 2"/>
    <w:basedOn w:val="Normal"/>
    <w:link w:val="NormalsubHeader2Char"/>
    <w:rsid w:val="0046642C"/>
    <w:pPr>
      <w:spacing w:after="120"/>
      <w:ind w:left="360"/>
    </w:pPr>
    <w:rPr>
      <w:b/>
      <w:i/>
      <w:sz w:val="20"/>
      <w:szCs w:val="20"/>
      <w:lang w:val="x-none"/>
    </w:rPr>
  </w:style>
  <w:style w:type="character" w:customStyle="1" w:styleId="NormalsubheaderChar">
    <w:name w:val="Normal sub header Char"/>
    <w:link w:val="Normalsubheader"/>
    <w:rsid w:val="00CF6D3A"/>
    <w:rPr>
      <w:rFonts w:ascii="Times New Roman" w:eastAsia="MS Mincho" w:hAnsi="Times New Roman"/>
      <w:b/>
      <w:i/>
      <w:sz w:val="22"/>
      <w:lang w:val="en-US" w:eastAsia="ja-JP"/>
    </w:rPr>
  </w:style>
  <w:style w:type="paragraph" w:customStyle="1" w:styleId="normalsubnumber">
    <w:name w:val="normal subnumber"/>
    <w:basedOn w:val="nornalbullet"/>
    <w:link w:val="normalsubnumberChar"/>
    <w:qFormat/>
    <w:rsid w:val="0046642C"/>
    <w:pPr>
      <w:numPr>
        <w:numId w:val="4"/>
      </w:numPr>
    </w:pPr>
  </w:style>
  <w:style w:type="character" w:customStyle="1" w:styleId="NormalsubHeader2Char">
    <w:name w:val="Normal sub Header 2 Char"/>
    <w:link w:val="NormalsubHeader2"/>
    <w:rsid w:val="0046642C"/>
    <w:rPr>
      <w:rFonts w:ascii="Times New Roman" w:eastAsia="MS Mincho" w:hAnsi="Times New Roman"/>
      <w:b/>
      <w:i/>
      <w:lang w:eastAsia="ja-JP"/>
    </w:rPr>
  </w:style>
  <w:style w:type="paragraph" w:customStyle="1" w:styleId="normalheader2">
    <w:name w:val="normal header 2"/>
    <w:basedOn w:val="normalHeader"/>
    <w:link w:val="normalheader2Char"/>
    <w:qFormat/>
    <w:rsid w:val="00F10A8F"/>
    <w:pPr>
      <w:numPr>
        <w:numId w:val="0"/>
      </w:numPr>
      <w:ind w:left="360" w:hanging="180"/>
    </w:pPr>
    <w:rPr>
      <w:sz w:val="22"/>
      <w:szCs w:val="22"/>
    </w:rPr>
  </w:style>
  <w:style w:type="character" w:customStyle="1" w:styleId="normalsubnumberChar">
    <w:name w:val="normal subnumber Char"/>
    <w:link w:val="normalsubnumber"/>
    <w:rsid w:val="0046642C"/>
    <w:rPr>
      <w:rFonts w:ascii="Times New Roman" w:eastAsia="MS Mincho" w:hAnsi="Times New Roman"/>
      <w:sz w:val="22"/>
      <w:szCs w:val="22"/>
      <w:lang w:eastAsia="ja-JP"/>
    </w:rPr>
  </w:style>
  <w:style w:type="character" w:styleId="FollowedHyperlink">
    <w:name w:val="FollowedHyperlink"/>
    <w:uiPriority w:val="99"/>
    <w:semiHidden/>
    <w:unhideWhenUsed/>
    <w:rsid w:val="00A40AC2"/>
    <w:rPr>
      <w:color w:val="800080"/>
      <w:u w:val="single"/>
    </w:rPr>
  </w:style>
  <w:style w:type="character" w:customStyle="1" w:styleId="normalheader2Char">
    <w:name w:val="normal header 2 Char"/>
    <w:link w:val="normalheader2"/>
    <w:rsid w:val="00F10A8F"/>
    <w:rPr>
      <w:rFonts w:ascii="Times New Roman" w:eastAsia="MS Mincho" w:hAnsi="Times New Roman"/>
      <w:b/>
      <w:w w:val="103"/>
      <w:kern w:val="14"/>
      <w:sz w:val="22"/>
      <w:szCs w:val="22"/>
      <w:lang w:eastAsia="ja-JP"/>
    </w:rPr>
  </w:style>
  <w:style w:type="character" w:customStyle="1" w:styleId="Heading1Char">
    <w:name w:val="Heading 1 Char"/>
    <w:link w:val="Heading1"/>
    <w:uiPriority w:val="9"/>
    <w:rsid w:val="00C948AE"/>
    <w:rPr>
      <w:rFonts w:ascii="Cambria" w:eastAsia="MS Gothic" w:hAnsi="Cambria" w:cs="Times New Roman"/>
      <w:b/>
      <w:bCs/>
      <w:color w:val="365F91"/>
      <w:sz w:val="28"/>
      <w:szCs w:val="28"/>
      <w:lang w:val="en-US" w:eastAsia="ja-JP"/>
    </w:rPr>
  </w:style>
  <w:style w:type="table" w:customStyle="1" w:styleId="TableGrid1">
    <w:name w:val="Table Grid1"/>
    <w:basedOn w:val="TableNormal"/>
    <w:next w:val="TableGrid"/>
    <w:uiPriority w:val="59"/>
    <w:rsid w:val="00C948A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uiPriority w:val="9"/>
    <w:semiHidden/>
    <w:rsid w:val="00AC7431"/>
    <w:rPr>
      <w:rFonts w:ascii="Cambria" w:eastAsia="MS Gothic" w:hAnsi="Cambria" w:cs="Times New Roman"/>
      <w:b/>
      <w:bCs/>
      <w:color w:val="4F81BD"/>
      <w:sz w:val="26"/>
      <w:szCs w:val="26"/>
      <w:lang w:val="en-US" w:eastAsia="ja-JP"/>
    </w:rPr>
  </w:style>
  <w:style w:type="paragraph" w:customStyle="1" w:styleId="MediumGrid2-Accent11">
    <w:name w:val="Medium Grid 2 - Accent 11"/>
    <w:uiPriority w:val="1"/>
    <w:qFormat/>
    <w:rsid w:val="00AC7431"/>
    <w:rPr>
      <w:sz w:val="22"/>
      <w:szCs w:val="22"/>
    </w:rPr>
  </w:style>
  <w:style w:type="table" w:customStyle="1" w:styleId="LightShading1">
    <w:name w:val="Light Shading1"/>
    <w:basedOn w:val="TableNormal"/>
    <w:uiPriority w:val="60"/>
    <w:rsid w:val="003F275F"/>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
    <w:name w:val="Light List1"/>
    <w:basedOn w:val="TableNormal"/>
    <w:uiPriority w:val="61"/>
    <w:rsid w:val="00780064"/>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3Char">
    <w:name w:val="Heading 3 Char"/>
    <w:link w:val="Heading3"/>
    <w:uiPriority w:val="9"/>
    <w:semiHidden/>
    <w:rsid w:val="00F66EAD"/>
    <w:rPr>
      <w:rFonts w:ascii="Cambria" w:eastAsia="MS Gothic" w:hAnsi="Cambria" w:cs="Times New Roman"/>
      <w:b/>
      <w:bCs/>
      <w:color w:val="4F81BD"/>
      <w:sz w:val="22"/>
      <w:szCs w:val="24"/>
      <w:lang w:val="en-US" w:eastAsia="ja-JP"/>
    </w:rPr>
  </w:style>
  <w:style w:type="paragraph" w:styleId="TOC1">
    <w:name w:val="toc 1"/>
    <w:basedOn w:val="Normal"/>
    <w:next w:val="Normal"/>
    <w:autoRedefine/>
    <w:uiPriority w:val="39"/>
    <w:unhideWhenUsed/>
    <w:rsid w:val="00163207"/>
    <w:pPr>
      <w:tabs>
        <w:tab w:val="left" w:pos="450"/>
        <w:tab w:val="right" w:leader="dot" w:pos="9800"/>
      </w:tabs>
      <w:spacing w:after="100"/>
    </w:pPr>
  </w:style>
  <w:style w:type="paragraph" w:styleId="TOC3">
    <w:name w:val="toc 3"/>
    <w:basedOn w:val="Normal"/>
    <w:next w:val="Normal"/>
    <w:autoRedefine/>
    <w:uiPriority w:val="39"/>
    <w:unhideWhenUsed/>
    <w:rsid w:val="00F66EAD"/>
    <w:pPr>
      <w:spacing w:after="100"/>
      <w:ind w:left="440"/>
    </w:pPr>
  </w:style>
  <w:style w:type="paragraph" w:styleId="TOC2">
    <w:name w:val="toc 2"/>
    <w:basedOn w:val="Normal"/>
    <w:next w:val="Normal"/>
    <w:autoRedefine/>
    <w:uiPriority w:val="39"/>
    <w:unhideWhenUsed/>
    <w:rsid w:val="00F66EAD"/>
    <w:pPr>
      <w:spacing w:after="100"/>
      <w:ind w:left="220"/>
    </w:pPr>
  </w:style>
  <w:style w:type="paragraph" w:customStyle="1" w:styleId="GridTable7Colorful-Accent21">
    <w:name w:val="Grid Table 7 Colorful - Accent 21"/>
    <w:basedOn w:val="Heading1"/>
    <w:next w:val="Normal"/>
    <w:uiPriority w:val="39"/>
    <w:semiHidden/>
    <w:unhideWhenUsed/>
    <w:qFormat/>
    <w:rsid w:val="0028686A"/>
    <w:pPr>
      <w:spacing w:line="276" w:lineRule="auto"/>
      <w:outlineLvl w:val="9"/>
    </w:pPr>
  </w:style>
  <w:style w:type="table" w:customStyle="1" w:styleId="LightList10">
    <w:name w:val="Light List10"/>
    <w:basedOn w:val="TableNormal"/>
    <w:next w:val="LightList1"/>
    <w:uiPriority w:val="61"/>
    <w:rsid w:val="00780064"/>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AR1index">
    <w:name w:val="AR_1_index"/>
    <w:basedOn w:val="TOC1"/>
    <w:link w:val="AR1indexChar"/>
    <w:qFormat/>
    <w:rsid w:val="00E431D2"/>
    <w:pPr>
      <w:tabs>
        <w:tab w:val="clear" w:pos="450"/>
        <w:tab w:val="clear" w:pos="9800"/>
        <w:tab w:val="left" w:pos="1871"/>
        <w:tab w:val="left" w:pos="2340"/>
        <w:tab w:val="right" w:leader="dot" w:pos="8640"/>
        <w:tab w:val="right" w:leader="dot" w:pos="9840"/>
      </w:tabs>
      <w:spacing w:after="120"/>
      <w:ind w:left="1843" w:right="1247" w:hanging="596"/>
    </w:pPr>
    <w:rPr>
      <w:rFonts w:eastAsia="Times New Roman"/>
      <w:sz w:val="24"/>
      <w:lang w:val="x-none" w:eastAsia="x-none"/>
    </w:rPr>
  </w:style>
  <w:style w:type="character" w:customStyle="1" w:styleId="AR1indexChar">
    <w:name w:val="AR_1_index Char"/>
    <w:link w:val="AR1index"/>
    <w:rsid w:val="00E431D2"/>
    <w:rPr>
      <w:rFonts w:ascii="Times New Roman" w:eastAsia="Times New Roman" w:hAnsi="Times New Roman"/>
      <w:sz w:val="24"/>
      <w:szCs w:val="24"/>
      <w:lang w:eastAsia="x-none"/>
    </w:rPr>
  </w:style>
  <w:style w:type="paragraph" w:customStyle="1" w:styleId="HChChar">
    <w:name w:val="_ H _Ch Char"/>
    <w:basedOn w:val="Normal"/>
    <w:next w:val="Normal"/>
    <w:rsid w:val="00EC754F"/>
    <w:pPr>
      <w:keepNext/>
      <w:keepLines/>
      <w:suppressAutoHyphens/>
      <w:spacing w:line="300" w:lineRule="exact"/>
      <w:outlineLvl w:val="0"/>
    </w:pPr>
    <w:rPr>
      <w:rFonts w:eastAsia="Times New Roman"/>
      <w:b/>
      <w:spacing w:val="-2"/>
      <w:w w:val="103"/>
      <w:kern w:val="14"/>
      <w:sz w:val="28"/>
      <w:szCs w:val="20"/>
      <w:lang w:val="en-GB" w:eastAsia="en-US"/>
    </w:rPr>
  </w:style>
  <w:style w:type="character" w:customStyle="1" w:styleId="H1Char">
    <w:name w:val="_ H_1 Char"/>
    <w:rsid w:val="006B6A2F"/>
    <w:rPr>
      <w:b/>
      <w:spacing w:val="4"/>
      <w:w w:val="103"/>
      <w:kern w:val="14"/>
      <w:sz w:val="24"/>
      <w:lang w:val="en-GB" w:eastAsia="en-US" w:bidi="ar-SA"/>
    </w:rPr>
  </w:style>
  <w:style w:type="paragraph" w:customStyle="1" w:styleId="SingleTxt">
    <w:name w:val="__Single Txt"/>
    <w:basedOn w:val="Normal"/>
    <w:rsid w:val="004339C8"/>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eastAsia="Times New Roman"/>
      <w:spacing w:val="4"/>
      <w:w w:val="103"/>
      <w:kern w:val="14"/>
      <w:sz w:val="20"/>
      <w:szCs w:val="20"/>
      <w:lang w:val="en-GB" w:eastAsia="en-US"/>
    </w:rPr>
  </w:style>
  <w:style w:type="paragraph" w:customStyle="1" w:styleId="DualTxt">
    <w:name w:val="__Dual Txt"/>
    <w:basedOn w:val="Normal"/>
    <w:rsid w:val="00E95FE2"/>
    <w:pPr>
      <w:tabs>
        <w:tab w:val="left" w:pos="480"/>
        <w:tab w:val="left" w:pos="960"/>
        <w:tab w:val="left" w:pos="1440"/>
        <w:tab w:val="left" w:pos="1915"/>
        <w:tab w:val="left" w:pos="2405"/>
        <w:tab w:val="left" w:pos="2880"/>
        <w:tab w:val="left" w:pos="3355"/>
      </w:tabs>
      <w:suppressAutoHyphens/>
      <w:spacing w:after="120" w:line="240" w:lineRule="exact"/>
      <w:jc w:val="both"/>
    </w:pPr>
    <w:rPr>
      <w:rFonts w:eastAsia="Times New Roman"/>
      <w:b/>
      <w:bCs/>
      <w:spacing w:val="4"/>
      <w:kern w:val="14"/>
      <w:sz w:val="24"/>
      <w:lang w:val="en-GB" w:eastAsia="en-US"/>
    </w:rPr>
  </w:style>
  <w:style w:type="paragraph" w:customStyle="1" w:styleId="level2">
    <w:name w:val="_level2"/>
    <w:rsid w:val="00C06E4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20" w:hanging="360"/>
    </w:pPr>
    <w:rPr>
      <w:rFonts w:ascii="Times New Roman" w:eastAsia="Times New Roman" w:hAnsi="Times New Roman"/>
      <w:sz w:val="24"/>
      <w:szCs w:val="24"/>
    </w:rPr>
  </w:style>
  <w:style w:type="character" w:styleId="Strong">
    <w:name w:val="Strong"/>
    <w:uiPriority w:val="22"/>
    <w:qFormat/>
    <w:rsid w:val="005D193A"/>
    <w:rPr>
      <w:b/>
      <w:bCs/>
    </w:rPr>
  </w:style>
  <w:style w:type="paragraph" w:customStyle="1" w:styleId="DualTxtCharChar1CharChar">
    <w:name w:val="__Dual Txt Char Char1 Char Char"/>
    <w:basedOn w:val="Normal"/>
    <w:rsid w:val="008842F9"/>
    <w:pPr>
      <w:tabs>
        <w:tab w:val="left" w:pos="480"/>
        <w:tab w:val="left" w:pos="960"/>
        <w:tab w:val="left" w:pos="1440"/>
        <w:tab w:val="left" w:pos="1915"/>
        <w:tab w:val="left" w:pos="2405"/>
        <w:tab w:val="left" w:pos="2880"/>
        <w:tab w:val="left" w:pos="3355"/>
      </w:tabs>
      <w:suppressAutoHyphens/>
      <w:spacing w:after="120" w:line="240" w:lineRule="exact"/>
      <w:jc w:val="both"/>
    </w:pPr>
    <w:rPr>
      <w:rFonts w:eastAsia="Times New Roman"/>
      <w:spacing w:val="4"/>
      <w:w w:val="103"/>
      <w:kern w:val="14"/>
      <w:sz w:val="20"/>
      <w:szCs w:val="20"/>
      <w:lang w:val="en-GB" w:eastAsia="en-US"/>
    </w:rPr>
  </w:style>
  <w:style w:type="paragraph" w:customStyle="1" w:styleId="H1">
    <w:name w:val="_ H_1"/>
    <w:basedOn w:val="Normal"/>
    <w:next w:val="SingleTxt"/>
    <w:rsid w:val="00744A19"/>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270" w:lineRule="exact"/>
      <w:ind w:left="1267" w:right="1267" w:hanging="1267"/>
      <w:outlineLvl w:val="0"/>
    </w:pPr>
    <w:rPr>
      <w:rFonts w:eastAsia="Calibri"/>
      <w:b/>
      <w:spacing w:val="4"/>
      <w:w w:val="103"/>
      <w:kern w:val="14"/>
      <w:sz w:val="24"/>
      <w:szCs w:val="20"/>
      <w:lang w:val="en-GB" w:eastAsia="en-US"/>
    </w:rPr>
  </w:style>
  <w:style w:type="paragraph" w:customStyle="1" w:styleId="MediumGrid1-Accent22">
    <w:name w:val="Medium Grid 1 - Accent 22"/>
    <w:aliases w:val="Bullets,List Paragraph1,Medium List 2 - Accent 41,Lapis Bulleted List,Dot pt,F5 List Paragraph,No Spacing1,List Paragraph Char Char Char,Indicator Text,Numbered Para 1,Bullet 1,List Paragraph12,Bullet Points"/>
    <w:basedOn w:val="Normal"/>
    <w:uiPriority w:val="34"/>
    <w:qFormat/>
    <w:rsid w:val="003D1971"/>
    <w:pPr>
      <w:ind w:left="720"/>
      <w:contextualSpacing/>
    </w:pPr>
    <w:rPr>
      <w:rFonts w:ascii="Calibri" w:eastAsia="Calibri" w:hAnsi="Calibri"/>
      <w:sz w:val="24"/>
      <w:lang w:eastAsia="en-US"/>
    </w:rPr>
  </w:style>
  <w:style w:type="paragraph" w:customStyle="1" w:styleId="Default">
    <w:name w:val="Default"/>
    <w:rsid w:val="000C2C94"/>
    <w:pPr>
      <w:autoSpaceDE w:val="0"/>
      <w:autoSpaceDN w:val="0"/>
      <w:adjustRightInd w:val="0"/>
    </w:pPr>
    <w:rPr>
      <w:rFonts w:ascii="Times New Roman" w:hAnsi="Times New Roman"/>
      <w:color w:val="000000"/>
      <w:sz w:val="24"/>
      <w:szCs w:val="24"/>
    </w:rPr>
  </w:style>
  <w:style w:type="paragraph" w:styleId="ListParagraph">
    <w:name w:val="List Paragraph"/>
    <w:basedOn w:val="Normal"/>
    <w:uiPriority w:val="34"/>
    <w:qFormat/>
    <w:rsid w:val="00EA6A11"/>
    <w:pPr>
      <w:ind w:left="720"/>
      <w:contextualSpacing/>
    </w:pPr>
    <w:rPr>
      <w:rFonts w:eastAsiaTheme="minorHAnsi"/>
      <w:sz w:val="24"/>
      <w:lang w:eastAsia="en-US"/>
    </w:rPr>
  </w:style>
  <w:style w:type="paragraph" w:customStyle="1" w:styleId="p1">
    <w:name w:val="p1"/>
    <w:basedOn w:val="Normal"/>
    <w:rsid w:val="00F81A18"/>
    <w:rPr>
      <w:rFonts w:eastAsiaTheme="minorHAnsi"/>
      <w:sz w:val="15"/>
      <w:szCs w:val="15"/>
      <w:lang w:eastAsia="en-US"/>
    </w:rPr>
  </w:style>
  <w:style w:type="character" w:customStyle="1" w:styleId="apple-converted-space">
    <w:name w:val="apple-converted-space"/>
    <w:basedOn w:val="DefaultParagraphFont"/>
    <w:rsid w:val="00F81A18"/>
  </w:style>
  <w:style w:type="table" w:customStyle="1" w:styleId="LightList100">
    <w:name w:val="Light List100"/>
    <w:basedOn w:val="TableNormal"/>
    <w:next w:val="LightList1"/>
    <w:uiPriority w:val="61"/>
    <w:rsid w:val="00592DD9"/>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000">
    <w:name w:val="Light List1000"/>
    <w:basedOn w:val="TableNormal"/>
    <w:next w:val="LightList1"/>
    <w:uiPriority w:val="61"/>
    <w:rsid w:val="00986B5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0000">
    <w:name w:val="Light List10000"/>
    <w:basedOn w:val="TableNormal"/>
    <w:next w:val="LightList1"/>
    <w:uiPriority w:val="61"/>
    <w:rsid w:val="00072A6E"/>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00000">
    <w:name w:val="Light List100000"/>
    <w:basedOn w:val="TableNormal"/>
    <w:next w:val="LightList1"/>
    <w:uiPriority w:val="61"/>
    <w:rsid w:val="00072A6E"/>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000000">
    <w:name w:val="Light List1000000"/>
    <w:basedOn w:val="TableNormal"/>
    <w:next w:val="LightList10"/>
    <w:uiPriority w:val="61"/>
    <w:rsid w:val="00072A6E"/>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0000000">
    <w:name w:val="Light List10000000"/>
    <w:basedOn w:val="TableNormal"/>
    <w:next w:val="LightList100"/>
    <w:uiPriority w:val="61"/>
    <w:rsid w:val="006B191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00000000">
    <w:name w:val="Light List100000000"/>
    <w:basedOn w:val="TableNormal"/>
    <w:next w:val="LightList1000"/>
    <w:uiPriority w:val="61"/>
    <w:rsid w:val="008737C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000000000">
    <w:name w:val="Light List1000000000"/>
    <w:basedOn w:val="TableNormal"/>
    <w:next w:val="LightList10000"/>
    <w:uiPriority w:val="61"/>
    <w:rsid w:val="008737C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0000000000">
    <w:name w:val="Light List10000000000"/>
    <w:basedOn w:val="TableNormal"/>
    <w:next w:val="LightList100000"/>
    <w:uiPriority w:val="61"/>
    <w:rsid w:val="002E56CE"/>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00000000000">
    <w:name w:val="Light List100000000000"/>
    <w:basedOn w:val="TableNormal"/>
    <w:next w:val="LightList1000000"/>
    <w:uiPriority w:val="61"/>
    <w:rsid w:val="002E56CE"/>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000000000000">
    <w:name w:val="Light List1000000000000"/>
    <w:basedOn w:val="TableNormal"/>
    <w:next w:val="LightList10000000"/>
    <w:uiPriority w:val="61"/>
    <w:rsid w:val="002E56CE"/>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0000000000000">
    <w:name w:val="Light List10000000000000"/>
    <w:basedOn w:val="TableNormal"/>
    <w:next w:val="LightList100000000"/>
    <w:uiPriority w:val="61"/>
    <w:rsid w:val="002E56CE"/>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00000000000000">
    <w:name w:val="Light List100000000000000"/>
    <w:basedOn w:val="TableNormal"/>
    <w:next w:val="LightList1000000000"/>
    <w:uiPriority w:val="61"/>
    <w:rsid w:val="002E56CE"/>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Revision">
    <w:name w:val="Revision"/>
    <w:hidden/>
    <w:uiPriority w:val="99"/>
    <w:unhideWhenUsed/>
    <w:rsid w:val="00B95A86"/>
    <w:rPr>
      <w:rFonts w:ascii="Times New Roman" w:eastAsia="MS Mincho" w:hAnsi="Times New Roman"/>
      <w:sz w:val="22"/>
      <w:szCs w:val="24"/>
      <w:lang w:eastAsia="ja-JP"/>
    </w:rPr>
  </w:style>
  <w:style w:type="paragraph" w:customStyle="1" w:styleId="singletxt0">
    <w:name w:val="singletxt"/>
    <w:basedOn w:val="Normal"/>
    <w:rsid w:val="00B21181"/>
    <w:pPr>
      <w:spacing w:before="100" w:beforeAutospacing="1" w:after="100" w:afterAutospacing="1"/>
    </w:pPr>
    <w:rPr>
      <w:rFonts w:eastAsiaTheme="minorEastAsia"/>
      <w:sz w:val="24"/>
      <w:lang w:eastAsia="en-US"/>
    </w:rPr>
  </w:style>
  <w:style w:type="character" w:styleId="PageNumber">
    <w:name w:val="page number"/>
    <w:basedOn w:val="DefaultParagraphFont"/>
    <w:uiPriority w:val="99"/>
    <w:semiHidden/>
    <w:unhideWhenUsed/>
    <w:rsid w:val="00077824"/>
  </w:style>
  <w:style w:type="paragraph" w:styleId="EndnoteText">
    <w:name w:val="endnote text"/>
    <w:basedOn w:val="Normal"/>
    <w:link w:val="EndnoteTextChar"/>
    <w:uiPriority w:val="99"/>
    <w:semiHidden/>
    <w:unhideWhenUsed/>
    <w:rsid w:val="00F25E20"/>
    <w:rPr>
      <w:sz w:val="20"/>
      <w:szCs w:val="20"/>
    </w:rPr>
  </w:style>
  <w:style w:type="character" w:customStyle="1" w:styleId="EndnoteTextChar">
    <w:name w:val="Endnote Text Char"/>
    <w:basedOn w:val="DefaultParagraphFont"/>
    <w:link w:val="EndnoteText"/>
    <w:uiPriority w:val="99"/>
    <w:semiHidden/>
    <w:rsid w:val="00F25E20"/>
    <w:rPr>
      <w:rFonts w:ascii="Times New Roman" w:eastAsia="MS Mincho" w:hAnsi="Times New Roman"/>
      <w:lang w:eastAsia="ja-JP"/>
    </w:rPr>
  </w:style>
  <w:style w:type="character" w:styleId="EndnoteReference">
    <w:name w:val="endnote reference"/>
    <w:basedOn w:val="DefaultParagraphFont"/>
    <w:uiPriority w:val="99"/>
    <w:semiHidden/>
    <w:unhideWhenUsed/>
    <w:rsid w:val="00F25E20"/>
    <w:rPr>
      <w:vertAlign w:val="superscript"/>
    </w:rPr>
  </w:style>
  <w:style w:type="character" w:styleId="UnresolvedMention">
    <w:name w:val="Unresolved Mention"/>
    <w:basedOn w:val="DefaultParagraphFont"/>
    <w:uiPriority w:val="99"/>
    <w:rsid w:val="00D63D1B"/>
    <w:rPr>
      <w:color w:val="605E5C"/>
      <w:shd w:val="clear" w:color="auto" w:fill="E1DFDD"/>
    </w:rPr>
  </w:style>
  <w:style w:type="character" w:styleId="Mention">
    <w:name w:val="Mention"/>
    <w:basedOn w:val="DefaultParagraphFont"/>
    <w:uiPriority w:val="99"/>
    <w:unhideWhenUsed/>
    <w:rsid w:val="00D63D1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636613">
      <w:bodyDiv w:val="1"/>
      <w:marLeft w:val="0"/>
      <w:marRight w:val="0"/>
      <w:marTop w:val="0"/>
      <w:marBottom w:val="0"/>
      <w:divBdr>
        <w:top w:val="none" w:sz="0" w:space="0" w:color="auto"/>
        <w:left w:val="none" w:sz="0" w:space="0" w:color="auto"/>
        <w:bottom w:val="none" w:sz="0" w:space="0" w:color="auto"/>
        <w:right w:val="none" w:sz="0" w:space="0" w:color="auto"/>
      </w:divBdr>
    </w:div>
    <w:div w:id="32192018">
      <w:bodyDiv w:val="1"/>
      <w:marLeft w:val="0"/>
      <w:marRight w:val="0"/>
      <w:marTop w:val="0"/>
      <w:marBottom w:val="0"/>
      <w:divBdr>
        <w:top w:val="none" w:sz="0" w:space="0" w:color="auto"/>
        <w:left w:val="none" w:sz="0" w:space="0" w:color="auto"/>
        <w:bottom w:val="none" w:sz="0" w:space="0" w:color="auto"/>
        <w:right w:val="none" w:sz="0" w:space="0" w:color="auto"/>
      </w:divBdr>
      <w:divsChild>
        <w:div w:id="800149809">
          <w:marLeft w:val="547"/>
          <w:marRight w:val="0"/>
          <w:marTop w:val="0"/>
          <w:marBottom w:val="0"/>
          <w:divBdr>
            <w:top w:val="none" w:sz="0" w:space="0" w:color="auto"/>
            <w:left w:val="none" w:sz="0" w:space="0" w:color="auto"/>
            <w:bottom w:val="none" w:sz="0" w:space="0" w:color="auto"/>
            <w:right w:val="none" w:sz="0" w:space="0" w:color="auto"/>
          </w:divBdr>
        </w:div>
        <w:div w:id="805467396">
          <w:marLeft w:val="547"/>
          <w:marRight w:val="0"/>
          <w:marTop w:val="0"/>
          <w:marBottom w:val="0"/>
          <w:divBdr>
            <w:top w:val="none" w:sz="0" w:space="0" w:color="auto"/>
            <w:left w:val="none" w:sz="0" w:space="0" w:color="auto"/>
            <w:bottom w:val="none" w:sz="0" w:space="0" w:color="auto"/>
            <w:right w:val="none" w:sz="0" w:space="0" w:color="auto"/>
          </w:divBdr>
        </w:div>
        <w:div w:id="1315337815">
          <w:marLeft w:val="547"/>
          <w:marRight w:val="0"/>
          <w:marTop w:val="0"/>
          <w:marBottom w:val="0"/>
          <w:divBdr>
            <w:top w:val="none" w:sz="0" w:space="0" w:color="auto"/>
            <w:left w:val="none" w:sz="0" w:space="0" w:color="auto"/>
            <w:bottom w:val="none" w:sz="0" w:space="0" w:color="auto"/>
            <w:right w:val="none" w:sz="0" w:space="0" w:color="auto"/>
          </w:divBdr>
        </w:div>
        <w:div w:id="1367562013">
          <w:marLeft w:val="547"/>
          <w:marRight w:val="0"/>
          <w:marTop w:val="0"/>
          <w:marBottom w:val="0"/>
          <w:divBdr>
            <w:top w:val="none" w:sz="0" w:space="0" w:color="auto"/>
            <w:left w:val="none" w:sz="0" w:space="0" w:color="auto"/>
            <w:bottom w:val="none" w:sz="0" w:space="0" w:color="auto"/>
            <w:right w:val="none" w:sz="0" w:space="0" w:color="auto"/>
          </w:divBdr>
        </w:div>
      </w:divsChild>
    </w:div>
    <w:div w:id="83233020">
      <w:bodyDiv w:val="1"/>
      <w:marLeft w:val="0"/>
      <w:marRight w:val="0"/>
      <w:marTop w:val="0"/>
      <w:marBottom w:val="0"/>
      <w:divBdr>
        <w:top w:val="none" w:sz="0" w:space="0" w:color="auto"/>
        <w:left w:val="none" w:sz="0" w:space="0" w:color="auto"/>
        <w:bottom w:val="none" w:sz="0" w:space="0" w:color="auto"/>
        <w:right w:val="none" w:sz="0" w:space="0" w:color="auto"/>
      </w:divBdr>
    </w:div>
    <w:div w:id="104229964">
      <w:bodyDiv w:val="1"/>
      <w:marLeft w:val="0"/>
      <w:marRight w:val="0"/>
      <w:marTop w:val="0"/>
      <w:marBottom w:val="0"/>
      <w:divBdr>
        <w:top w:val="none" w:sz="0" w:space="0" w:color="auto"/>
        <w:left w:val="none" w:sz="0" w:space="0" w:color="auto"/>
        <w:bottom w:val="none" w:sz="0" w:space="0" w:color="auto"/>
        <w:right w:val="none" w:sz="0" w:space="0" w:color="auto"/>
      </w:divBdr>
    </w:div>
    <w:div w:id="128600145">
      <w:bodyDiv w:val="1"/>
      <w:marLeft w:val="0"/>
      <w:marRight w:val="0"/>
      <w:marTop w:val="0"/>
      <w:marBottom w:val="0"/>
      <w:divBdr>
        <w:top w:val="none" w:sz="0" w:space="0" w:color="auto"/>
        <w:left w:val="none" w:sz="0" w:space="0" w:color="auto"/>
        <w:bottom w:val="none" w:sz="0" w:space="0" w:color="auto"/>
        <w:right w:val="none" w:sz="0" w:space="0" w:color="auto"/>
      </w:divBdr>
      <w:divsChild>
        <w:div w:id="1119032468">
          <w:marLeft w:val="547"/>
          <w:marRight w:val="0"/>
          <w:marTop w:val="0"/>
          <w:marBottom w:val="0"/>
          <w:divBdr>
            <w:top w:val="none" w:sz="0" w:space="0" w:color="auto"/>
            <w:left w:val="none" w:sz="0" w:space="0" w:color="auto"/>
            <w:bottom w:val="none" w:sz="0" w:space="0" w:color="auto"/>
            <w:right w:val="none" w:sz="0" w:space="0" w:color="auto"/>
          </w:divBdr>
        </w:div>
      </w:divsChild>
    </w:div>
    <w:div w:id="171845647">
      <w:bodyDiv w:val="1"/>
      <w:marLeft w:val="0"/>
      <w:marRight w:val="0"/>
      <w:marTop w:val="0"/>
      <w:marBottom w:val="0"/>
      <w:divBdr>
        <w:top w:val="none" w:sz="0" w:space="0" w:color="auto"/>
        <w:left w:val="none" w:sz="0" w:space="0" w:color="auto"/>
        <w:bottom w:val="none" w:sz="0" w:space="0" w:color="auto"/>
        <w:right w:val="none" w:sz="0" w:space="0" w:color="auto"/>
      </w:divBdr>
    </w:div>
    <w:div w:id="189298388">
      <w:bodyDiv w:val="1"/>
      <w:marLeft w:val="0"/>
      <w:marRight w:val="0"/>
      <w:marTop w:val="0"/>
      <w:marBottom w:val="0"/>
      <w:divBdr>
        <w:top w:val="none" w:sz="0" w:space="0" w:color="auto"/>
        <w:left w:val="none" w:sz="0" w:space="0" w:color="auto"/>
        <w:bottom w:val="none" w:sz="0" w:space="0" w:color="auto"/>
        <w:right w:val="none" w:sz="0" w:space="0" w:color="auto"/>
      </w:divBdr>
    </w:div>
    <w:div w:id="236332886">
      <w:bodyDiv w:val="1"/>
      <w:marLeft w:val="0"/>
      <w:marRight w:val="0"/>
      <w:marTop w:val="0"/>
      <w:marBottom w:val="0"/>
      <w:divBdr>
        <w:top w:val="none" w:sz="0" w:space="0" w:color="auto"/>
        <w:left w:val="none" w:sz="0" w:space="0" w:color="auto"/>
        <w:bottom w:val="none" w:sz="0" w:space="0" w:color="auto"/>
        <w:right w:val="none" w:sz="0" w:space="0" w:color="auto"/>
      </w:divBdr>
      <w:divsChild>
        <w:div w:id="602226145">
          <w:marLeft w:val="547"/>
          <w:marRight w:val="0"/>
          <w:marTop w:val="0"/>
          <w:marBottom w:val="0"/>
          <w:divBdr>
            <w:top w:val="none" w:sz="0" w:space="0" w:color="auto"/>
            <w:left w:val="none" w:sz="0" w:space="0" w:color="auto"/>
            <w:bottom w:val="none" w:sz="0" w:space="0" w:color="auto"/>
            <w:right w:val="none" w:sz="0" w:space="0" w:color="auto"/>
          </w:divBdr>
        </w:div>
      </w:divsChild>
    </w:div>
    <w:div w:id="246351303">
      <w:bodyDiv w:val="1"/>
      <w:marLeft w:val="0"/>
      <w:marRight w:val="0"/>
      <w:marTop w:val="0"/>
      <w:marBottom w:val="0"/>
      <w:divBdr>
        <w:top w:val="none" w:sz="0" w:space="0" w:color="auto"/>
        <w:left w:val="none" w:sz="0" w:space="0" w:color="auto"/>
        <w:bottom w:val="none" w:sz="0" w:space="0" w:color="auto"/>
        <w:right w:val="none" w:sz="0" w:space="0" w:color="auto"/>
      </w:divBdr>
    </w:div>
    <w:div w:id="279804687">
      <w:bodyDiv w:val="1"/>
      <w:marLeft w:val="0"/>
      <w:marRight w:val="0"/>
      <w:marTop w:val="0"/>
      <w:marBottom w:val="0"/>
      <w:divBdr>
        <w:top w:val="none" w:sz="0" w:space="0" w:color="auto"/>
        <w:left w:val="none" w:sz="0" w:space="0" w:color="auto"/>
        <w:bottom w:val="none" w:sz="0" w:space="0" w:color="auto"/>
        <w:right w:val="none" w:sz="0" w:space="0" w:color="auto"/>
      </w:divBdr>
    </w:div>
    <w:div w:id="304942051">
      <w:bodyDiv w:val="1"/>
      <w:marLeft w:val="0"/>
      <w:marRight w:val="0"/>
      <w:marTop w:val="0"/>
      <w:marBottom w:val="0"/>
      <w:divBdr>
        <w:top w:val="none" w:sz="0" w:space="0" w:color="auto"/>
        <w:left w:val="none" w:sz="0" w:space="0" w:color="auto"/>
        <w:bottom w:val="none" w:sz="0" w:space="0" w:color="auto"/>
        <w:right w:val="none" w:sz="0" w:space="0" w:color="auto"/>
      </w:divBdr>
    </w:div>
    <w:div w:id="315039051">
      <w:bodyDiv w:val="1"/>
      <w:marLeft w:val="0"/>
      <w:marRight w:val="0"/>
      <w:marTop w:val="0"/>
      <w:marBottom w:val="0"/>
      <w:divBdr>
        <w:top w:val="none" w:sz="0" w:space="0" w:color="auto"/>
        <w:left w:val="none" w:sz="0" w:space="0" w:color="auto"/>
        <w:bottom w:val="none" w:sz="0" w:space="0" w:color="auto"/>
        <w:right w:val="none" w:sz="0" w:space="0" w:color="auto"/>
      </w:divBdr>
    </w:div>
    <w:div w:id="338391786">
      <w:bodyDiv w:val="1"/>
      <w:marLeft w:val="0"/>
      <w:marRight w:val="0"/>
      <w:marTop w:val="0"/>
      <w:marBottom w:val="0"/>
      <w:divBdr>
        <w:top w:val="none" w:sz="0" w:space="0" w:color="auto"/>
        <w:left w:val="none" w:sz="0" w:space="0" w:color="auto"/>
        <w:bottom w:val="none" w:sz="0" w:space="0" w:color="auto"/>
        <w:right w:val="none" w:sz="0" w:space="0" w:color="auto"/>
      </w:divBdr>
    </w:div>
    <w:div w:id="351227624">
      <w:bodyDiv w:val="1"/>
      <w:marLeft w:val="0"/>
      <w:marRight w:val="0"/>
      <w:marTop w:val="0"/>
      <w:marBottom w:val="0"/>
      <w:divBdr>
        <w:top w:val="none" w:sz="0" w:space="0" w:color="auto"/>
        <w:left w:val="none" w:sz="0" w:space="0" w:color="auto"/>
        <w:bottom w:val="none" w:sz="0" w:space="0" w:color="auto"/>
        <w:right w:val="none" w:sz="0" w:space="0" w:color="auto"/>
      </w:divBdr>
      <w:divsChild>
        <w:div w:id="402070514">
          <w:marLeft w:val="547"/>
          <w:marRight w:val="0"/>
          <w:marTop w:val="0"/>
          <w:marBottom w:val="0"/>
          <w:divBdr>
            <w:top w:val="none" w:sz="0" w:space="0" w:color="auto"/>
            <w:left w:val="none" w:sz="0" w:space="0" w:color="auto"/>
            <w:bottom w:val="none" w:sz="0" w:space="0" w:color="auto"/>
            <w:right w:val="none" w:sz="0" w:space="0" w:color="auto"/>
          </w:divBdr>
        </w:div>
      </w:divsChild>
    </w:div>
    <w:div w:id="441072678">
      <w:bodyDiv w:val="1"/>
      <w:marLeft w:val="0"/>
      <w:marRight w:val="0"/>
      <w:marTop w:val="0"/>
      <w:marBottom w:val="0"/>
      <w:divBdr>
        <w:top w:val="none" w:sz="0" w:space="0" w:color="auto"/>
        <w:left w:val="none" w:sz="0" w:space="0" w:color="auto"/>
        <w:bottom w:val="none" w:sz="0" w:space="0" w:color="auto"/>
        <w:right w:val="none" w:sz="0" w:space="0" w:color="auto"/>
      </w:divBdr>
    </w:div>
    <w:div w:id="443690495">
      <w:bodyDiv w:val="1"/>
      <w:marLeft w:val="0"/>
      <w:marRight w:val="0"/>
      <w:marTop w:val="0"/>
      <w:marBottom w:val="0"/>
      <w:divBdr>
        <w:top w:val="none" w:sz="0" w:space="0" w:color="auto"/>
        <w:left w:val="none" w:sz="0" w:space="0" w:color="auto"/>
        <w:bottom w:val="none" w:sz="0" w:space="0" w:color="auto"/>
        <w:right w:val="none" w:sz="0" w:space="0" w:color="auto"/>
      </w:divBdr>
    </w:div>
    <w:div w:id="476343105">
      <w:bodyDiv w:val="1"/>
      <w:marLeft w:val="0"/>
      <w:marRight w:val="0"/>
      <w:marTop w:val="0"/>
      <w:marBottom w:val="0"/>
      <w:divBdr>
        <w:top w:val="none" w:sz="0" w:space="0" w:color="auto"/>
        <w:left w:val="none" w:sz="0" w:space="0" w:color="auto"/>
        <w:bottom w:val="none" w:sz="0" w:space="0" w:color="auto"/>
        <w:right w:val="none" w:sz="0" w:space="0" w:color="auto"/>
      </w:divBdr>
    </w:div>
    <w:div w:id="502159580">
      <w:bodyDiv w:val="1"/>
      <w:marLeft w:val="0"/>
      <w:marRight w:val="0"/>
      <w:marTop w:val="0"/>
      <w:marBottom w:val="0"/>
      <w:divBdr>
        <w:top w:val="none" w:sz="0" w:space="0" w:color="auto"/>
        <w:left w:val="none" w:sz="0" w:space="0" w:color="auto"/>
        <w:bottom w:val="none" w:sz="0" w:space="0" w:color="auto"/>
        <w:right w:val="none" w:sz="0" w:space="0" w:color="auto"/>
      </w:divBdr>
    </w:div>
    <w:div w:id="527372685">
      <w:bodyDiv w:val="1"/>
      <w:marLeft w:val="0"/>
      <w:marRight w:val="0"/>
      <w:marTop w:val="0"/>
      <w:marBottom w:val="0"/>
      <w:divBdr>
        <w:top w:val="none" w:sz="0" w:space="0" w:color="auto"/>
        <w:left w:val="none" w:sz="0" w:space="0" w:color="auto"/>
        <w:bottom w:val="none" w:sz="0" w:space="0" w:color="auto"/>
        <w:right w:val="none" w:sz="0" w:space="0" w:color="auto"/>
      </w:divBdr>
      <w:divsChild>
        <w:div w:id="191383600">
          <w:marLeft w:val="446"/>
          <w:marRight w:val="0"/>
          <w:marTop w:val="0"/>
          <w:marBottom w:val="0"/>
          <w:divBdr>
            <w:top w:val="none" w:sz="0" w:space="0" w:color="auto"/>
            <w:left w:val="none" w:sz="0" w:space="0" w:color="auto"/>
            <w:bottom w:val="none" w:sz="0" w:space="0" w:color="auto"/>
            <w:right w:val="none" w:sz="0" w:space="0" w:color="auto"/>
          </w:divBdr>
        </w:div>
        <w:div w:id="729350295">
          <w:marLeft w:val="446"/>
          <w:marRight w:val="0"/>
          <w:marTop w:val="0"/>
          <w:marBottom w:val="0"/>
          <w:divBdr>
            <w:top w:val="none" w:sz="0" w:space="0" w:color="auto"/>
            <w:left w:val="none" w:sz="0" w:space="0" w:color="auto"/>
            <w:bottom w:val="none" w:sz="0" w:space="0" w:color="auto"/>
            <w:right w:val="none" w:sz="0" w:space="0" w:color="auto"/>
          </w:divBdr>
        </w:div>
        <w:div w:id="1152402363">
          <w:marLeft w:val="446"/>
          <w:marRight w:val="0"/>
          <w:marTop w:val="0"/>
          <w:marBottom w:val="0"/>
          <w:divBdr>
            <w:top w:val="none" w:sz="0" w:space="0" w:color="auto"/>
            <w:left w:val="none" w:sz="0" w:space="0" w:color="auto"/>
            <w:bottom w:val="none" w:sz="0" w:space="0" w:color="auto"/>
            <w:right w:val="none" w:sz="0" w:space="0" w:color="auto"/>
          </w:divBdr>
        </w:div>
        <w:div w:id="1417359977">
          <w:marLeft w:val="446"/>
          <w:marRight w:val="0"/>
          <w:marTop w:val="0"/>
          <w:marBottom w:val="0"/>
          <w:divBdr>
            <w:top w:val="none" w:sz="0" w:space="0" w:color="auto"/>
            <w:left w:val="none" w:sz="0" w:space="0" w:color="auto"/>
            <w:bottom w:val="none" w:sz="0" w:space="0" w:color="auto"/>
            <w:right w:val="none" w:sz="0" w:space="0" w:color="auto"/>
          </w:divBdr>
        </w:div>
        <w:div w:id="1485852791">
          <w:marLeft w:val="446"/>
          <w:marRight w:val="0"/>
          <w:marTop w:val="0"/>
          <w:marBottom w:val="0"/>
          <w:divBdr>
            <w:top w:val="none" w:sz="0" w:space="0" w:color="auto"/>
            <w:left w:val="none" w:sz="0" w:space="0" w:color="auto"/>
            <w:bottom w:val="none" w:sz="0" w:space="0" w:color="auto"/>
            <w:right w:val="none" w:sz="0" w:space="0" w:color="auto"/>
          </w:divBdr>
        </w:div>
        <w:div w:id="1664235172">
          <w:marLeft w:val="446"/>
          <w:marRight w:val="0"/>
          <w:marTop w:val="0"/>
          <w:marBottom w:val="0"/>
          <w:divBdr>
            <w:top w:val="none" w:sz="0" w:space="0" w:color="auto"/>
            <w:left w:val="none" w:sz="0" w:space="0" w:color="auto"/>
            <w:bottom w:val="none" w:sz="0" w:space="0" w:color="auto"/>
            <w:right w:val="none" w:sz="0" w:space="0" w:color="auto"/>
          </w:divBdr>
        </w:div>
      </w:divsChild>
    </w:div>
    <w:div w:id="558439165">
      <w:bodyDiv w:val="1"/>
      <w:marLeft w:val="0"/>
      <w:marRight w:val="0"/>
      <w:marTop w:val="0"/>
      <w:marBottom w:val="0"/>
      <w:divBdr>
        <w:top w:val="none" w:sz="0" w:space="0" w:color="auto"/>
        <w:left w:val="none" w:sz="0" w:space="0" w:color="auto"/>
        <w:bottom w:val="none" w:sz="0" w:space="0" w:color="auto"/>
        <w:right w:val="none" w:sz="0" w:space="0" w:color="auto"/>
      </w:divBdr>
    </w:div>
    <w:div w:id="581990501">
      <w:bodyDiv w:val="1"/>
      <w:marLeft w:val="0"/>
      <w:marRight w:val="0"/>
      <w:marTop w:val="0"/>
      <w:marBottom w:val="0"/>
      <w:divBdr>
        <w:top w:val="none" w:sz="0" w:space="0" w:color="auto"/>
        <w:left w:val="none" w:sz="0" w:space="0" w:color="auto"/>
        <w:bottom w:val="none" w:sz="0" w:space="0" w:color="auto"/>
        <w:right w:val="none" w:sz="0" w:space="0" w:color="auto"/>
      </w:divBdr>
    </w:div>
    <w:div w:id="614796812">
      <w:bodyDiv w:val="1"/>
      <w:marLeft w:val="0"/>
      <w:marRight w:val="0"/>
      <w:marTop w:val="0"/>
      <w:marBottom w:val="0"/>
      <w:divBdr>
        <w:top w:val="none" w:sz="0" w:space="0" w:color="auto"/>
        <w:left w:val="none" w:sz="0" w:space="0" w:color="auto"/>
        <w:bottom w:val="none" w:sz="0" w:space="0" w:color="auto"/>
        <w:right w:val="none" w:sz="0" w:space="0" w:color="auto"/>
      </w:divBdr>
    </w:div>
    <w:div w:id="646587911">
      <w:bodyDiv w:val="1"/>
      <w:marLeft w:val="0"/>
      <w:marRight w:val="0"/>
      <w:marTop w:val="0"/>
      <w:marBottom w:val="0"/>
      <w:divBdr>
        <w:top w:val="none" w:sz="0" w:space="0" w:color="auto"/>
        <w:left w:val="none" w:sz="0" w:space="0" w:color="auto"/>
        <w:bottom w:val="none" w:sz="0" w:space="0" w:color="auto"/>
        <w:right w:val="none" w:sz="0" w:space="0" w:color="auto"/>
      </w:divBdr>
    </w:div>
    <w:div w:id="647827577">
      <w:bodyDiv w:val="1"/>
      <w:marLeft w:val="0"/>
      <w:marRight w:val="0"/>
      <w:marTop w:val="0"/>
      <w:marBottom w:val="0"/>
      <w:divBdr>
        <w:top w:val="none" w:sz="0" w:space="0" w:color="auto"/>
        <w:left w:val="none" w:sz="0" w:space="0" w:color="auto"/>
        <w:bottom w:val="none" w:sz="0" w:space="0" w:color="auto"/>
        <w:right w:val="none" w:sz="0" w:space="0" w:color="auto"/>
      </w:divBdr>
      <w:divsChild>
        <w:div w:id="373576711">
          <w:marLeft w:val="1267"/>
          <w:marRight w:val="0"/>
          <w:marTop w:val="0"/>
          <w:marBottom w:val="0"/>
          <w:divBdr>
            <w:top w:val="none" w:sz="0" w:space="0" w:color="auto"/>
            <w:left w:val="none" w:sz="0" w:space="0" w:color="auto"/>
            <w:bottom w:val="none" w:sz="0" w:space="0" w:color="auto"/>
            <w:right w:val="none" w:sz="0" w:space="0" w:color="auto"/>
          </w:divBdr>
        </w:div>
        <w:div w:id="570046153">
          <w:marLeft w:val="1267"/>
          <w:marRight w:val="0"/>
          <w:marTop w:val="0"/>
          <w:marBottom w:val="0"/>
          <w:divBdr>
            <w:top w:val="none" w:sz="0" w:space="0" w:color="auto"/>
            <w:left w:val="none" w:sz="0" w:space="0" w:color="auto"/>
            <w:bottom w:val="none" w:sz="0" w:space="0" w:color="auto"/>
            <w:right w:val="none" w:sz="0" w:space="0" w:color="auto"/>
          </w:divBdr>
        </w:div>
        <w:div w:id="892499962">
          <w:marLeft w:val="1267"/>
          <w:marRight w:val="0"/>
          <w:marTop w:val="0"/>
          <w:marBottom w:val="0"/>
          <w:divBdr>
            <w:top w:val="none" w:sz="0" w:space="0" w:color="auto"/>
            <w:left w:val="none" w:sz="0" w:space="0" w:color="auto"/>
            <w:bottom w:val="none" w:sz="0" w:space="0" w:color="auto"/>
            <w:right w:val="none" w:sz="0" w:space="0" w:color="auto"/>
          </w:divBdr>
        </w:div>
        <w:div w:id="1272318105">
          <w:marLeft w:val="1267"/>
          <w:marRight w:val="0"/>
          <w:marTop w:val="0"/>
          <w:marBottom w:val="0"/>
          <w:divBdr>
            <w:top w:val="none" w:sz="0" w:space="0" w:color="auto"/>
            <w:left w:val="none" w:sz="0" w:space="0" w:color="auto"/>
            <w:bottom w:val="none" w:sz="0" w:space="0" w:color="auto"/>
            <w:right w:val="none" w:sz="0" w:space="0" w:color="auto"/>
          </w:divBdr>
        </w:div>
        <w:div w:id="1872985276">
          <w:marLeft w:val="1267"/>
          <w:marRight w:val="0"/>
          <w:marTop w:val="0"/>
          <w:marBottom w:val="0"/>
          <w:divBdr>
            <w:top w:val="none" w:sz="0" w:space="0" w:color="auto"/>
            <w:left w:val="none" w:sz="0" w:space="0" w:color="auto"/>
            <w:bottom w:val="none" w:sz="0" w:space="0" w:color="auto"/>
            <w:right w:val="none" w:sz="0" w:space="0" w:color="auto"/>
          </w:divBdr>
        </w:div>
      </w:divsChild>
    </w:div>
    <w:div w:id="684017137">
      <w:bodyDiv w:val="1"/>
      <w:marLeft w:val="0"/>
      <w:marRight w:val="0"/>
      <w:marTop w:val="0"/>
      <w:marBottom w:val="0"/>
      <w:divBdr>
        <w:top w:val="none" w:sz="0" w:space="0" w:color="auto"/>
        <w:left w:val="none" w:sz="0" w:space="0" w:color="auto"/>
        <w:bottom w:val="none" w:sz="0" w:space="0" w:color="auto"/>
        <w:right w:val="none" w:sz="0" w:space="0" w:color="auto"/>
      </w:divBdr>
      <w:divsChild>
        <w:div w:id="1979652309">
          <w:marLeft w:val="547"/>
          <w:marRight w:val="0"/>
          <w:marTop w:val="0"/>
          <w:marBottom w:val="0"/>
          <w:divBdr>
            <w:top w:val="none" w:sz="0" w:space="0" w:color="auto"/>
            <w:left w:val="none" w:sz="0" w:space="0" w:color="auto"/>
            <w:bottom w:val="none" w:sz="0" w:space="0" w:color="auto"/>
            <w:right w:val="none" w:sz="0" w:space="0" w:color="auto"/>
          </w:divBdr>
        </w:div>
      </w:divsChild>
    </w:div>
    <w:div w:id="732966975">
      <w:bodyDiv w:val="1"/>
      <w:marLeft w:val="0"/>
      <w:marRight w:val="0"/>
      <w:marTop w:val="0"/>
      <w:marBottom w:val="0"/>
      <w:divBdr>
        <w:top w:val="none" w:sz="0" w:space="0" w:color="auto"/>
        <w:left w:val="none" w:sz="0" w:space="0" w:color="auto"/>
        <w:bottom w:val="none" w:sz="0" w:space="0" w:color="auto"/>
        <w:right w:val="none" w:sz="0" w:space="0" w:color="auto"/>
      </w:divBdr>
      <w:divsChild>
        <w:div w:id="56708793">
          <w:marLeft w:val="547"/>
          <w:marRight w:val="0"/>
          <w:marTop w:val="0"/>
          <w:marBottom w:val="0"/>
          <w:divBdr>
            <w:top w:val="none" w:sz="0" w:space="0" w:color="auto"/>
            <w:left w:val="none" w:sz="0" w:space="0" w:color="auto"/>
            <w:bottom w:val="none" w:sz="0" w:space="0" w:color="auto"/>
            <w:right w:val="none" w:sz="0" w:space="0" w:color="auto"/>
          </w:divBdr>
        </w:div>
        <w:div w:id="1146825457">
          <w:marLeft w:val="547"/>
          <w:marRight w:val="0"/>
          <w:marTop w:val="0"/>
          <w:marBottom w:val="0"/>
          <w:divBdr>
            <w:top w:val="none" w:sz="0" w:space="0" w:color="auto"/>
            <w:left w:val="none" w:sz="0" w:space="0" w:color="auto"/>
            <w:bottom w:val="none" w:sz="0" w:space="0" w:color="auto"/>
            <w:right w:val="none" w:sz="0" w:space="0" w:color="auto"/>
          </w:divBdr>
        </w:div>
        <w:div w:id="1811942278">
          <w:marLeft w:val="547"/>
          <w:marRight w:val="0"/>
          <w:marTop w:val="0"/>
          <w:marBottom w:val="0"/>
          <w:divBdr>
            <w:top w:val="none" w:sz="0" w:space="0" w:color="auto"/>
            <w:left w:val="none" w:sz="0" w:space="0" w:color="auto"/>
            <w:bottom w:val="none" w:sz="0" w:space="0" w:color="auto"/>
            <w:right w:val="none" w:sz="0" w:space="0" w:color="auto"/>
          </w:divBdr>
        </w:div>
        <w:div w:id="1820733066">
          <w:marLeft w:val="547"/>
          <w:marRight w:val="0"/>
          <w:marTop w:val="0"/>
          <w:marBottom w:val="0"/>
          <w:divBdr>
            <w:top w:val="none" w:sz="0" w:space="0" w:color="auto"/>
            <w:left w:val="none" w:sz="0" w:space="0" w:color="auto"/>
            <w:bottom w:val="none" w:sz="0" w:space="0" w:color="auto"/>
            <w:right w:val="none" w:sz="0" w:space="0" w:color="auto"/>
          </w:divBdr>
        </w:div>
      </w:divsChild>
    </w:div>
    <w:div w:id="745882028">
      <w:bodyDiv w:val="1"/>
      <w:marLeft w:val="0"/>
      <w:marRight w:val="0"/>
      <w:marTop w:val="0"/>
      <w:marBottom w:val="0"/>
      <w:divBdr>
        <w:top w:val="none" w:sz="0" w:space="0" w:color="auto"/>
        <w:left w:val="none" w:sz="0" w:space="0" w:color="auto"/>
        <w:bottom w:val="none" w:sz="0" w:space="0" w:color="auto"/>
        <w:right w:val="none" w:sz="0" w:space="0" w:color="auto"/>
      </w:divBdr>
      <w:divsChild>
        <w:div w:id="2021275543">
          <w:marLeft w:val="360"/>
          <w:marRight w:val="0"/>
          <w:marTop w:val="200"/>
          <w:marBottom w:val="0"/>
          <w:divBdr>
            <w:top w:val="none" w:sz="0" w:space="0" w:color="auto"/>
            <w:left w:val="none" w:sz="0" w:space="0" w:color="auto"/>
            <w:bottom w:val="none" w:sz="0" w:space="0" w:color="auto"/>
            <w:right w:val="none" w:sz="0" w:space="0" w:color="auto"/>
          </w:divBdr>
        </w:div>
      </w:divsChild>
    </w:div>
    <w:div w:id="749473426">
      <w:bodyDiv w:val="1"/>
      <w:marLeft w:val="0"/>
      <w:marRight w:val="0"/>
      <w:marTop w:val="0"/>
      <w:marBottom w:val="0"/>
      <w:divBdr>
        <w:top w:val="none" w:sz="0" w:space="0" w:color="auto"/>
        <w:left w:val="none" w:sz="0" w:space="0" w:color="auto"/>
        <w:bottom w:val="none" w:sz="0" w:space="0" w:color="auto"/>
        <w:right w:val="none" w:sz="0" w:space="0" w:color="auto"/>
      </w:divBdr>
      <w:divsChild>
        <w:div w:id="942424613">
          <w:marLeft w:val="1382"/>
          <w:marRight w:val="0"/>
          <w:marTop w:val="0"/>
          <w:marBottom w:val="200"/>
          <w:divBdr>
            <w:top w:val="none" w:sz="0" w:space="0" w:color="auto"/>
            <w:left w:val="none" w:sz="0" w:space="0" w:color="auto"/>
            <w:bottom w:val="none" w:sz="0" w:space="0" w:color="auto"/>
            <w:right w:val="none" w:sz="0" w:space="0" w:color="auto"/>
          </w:divBdr>
        </w:div>
        <w:div w:id="980308808">
          <w:marLeft w:val="1382"/>
          <w:marRight w:val="0"/>
          <w:marTop w:val="0"/>
          <w:marBottom w:val="200"/>
          <w:divBdr>
            <w:top w:val="none" w:sz="0" w:space="0" w:color="auto"/>
            <w:left w:val="none" w:sz="0" w:space="0" w:color="auto"/>
            <w:bottom w:val="none" w:sz="0" w:space="0" w:color="auto"/>
            <w:right w:val="none" w:sz="0" w:space="0" w:color="auto"/>
          </w:divBdr>
        </w:div>
        <w:div w:id="1623421054">
          <w:marLeft w:val="1382"/>
          <w:marRight w:val="0"/>
          <w:marTop w:val="0"/>
          <w:marBottom w:val="200"/>
          <w:divBdr>
            <w:top w:val="none" w:sz="0" w:space="0" w:color="auto"/>
            <w:left w:val="none" w:sz="0" w:space="0" w:color="auto"/>
            <w:bottom w:val="none" w:sz="0" w:space="0" w:color="auto"/>
            <w:right w:val="none" w:sz="0" w:space="0" w:color="auto"/>
          </w:divBdr>
        </w:div>
      </w:divsChild>
    </w:div>
    <w:div w:id="754517627">
      <w:bodyDiv w:val="1"/>
      <w:marLeft w:val="0"/>
      <w:marRight w:val="0"/>
      <w:marTop w:val="0"/>
      <w:marBottom w:val="0"/>
      <w:divBdr>
        <w:top w:val="none" w:sz="0" w:space="0" w:color="auto"/>
        <w:left w:val="none" w:sz="0" w:space="0" w:color="auto"/>
        <w:bottom w:val="none" w:sz="0" w:space="0" w:color="auto"/>
        <w:right w:val="none" w:sz="0" w:space="0" w:color="auto"/>
      </w:divBdr>
      <w:divsChild>
        <w:div w:id="1187135443">
          <w:marLeft w:val="547"/>
          <w:marRight w:val="0"/>
          <w:marTop w:val="0"/>
          <w:marBottom w:val="0"/>
          <w:divBdr>
            <w:top w:val="none" w:sz="0" w:space="0" w:color="auto"/>
            <w:left w:val="none" w:sz="0" w:space="0" w:color="auto"/>
            <w:bottom w:val="none" w:sz="0" w:space="0" w:color="auto"/>
            <w:right w:val="none" w:sz="0" w:space="0" w:color="auto"/>
          </w:divBdr>
        </w:div>
      </w:divsChild>
    </w:div>
    <w:div w:id="755597307">
      <w:bodyDiv w:val="1"/>
      <w:marLeft w:val="0"/>
      <w:marRight w:val="0"/>
      <w:marTop w:val="0"/>
      <w:marBottom w:val="0"/>
      <w:divBdr>
        <w:top w:val="none" w:sz="0" w:space="0" w:color="auto"/>
        <w:left w:val="none" w:sz="0" w:space="0" w:color="auto"/>
        <w:bottom w:val="none" w:sz="0" w:space="0" w:color="auto"/>
        <w:right w:val="none" w:sz="0" w:space="0" w:color="auto"/>
      </w:divBdr>
      <w:divsChild>
        <w:div w:id="282003921">
          <w:marLeft w:val="547"/>
          <w:marRight w:val="0"/>
          <w:marTop w:val="0"/>
          <w:marBottom w:val="0"/>
          <w:divBdr>
            <w:top w:val="none" w:sz="0" w:space="0" w:color="auto"/>
            <w:left w:val="none" w:sz="0" w:space="0" w:color="auto"/>
            <w:bottom w:val="none" w:sz="0" w:space="0" w:color="auto"/>
            <w:right w:val="none" w:sz="0" w:space="0" w:color="auto"/>
          </w:divBdr>
        </w:div>
      </w:divsChild>
    </w:div>
    <w:div w:id="769593219">
      <w:bodyDiv w:val="1"/>
      <w:marLeft w:val="0"/>
      <w:marRight w:val="0"/>
      <w:marTop w:val="0"/>
      <w:marBottom w:val="0"/>
      <w:divBdr>
        <w:top w:val="none" w:sz="0" w:space="0" w:color="auto"/>
        <w:left w:val="none" w:sz="0" w:space="0" w:color="auto"/>
        <w:bottom w:val="none" w:sz="0" w:space="0" w:color="auto"/>
        <w:right w:val="none" w:sz="0" w:space="0" w:color="auto"/>
      </w:divBdr>
    </w:div>
    <w:div w:id="785663358">
      <w:bodyDiv w:val="1"/>
      <w:marLeft w:val="0"/>
      <w:marRight w:val="0"/>
      <w:marTop w:val="0"/>
      <w:marBottom w:val="0"/>
      <w:divBdr>
        <w:top w:val="none" w:sz="0" w:space="0" w:color="auto"/>
        <w:left w:val="none" w:sz="0" w:space="0" w:color="auto"/>
        <w:bottom w:val="none" w:sz="0" w:space="0" w:color="auto"/>
        <w:right w:val="none" w:sz="0" w:space="0" w:color="auto"/>
      </w:divBdr>
    </w:div>
    <w:div w:id="788474225">
      <w:bodyDiv w:val="1"/>
      <w:marLeft w:val="0"/>
      <w:marRight w:val="0"/>
      <w:marTop w:val="0"/>
      <w:marBottom w:val="0"/>
      <w:divBdr>
        <w:top w:val="none" w:sz="0" w:space="0" w:color="auto"/>
        <w:left w:val="none" w:sz="0" w:space="0" w:color="auto"/>
        <w:bottom w:val="none" w:sz="0" w:space="0" w:color="auto"/>
        <w:right w:val="none" w:sz="0" w:space="0" w:color="auto"/>
      </w:divBdr>
    </w:div>
    <w:div w:id="799222850">
      <w:bodyDiv w:val="1"/>
      <w:marLeft w:val="0"/>
      <w:marRight w:val="0"/>
      <w:marTop w:val="0"/>
      <w:marBottom w:val="0"/>
      <w:divBdr>
        <w:top w:val="none" w:sz="0" w:space="0" w:color="auto"/>
        <w:left w:val="none" w:sz="0" w:space="0" w:color="auto"/>
        <w:bottom w:val="none" w:sz="0" w:space="0" w:color="auto"/>
        <w:right w:val="none" w:sz="0" w:space="0" w:color="auto"/>
      </w:divBdr>
    </w:div>
    <w:div w:id="836386700">
      <w:bodyDiv w:val="1"/>
      <w:marLeft w:val="0"/>
      <w:marRight w:val="0"/>
      <w:marTop w:val="0"/>
      <w:marBottom w:val="0"/>
      <w:divBdr>
        <w:top w:val="none" w:sz="0" w:space="0" w:color="auto"/>
        <w:left w:val="none" w:sz="0" w:space="0" w:color="auto"/>
        <w:bottom w:val="none" w:sz="0" w:space="0" w:color="auto"/>
        <w:right w:val="none" w:sz="0" w:space="0" w:color="auto"/>
      </w:divBdr>
      <w:divsChild>
        <w:div w:id="231816404">
          <w:marLeft w:val="720"/>
          <w:marRight w:val="0"/>
          <w:marTop w:val="0"/>
          <w:marBottom w:val="0"/>
          <w:divBdr>
            <w:top w:val="none" w:sz="0" w:space="0" w:color="auto"/>
            <w:left w:val="none" w:sz="0" w:space="0" w:color="auto"/>
            <w:bottom w:val="none" w:sz="0" w:space="0" w:color="auto"/>
            <w:right w:val="none" w:sz="0" w:space="0" w:color="auto"/>
          </w:divBdr>
        </w:div>
      </w:divsChild>
    </w:div>
    <w:div w:id="865870073">
      <w:bodyDiv w:val="1"/>
      <w:marLeft w:val="0"/>
      <w:marRight w:val="0"/>
      <w:marTop w:val="0"/>
      <w:marBottom w:val="0"/>
      <w:divBdr>
        <w:top w:val="none" w:sz="0" w:space="0" w:color="auto"/>
        <w:left w:val="none" w:sz="0" w:space="0" w:color="auto"/>
        <w:bottom w:val="none" w:sz="0" w:space="0" w:color="auto"/>
        <w:right w:val="none" w:sz="0" w:space="0" w:color="auto"/>
      </w:divBdr>
    </w:div>
    <w:div w:id="909118643">
      <w:bodyDiv w:val="1"/>
      <w:marLeft w:val="0"/>
      <w:marRight w:val="0"/>
      <w:marTop w:val="0"/>
      <w:marBottom w:val="0"/>
      <w:divBdr>
        <w:top w:val="none" w:sz="0" w:space="0" w:color="auto"/>
        <w:left w:val="none" w:sz="0" w:space="0" w:color="auto"/>
        <w:bottom w:val="none" w:sz="0" w:space="0" w:color="auto"/>
        <w:right w:val="none" w:sz="0" w:space="0" w:color="auto"/>
      </w:divBdr>
    </w:div>
    <w:div w:id="927468581">
      <w:bodyDiv w:val="1"/>
      <w:marLeft w:val="0"/>
      <w:marRight w:val="0"/>
      <w:marTop w:val="0"/>
      <w:marBottom w:val="0"/>
      <w:divBdr>
        <w:top w:val="none" w:sz="0" w:space="0" w:color="auto"/>
        <w:left w:val="none" w:sz="0" w:space="0" w:color="auto"/>
        <w:bottom w:val="none" w:sz="0" w:space="0" w:color="auto"/>
        <w:right w:val="none" w:sz="0" w:space="0" w:color="auto"/>
      </w:divBdr>
    </w:div>
    <w:div w:id="945697012">
      <w:bodyDiv w:val="1"/>
      <w:marLeft w:val="0"/>
      <w:marRight w:val="0"/>
      <w:marTop w:val="0"/>
      <w:marBottom w:val="0"/>
      <w:divBdr>
        <w:top w:val="none" w:sz="0" w:space="0" w:color="auto"/>
        <w:left w:val="none" w:sz="0" w:space="0" w:color="auto"/>
        <w:bottom w:val="none" w:sz="0" w:space="0" w:color="auto"/>
        <w:right w:val="none" w:sz="0" w:space="0" w:color="auto"/>
      </w:divBdr>
    </w:div>
    <w:div w:id="961301593">
      <w:bodyDiv w:val="1"/>
      <w:marLeft w:val="0"/>
      <w:marRight w:val="0"/>
      <w:marTop w:val="0"/>
      <w:marBottom w:val="0"/>
      <w:divBdr>
        <w:top w:val="none" w:sz="0" w:space="0" w:color="auto"/>
        <w:left w:val="none" w:sz="0" w:space="0" w:color="auto"/>
        <w:bottom w:val="none" w:sz="0" w:space="0" w:color="auto"/>
        <w:right w:val="none" w:sz="0" w:space="0" w:color="auto"/>
      </w:divBdr>
      <w:divsChild>
        <w:div w:id="1033456129">
          <w:marLeft w:val="0"/>
          <w:marRight w:val="0"/>
          <w:marTop w:val="0"/>
          <w:marBottom w:val="0"/>
          <w:divBdr>
            <w:top w:val="none" w:sz="0" w:space="0" w:color="auto"/>
            <w:left w:val="none" w:sz="0" w:space="0" w:color="auto"/>
            <w:bottom w:val="none" w:sz="0" w:space="0" w:color="auto"/>
            <w:right w:val="none" w:sz="0" w:space="0" w:color="auto"/>
          </w:divBdr>
          <w:divsChild>
            <w:div w:id="1680037195">
              <w:marLeft w:val="0"/>
              <w:marRight w:val="0"/>
              <w:marTop w:val="0"/>
              <w:marBottom w:val="0"/>
              <w:divBdr>
                <w:top w:val="none" w:sz="0" w:space="0" w:color="auto"/>
                <w:left w:val="none" w:sz="0" w:space="0" w:color="auto"/>
                <w:bottom w:val="none" w:sz="0" w:space="0" w:color="auto"/>
                <w:right w:val="none" w:sz="0" w:space="0" w:color="auto"/>
              </w:divBdr>
              <w:divsChild>
                <w:div w:id="75903843">
                  <w:marLeft w:val="0"/>
                  <w:marRight w:val="150"/>
                  <w:marTop w:val="0"/>
                  <w:marBottom w:val="0"/>
                  <w:divBdr>
                    <w:top w:val="none" w:sz="0" w:space="0" w:color="auto"/>
                    <w:left w:val="none" w:sz="0" w:space="0" w:color="auto"/>
                    <w:bottom w:val="none" w:sz="0" w:space="0" w:color="auto"/>
                    <w:right w:val="none" w:sz="0" w:space="0" w:color="auto"/>
                  </w:divBdr>
                  <w:divsChild>
                    <w:div w:id="123475576">
                      <w:marLeft w:val="0"/>
                      <w:marRight w:val="0"/>
                      <w:marTop w:val="240"/>
                      <w:marBottom w:val="0"/>
                      <w:divBdr>
                        <w:top w:val="single" w:sz="6" w:space="11" w:color="DDDDDD"/>
                        <w:left w:val="single" w:sz="6" w:space="11" w:color="F0F0F0"/>
                        <w:bottom w:val="single" w:sz="6" w:space="11" w:color="FBFBFB"/>
                        <w:right w:val="single" w:sz="6" w:space="11" w:color="F0F0F0"/>
                      </w:divBdr>
                    </w:div>
                  </w:divsChild>
                </w:div>
              </w:divsChild>
            </w:div>
          </w:divsChild>
        </w:div>
      </w:divsChild>
    </w:div>
    <w:div w:id="985742825">
      <w:bodyDiv w:val="1"/>
      <w:marLeft w:val="0"/>
      <w:marRight w:val="0"/>
      <w:marTop w:val="0"/>
      <w:marBottom w:val="0"/>
      <w:divBdr>
        <w:top w:val="none" w:sz="0" w:space="0" w:color="auto"/>
        <w:left w:val="none" w:sz="0" w:space="0" w:color="auto"/>
        <w:bottom w:val="none" w:sz="0" w:space="0" w:color="auto"/>
        <w:right w:val="none" w:sz="0" w:space="0" w:color="auto"/>
      </w:divBdr>
      <w:divsChild>
        <w:div w:id="93325107">
          <w:marLeft w:val="547"/>
          <w:marRight w:val="0"/>
          <w:marTop w:val="0"/>
          <w:marBottom w:val="0"/>
          <w:divBdr>
            <w:top w:val="none" w:sz="0" w:space="0" w:color="auto"/>
            <w:left w:val="none" w:sz="0" w:space="0" w:color="auto"/>
            <w:bottom w:val="none" w:sz="0" w:space="0" w:color="auto"/>
            <w:right w:val="none" w:sz="0" w:space="0" w:color="auto"/>
          </w:divBdr>
        </w:div>
      </w:divsChild>
    </w:div>
    <w:div w:id="990447841">
      <w:bodyDiv w:val="1"/>
      <w:marLeft w:val="0"/>
      <w:marRight w:val="0"/>
      <w:marTop w:val="0"/>
      <w:marBottom w:val="0"/>
      <w:divBdr>
        <w:top w:val="none" w:sz="0" w:space="0" w:color="auto"/>
        <w:left w:val="none" w:sz="0" w:space="0" w:color="auto"/>
        <w:bottom w:val="none" w:sz="0" w:space="0" w:color="auto"/>
        <w:right w:val="none" w:sz="0" w:space="0" w:color="auto"/>
      </w:divBdr>
    </w:div>
    <w:div w:id="993534193">
      <w:bodyDiv w:val="1"/>
      <w:marLeft w:val="0"/>
      <w:marRight w:val="0"/>
      <w:marTop w:val="0"/>
      <w:marBottom w:val="0"/>
      <w:divBdr>
        <w:top w:val="none" w:sz="0" w:space="0" w:color="auto"/>
        <w:left w:val="none" w:sz="0" w:space="0" w:color="auto"/>
        <w:bottom w:val="none" w:sz="0" w:space="0" w:color="auto"/>
        <w:right w:val="none" w:sz="0" w:space="0" w:color="auto"/>
      </w:divBdr>
      <w:divsChild>
        <w:div w:id="594246335">
          <w:marLeft w:val="446"/>
          <w:marRight w:val="0"/>
          <w:marTop w:val="0"/>
          <w:marBottom w:val="0"/>
          <w:divBdr>
            <w:top w:val="none" w:sz="0" w:space="0" w:color="auto"/>
            <w:left w:val="none" w:sz="0" w:space="0" w:color="auto"/>
            <w:bottom w:val="none" w:sz="0" w:space="0" w:color="auto"/>
            <w:right w:val="none" w:sz="0" w:space="0" w:color="auto"/>
          </w:divBdr>
        </w:div>
        <w:div w:id="973828518">
          <w:marLeft w:val="446"/>
          <w:marRight w:val="0"/>
          <w:marTop w:val="0"/>
          <w:marBottom w:val="0"/>
          <w:divBdr>
            <w:top w:val="none" w:sz="0" w:space="0" w:color="auto"/>
            <w:left w:val="none" w:sz="0" w:space="0" w:color="auto"/>
            <w:bottom w:val="none" w:sz="0" w:space="0" w:color="auto"/>
            <w:right w:val="none" w:sz="0" w:space="0" w:color="auto"/>
          </w:divBdr>
        </w:div>
        <w:div w:id="1073624156">
          <w:marLeft w:val="446"/>
          <w:marRight w:val="0"/>
          <w:marTop w:val="0"/>
          <w:marBottom w:val="0"/>
          <w:divBdr>
            <w:top w:val="none" w:sz="0" w:space="0" w:color="auto"/>
            <w:left w:val="none" w:sz="0" w:space="0" w:color="auto"/>
            <w:bottom w:val="none" w:sz="0" w:space="0" w:color="auto"/>
            <w:right w:val="none" w:sz="0" w:space="0" w:color="auto"/>
          </w:divBdr>
        </w:div>
        <w:div w:id="1476490682">
          <w:marLeft w:val="446"/>
          <w:marRight w:val="0"/>
          <w:marTop w:val="0"/>
          <w:marBottom w:val="0"/>
          <w:divBdr>
            <w:top w:val="none" w:sz="0" w:space="0" w:color="auto"/>
            <w:left w:val="none" w:sz="0" w:space="0" w:color="auto"/>
            <w:bottom w:val="none" w:sz="0" w:space="0" w:color="auto"/>
            <w:right w:val="none" w:sz="0" w:space="0" w:color="auto"/>
          </w:divBdr>
        </w:div>
        <w:div w:id="1629315367">
          <w:marLeft w:val="446"/>
          <w:marRight w:val="0"/>
          <w:marTop w:val="0"/>
          <w:marBottom w:val="0"/>
          <w:divBdr>
            <w:top w:val="none" w:sz="0" w:space="0" w:color="auto"/>
            <w:left w:val="none" w:sz="0" w:space="0" w:color="auto"/>
            <w:bottom w:val="none" w:sz="0" w:space="0" w:color="auto"/>
            <w:right w:val="none" w:sz="0" w:space="0" w:color="auto"/>
          </w:divBdr>
        </w:div>
        <w:div w:id="1647540122">
          <w:marLeft w:val="446"/>
          <w:marRight w:val="0"/>
          <w:marTop w:val="0"/>
          <w:marBottom w:val="0"/>
          <w:divBdr>
            <w:top w:val="none" w:sz="0" w:space="0" w:color="auto"/>
            <w:left w:val="none" w:sz="0" w:space="0" w:color="auto"/>
            <w:bottom w:val="none" w:sz="0" w:space="0" w:color="auto"/>
            <w:right w:val="none" w:sz="0" w:space="0" w:color="auto"/>
          </w:divBdr>
        </w:div>
      </w:divsChild>
    </w:div>
    <w:div w:id="994718969">
      <w:bodyDiv w:val="1"/>
      <w:marLeft w:val="0"/>
      <w:marRight w:val="0"/>
      <w:marTop w:val="0"/>
      <w:marBottom w:val="0"/>
      <w:divBdr>
        <w:top w:val="none" w:sz="0" w:space="0" w:color="auto"/>
        <w:left w:val="none" w:sz="0" w:space="0" w:color="auto"/>
        <w:bottom w:val="none" w:sz="0" w:space="0" w:color="auto"/>
        <w:right w:val="none" w:sz="0" w:space="0" w:color="auto"/>
      </w:divBdr>
    </w:div>
    <w:div w:id="1053427160">
      <w:bodyDiv w:val="1"/>
      <w:marLeft w:val="0"/>
      <w:marRight w:val="0"/>
      <w:marTop w:val="0"/>
      <w:marBottom w:val="0"/>
      <w:divBdr>
        <w:top w:val="none" w:sz="0" w:space="0" w:color="auto"/>
        <w:left w:val="none" w:sz="0" w:space="0" w:color="auto"/>
        <w:bottom w:val="none" w:sz="0" w:space="0" w:color="auto"/>
        <w:right w:val="none" w:sz="0" w:space="0" w:color="auto"/>
      </w:divBdr>
    </w:div>
    <w:div w:id="1071661829">
      <w:bodyDiv w:val="1"/>
      <w:marLeft w:val="0"/>
      <w:marRight w:val="0"/>
      <w:marTop w:val="0"/>
      <w:marBottom w:val="0"/>
      <w:divBdr>
        <w:top w:val="none" w:sz="0" w:space="0" w:color="auto"/>
        <w:left w:val="none" w:sz="0" w:space="0" w:color="auto"/>
        <w:bottom w:val="none" w:sz="0" w:space="0" w:color="auto"/>
        <w:right w:val="none" w:sz="0" w:space="0" w:color="auto"/>
      </w:divBdr>
    </w:div>
    <w:div w:id="1096366459">
      <w:bodyDiv w:val="1"/>
      <w:marLeft w:val="0"/>
      <w:marRight w:val="0"/>
      <w:marTop w:val="0"/>
      <w:marBottom w:val="0"/>
      <w:divBdr>
        <w:top w:val="none" w:sz="0" w:space="0" w:color="auto"/>
        <w:left w:val="none" w:sz="0" w:space="0" w:color="auto"/>
        <w:bottom w:val="none" w:sz="0" w:space="0" w:color="auto"/>
        <w:right w:val="none" w:sz="0" w:space="0" w:color="auto"/>
      </w:divBdr>
      <w:divsChild>
        <w:div w:id="515660775">
          <w:marLeft w:val="1440"/>
          <w:marRight w:val="0"/>
          <w:marTop w:val="0"/>
          <w:marBottom w:val="0"/>
          <w:divBdr>
            <w:top w:val="none" w:sz="0" w:space="0" w:color="auto"/>
            <w:left w:val="none" w:sz="0" w:space="0" w:color="auto"/>
            <w:bottom w:val="none" w:sz="0" w:space="0" w:color="auto"/>
            <w:right w:val="none" w:sz="0" w:space="0" w:color="auto"/>
          </w:divBdr>
        </w:div>
        <w:div w:id="905839136">
          <w:marLeft w:val="1440"/>
          <w:marRight w:val="0"/>
          <w:marTop w:val="0"/>
          <w:marBottom w:val="0"/>
          <w:divBdr>
            <w:top w:val="none" w:sz="0" w:space="0" w:color="auto"/>
            <w:left w:val="none" w:sz="0" w:space="0" w:color="auto"/>
            <w:bottom w:val="none" w:sz="0" w:space="0" w:color="auto"/>
            <w:right w:val="none" w:sz="0" w:space="0" w:color="auto"/>
          </w:divBdr>
        </w:div>
        <w:div w:id="1037194264">
          <w:marLeft w:val="1440"/>
          <w:marRight w:val="0"/>
          <w:marTop w:val="0"/>
          <w:marBottom w:val="0"/>
          <w:divBdr>
            <w:top w:val="none" w:sz="0" w:space="0" w:color="auto"/>
            <w:left w:val="none" w:sz="0" w:space="0" w:color="auto"/>
            <w:bottom w:val="none" w:sz="0" w:space="0" w:color="auto"/>
            <w:right w:val="none" w:sz="0" w:space="0" w:color="auto"/>
          </w:divBdr>
        </w:div>
      </w:divsChild>
    </w:div>
    <w:div w:id="1112431549">
      <w:bodyDiv w:val="1"/>
      <w:marLeft w:val="0"/>
      <w:marRight w:val="0"/>
      <w:marTop w:val="0"/>
      <w:marBottom w:val="0"/>
      <w:divBdr>
        <w:top w:val="none" w:sz="0" w:space="0" w:color="auto"/>
        <w:left w:val="none" w:sz="0" w:space="0" w:color="auto"/>
        <w:bottom w:val="none" w:sz="0" w:space="0" w:color="auto"/>
        <w:right w:val="none" w:sz="0" w:space="0" w:color="auto"/>
      </w:divBdr>
    </w:div>
    <w:div w:id="1134063690">
      <w:bodyDiv w:val="1"/>
      <w:marLeft w:val="0"/>
      <w:marRight w:val="0"/>
      <w:marTop w:val="0"/>
      <w:marBottom w:val="0"/>
      <w:divBdr>
        <w:top w:val="none" w:sz="0" w:space="0" w:color="auto"/>
        <w:left w:val="none" w:sz="0" w:space="0" w:color="auto"/>
        <w:bottom w:val="none" w:sz="0" w:space="0" w:color="auto"/>
        <w:right w:val="none" w:sz="0" w:space="0" w:color="auto"/>
      </w:divBdr>
    </w:div>
    <w:div w:id="1190029154">
      <w:bodyDiv w:val="1"/>
      <w:marLeft w:val="0"/>
      <w:marRight w:val="0"/>
      <w:marTop w:val="0"/>
      <w:marBottom w:val="0"/>
      <w:divBdr>
        <w:top w:val="none" w:sz="0" w:space="0" w:color="auto"/>
        <w:left w:val="none" w:sz="0" w:space="0" w:color="auto"/>
        <w:bottom w:val="none" w:sz="0" w:space="0" w:color="auto"/>
        <w:right w:val="none" w:sz="0" w:space="0" w:color="auto"/>
      </w:divBdr>
    </w:div>
    <w:div w:id="1241015797">
      <w:bodyDiv w:val="1"/>
      <w:marLeft w:val="0"/>
      <w:marRight w:val="0"/>
      <w:marTop w:val="0"/>
      <w:marBottom w:val="0"/>
      <w:divBdr>
        <w:top w:val="none" w:sz="0" w:space="0" w:color="auto"/>
        <w:left w:val="none" w:sz="0" w:space="0" w:color="auto"/>
        <w:bottom w:val="none" w:sz="0" w:space="0" w:color="auto"/>
        <w:right w:val="none" w:sz="0" w:space="0" w:color="auto"/>
      </w:divBdr>
    </w:div>
    <w:div w:id="1243568206">
      <w:bodyDiv w:val="1"/>
      <w:marLeft w:val="0"/>
      <w:marRight w:val="0"/>
      <w:marTop w:val="0"/>
      <w:marBottom w:val="0"/>
      <w:divBdr>
        <w:top w:val="none" w:sz="0" w:space="0" w:color="auto"/>
        <w:left w:val="none" w:sz="0" w:space="0" w:color="auto"/>
        <w:bottom w:val="none" w:sz="0" w:space="0" w:color="auto"/>
        <w:right w:val="none" w:sz="0" w:space="0" w:color="auto"/>
      </w:divBdr>
    </w:div>
    <w:div w:id="1256745567">
      <w:bodyDiv w:val="1"/>
      <w:marLeft w:val="0"/>
      <w:marRight w:val="0"/>
      <w:marTop w:val="0"/>
      <w:marBottom w:val="0"/>
      <w:divBdr>
        <w:top w:val="none" w:sz="0" w:space="0" w:color="auto"/>
        <w:left w:val="none" w:sz="0" w:space="0" w:color="auto"/>
        <w:bottom w:val="none" w:sz="0" w:space="0" w:color="auto"/>
        <w:right w:val="none" w:sz="0" w:space="0" w:color="auto"/>
      </w:divBdr>
    </w:div>
    <w:div w:id="1320578996">
      <w:bodyDiv w:val="1"/>
      <w:marLeft w:val="0"/>
      <w:marRight w:val="0"/>
      <w:marTop w:val="0"/>
      <w:marBottom w:val="0"/>
      <w:divBdr>
        <w:top w:val="none" w:sz="0" w:space="0" w:color="auto"/>
        <w:left w:val="none" w:sz="0" w:space="0" w:color="auto"/>
        <w:bottom w:val="none" w:sz="0" w:space="0" w:color="auto"/>
        <w:right w:val="none" w:sz="0" w:space="0" w:color="auto"/>
      </w:divBdr>
    </w:div>
    <w:div w:id="1329208160">
      <w:bodyDiv w:val="1"/>
      <w:marLeft w:val="0"/>
      <w:marRight w:val="0"/>
      <w:marTop w:val="0"/>
      <w:marBottom w:val="0"/>
      <w:divBdr>
        <w:top w:val="none" w:sz="0" w:space="0" w:color="auto"/>
        <w:left w:val="none" w:sz="0" w:space="0" w:color="auto"/>
        <w:bottom w:val="none" w:sz="0" w:space="0" w:color="auto"/>
        <w:right w:val="none" w:sz="0" w:space="0" w:color="auto"/>
      </w:divBdr>
    </w:div>
    <w:div w:id="1345862033">
      <w:bodyDiv w:val="1"/>
      <w:marLeft w:val="0"/>
      <w:marRight w:val="0"/>
      <w:marTop w:val="0"/>
      <w:marBottom w:val="0"/>
      <w:divBdr>
        <w:top w:val="none" w:sz="0" w:space="0" w:color="auto"/>
        <w:left w:val="none" w:sz="0" w:space="0" w:color="auto"/>
        <w:bottom w:val="none" w:sz="0" w:space="0" w:color="auto"/>
        <w:right w:val="none" w:sz="0" w:space="0" w:color="auto"/>
      </w:divBdr>
    </w:div>
    <w:div w:id="1364525093">
      <w:bodyDiv w:val="1"/>
      <w:marLeft w:val="0"/>
      <w:marRight w:val="0"/>
      <w:marTop w:val="0"/>
      <w:marBottom w:val="0"/>
      <w:divBdr>
        <w:top w:val="none" w:sz="0" w:space="0" w:color="auto"/>
        <w:left w:val="none" w:sz="0" w:space="0" w:color="auto"/>
        <w:bottom w:val="none" w:sz="0" w:space="0" w:color="auto"/>
        <w:right w:val="none" w:sz="0" w:space="0" w:color="auto"/>
      </w:divBdr>
    </w:div>
    <w:div w:id="1374312249">
      <w:bodyDiv w:val="1"/>
      <w:marLeft w:val="0"/>
      <w:marRight w:val="0"/>
      <w:marTop w:val="0"/>
      <w:marBottom w:val="0"/>
      <w:divBdr>
        <w:top w:val="none" w:sz="0" w:space="0" w:color="auto"/>
        <w:left w:val="none" w:sz="0" w:space="0" w:color="auto"/>
        <w:bottom w:val="none" w:sz="0" w:space="0" w:color="auto"/>
        <w:right w:val="none" w:sz="0" w:space="0" w:color="auto"/>
      </w:divBdr>
    </w:div>
    <w:div w:id="1411390911">
      <w:bodyDiv w:val="1"/>
      <w:marLeft w:val="0"/>
      <w:marRight w:val="0"/>
      <w:marTop w:val="0"/>
      <w:marBottom w:val="0"/>
      <w:divBdr>
        <w:top w:val="none" w:sz="0" w:space="0" w:color="auto"/>
        <w:left w:val="none" w:sz="0" w:space="0" w:color="auto"/>
        <w:bottom w:val="none" w:sz="0" w:space="0" w:color="auto"/>
        <w:right w:val="none" w:sz="0" w:space="0" w:color="auto"/>
      </w:divBdr>
    </w:div>
    <w:div w:id="1430931549">
      <w:bodyDiv w:val="1"/>
      <w:marLeft w:val="0"/>
      <w:marRight w:val="0"/>
      <w:marTop w:val="0"/>
      <w:marBottom w:val="0"/>
      <w:divBdr>
        <w:top w:val="none" w:sz="0" w:space="0" w:color="auto"/>
        <w:left w:val="none" w:sz="0" w:space="0" w:color="auto"/>
        <w:bottom w:val="none" w:sz="0" w:space="0" w:color="auto"/>
        <w:right w:val="none" w:sz="0" w:space="0" w:color="auto"/>
      </w:divBdr>
    </w:div>
    <w:div w:id="1507355912">
      <w:bodyDiv w:val="1"/>
      <w:marLeft w:val="0"/>
      <w:marRight w:val="0"/>
      <w:marTop w:val="0"/>
      <w:marBottom w:val="0"/>
      <w:divBdr>
        <w:top w:val="none" w:sz="0" w:space="0" w:color="auto"/>
        <w:left w:val="none" w:sz="0" w:space="0" w:color="auto"/>
        <w:bottom w:val="none" w:sz="0" w:space="0" w:color="auto"/>
        <w:right w:val="none" w:sz="0" w:space="0" w:color="auto"/>
      </w:divBdr>
    </w:div>
    <w:div w:id="1530140230">
      <w:bodyDiv w:val="1"/>
      <w:marLeft w:val="0"/>
      <w:marRight w:val="0"/>
      <w:marTop w:val="0"/>
      <w:marBottom w:val="0"/>
      <w:divBdr>
        <w:top w:val="none" w:sz="0" w:space="0" w:color="auto"/>
        <w:left w:val="none" w:sz="0" w:space="0" w:color="auto"/>
        <w:bottom w:val="none" w:sz="0" w:space="0" w:color="auto"/>
        <w:right w:val="none" w:sz="0" w:space="0" w:color="auto"/>
      </w:divBdr>
    </w:div>
    <w:div w:id="1545174765">
      <w:bodyDiv w:val="1"/>
      <w:marLeft w:val="0"/>
      <w:marRight w:val="0"/>
      <w:marTop w:val="0"/>
      <w:marBottom w:val="0"/>
      <w:divBdr>
        <w:top w:val="none" w:sz="0" w:space="0" w:color="auto"/>
        <w:left w:val="none" w:sz="0" w:space="0" w:color="auto"/>
        <w:bottom w:val="none" w:sz="0" w:space="0" w:color="auto"/>
        <w:right w:val="none" w:sz="0" w:space="0" w:color="auto"/>
      </w:divBdr>
    </w:div>
    <w:div w:id="1570772744">
      <w:bodyDiv w:val="1"/>
      <w:marLeft w:val="0"/>
      <w:marRight w:val="0"/>
      <w:marTop w:val="0"/>
      <w:marBottom w:val="0"/>
      <w:divBdr>
        <w:top w:val="none" w:sz="0" w:space="0" w:color="auto"/>
        <w:left w:val="none" w:sz="0" w:space="0" w:color="auto"/>
        <w:bottom w:val="none" w:sz="0" w:space="0" w:color="auto"/>
        <w:right w:val="none" w:sz="0" w:space="0" w:color="auto"/>
      </w:divBdr>
    </w:div>
    <w:div w:id="1603756869">
      <w:bodyDiv w:val="1"/>
      <w:marLeft w:val="0"/>
      <w:marRight w:val="0"/>
      <w:marTop w:val="0"/>
      <w:marBottom w:val="0"/>
      <w:divBdr>
        <w:top w:val="none" w:sz="0" w:space="0" w:color="auto"/>
        <w:left w:val="none" w:sz="0" w:space="0" w:color="auto"/>
        <w:bottom w:val="none" w:sz="0" w:space="0" w:color="auto"/>
        <w:right w:val="none" w:sz="0" w:space="0" w:color="auto"/>
      </w:divBdr>
    </w:div>
    <w:div w:id="1606813318">
      <w:bodyDiv w:val="1"/>
      <w:marLeft w:val="0"/>
      <w:marRight w:val="0"/>
      <w:marTop w:val="0"/>
      <w:marBottom w:val="0"/>
      <w:divBdr>
        <w:top w:val="none" w:sz="0" w:space="0" w:color="auto"/>
        <w:left w:val="none" w:sz="0" w:space="0" w:color="auto"/>
        <w:bottom w:val="none" w:sz="0" w:space="0" w:color="auto"/>
        <w:right w:val="none" w:sz="0" w:space="0" w:color="auto"/>
      </w:divBdr>
    </w:div>
    <w:div w:id="1612476438">
      <w:bodyDiv w:val="1"/>
      <w:marLeft w:val="0"/>
      <w:marRight w:val="0"/>
      <w:marTop w:val="0"/>
      <w:marBottom w:val="0"/>
      <w:divBdr>
        <w:top w:val="none" w:sz="0" w:space="0" w:color="auto"/>
        <w:left w:val="none" w:sz="0" w:space="0" w:color="auto"/>
        <w:bottom w:val="none" w:sz="0" w:space="0" w:color="auto"/>
        <w:right w:val="none" w:sz="0" w:space="0" w:color="auto"/>
      </w:divBdr>
    </w:div>
    <w:div w:id="1632324828">
      <w:bodyDiv w:val="1"/>
      <w:marLeft w:val="0"/>
      <w:marRight w:val="0"/>
      <w:marTop w:val="0"/>
      <w:marBottom w:val="0"/>
      <w:divBdr>
        <w:top w:val="none" w:sz="0" w:space="0" w:color="auto"/>
        <w:left w:val="none" w:sz="0" w:space="0" w:color="auto"/>
        <w:bottom w:val="none" w:sz="0" w:space="0" w:color="auto"/>
        <w:right w:val="none" w:sz="0" w:space="0" w:color="auto"/>
      </w:divBdr>
      <w:divsChild>
        <w:div w:id="1535072149">
          <w:marLeft w:val="547"/>
          <w:marRight w:val="0"/>
          <w:marTop w:val="0"/>
          <w:marBottom w:val="0"/>
          <w:divBdr>
            <w:top w:val="none" w:sz="0" w:space="0" w:color="auto"/>
            <w:left w:val="none" w:sz="0" w:space="0" w:color="auto"/>
            <w:bottom w:val="none" w:sz="0" w:space="0" w:color="auto"/>
            <w:right w:val="none" w:sz="0" w:space="0" w:color="auto"/>
          </w:divBdr>
        </w:div>
        <w:div w:id="1804427513">
          <w:marLeft w:val="547"/>
          <w:marRight w:val="0"/>
          <w:marTop w:val="0"/>
          <w:marBottom w:val="0"/>
          <w:divBdr>
            <w:top w:val="none" w:sz="0" w:space="0" w:color="auto"/>
            <w:left w:val="none" w:sz="0" w:space="0" w:color="auto"/>
            <w:bottom w:val="none" w:sz="0" w:space="0" w:color="auto"/>
            <w:right w:val="none" w:sz="0" w:space="0" w:color="auto"/>
          </w:divBdr>
        </w:div>
      </w:divsChild>
    </w:div>
    <w:div w:id="1638802336">
      <w:bodyDiv w:val="1"/>
      <w:marLeft w:val="0"/>
      <w:marRight w:val="0"/>
      <w:marTop w:val="0"/>
      <w:marBottom w:val="0"/>
      <w:divBdr>
        <w:top w:val="none" w:sz="0" w:space="0" w:color="auto"/>
        <w:left w:val="none" w:sz="0" w:space="0" w:color="auto"/>
        <w:bottom w:val="none" w:sz="0" w:space="0" w:color="auto"/>
        <w:right w:val="none" w:sz="0" w:space="0" w:color="auto"/>
      </w:divBdr>
    </w:div>
    <w:div w:id="1650280558">
      <w:bodyDiv w:val="1"/>
      <w:marLeft w:val="0"/>
      <w:marRight w:val="0"/>
      <w:marTop w:val="0"/>
      <w:marBottom w:val="0"/>
      <w:divBdr>
        <w:top w:val="none" w:sz="0" w:space="0" w:color="auto"/>
        <w:left w:val="none" w:sz="0" w:space="0" w:color="auto"/>
        <w:bottom w:val="none" w:sz="0" w:space="0" w:color="auto"/>
        <w:right w:val="none" w:sz="0" w:space="0" w:color="auto"/>
      </w:divBdr>
    </w:div>
    <w:div w:id="1664235272">
      <w:bodyDiv w:val="1"/>
      <w:marLeft w:val="0"/>
      <w:marRight w:val="0"/>
      <w:marTop w:val="0"/>
      <w:marBottom w:val="0"/>
      <w:divBdr>
        <w:top w:val="none" w:sz="0" w:space="0" w:color="auto"/>
        <w:left w:val="none" w:sz="0" w:space="0" w:color="auto"/>
        <w:bottom w:val="none" w:sz="0" w:space="0" w:color="auto"/>
        <w:right w:val="none" w:sz="0" w:space="0" w:color="auto"/>
      </w:divBdr>
    </w:div>
    <w:div w:id="1739672451">
      <w:bodyDiv w:val="1"/>
      <w:marLeft w:val="0"/>
      <w:marRight w:val="0"/>
      <w:marTop w:val="0"/>
      <w:marBottom w:val="0"/>
      <w:divBdr>
        <w:top w:val="none" w:sz="0" w:space="0" w:color="auto"/>
        <w:left w:val="none" w:sz="0" w:space="0" w:color="auto"/>
        <w:bottom w:val="none" w:sz="0" w:space="0" w:color="auto"/>
        <w:right w:val="none" w:sz="0" w:space="0" w:color="auto"/>
      </w:divBdr>
    </w:div>
    <w:div w:id="1763532279">
      <w:bodyDiv w:val="1"/>
      <w:marLeft w:val="0"/>
      <w:marRight w:val="0"/>
      <w:marTop w:val="0"/>
      <w:marBottom w:val="0"/>
      <w:divBdr>
        <w:top w:val="none" w:sz="0" w:space="0" w:color="auto"/>
        <w:left w:val="none" w:sz="0" w:space="0" w:color="auto"/>
        <w:bottom w:val="none" w:sz="0" w:space="0" w:color="auto"/>
        <w:right w:val="none" w:sz="0" w:space="0" w:color="auto"/>
      </w:divBdr>
    </w:div>
    <w:div w:id="1797915038">
      <w:bodyDiv w:val="1"/>
      <w:marLeft w:val="0"/>
      <w:marRight w:val="0"/>
      <w:marTop w:val="0"/>
      <w:marBottom w:val="0"/>
      <w:divBdr>
        <w:top w:val="none" w:sz="0" w:space="0" w:color="auto"/>
        <w:left w:val="none" w:sz="0" w:space="0" w:color="auto"/>
        <w:bottom w:val="none" w:sz="0" w:space="0" w:color="auto"/>
        <w:right w:val="none" w:sz="0" w:space="0" w:color="auto"/>
      </w:divBdr>
    </w:div>
    <w:div w:id="1805809179">
      <w:bodyDiv w:val="1"/>
      <w:marLeft w:val="0"/>
      <w:marRight w:val="0"/>
      <w:marTop w:val="0"/>
      <w:marBottom w:val="0"/>
      <w:divBdr>
        <w:top w:val="none" w:sz="0" w:space="0" w:color="auto"/>
        <w:left w:val="none" w:sz="0" w:space="0" w:color="auto"/>
        <w:bottom w:val="none" w:sz="0" w:space="0" w:color="auto"/>
        <w:right w:val="none" w:sz="0" w:space="0" w:color="auto"/>
      </w:divBdr>
    </w:div>
    <w:div w:id="1826047658">
      <w:bodyDiv w:val="1"/>
      <w:marLeft w:val="0"/>
      <w:marRight w:val="0"/>
      <w:marTop w:val="0"/>
      <w:marBottom w:val="0"/>
      <w:divBdr>
        <w:top w:val="none" w:sz="0" w:space="0" w:color="auto"/>
        <w:left w:val="none" w:sz="0" w:space="0" w:color="auto"/>
        <w:bottom w:val="none" w:sz="0" w:space="0" w:color="auto"/>
        <w:right w:val="none" w:sz="0" w:space="0" w:color="auto"/>
      </w:divBdr>
      <w:divsChild>
        <w:div w:id="1970356248">
          <w:marLeft w:val="547"/>
          <w:marRight w:val="0"/>
          <w:marTop w:val="0"/>
          <w:marBottom w:val="0"/>
          <w:divBdr>
            <w:top w:val="none" w:sz="0" w:space="0" w:color="auto"/>
            <w:left w:val="none" w:sz="0" w:space="0" w:color="auto"/>
            <w:bottom w:val="none" w:sz="0" w:space="0" w:color="auto"/>
            <w:right w:val="none" w:sz="0" w:space="0" w:color="auto"/>
          </w:divBdr>
        </w:div>
      </w:divsChild>
    </w:div>
    <w:div w:id="1883857376">
      <w:bodyDiv w:val="1"/>
      <w:marLeft w:val="0"/>
      <w:marRight w:val="0"/>
      <w:marTop w:val="0"/>
      <w:marBottom w:val="0"/>
      <w:divBdr>
        <w:top w:val="none" w:sz="0" w:space="0" w:color="auto"/>
        <w:left w:val="none" w:sz="0" w:space="0" w:color="auto"/>
        <w:bottom w:val="none" w:sz="0" w:space="0" w:color="auto"/>
        <w:right w:val="none" w:sz="0" w:space="0" w:color="auto"/>
      </w:divBdr>
    </w:div>
    <w:div w:id="1898971804">
      <w:bodyDiv w:val="1"/>
      <w:marLeft w:val="0"/>
      <w:marRight w:val="0"/>
      <w:marTop w:val="0"/>
      <w:marBottom w:val="0"/>
      <w:divBdr>
        <w:top w:val="none" w:sz="0" w:space="0" w:color="auto"/>
        <w:left w:val="none" w:sz="0" w:space="0" w:color="auto"/>
        <w:bottom w:val="none" w:sz="0" w:space="0" w:color="auto"/>
        <w:right w:val="none" w:sz="0" w:space="0" w:color="auto"/>
      </w:divBdr>
    </w:div>
    <w:div w:id="1906258928">
      <w:bodyDiv w:val="1"/>
      <w:marLeft w:val="0"/>
      <w:marRight w:val="0"/>
      <w:marTop w:val="0"/>
      <w:marBottom w:val="0"/>
      <w:divBdr>
        <w:top w:val="none" w:sz="0" w:space="0" w:color="auto"/>
        <w:left w:val="none" w:sz="0" w:space="0" w:color="auto"/>
        <w:bottom w:val="none" w:sz="0" w:space="0" w:color="auto"/>
        <w:right w:val="none" w:sz="0" w:space="0" w:color="auto"/>
      </w:divBdr>
      <w:divsChild>
        <w:div w:id="795149061">
          <w:marLeft w:val="1080"/>
          <w:marRight w:val="0"/>
          <w:marTop w:val="100"/>
          <w:marBottom w:val="0"/>
          <w:divBdr>
            <w:top w:val="none" w:sz="0" w:space="0" w:color="auto"/>
            <w:left w:val="none" w:sz="0" w:space="0" w:color="auto"/>
            <w:bottom w:val="none" w:sz="0" w:space="0" w:color="auto"/>
            <w:right w:val="none" w:sz="0" w:space="0" w:color="auto"/>
          </w:divBdr>
        </w:div>
      </w:divsChild>
    </w:div>
    <w:div w:id="1996520565">
      <w:bodyDiv w:val="1"/>
      <w:marLeft w:val="0"/>
      <w:marRight w:val="0"/>
      <w:marTop w:val="0"/>
      <w:marBottom w:val="0"/>
      <w:divBdr>
        <w:top w:val="none" w:sz="0" w:space="0" w:color="auto"/>
        <w:left w:val="none" w:sz="0" w:space="0" w:color="auto"/>
        <w:bottom w:val="none" w:sz="0" w:space="0" w:color="auto"/>
        <w:right w:val="none" w:sz="0" w:space="0" w:color="auto"/>
      </w:divBdr>
    </w:div>
    <w:div w:id="2015064988">
      <w:bodyDiv w:val="1"/>
      <w:marLeft w:val="0"/>
      <w:marRight w:val="0"/>
      <w:marTop w:val="0"/>
      <w:marBottom w:val="0"/>
      <w:divBdr>
        <w:top w:val="none" w:sz="0" w:space="0" w:color="auto"/>
        <w:left w:val="none" w:sz="0" w:space="0" w:color="auto"/>
        <w:bottom w:val="none" w:sz="0" w:space="0" w:color="auto"/>
        <w:right w:val="none" w:sz="0" w:space="0" w:color="auto"/>
      </w:divBdr>
    </w:div>
    <w:div w:id="2098936956">
      <w:bodyDiv w:val="1"/>
      <w:marLeft w:val="0"/>
      <w:marRight w:val="0"/>
      <w:marTop w:val="0"/>
      <w:marBottom w:val="0"/>
      <w:divBdr>
        <w:top w:val="none" w:sz="0" w:space="0" w:color="auto"/>
        <w:left w:val="none" w:sz="0" w:space="0" w:color="auto"/>
        <w:bottom w:val="none" w:sz="0" w:space="0" w:color="auto"/>
        <w:right w:val="none" w:sz="0" w:space="0" w:color="auto"/>
      </w:divBdr>
      <w:divsChild>
        <w:div w:id="454835384">
          <w:marLeft w:val="547"/>
          <w:marRight w:val="0"/>
          <w:marTop w:val="0"/>
          <w:marBottom w:val="0"/>
          <w:divBdr>
            <w:top w:val="none" w:sz="0" w:space="0" w:color="auto"/>
            <w:left w:val="none" w:sz="0" w:space="0" w:color="auto"/>
            <w:bottom w:val="none" w:sz="0" w:space="0" w:color="auto"/>
            <w:right w:val="none" w:sz="0" w:space="0" w:color="auto"/>
          </w:divBdr>
        </w:div>
        <w:div w:id="566458648">
          <w:marLeft w:val="547"/>
          <w:marRight w:val="0"/>
          <w:marTop w:val="0"/>
          <w:marBottom w:val="0"/>
          <w:divBdr>
            <w:top w:val="none" w:sz="0" w:space="0" w:color="auto"/>
            <w:left w:val="none" w:sz="0" w:space="0" w:color="auto"/>
            <w:bottom w:val="none" w:sz="0" w:space="0" w:color="auto"/>
            <w:right w:val="none" w:sz="0" w:space="0" w:color="auto"/>
          </w:divBdr>
        </w:div>
      </w:divsChild>
    </w:div>
    <w:div w:id="2119177336">
      <w:bodyDiv w:val="1"/>
      <w:marLeft w:val="0"/>
      <w:marRight w:val="0"/>
      <w:marTop w:val="0"/>
      <w:marBottom w:val="0"/>
      <w:divBdr>
        <w:top w:val="none" w:sz="0" w:space="0" w:color="auto"/>
        <w:left w:val="none" w:sz="0" w:space="0" w:color="auto"/>
        <w:bottom w:val="none" w:sz="0" w:space="0" w:color="auto"/>
        <w:right w:val="none" w:sz="0" w:space="0" w:color="auto"/>
      </w:divBdr>
      <w:divsChild>
        <w:div w:id="1304312272">
          <w:marLeft w:val="547"/>
          <w:marRight w:val="0"/>
          <w:marTop w:val="0"/>
          <w:marBottom w:val="0"/>
          <w:divBdr>
            <w:top w:val="none" w:sz="0" w:space="0" w:color="auto"/>
            <w:left w:val="none" w:sz="0" w:space="0" w:color="auto"/>
            <w:bottom w:val="none" w:sz="0" w:space="0" w:color="auto"/>
            <w:right w:val="none" w:sz="0" w:space="0" w:color="auto"/>
          </w:divBdr>
        </w:div>
      </w:divsChild>
    </w:div>
    <w:div w:id="213374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5" Type="http://schemas.openxmlformats.org/officeDocument/2006/relationships/customXml" Target="../customXml/item5.xml"/><Relationship Id="rId15" Type="http://schemas.openxmlformats.org/officeDocument/2006/relationships/endnotes" Target="endnotes.xml"/><Relationship Id="rId10" Type="http://schemas.openxmlformats.org/officeDocument/2006/relationships/numbering" Target="numbering.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ct:contentTypeSchema xmlns:ct="http://schemas.microsoft.com/office/2006/metadata/contentType" xmlns:ma="http://schemas.microsoft.com/office/2006/metadata/properties/metaAttributes" ct:_="" ma:_="" ma:contentTypeName="Document" ma:contentTypeID="0x010100131F2664F5DEC84AABBF0D8BC84E0758" ma:contentTypeVersion="6" ma:contentTypeDescription="Create a new document." ma:contentTypeScope="" ma:versionID="9bd3787a8572581a5ea56197d54f4315">
  <xsd:schema xmlns:xsd="http://www.w3.org/2001/XMLSchema" xmlns:xs="http://www.w3.org/2001/XMLSchema" xmlns:p="http://schemas.microsoft.com/office/2006/metadata/properties" xmlns:ns2="e6157eb3-1040-4156-aab7-5a7942638277" xmlns:ns3="9f1dbe97-65c3-4ac4-b1bf-153439a63b76" targetNamespace="http://schemas.microsoft.com/office/2006/metadata/properties" ma:root="true" ma:fieldsID="1da216b761049a0fc143365f9d68046d" ns2:_="" ns3:_="">
    <xsd:import namespace="e6157eb3-1040-4156-aab7-5a7942638277"/>
    <xsd:import namespace="9f1dbe97-65c3-4ac4-b1bf-153439a63b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157eb3-1040-4156-aab7-5a79426382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1dbe97-65c3-4ac4-b1bf-153439a63b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FFCAEC-4737-4E7A-AA5A-5441024F3851}">
  <ds:schemaRefs>
    <ds:schemaRef ds:uri="http://schemas.openxmlformats.org/officeDocument/2006/bibliography"/>
  </ds:schemaRefs>
</ds:datastoreItem>
</file>

<file path=customXml/itemProps2.xml><?xml version="1.0" encoding="utf-8"?>
<ds:datastoreItem xmlns:ds="http://schemas.openxmlformats.org/officeDocument/2006/customXml" ds:itemID="{0940C845-D2D3-47FD-8435-A62600DAFB6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FBA5436-E912-4CEB-947E-A13134604046}">
  <ds:schemaRefs>
    <ds:schemaRef ds:uri="http://schemas.openxmlformats.org/officeDocument/2006/bibliography"/>
  </ds:schemaRefs>
</ds:datastoreItem>
</file>

<file path=customXml/itemProps4.xml><?xml version="1.0" encoding="utf-8"?>
<ds:datastoreItem xmlns:ds="http://schemas.openxmlformats.org/officeDocument/2006/customXml" ds:itemID="{3914EFCE-D556-D443-9BFE-692018BA909D}">
  <ds:schemaRefs>
    <ds:schemaRef ds:uri="http://schemas.openxmlformats.org/officeDocument/2006/bibliography"/>
  </ds:schemaRefs>
</ds:datastoreItem>
</file>

<file path=customXml/itemProps5.xml><?xml version="1.0" encoding="utf-8"?>
<ds:datastoreItem xmlns:ds="http://schemas.openxmlformats.org/officeDocument/2006/customXml" ds:itemID="{00476680-66B5-42C4-B0B2-ED2F43E9662A}">
  <ds:schemaRefs>
    <ds:schemaRef ds:uri="http://schemas.microsoft.com/sharepoint/v3/contenttype/forms"/>
  </ds:schemaRefs>
</ds:datastoreItem>
</file>

<file path=customXml/itemProps6.xml><?xml version="1.0" encoding="utf-8"?>
<ds:datastoreItem xmlns:ds="http://schemas.openxmlformats.org/officeDocument/2006/customXml" ds:itemID="{1AF79ADC-95CD-4867-B591-4F55EFED47BE}">
  <ds:schemaRefs>
    <ds:schemaRef ds:uri="http://schemas.openxmlformats.org/officeDocument/2006/bibliography"/>
  </ds:schemaRefs>
</ds:datastoreItem>
</file>

<file path=customXml/itemProps7.xml><?xml version="1.0" encoding="utf-8"?>
<ds:datastoreItem xmlns:ds="http://schemas.openxmlformats.org/officeDocument/2006/customXml" ds:itemID="{C3309A64-BFF0-434B-A7BD-830EF7D34B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157eb3-1040-4156-aab7-5a7942638277"/>
    <ds:schemaRef ds:uri="9f1dbe97-65c3-4ac4-b1bf-153439a63b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27D575AF-BB17-47AA-A292-16853B171E3F}">
  <ds:schemaRefs>
    <ds:schemaRef ds:uri="http://schemas.openxmlformats.org/officeDocument/2006/bibliography"/>
  </ds:schemaRefs>
</ds:datastoreItem>
</file>

<file path=customXml/itemProps9.xml><?xml version="1.0" encoding="utf-8"?>
<ds:datastoreItem xmlns:ds="http://schemas.openxmlformats.org/officeDocument/2006/customXml" ds:itemID="{E8DE454D-C885-4919-9723-4FBB36550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4041</Words>
  <Characters>23886</Characters>
  <Application>Microsoft Office Word</Application>
  <DocSecurity>4</DocSecurity>
  <Lines>796</Lines>
  <Paragraphs>279</Paragraphs>
  <ScaleCrop>false</ScaleCrop>
  <Company>Microsoft</Company>
  <LinksUpToDate>false</LinksUpToDate>
  <CharactersWithSpaces>27648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EBS</dc:creator>
  <cp:keywords/>
  <cp:lastModifiedBy>Svetlana Iazykova</cp:lastModifiedBy>
  <cp:revision>2</cp:revision>
  <cp:lastPrinted>2017-10-03T19:14:00Z</cp:lastPrinted>
  <dcterms:created xsi:type="dcterms:W3CDTF">2021-07-02T18:28:00Z</dcterms:created>
  <dcterms:modified xsi:type="dcterms:W3CDTF">2021-07-02T18:28:00Z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0x010100131F2664F5DEC84AABBF0D8BC84E0758</vt:lpwstr>
  </property>
</Properties>
</file>