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43" w:rsidRPr="0019048D" w:rsidRDefault="00F8379F" w:rsidP="00E16443">
      <w:pPr>
        <w:rPr>
          <w:b/>
          <w:i/>
          <w:color w:val="0000FF"/>
        </w:rPr>
      </w:pPr>
      <w:r>
        <w:rPr>
          <w:b/>
          <w:bCs/>
          <w:color w:val="000000"/>
        </w:rPr>
        <w:t>ANNEX</w:t>
      </w:r>
      <w:r w:rsidR="00E16443" w:rsidRPr="0019048D">
        <w:rPr>
          <w:bCs/>
          <w:color w:val="000000"/>
        </w:rPr>
        <w:t xml:space="preserve">. </w:t>
      </w:r>
      <w:r w:rsidR="00E16443" w:rsidRPr="0019048D">
        <w:rPr>
          <w:b/>
          <w:bCs/>
          <w:color w:val="000000"/>
        </w:rPr>
        <w:t>FULLY-</w:t>
      </w:r>
      <w:r w:rsidR="00E16443" w:rsidRPr="0019048D">
        <w:rPr>
          <w:b/>
          <w:color w:val="000000"/>
        </w:rPr>
        <w:t xml:space="preserve">COSTED EVALUATION PLAN </w:t>
      </w:r>
      <w:bookmarkStart w:id="0" w:name="_GoBack"/>
      <w:bookmarkEnd w:id="0"/>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1985"/>
        <w:gridCol w:w="1803"/>
        <w:gridCol w:w="1715"/>
        <w:gridCol w:w="1263"/>
        <w:gridCol w:w="1084"/>
        <w:gridCol w:w="1715"/>
        <w:gridCol w:w="1533"/>
        <w:gridCol w:w="1045"/>
      </w:tblGrid>
      <w:tr w:rsidR="00E16443" w:rsidRPr="003C26C1" w:rsidTr="008C539F">
        <w:trPr>
          <w:trHeight w:val="845"/>
        </w:trPr>
        <w:tc>
          <w:tcPr>
            <w:tcW w:w="596" w:type="pct"/>
            <w:shd w:val="clear" w:color="auto" w:fill="DBE5F1"/>
            <w:vAlign w:val="center"/>
          </w:tcPr>
          <w:p w:rsidR="00E16443" w:rsidRPr="003C26C1" w:rsidRDefault="00E16443" w:rsidP="008C539F">
            <w:pPr>
              <w:jc w:val="center"/>
              <w:rPr>
                <w:b/>
                <w:bCs/>
                <w:sz w:val="16"/>
                <w:szCs w:val="16"/>
              </w:rPr>
            </w:pPr>
            <w:r w:rsidRPr="003C26C1">
              <w:rPr>
                <w:b/>
                <w:bCs/>
                <w:sz w:val="16"/>
                <w:szCs w:val="16"/>
              </w:rPr>
              <w:t>UNDAF (or equivalent)</w:t>
            </w:r>
          </w:p>
          <w:p w:rsidR="00E16443" w:rsidRPr="003C26C1" w:rsidRDefault="00E16443" w:rsidP="008C539F">
            <w:pPr>
              <w:jc w:val="center"/>
              <w:rPr>
                <w:b/>
                <w:bCs/>
                <w:sz w:val="16"/>
                <w:szCs w:val="16"/>
              </w:rPr>
            </w:pPr>
            <w:r w:rsidRPr="003C26C1">
              <w:rPr>
                <w:b/>
                <w:bCs/>
                <w:sz w:val="16"/>
                <w:szCs w:val="16"/>
              </w:rPr>
              <w:t xml:space="preserve">Outcome </w:t>
            </w:r>
          </w:p>
        </w:tc>
        <w:tc>
          <w:tcPr>
            <w:tcW w:w="720" w:type="pct"/>
            <w:shd w:val="clear" w:color="auto" w:fill="DBE5F1"/>
            <w:vAlign w:val="center"/>
          </w:tcPr>
          <w:p w:rsidR="00E16443" w:rsidRPr="003C26C1" w:rsidRDefault="00E16443" w:rsidP="008C539F">
            <w:pPr>
              <w:jc w:val="center"/>
              <w:rPr>
                <w:b/>
                <w:bCs/>
                <w:sz w:val="16"/>
                <w:szCs w:val="16"/>
              </w:rPr>
            </w:pPr>
            <w:r w:rsidRPr="003C26C1">
              <w:rPr>
                <w:b/>
                <w:bCs/>
                <w:sz w:val="16"/>
                <w:szCs w:val="16"/>
              </w:rPr>
              <w:t>UNDP Strategic Plan Outcome</w:t>
            </w:r>
          </w:p>
        </w:tc>
        <w:tc>
          <w:tcPr>
            <w:tcW w:w="654" w:type="pct"/>
            <w:shd w:val="clear" w:color="auto" w:fill="DBE5F1"/>
            <w:vAlign w:val="center"/>
          </w:tcPr>
          <w:p w:rsidR="00E16443" w:rsidRPr="003C26C1" w:rsidRDefault="00E16443" w:rsidP="008C539F">
            <w:pPr>
              <w:jc w:val="center"/>
              <w:rPr>
                <w:b/>
                <w:bCs/>
                <w:sz w:val="16"/>
                <w:szCs w:val="16"/>
              </w:rPr>
            </w:pPr>
            <w:r w:rsidRPr="003C26C1">
              <w:rPr>
                <w:b/>
                <w:bCs/>
                <w:sz w:val="16"/>
                <w:szCs w:val="16"/>
              </w:rPr>
              <w:t>Evaluation Title</w:t>
            </w:r>
          </w:p>
        </w:tc>
        <w:tc>
          <w:tcPr>
            <w:tcW w:w="622" w:type="pct"/>
            <w:shd w:val="clear" w:color="auto" w:fill="DBE5F1"/>
            <w:vAlign w:val="center"/>
          </w:tcPr>
          <w:p w:rsidR="00E16443" w:rsidRPr="003C26C1" w:rsidDel="00BA628C" w:rsidRDefault="00E16443" w:rsidP="008C539F">
            <w:pPr>
              <w:jc w:val="center"/>
              <w:rPr>
                <w:b/>
                <w:bCs/>
                <w:sz w:val="16"/>
                <w:szCs w:val="16"/>
              </w:rPr>
            </w:pPr>
            <w:r w:rsidRPr="003C26C1">
              <w:rPr>
                <w:b/>
                <w:bCs/>
                <w:sz w:val="16"/>
                <w:szCs w:val="16"/>
              </w:rPr>
              <w:t>Partners (joint evaluation)</w:t>
            </w:r>
          </w:p>
        </w:tc>
        <w:tc>
          <w:tcPr>
            <w:tcW w:w="458" w:type="pct"/>
            <w:shd w:val="clear" w:color="auto" w:fill="DBE5F1"/>
            <w:vAlign w:val="center"/>
          </w:tcPr>
          <w:p w:rsidR="00E16443" w:rsidRPr="003C26C1" w:rsidRDefault="00E16443" w:rsidP="008C539F">
            <w:pPr>
              <w:jc w:val="center"/>
              <w:rPr>
                <w:b/>
                <w:bCs/>
                <w:sz w:val="16"/>
                <w:szCs w:val="16"/>
              </w:rPr>
            </w:pPr>
            <w:r w:rsidRPr="003C26C1">
              <w:rPr>
                <w:b/>
                <w:bCs/>
                <w:sz w:val="16"/>
                <w:szCs w:val="16"/>
              </w:rPr>
              <w:t>Evaluation commissioned by (if not UNDP)</w:t>
            </w:r>
          </w:p>
        </w:tc>
        <w:tc>
          <w:tcPr>
            <w:tcW w:w="393" w:type="pct"/>
            <w:shd w:val="clear" w:color="auto" w:fill="DBE5F1"/>
            <w:vAlign w:val="center"/>
          </w:tcPr>
          <w:p w:rsidR="00E16443" w:rsidRPr="003C26C1" w:rsidRDefault="00E16443" w:rsidP="008C539F">
            <w:pPr>
              <w:jc w:val="center"/>
              <w:rPr>
                <w:b/>
                <w:bCs/>
                <w:sz w:val="16"/>
                <w:szCs w:val="16"/>
              </w:rPr>
            </w:pPr>
            <w:r w:rsidRPr="003C26C1">
              <w:rPr>
                <w:b/>
                <w:bCs/>
                <w:sz w:val="16"/>
                <w:szCs w:val="16"/>
              </w:rPr>
              <w:t>Type of evaluation</w:t>
            </w:r>
          </w:p>
        </w:tc>
        <w:tc>
          <w:tcPr>
            <w:tcW w:w="622" w:type="pct"/>
            <w:shd w:val="clear" w:color="auto" w:fill="DBE5F1"/>
            <w:vAlign w:val="center"/>
          </w:tcPr>
          <w:p w:rsidR="00E16443" w:rsidRPr="003C26C1" w:rsidRDefault="00E16443" w:rsidP="008C539F">
            <w:pPr>
              <w:jc w:val="center"/>
              <w:rPr>
                <w:b/>
                <w:bCs/>
                <w:sz w:val="16"/>
                <w:szCs w:val="16"/>
              </w:rPr>
            </w:pPr>
            <w:r w:rsidRPr="003C26C1">
              <w:rPr>
                <w:b/>
                <w:bCs/>
                <w:sz w:val="16"/>
                <w:szCs w:val="16"/>
              </w:rPr>
              <w:t>Planned Evaluation Completion Date</w:t>
            </w:r>
          </w:p>
        </w:tc>
        <w:tc>
          <w:tcPr>
            <w:tcW w:w="556" w:type="pct"/>
            <w:shd w:val="clear" w:color="auto" w:fill="DBE5F1"/>
            <w:vAlign w:val="center"/>
          </w:tcPr>
          <w:p w:rsidR="00E16443" w:rsidRPr="003C26C1" w:rsidRDefault="00E16443" w:rsidP="008C539F">
            <w:pPr>
              <w:jc w:val="center"/>
              <w:rPr>
                <w:b/>
                <w:bCs/>
                <w:sz w:val="16"/>
                <w:szCs w:val="16"/>
              </w:rPr>
            </w:pPr>
            <w:r w:rsidRPr="003C26C1">
              <w:rPr>
                <w:b/>
                <w:bCs/>
                <w:sz w:val="16"/>
                <w:szCs w:val="16"/>
              </w:rPr>
              <w:t>Estimated Cost</w:t>
            </w:r>
          </w:p>
        </w:tc>
        <w:tc>
          <w:tcPr>
            <w:tcW w:w="379" w:type="pct"/>
            <w:shd w:val="clear" w:color="auto" w:fill="DBE5F1"/>
            <w:vAlign w:val="center"/>
          </w:tcPr>
          <w:p w:rsidR="00E16443" w:rsidRPr="003C26C1" w:rsidRDefault="00E16443" w:rsidP="008C539F">
            <w:pPr>
              <w:jc w:val="center"/>
              <w:rPr>
                <w:b/>
                <w:bCs/>
                <w:sz w:val="16"/>
                <w:szCs w:val="16"/>
              </w:rPr>
            </w:pPr>
            <w:r w:rsidRPr="003C26C1">
              <w:rPr>
                <w:b/>
                <w:bCs/>
                <w:sz w:val="16"/>
                <w:szCs w:val="16"/>
              </w:rPr>
              <w:t>Provisional Source of Funding</w:t>
            </w:r>
          </w:p>
        </w:tc>
      </w:tr>
      <w:tr w:rsidR="00E16443" w:rsidRPr="003C26C1" w:rsidTr="008C539F">
        <w:trPr>
          <w:trHeight w:val="490"/>
        </w:trPr>
        <w:tc>
          <w:tcPr>
            <w:tcW w:w="596" w:type="pct"/>
          </w:tcPr>
          <w:p w:rsidR="00E16443" w:rsidRPr="003C26C1" w:rsidRDefault="00E16443" w:rsidP="008C539F">
            <w:pPr>
              <w:rPr>
                <w:sz w:val="16"/>
                <w:szCs w:val="16"/>
              </w:rPr>
            </w:pPr>
            <w:r w:rsidRPr="003C26C1">
              <w:rPr>
                <w:b/>
                <w:bCs/>
                <w:color w:val="000000"/>
                <w:sz w:val="16"/>
                <w:szCs w:val="16"/>
                <w:lang w:val="en-GB"/>
              </w:rPr>
              <w:t>UNDAF OUTCOME INVOLVING UNDP #</w:t>
            </w:r>
            <w:r>
              <w:rPr>
                <w:b/>
                <w:bCs/>
                <w:color w:val="000000"/>
                <w:sz w:val="16"/>
                <w:szCs w:val="16"/>
                <w:lang w:val="en-GB"/>
              </w:rPr>
              <w:t>1</w:t>
            </w:r>
            <w:r w:rsidRPr="003C26C1">
              <w:rPr>
                <w:b/>
                <w:bCs/>
                <w:color w:val="000000"/>
                <w:sz w:val="16"/>
                <w:szCs w:val="16"/>
                <w:lang w:val="en-GB"/>
              </w:rPr>
              <w:t>:</w:t>
            </w:r>
            <w:r w:rsidRPr="00B170D1">
              <w:rPr>
                <w:b/>
                <w:bCs/>
                <w:color w:val="000000"/>
                <w:sz w:val="16"/>
                <w:szCs w:val="16"/>
                <w:lang w:val="en-GB"/>
              </w:rPr>
              <w:t xml:space="preserve"> </w:t>
            </w:r>
            <w:r w:rsidRPr="00972FB1">
              <w:rPr>
                <w:sz w:val="16"/>
                <w:szCs w:val="16"/>
              </w:rPr>
              <w:t>People in Tajikistan have their rights protected and benefit from improved access to justice and quality services delivered by accountable, transparent, and gender responsive legislative, executive and judicial institutions at all levels</w:t>
            </w:r>
          </w:p>
        </w:tc>
        <w:tc>
          <w:tcPr>
            <w:tcW w:w="720" w:type="pct"/>
          </w:tcPr>
          <w:p w:rsidR="00E16443" w:rsidRPr="00E72F0F" w:rsidRDefault="00E16443" w:rsidP="008C539F">
            <w:pPr>
              <w:rPr>
                <w:b/>
                <w:sz w:val="16"/>
                <w:szCs w:val="16"/>
              </w:rPr>
            </w:pPr>
            <w:r>
              <w:rPr>
                <w:b/>
                <w:bCs/>
                <w:color w:val="000000"/>
                <w:sz w:val="16"/>
                <w:szCs w:val="16"/>
                <w:lang w:val="en-GB"/>
              </w:rPr>
              <w:t xml:space="preserve">Outcome 2: </w:t>
            </w:r>
            <w:r w:rsidRPr="0020427D">
              <w:rPr>
                <w:sz w:val="16"/>
                <w:szCs w:val="16"/>
              </w:rPr>
              <w:t>Citizen expectations for voice, development, the rule of law and accountability are met by stronger systems of democratic governance</w:t>
            </w:r>
            <w:r>
              <w:rPr>
                <w:sz w:val="16"/>
                <w:szCs w:val="16"/>
              </w:rPr>
              <w:t>.</w:t>
            </w:r>
          </w:p>
          <w:p w:rsidR="00E16443" w:rsidRPr="003C26C1" w:rsidRDefault="00E16443" w:rsidP="008C539F">
            <w:pPr>
              <w:rPr>
                <w:sz w:val="16"/>
                <w:szCs w:val="16"/>
              </w:rPr>
            </w:pPr>
            <w:r w:rsidRPr="00594B49">
              <w:rPr>
                <w:b/>
                <w:sz w:val="16"/>
                <w:szCs w:val="16"/>
              </w:rPr>
              <w:t xml:space="preserve">Outcome 3: </w:t>
            </w:r>
            <w:r w:rsidRPr="0020427D">
              <w:rPr>
                <w:sz w:val="16"/>
                <w:szCs w:val="16"/>
              </w:rPr>
              <w:t>Countries have strengthened institutions to progressively deliver universal access to basic services</w:t>
            </w:r>
          </w:p>
        </w:tc>
        <w:tc>
          <w:tcPr>
            <w:tcW w:w="654" w:type="pct"/>
          </w:tcPr>
          <w:p w:rsidR="00E16443" w:rsidRDefault="00E16443" w:rsidP="00E16443">
            <w:pPr>
              <w:numPr>
                <w:ilvl w:val="0"/>
                <w:numId w:val="1"/>
              </w:numPr>
              <w:ind w:left="360"/>
              <w:rPr>
                <w:sz w:val="16"/>
                <w:szCs w:val="16"/>
              </w:rPr>
            </w:pPr>
            <w:r>
              <w:rPr>
                <w:sz w:val="16"/>
                <w:szCs w:val="16"/>
              </w:rPr>
              <w:t xml:space="preserve">Mid-term outcome evaluation </w:t>
            </w:r>
          </w:p>
          <w:p w:rsidR="00E16443" w:rsidRDefault="00E16443" w:rsidP="008C539F">
            <w:pPr>
              <w:rPr>
                <w:sz w:val="16"/>
                <w:szCs w:val="16"/>
              </w:rPr>
            </w:pPr>
          </w:p>
          <w:p w:rsidR="00E16443" w:rsidRPr="003C26C1" w:rsidRDefault="00E16443" w:rsidP="00E16443">
            <w:pPr>
              <w:numPr>
                <w:ilvl w:val="0"/>
                <w:numId w:val="1"/>
              </w:numPr>
              <w:ind w:left="360"/>
              <w:rPr>
                <w:sz w:val="16"/>
                <w:szCs w:val="16"/>
              </w:rPr>
            </w:pPr>
            <w:r>
              <w:rPr>
                <w:sz w:val="16"/>
                <w:szCs w:val="16"/>
              </w:rPr>
              <w:t xml:space="preserve">Final evaluation </w:t>
            </w:r>
          </w:p>
        </w:tc>
        <w:tc>
          <w:tcPr>
            <w:tcW w:w="622" w:type="pct"/>
          </w:tcPr>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Ministry of Justice;</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 xml:space="preserve">Ministry of Economic Development and Trade; </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Ministry of Health and Social Protection;</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Agency on Statistics under President of the Republic of Tajikistan;</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 xml:space="preserve">Agency on Civil Service under President of the Republic of Tajikistan; </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 xml:space="preserve">Local province and districts authorities and local self-governments; </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 xml:space="preserve">CSOs; </w:t>
            </w:r>
          </w:p>
          <w:p w:rsidR="00E16443" w:rsidRPr="0020427D" w:rsidRDefault="00E16443" w:rsidP="008C539F">
            <w:pPr>
              <w:pStyle w:val="Pasus1"/>
              <w:spacing w:before="0" w:after="0"/>
              <w:rPr>
                <w:rFonts w:ascii="Times New Roman" w:eastAsia="Calibri" w:hAnsi="Times New Roman"/>
                <w:i/>
                <w:sz w:val="16"/>
                <w:szCs w:val="16"/>
              </w:rPr>
            </w:pPr>
            <w:r w:rsidRPr="0020427D">
              <w:rPr>
                <w:rFonts w:ascii="Times New Roman" w:eastAsia="Calibri" w:hAnsi="Times New Roman"/>
                <w:i/>
                <w:sz w:val="16"/>
                <w:szCs w:val="16"/>
              </w:rPr>
              <w:t>Relevant UN Agencies;  Committee on women and family affairs,</w:t>
            </w:r>
          </w:p>
        </w:tc>
        <w:tc>
          <w:tcPr>
            <w:tcW w:w="458" w:type="pct"/>
          </w:tcPr>
          <w:p w:rsidR="00E16443" w:rsidRPr="003C26C1" w:rsidRDefault="00E16443" w:rsidP="008C539F">
            <w:pPr>
              <w:jc w:val="center"/>
              <w:rPr>
                <w:sz w:val="16"/>
                <w:szCs w:val="16"/>
              </w:rPr>
            </w:pPr>
            <w:r>
              <w:rPr>
                <w:sz w:val="16"/>
                <w:szCs w:val="16"/>
              </w:rPr>
              <w:t>n/a</w:t>
            </w:r>
          </w:p>
        </w:tc>
        <w:tc>
          <w:tcPr>
            <w:tcW w:w="393" w:type="pct"/>
          </w:tcPr>
          <w:p w:rsidR="00E16443" w:rsidRPr="003C26C1" w:rsidRDefault="00E16443" w:rsidP="008C539F">
            <w:pPr>
              <w:jc w:val="center"/>
              <w:rPr>
                <w:sz w:val="16"/>
                <w:szCs w:val="16"/>
              </w:rPr>
            </w:pPr>
            <w:r>
              <w:rPr>
                <w:sz w:val="16"/>
                <w:szCs w:val="16"/>
              </w:rPr>
              <w:t>Outcome</w:t>
            </w:r>
          </w:p>
        </w:tc>
        <w:tc>
          <w:tcPr>
            <w:tcW w:w="622" w:type="pct"/>
          </w:tcPr>
          <w:p w:rsidR="00E16443" w:rsidRDefault="00E16443" w:rsidP="00E16443">
            <w:pPr>
              <w:numPr>
                <w:ilvl w:val="0"/>
                <w:numId w:val="2"/>
              </w:numPr>
              <w:ind w:left="360"/>
              <w:rPr>
                <w:sz w:val="16"/>
                <w:szCs w:val="16"/>
              </w:rPr>
            </w:pPr>
            <w:r>
              <w:rPr>
                <w:sz w:val="16"/>
                <w:szCs w:val="16"/>
              </w:rPr>
              <w:t>December 2018</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ind w:left="360"/>
              <w:rPr>
                <w:sz w:val="16"/>
                <w:szCs w:val="16"/>
              </w:rPr>
            </w:pPr>
            <w:r>
              <w:rPr>
                <w:sz w:val="16"/>
                <w:szCs w:val="16"/>
              </w:rPr>
              <w:t xml:space="preserve">December 2020 </w:t>
            </w:r>
          </w:p>
        </w:tc>
        <w:tc>
          <w:tcPr>
            <w:tcW w:w="556" w:type="pct"/>
          </w:tcPr>
          <w:p w:rsidR="00E16443" w:rsidRDefault="00E16443" w:rsidP="00E16443">
            <w:pPr>
              <w:numPr>
                <w:ilvl w:val="0"/>
                <w:numId w:val="2"/>
              </w:numPr>
              <w:rPr>
                <w:sz w:val="16"/>
                <w:szCs w:val="16"/>
              </w:rPr>
            </w:pPr>
            <w:r>
              <w:rPr>
                <w:sz w:val="16"/>
                <w:szCs w:val="16"/>
              </w:rPr>
              <w:t>$30,000</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rPr>
                <w:sz w:val="16"/>
                <w:szCs w:val="16"/>
              </w:rPr>
            </w:pPr>
            <w:r>
              <w:rPr>
                <w:sz w:val="16"/>
                <w:szCs w:val="16"/>
              </w:rPr>
              <w:t>$50,000</w:t>
            </w:r>
          </w:p>
        </w:tc>
        <w:tc>
          <w:tcPr>
            <w:tcW w:w="379" w:type="pct"/>
          </w:tcPr>
          <w:p w:rsidR="00E16443" w:rsidRPr="003C26C1" w:rsidRDefault="00E16443" w:rsidP="008C539F">
            <w:pPr>
              <w:rPr>
                <w:rStyle w:val="CommentReference"/>
                <w:sz w:val="16"/>
                <w:szCs w:val="16"/>
                <w:lang w:eastAsia="uk-UA"/>
              </w:rPr>
            </w:pPr>
            <w:r>
              <w:rPr>
                <w:rStyle w:val="CommentReference"/>
                <w:sz w:val="16"/>
                <w:szCs w:val="16"/>
                <w:lang w:eastAsia="uk-UA"/>
              </w:rPr>
              <w:t>Regular / Donor</w:t>
            </w:r>
          </w:p>
        </w:tc>
      </w:tr>
      <w:tr w:rsidR="00E16443" w:rsidRPr="003C26C1" w:rsidTr="008C539F">
        <w:trPr>
          <w:trHeight w:val="60"/>
        </w:trPr>
        <w:tc>
          <w:tcPr>
            <w:tcW w:w="596" w:type="pct"/>
          </w:tcPr>
          <w:p w:rsidR="00E16443" w:rsidRPr="003C26C1" w:rsidRDefault="00E16443" w:rsidP="008C539F">
            <w:pPr>
              <w:rPr>
                <w:sz w:val="16"/>
                <w:szCs w:val="16"/>
              </w:rPr>
            </w:pPr>
            <w:r w:rsidRPr="003C26C1">
              <w:rPr>
                <w:b/>
                <w:bCs/>
                <w:color w:val="000000"/>
                <w:sz w:val="16"/>
                <w:szCs w:val="16"/>
                <w:lang w:val="en-GB"/>
              </w:rPr>
              <w:t>UNDAF OUTCOME INVOLVING UNDP #</w:t>
            </w:r>
            <w:r>
              <w:rPr>
                <w:b/>
                <w:bCs/>
                <w:color w:val="000000"/>
                <w:sz w:val="16"/>
                <w:szCs w:val="16"/>
                <w:lang w:val="en-GB"/>
              </w:rPr>
              <w:t>2</w:t>
            </w:r>
            <w:r w:rsidRPr="00972FB1">
              <w:rPr>
                <w:bCs/>
                <w:color w:val="000000"/>
                <w:sz w:val="16"/>
                <w:szCs w:val="16"/>
                <w:lang w:val="en-GB"/>
              </w:rPr>
              <w:t>:</w:t>
            </w:r>
            <w:r w:rsidRPr="00972FB1">
              <w:rPr>
                <w:color w:val="000000"/>
                <w:sz w:val="16"/>
                <w:szCs w:val="16"/>
                <w:lang w:val="en-GB"/>
              </w:rPr>
              <w:t xml:space="preserve"> </w:t>
            </w:r>
            <w:r w:rsidRPr="00972FB1">
              <w:rPr>
                <w:sz w:val="16"/>
                <w:szCs w:val="16"/>
              </w:rPr>
              <w:t>People in Tajikistan benefit from equitable and sustainable economic growth through decent and productive employment, stable energy supply, improved access to specialized knowledge and innovation and more favorable business environment especially for entrepreneurs and farmers</w:t>
            </w:r>
          </w:p>
        </w:tc>
        <w:tc>
          <w:tcPr>
            <w:tcW w:w="720" w:type="pct"/>
          </w:tcPr>
          <w:p w:rsidR="00E16443" w:rsidRPr="00BA248E" w:rsidRDefault="00E16443" w:rsidP="008C539F">
            <w:pPr>
              <w:rPr>
                <w:sz w:val="16"/>
                <w:szCs w:val="16"/>
              </w:rPr>
            </w:pPr>
            <w:r>
              <w:rPr>
                <w:b/>
                <w:bCs/>
                <w:color w:val="000000"/>
                <w:sz w:val="16"/>
                <w:szCs w:val="16"/>
                <w:lang w:val="en-GB"/>
              </w:rPr>
              <w:t xml:space="preserve">SP Outcome 1: </w:t>
            </w:r>
            <w:r w:rsidRPr="00BA248E">
              <w:rPr>
                <w:sz w:val="16"/>
                <w:szCs w:val="16"/>
              </w:rPr>
              <w:t>Growth and development are inclusive and sustainable, incorporating productive capacities that create employment and livelihoods for the poor and excluded</w:t>
            </w:r>
          </w:p>
          <w:p w:rsidR="00E16443" w:rsidRPr="003C26C1" w:rsidRDefault="00E16443" w:rsidP="008C539F">
            <w:pPr>
              <w:rPr>
                <w:sz w:val="16"/>
                <w:szCs w:val="16"/>
              </w:rPr>
            </w:pPr>
            <w:r>
              <w:rPr>
                <w:b/>
                <w:sz w:val="16"/>
                <w:szCs w:val="16"/>
              </w:rPr>
              <w:t xml:space="preserve">SP Outcome 7: </w:t>
            </w:r>
            <w:r w:rsidRPr="00BA248E">
              <w:rPr>
                <w:sz w:val="16"/>
                <w:szCs w:val="16"/>
              </w:rPr>
              <w:t xml:space="preserve">Development debates and actions at all levels </w:t>
            </w:r>
            <w:proofErr w:type="spellStart"/>
            <w:r w:rsidRPr="00BA248E">
              <w:rPr>
                <w:sz w:val="16"/>
                <w:szCs w:val="16"/>
              </w:rPr>
              <w:t>prioritise</w:t>
            </w:r>
            <w:proofErr w:type="spellEnd"/>
            <w:r w:rsidRPr="00BA248E">
              <w:rPr>
                <w:sz w:val="16"/>
                <w:szCs w:val="16"/>
              </w:rPr>
              <w:t xml:space="preserve"> poverty, inequality and exclusion, consistent with our engagement</w:t>
            </w:r>
            <w:r w:rsidRPr="00F940D2">
              <w:rPr>
                <w:b/>
                <w:sz w:val="16"/>
                <w:szCs w:val="16"/>
              </w:rPr>
              <w:t xml:space="preserve"> </w:t>
            </w:r>
            <w:r w:rsidRPr="00BA248E">
              <w:rPr>
                <w:sz w:val="16"/>
                <w:szCs w:val="16"/>
              </w:rPr>
              <w:t>principles</w:t>
            </w:r>
          </w:p>
        </w:tc>
        <w:tc>
          <w:tcPr>
            <w:tcW w:w="654" w:type="pct"/>
          </w:tcPr>
          <w:p w:rsidR="00E16443" w:rsidRDefault="00E16443" w:rsidP="00E16443">
            <w:pPr>
              <w:numPr>
                <w:ilvl w:val="0"/>
                <w:numId w:val="1"/>
              </w:numPr>
              <w:ind w:left="360"/>
              <w:rPr>
                <w:sz w:val="16"/>
                <w:szCs w:val="16"/>
              </w:rPr>
            </w:pPr>
            <w:r>
              <w:rPr>
                <w:sz w:val="16"/>
                <w:szCs w:val="16"/>
              </w:rPr>
              <w:t xml:space="preserve">Mid-term outcome evaluation </w:t>
            </w:r>
          </w:p>
          <w:p w:rsidR="00E16443" w:rsidRDefault="00E16443" w:rsidP="008C539F">
            <w:pPr>
              <w:ind w:left="360"/>
              <w:rPr>
                <w:sz w:val="16"/>
                <w:szCs w:val="16"/>
              </w:rPr>
            </w:pPr>
          </w:p>
          <w:p w:rsidR="00E16443" w:rsidRPr="000C1AA3" w:rsidRDefault="00E16443" w:rsidP="00E16443">
            <w:pPr>
              <w:numPr>
                <w:ilvl w:val="0"/>
                <w:numId w:val="1"/>
              </w:numPr>
              <w:ind w:left="360"/>
              <w:rPr>
                <w:sz w:val="16"/>
                <w:szCs w:val="16"/>
              </w:rPr>
            </w:pPr>
            <w:r w:rsidRPr="000C1AA3">
              <w:rPr>
                <w:sz w:val="16"/>
                <w:szCs w:val="16"/>
              </w:rPr>
              <w:t>Final evaluation</w:t>
            </w:r>
          </w:p>
        </w:tc>
        <w:tc>
          <w:tcPr>
            <w:tcW w:w="622" w:type="pct"/>
          </w:tcPr>
          <w:p w:rsidR="00E16443" w:rsidRDefault="00E16443" w:rsidP="008C539F">
            <w:pPr>
              <w:rPr>
                <w:rFonts w:eastAsia="Calibri"/>
                <w:i/>
                <w:sz w:val="16"/>
                <w:szCs w:val="16"/>
              </w:rPr>
            </w:pPr>
            <w:r>
              <w:rPr>
                <w:rFonts w:eastAsia="Calibri"/>
                <w:i/>
                <w:sz w:val="16"/>
                <w:szCs w:val="16"/>
              </w:rPr>
              <w:t xml:space="preserve">Ministry of Economic Development and Trade, </w:t>
            </w:r>
            <w:r w:rsidRPr="00712B07">
              <w:rPr>
                <w:rFonts w:eastAsia="Calibri"/>
                <w:i/>
                <w:sz w:val="16"/>
                <w:szCs w:val="16"/>
              </w:rPr>
              <w:t>State Committee on investments and state property, Agency on Statistics under President of the Republic of Tajikistan; Committee on Environmental Protection under the Government of the Republic of Tajikistan</w:t>
            </w:r>
            <w:r>
              <w:rPr>
                <w:rFonts w:eastAsia="Calibri"/>
                <w:i/>
                <w:sz w:val="16"/>
                <w:szCs w:val="16"/>
              </w:rPr>
              <w:t>,</w:t>
            </w:r>
            <w:r w:rsidRPr="00712B07">
              <w:rPr>
                <w:rFonts w:eastAsia="Calibri"/>
                <w:i/>
                <w:sz w:val="16"/>
                <w:szCs w:val="16"/>
              </w:rPr>
              <w:t xml:space="preserve"> Local districts authorities and local self-governments;</w:t>
            </w:r>
          </w:p>
          <w:p w:rsidR="00E16443" w:rsidRPr="0027419C" w:rsidRDefault="00E16443" w:rsidP="008C539F">
            <w:pPr>
              <w:rPr>
                <w:rFonts w:eastAsia="Calibri"/>
                <w:i/>
                <w:sz w:val="16"/>
                <w:szCs w:val="16"/>
              </w:rPr>
            </w:pPr>
            <w:r>
              <w:rPr>
                <w:rFonts w:eastAsia="Calibri"/>
                <w:i/>
                <w:sz w:val="16"/>
                <w:szCs w:val="16"/>
              </w:rPr>
              <w:t xml:space="preserve">Relevant </w:t>
            </w:r>
            <w:r w:rsidRPr="0027419C">
              <w:rPr>
                <w:rFonts w:eastAsia="Calibri"/>
                <w:i/>
                <w:sz w:val="16"/>
                <w:szCs w:val="16"/>
              </w:rPr>
              <w:t xml:space="preserve">UN Agencies; </w:t>
            </w:r>
          </w:p>
          <w:p w:rsidR="00E16443" w:rsidRPr="003C26C1" w:rsidRDefault="00E16443" w:rsidP="008C539F">
            <w:pPr>
              <w:rPr>
                <w:sz w:val="16"/>
                <w:szCs w:val="16"/>
              </w:rPr>
            </w:pPr>
            <w:r w:rsidRPr="0027419C">
              <w:rPr>
                <w:rFonts w:eastAsia="Calibri"/>
                <w:i/>
                <w:sz w:val="16"/>
                <w:szCs w:val="16"/>
              </w:rPr>
              <w:t>International development partners and donors</w:t>
            </w:r>
          </w:p>
        </w:tc>
        <w:tc>
          <w:tcPr>
            <w:tcW w:w="458" w:type="pct"/>
          </w:tcPr>
          <w:p w:rsidR="00E16443" w:rsidRPr="003C26C1" w:rsidRDefault="00E16443" w:rsidP="008C539F">
            <w:pPr>
              <w:jc w:val="center"/>
              <w:rPr>
                <w:sz w:val="16"/>
                <w:szCs w:val="16"/>
              </w:rPr>
            </w:pPr>
            <w:r>
              <w:rPr>
                <w:sz w:val="16"/>
                <w:szCs w:val="16"/>
              </w:rPr>
              <w:t>n/a</w:t>
            </w:r>
          </w:p>
        </w:tc>
        <w:tc>
          <w:tcPr>
            <w:tcW w:w="393" w:type="pct"/>
          </w:tcPr>
          <w:p w:rsidR="00E16443" w:rsidRPr="003C26C1" w:rsidRDefault="00E16443" w:rsidP="008C539F">
            <w:pPr>
              <w:jc w:val="center"/>
              <w:rPr>
                <w:sz w:val="16"/>
                <w:szCs w:val="16"/>
              </w:rPr>
            </w:pPr>
            <w:r>
              <w:rPr>
                <w:sz w:val="16"/>
                <w:szCs w:val="16"/>
              </w:rPr>
              <w:t>Outcome</w:t>
            </w:r>
          </w:p>
        </w:tc>
        <w:tc>
          <w:tcPr>
            <w:tcW w:w="622" w:type="pct"/>
          </w:tcPr>
          <w:p w:rsidR="00E16443" w:rsidRDefault="00E16443" w:rsidP="00E16443">
            <w:pPr>
              <w:numPr>
                <w:ilvl w:val="0"/>
                <w:numId w:val="2"/>
              </w:numPr>
              <w:ind w:left="360"/>
              <w:rPr>
                <w:sz w:val="16"/>
                <w:szCs w:val="16"/>
              </w:rPr>
            </w:pPr>
            <w:r>
              <w:rPr>
                <w:sz w:val="16"/>
                <w:szCs w:val="16"/>
              </w:rPr>
              <w:t>January 2018</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ind w:left="360"/>
              <w:rPr>
                <w:sz w:val="16"/>
                <w:szCs w:val="16"/>
              </w:rPr>
            </w:pPr>
            <w:r>
              <w:rPr>
                <w:sz w:val="16"/>
                <w:szCs w:val="16"/>
              </w:rPr>
              <w:t xml:space="preserve">September 2020 </w:t>
            </w:r>
          </w:p>
        </w:tc>
        <w:tc>
          <w:tcPr>
            <w:tcW w:w="556" w:type="pct"/>
          </w:tcPr>
          <w:p w:rsidR="00E16443" w:rsidRDefault="00E16443" w:rsidP="00E16443">
            <w:pPr>
              <w:numPr>
                <w:ilvl w:val="0"/>
                <w:numId w:val="2"/>
              </w:numPr>
              <w:rPr>
                <w:sz w:val="16"/>
                <w:szCs w:val="16"/>
              </w:rPr>
            </w:pPr>
            <w:r>
              <w:rPr>
                <w:sz w:val="16"/>
                <w:szCs w:val="16"/>
              </w:rPr>
              <w:t>$30,000</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rPr>
                <w:sz w:val="16"/>
                <w:szCs w:val="16"/>
              </w:rPr>
            </w:pPr>
            <w:r>
              <w:rPr>
                <w:sz w:val="16"/>
                <w:szCs w:val="16"/>
              </w:rPr>
              <w:t>$50,000</w:t>
            </w:r>
          </w:p>
        </w:tc>
        <w:tc>
          <w:tcPr>
            <w:tcW w:w="379" w:type="pct"/>
          </w:tcPr>
          <w:p w:rsidR="00E16443" w:rsidRPr="003C26C1" w:rsidRDefault="00E16443" w:rsidP="008C539F">
            <w:pPr>
              <w:rPr>
                <w:rStyle w:val="CommentReference"/>
                <w:sz w:val="16"/>
                <w:szCs w:val="16"/>
                <w:lang w:eastAsia="uk-UA"/>
              </w:rPr>
            </w:pPr>
            <w:r>
              <w:rPr>
                <w:rStyle w:val="CommentReference"/>
                <w:sz w:val="16"/>
                <w:szCs w:val="16"/>
                <w:lang w:eastAsia="uk-UA"/>
              </w:rPr>
              <w:t>Regular / Donor</w:t>
            </w:r>
          </w:p>
        </w:tc>
      </w:tr>
      <w:tr w:rsidR="00E16443" w:rsidRPr="003C26C1" w:rsidTr="008C539F">
        <w:trPr>
          <w:trHeight w:val="60"/>
        </w:trPr>
        <w:tc>
          <w:tcPr>
            <w:tcW w:w="596" w:type="pct"/>
          </w:tcPr>
          <w:p w:rsidR="00E16443" w:rsidRPr="003C26C1" w:rsidRDefault="00E16443" w:rsidP="008C539F">
            <w:pPr>
              <w:rPr>
                <w:b/>
                <w:bCs/>
                <w:color w:val="000000"/>
                <w:sz w:val="16"/>
                <w:szCs w:val="16"/>
                <w:lang w:val="en-GB"/>
              </w:rPr>
            </w:pPr>
            <w:r w:rsidRPr="003C26C1">
              <w:rPr>
                <w:b/>
                <w:bCs/>
                <w:color w:val="000000"/>
                <w:sz w:val="16"/>
                <w:szCs w:val="16"/>
                <w:lang w:val="en-GB"/>
              </w:rPr>
              <w:t xml:space="preserve">UNDAF OUTCOME INVOLVING UNDP </w:t>
            </w:r>
            <w:r w:rsidRPr="003C26C1">
              <w:rPr>
                <w:b/>
                <w:bCs/>
                <w:color w:val="000000"/>
                <w:sz w:val="16"/>
                <w:szCs w:val="16"/>
                <w:lang w:val="en-GB"/>
              </w:rPr>
              <w:lastRenderedPageBreak/>
              <w:t>#</w:t>
            </w:r>
            <w:r>
              <w:rPr>
                <w:b/>
                <w:bCs/>
                <w:color w:val="000000"/>
                <w:sz w:val="16"/>
                <w:szCs w:val="16"/>
                <w:lang w:val="en-GB"/>
              </w:rPr>
              <w:t>5</w:t>
            </w:r>
            <w:r w:rsidRPr="003C26C1">
              <w:rPr>
                <w:b/>
                <w:bCs/>
                <w:color w:val="000000"/>
                <w:sz w:val="16"/>
                <w:szCs w:val="16"/>
                <w:lang w:val="en-GB"/>
              </w:rPr>
              <w:t>:</w:t>
            </w:r>
            <w:r w:rsidRPr="003C26C1">
              <w:rPr>
                <w:color w:val="000000"/>
                <w:sz w:val="16"/>
                <w:szCs w:val="16"/>
                <w:lang w:val="en-GB"/>
              </w:rPr>
              <w:t xml:space="preserve"> </w:t>
            </w:r>
            <w:r w:rsidRPr="001E1812">
              <w:rPr>
                <w:sz w:val="16"/>
                <w:szCs w:val="16"/>
              </w:rPr>
              <w:t>Women, youth, children, persons with disabilities and other vulnerable groups are protected from violence and discrimination, have voice that is heard and are respected as equal members of society</w:t>
            </w:r>
          </w:p>
        </w:tc>
        <w:tc>
          <w:tcPr>
            <w:tcW w:w="720" w:type="pct"/>
          </w:tcPr>
          <w:p w:rsidR="00E16443" w:rsidRPr="00BB5297" w:rsidRDefault="00E16443" w:rsidP="008C539F">
            <w:pPr>
              <w:rPr>
                <w:bCs/>
                <w:color w:val="000000"/>
                <w:sz w:val="16"/>
                <w:szCs w:val="16"/>
                <w:lang w:val="en-GB"/>
              </w:rPr>
            </w:pPr>
            <w:r>
              <w:rPr>
                <w:b/>
                <w:bCs/>
                <w:color w:val="000000"/>
                <w:sz w:val="16"/>
                <w:szCs w:val="16"/>
                <w:lang w:val="en-GB"/>
              </w:rPr>
              <w:lastRenderedPageBreak/>
              <w:t xml:space="preserve">SP Outcome 1: </w:t>
            </w:r>
            <w:r w:rsidRPr="00BB5297">
              <w:rPr>
                <w:sz w:val="16"/>
                <w:szCs w:val="16"/>
              </w:rPr>
              <w:t xml:space="preserve">Growth and development are inclusive and sustainable, </w:t>
            </w:r>
            <w:r w:rsidRPr="00BB5297">
              <w:rPr>
                <w:sz w:val="16"/>
                <w:szCs w:val="16"/>
              </w:rPr>
              <w:lastRenderedPageBreak/>
              <w:t>incorporating productive capacities that create employment and livelihoods for the poor and excluded</w:t>
            </w:r>
            <w:r>
              <w:rPr>
                <w:sz w:val="16"/>
                <w:szCs w:val="16"/>
              </w:rPr>
              <w:t>;</w:t>
            </w:r>
          </w:p>
          <w:p w:rsidR="00E16443" w:rsidRPr="00BB5297" w:rsidRDefault="00E16443" w:rsidP="008C539F">
            <w:pPr>
              <w:rPr>
                <w:bCs/>
                <w:sz w:val="16"/>
                <w:szCs w:val="16"/>
                <w:lang w:val="en-GB"/>
              </w:rPr>
            </w:pPr>
            <w:r>
              <w:rPr>
                <w:b/>
                <w:bCs/>
                <w:color w:val="000000"/>
                <w:sz w:val="16"/>
                <w:szCs w:val="16"/>
                <w:lang w:val="en-GB"/>
              </w:rPr>
              <w:t xml:space="preserve">SP Outcome 2: </w:t>
            </w:r>
            <w:r w:rsidRPr="00BB5297">
              <w:rPr>
                <w:sz w:val="16"/>
                <w:szCs w:val="16"/>
              </w:rPr>
              <w:t>Citizen expectations for voice,  development, the rule of law and accountability are met by stronger systems of democratic governance</w:t>
            </w:r>
          </w:p>
          <w:p w:rsidR="00E16443" w:rsidRDefault="00E16443" w:rsidP="008C539F">
            <w:pPr>
              <w:rPr>
                <w:b/>
                <w:bCs/>
                <w:color w:val="000000"/>
                <w:sz w:val="16"/>
                <w:szCs w:val="16"/>
                <w:lang w:val="en-GB"/>
              </w:rPr>
            </w:pPr>
            <w:r w:rsidRPr="00BB5297">
              <w:rPr>
                <w:bCs/>
                <w:color w:val="000000"/>
                <w:sz w:val="16"/>
                <w:szCs w:val="16"/>
                <w:lang w:val="en-GB"/>
              </w:rPr>
              <w:t xml:space="preserve">SP Outcome 4. </w:t>
            </w:r>
            <w:r w:rsidRPr="00BB5297">
              <w:rPr>
                <w:sz w:val="16"/>
                <w:szCs w:val="16"/>
              </w:rPr>
              <w:t>Faster progress is achieved in reducing gender inequality and promoting women’s empowerment</w:t>
            </w:r>
          </w:p>
        </w:tc>
        <w:tc>
          <w:tcPr>
            <w:tcW w:w="654" w:type="pct"/>
          </w:tcPr>
          <w:p w:rsidR="00E16443" w:rsidRDefault="00E16443" w:rsidP="00E16443">
            <w:pPr>
              <w:numPr>
                <w:ilvl w:val="0"/>
                <w:numId w:val="1"/>
              </w:numPr>
              <w:ind w:left="360"/>
              <w:rPr>
                <w:sz w:val="16"/>
                <w:szCs w:val="16"/>
              </w:rPr>
            </w:pPr>
            <w:r>
              <w:rPr>
                <w:sz w:val="16"/>
                <w:szCs w:val="16"/>
              </w:rPr>
              <w:lastRenderedPageBreak/>
              <w:t xml:space="preserve">Mid-term outcome evaluation </w:t>
            </w:r>
          </w:p>
          <w:p w:rsidR="00E16443" w:rsidRDefault="00E16443" w:rsidP="008C539F">
            <w:pPr>
              <w:ind w:left="360"/>
              <w:rPr>
                <w:sz w:val="16"/>
                <w:szCs w:val="16"/>
              </w:rPr>
            </w:pPr>
          </w:p>
          <w:p w:rsidR="00E16443" w:rsidRDefault="00E16443" w:rsidP="00E16443">
            <w:pPr>
              <w:numPr>
                <w:ilvl w:val="0"/>
                <w:numId w:val="1"/>
              </w:numPr>
              <w:ind w:left="360"/>
              <w:rPr>
                <w:sz w:val="16"/>
                <w:szCs w:val="16"/>
              </w:rPr>
            </w:pPr>
            <w:r w:rsidRPr="000C1AA3">
              <w:rPr>
                <w:sz w:val="16"/>
                <w:szCs w:val="16"/>
              </w:rPr>
              <w:lastRenderedPageBreak/>
              <w:t>Final evaluation</w:t>
            </w:r>
          </w:p>
        </w:tc>
        <w:tc>
          <w:tcPr>
            <w:tcW w:w="622" w:type="pct"/>
          </w:tcPr>
          <w:p w:rsidR="00E16443" w:rsidRPr="006B561C" w:rsidRDefault="00E16443" w:rsidP="008C539F">
            <w:pPr>
              <w:rPr>
                <w:rFonts w:eastAsia="Calibri"/>
                <w:i/>
                <w:sz w:val="16"/>
                <w:szCs w:val="16"/>
              </w:rPr>
            </w:pPr>
            <w:r w:rsidRPr="006B561C">
              <w:rPr>
                <w:rFonts w:eastAsia="Calibri"/>
                <w:i/>
                <w:sz w:val="16"/>
                <w:szCs w:val="16"/>
              </w:rPr>
              <w:lastRenderedPageBreak/>
              <w:t>Ministry of Internal Affairs,</w:t>
            </w:r>
            <w:r w:rsidRPr="006B561C">
              <w:rPr>
                <w:sz w:val="16"/>
                <w:szCs w:val="16"/>
              </w:rPr>
              <w:t xml:space="preserve"> </w:t>
            </w:r>
            <w:r w:rsidRPr="006B561C">
              <w:rPr>
                <w:rFonts w:eastAsia="Calibri"/>
                <w:i/>
                <w:sz w:val="16"/>
                <w:szCs w:val="16"/>
              </w:rPr>
              <w:t xml:space="preserve">Committee on Women and Family </w:t>
            </w:r>
            <w:r w:rsidRPr="006B561C">
              <w:rPr>
                <w:rFonts w:eastAsia="Calibri"/>
                <w:i/>
                <w:sz w:val="16"/>
                <w:szCs w:val="16"/>
              </w:rPr>
              <w:lastRenderedPageBreak/>
              <w:t>Affairs, Committee on Youth, Sports and Tourism</w:t>
            </w:r>
            <w:r w:rsidRPr="006B561C">
              <w:rPr>
                <w:sz w:val="16"/>
                <w:szCs w:val="16"/>
              </w:rPr>
              <w:t xml:space="preserve"> </w:t>
            </w:r>
            <w:r w:rsidRPr="006B561C">
              <w:rPr>
                <w:rFonts w:eastAsia="Calibri"/>
                <w:i/>
                <w:sz w:val="16"/>
                <w:szCs w:val="16"/>
              </w:rPr>
              <w:t>Ministry of Finance, Ministry of Health and Social Protection of Population, Ministry of Economic Development and Trade, Ministry of Education, Agency on Civil Service under President of the Republic of Tajikistan, Local province and districts authorities and local self-governments;</w:t>
            </w:r>
          </w:p>
          <w:p w:rsidR="00E16443" w:rsidRPr="006B561C" w:rsidRDefault="00E16443" w:rsidP="008C539F">
            <w:pPr>
              <w:rPr>
                <w:rFonts w:eastAsia="Calibri"/>
                <w:i/>
                <w:sz w:val="16"/>
                <w:szCs w:val="16"/>
              </w:rPr>
            </w:pPr>
            <w:r w:rsidRPr="006B561C">
              <w:rPr>
                <w:rFonts w:eastAsia="Calibri"/>
                <w:i/>
                <w:sz w:val="16"/>
                <w:szCs w:val="16"/>
              </w:rPr>
              <w:t xml:space="preserve">Relevant UN Agencies; </w:t>
            </w:r>
          </w:p>
          <w:p w:rsidR="00E16443" w:rsidRPr="006B561C" w:rsidRDefault="00E16443" w:rsidP="008C539F">
            <w:pPr>
              <w:pStyle w:val="Pasus1"/>
              <w:spacing w:before="0" w:after="0"/>
              <w:rPr>
                <w:rFonts w:ascii="Times New Roman" w:eastAsia="Calibri" w:hAnsi="Times New Roman"/>
                <w:i/>
                <w:sz w:val="16"/>
                <w:szCs w:val="16"/>
              </w:rPr>
            </w:pPr>
            <w:r w:rsidRPr="006B561C">
              <w:rPr>
                <w:rFonts w:ascii="Times New Roman" w:eastAsia="Calibri" w:hAnsi="Times New Roman"/>
                <w:i/>
                <w:sz w:val="16"/>
                <w:szCs w:val="16"/>
              </w:rPr>
              <w:t>International development partners and donors</w:t>
            </w:r>
          </w:p>
          <w:p w:rsidR="00E16443" w:rsidRPr="006B561C" w:rsidRDefault="00E16443" w:rsidP="008C539F">
            <w:pPr>
              <w:pStyle w:val="Pasus1"/>
              <w:spacing w:before="0" w:after="0"/>
              <w:rPr>
                <w:rFonts w:ascii="Times New Roman" w:eastAsia="Calibri" w:hAnsi="Times New Roman"/>
                <w:i/>
                <w:sz w:val="16"/>
                <w:szCs w:val="16"/>
              </w:rPr>
            </w:pPr>
            <w:r w:rsidRPr="006B561C">
              <w:rPr>
                <w:rFonts w:ascii="Times New Roman" w:eastAsia="Calibri" w:hAnsi="Times New Roman"/>
                <w:i/>
                <w:sz w:val="16"/>
                <w:szCs w:val="16"/>
              </w:rPr>
              <w:t xml:space="preserve">International and national NGOs and CSOs, Disabled and People’s and PLWH Organizations, Women’s Rights NGOs </w:t>
            </w:r>
          </w:p>
          <w:p w:rsidR="00E16443" w:rsidRDefault="00E16443" w:rsidP="008C539F">
            <w:pPr>
              <w:rPr>
                <w:rFonts w:eastAsia="Calibri"/>
                <w:i/>
                <w:sz w:val="16"/>
                <w:szCs w:val="16"/>
              </w:rPr>
            </w:pPr>
            <w:r w:rsidRPr="006B561C">
              <w:rPr>
                <w:i/>
                <w:iCs/>
                <w:color w:val="000000"/>
                <w:sz w:val="16"/>
                <w:szCs w:val="16"/>
              </w:rPr>
              <w:t>International development partners and donors</w:t>
            </w:r>
          </w:p>
        </w:tc>
        <w:tc>
          <w:tcPr>
            <w:tcW w:w="458" w:type="pct"/>
          </w:tcPr>
          <w:p w:rsidR="00E16443" w:rsidRPr="003C26C1" w:rsidRDefault="00E16443" w:rsidP="008C539F">
            <w:pPr>
              <w:jc w:val="center"/>
              <w:rPr>
                <w:sz w:val="16"/>
                <w:szCs w:val="16"/>
              </w:rPr>
            </w:pPr>
            <w:r>
              <w:rPr>
                <w:sz w:val="16"/>
                <w:szCs w:val="16"/>
              </w:rPr>
              <w:lastRenderedPageBreak/>
              <w:t>n/a</w:t>
            </w:r>
          </w:p>
        </w:tc>
        <w:tc>
          <w:tcPr>
            <w:tcW w:w="393" w:type="pct"/>
          </w:tcPr>
          <w:p w:rsidR="00E16443" w:rsidRPr="003C26C1" w:rsidRDefault="00E16443" w:rsidP="008C539F">
            <w:pPr>
              <w:jc w:val="center"/>
              <w:rPr>
                <w:sz w:val="16"/>
                <w:szCs w:val="16"/>
              </w:rPr>
            </w:pPr>
            <w:r>
              <w:rPr>
                <w:sz w:val="16"/>
                <w:szCs w:val="16"/>
              </w:rPr>
              <w:t>Outcome</w:t>
            </w:r>
          </w:p>
        </w:tc>
        <w:tc>
          <w:tcPr>
            <w:tcW w:w="622" w:type="pct"/>
          </w:tcPr>
          <w:p w:rsidR="00E16443" w:rsidRDefault="00E16443" w:rsidP="00E16443">
            <w:pPr>
              <w:numPr>
                <w:ilvl w:val="0"/>
                <w:numId w:val="2"/>
              </w:numPr>
              <w:ind w:left="360"/>
              <w:rPr>
                <w:sz w:val="16"/>
                <w:szCs w:val="16"/>
              </w:rPr>
            </w:pPr>
            <w:r>
              <w:rPr>
                <w:sz w:val="16"/>
                <w:szCs w:val="16"/>
              </w:rPr>
              <w:t>June 2018</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ind w:left="360"/>
              <w:rPr>
                <w:sz w:val="16"/>
                <w:szCs w:val="16"/>
              </w:rPr>
            </w:pPr>
            <w:r>
              <w:rPr>
                <w:sz w:val="16"/>
                <w:szCs w:val="16"/>
              </w:rPr>
              <w:t xml:space="preserve">November 2020 </w:t>
            </w:r>
          </w:p>
        </w:tc>
        <w:tc>
          <w:tcPr>
            <w:tcW w:w="556" w:type="pct"/>
          </w:tcPr>
          <w:p w:rsidR="00E16443" w:rsidRDefault="00E16443" w:rsidP="00E16443">
            <w:pPr>
              <w:numPr>
                <w:ilvl w:val="0"/>
                <w:numId w:val="2"/>
              </w:numPr>
              <w:rPr>
                <w:sz w:val="16"/>
                <w:szCs w:val="16"/>
              </w:rPr>
            </w:pPr>
            <w:r>
              <w:rPr>
                <w:sz w:val="16"/>
                <w:szCs w:val="16"/>
              </w:rPr>
              <w:lastRenderedPageBreak/>
              <w:t>$30,000</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rPr>
                <w:sz w:val="16"/>
                <w:szCs w:val="16"/>
              </w:rPr>
            </w:pPr>
            <w:r>
              <w:rPr>
                <w:sz w:val="16"/>
                <w:szCs w:val="16"/>
              </w:rPr>
              <w:t>$50,000</w:t>
            </w:r>
          </w:p>
        </w:tc>
        <w:tc>
          <w:tcPr>
            <w:tcW w:w="379" w:type="pct"/>
          </w:tcPr>
          <w:p w:rsidR="00E16443" w:rsidRPr="003C26C1" w:rsidRDefault="00E16443" w:rsidP="008C539F">
            <w:pPr>
              <w:rPr>
                <w:rStyle w:val="CommentReference"/>
                <w:sz w:val="16"/>
                <w:szCs w:val="16"/>
                <w:lang w:eastAsia="uk-UA"/>
              </w:rPr>
            </w:pPr>
            <w:r>
              <w:rPr>
                <w:rStyle w:val="CommentReference"/>
                <w:sz w:val="16"/>
                <w:szCs w:val="16"/>
                <w:lang w:eastAsia="uk-UA"/>
              </w:rPr>
              <w:lastRenderedPageBreak/>
              <w:t>Regular / Donor</w:t>
            </w:r>
          </w:p>
        </w:tc>
      </w:tr>
      <w:tr w:rsidR="00E16443" w:rsidRPr="003C26C1" w:rsidTr="008C539F">
        <w:trPr>
          <w:trHeight w:val="60"/>
        </w:trPr>
        <w:tc>
          <w:tcPr>
            <w:tcW w:w="596" w:type="pct"/>
          </w:tcPr>
          <w:p w:rsidR="00E16443" w:rsidRPr="003C26C1" w:rsidRDefault="00E16443" w:rsidP="008C539F">
            <w:pPr>
              <w:rPr>
                <w:b/>
                <w:bCs/>
                <w:color w:val="000000"/>
                <w:sz w:val="16"/>
                <w:szCs w:val="16"/>
                <w:lang w:val="en-GB"/>
              </w:rPr>
            </w:pPr>
            <w:r w:rsidRPr="003C26C1">
              <w:rPr>
                <w:b/>
                <w:bCs/>
                <w:color w:val="000000"/>
                <w:sz w:val="16"/>
                <w:szCs w:val="16"/>
                <w:lang w:val="en-GB"/>
              </w:rPr>
              <w:lastRenderedPageBreak/>
              <w:t>UNDAF (OR EQUIVALENT) OUTCOME INVOLVING UNDP #</w:t>
            </w:r>
            <w:r>
              <w:rPr>
                <w:b/>
                <w:bCs/>
                <w:color w:val="000000"/>
                <w:sz w:val="16"/>
                <w:szCs w:val="16"/>
                <w:lang w:val="en-GB"/>
              </w:rPr>
              <w:t>6</w:t>
            </w:r>
            <w:r w:rsidRPr="003C26C1">
              <w:rPr>
                <w:b/>
                <w:bCs/>
                <w:color w:val="000000"/>
                <w:sz w:val="16"/>
                <w:szCs w:val="16"/>
                <w:lang w:val="en-GB"/>
              </w:rPr>
              <w:t>:</w:t>
            </w:r>
            <w:r w:rsidRPr="003C26C1">
              <w:rPr>
                <w:color w:val="000000"/>
                <w:sz w:val="16"/>
                <w:szCs w:val="16"/>
                <w:lang w:val="en-GB"/>
              </w:rPr>
              <w:t xml:space="preserve"> </w:t>
            </w:r>
            <w:r w:rsidRPr="00E54872">
              <w:rPr>
                <w:sz w:val="16"/>
                <w:szCs w:val="16"/>
              </w:rPr>
              <w:t>People in Tajikistan are more resilient to natural and man-made disasters resulting from improved policy and operational frameworks for environmental protection and sustainable management of natural resources</w:t>
            </w:r>
          </w:p>
        </w:tc>
        <w:tc>
          <w:tcPr>
            <w:tcW w:w="720" w:type="pct"/>
          </w:tcPr>
          <w:p w:rsidR="00E16443" w:rsidRPr="001C74D2" w:rsidRDefault="00E16443" w:rsidP="008C539F">
            <w:pPr>
              <w:rPr>
                <w:sz w:val="16"/>
                <w:szCs w:val="16"/>
              </w:rPr>
            </w:pPr>
            <w:r>
              <w:rPr>
                <w:b/>
                <w:bCs/>
                <w:color w:val="000000"/>
                <w:sz w:val="16"/>
                <w:szCs w:val="16"/>
                <w:lang w:val="en-GB"/>
              </w:rPr>
              <w:t xml:space="preserve">SP Outcome 1: </w:t>
            </w:r>
            <w:r w:rsidRPr="001C74D2">
              <w:rPr>
                <w:sz w:val="16"/>
                <w:szCs w:val="16"/>
              </w:rPr>
              <w:t>Growth and development are inclusive and sustainable, incorporating productive capacities that create employment and livelihoods for the poor and excluded</w:t>
            </w:r>
            <w:r>
              <w:rPr>
                <w:sz w:val="16"/>
                <w:szCs w:val="16"/>
              </w:rPr>
              <w:t>;</w:t>
            </w:r>
          </w:p>
          <w:p w:rsidR="00E16443" w:rsidRPr="001C74D2" w:rsidRDefault="00E16443" w:rsidP="008C539F">
            <w:pPr>
              <w:rPr>
                <w:rFonts w:eastAsia="SimSun"/>
                <w:sz w:val="16"/>
                <w:szCs w:val="16"/>
              </w:rPr>
            </w:pPr>
            <w:r w:rsidRPr="0003362C">
              <w:rPr>
                <w:rFonts w:eastAsia="SimSun"/>
                <w:b/>
                <w:sz w:val="16"/>
                <w:szCs w:val="16"/>
              </w:rPr>
              <w:t xml:space="preserve">SP Outcome 5. </w:t>
            </w:r>
            <w:r w:rsidRPr="001C74D2">
              <w:rPr>
                <w:rFonts w:eastAsia="SimSun"/>
                <w:sz w:val="16"/>
                <w:szCs w:val="16"/>
              </w:rPr>
              <w:t>Countries are able to reduce the likelihood of conflict and lower the risk of natural disasters, including from climate change</w:t>
            </w:r>
            <w:r>
              <w:rPr>
                <w:rFonts w:eastAsia="SimSun"/>
                <w:sz w:val="16"/>
                <w:szCs w:val="16"/>
              </w:rPr>
              <w:t>;</w:t>
            </w:r>
          </w:p>
          <w:p w:rsidR="00E16443" w:rsidRDefault="00E16443" w:rsidP="008C539F">
            <w:pPr>
              <w:rPr>
                <w:b/>
                <w:bCs/>
                <w:color w:val="000000"/>
                <w:sz w:val="16"/>
                <w:szCs w:val="16"/>
                <w:lang w:val="en-GB"/>
              </w:rPr>
            </w:pPr>
            <w:r>
              <w:rPr>
                <w:b/>
                <w:sz w:val="16"/>
                <w:szCs w:val="16"/>
              </w:rPr>
              <w:t xml:space="preserve">SP Outcome </w:t>
            </w:r>
            <w:r w:rsidRPr="00A038B8">
              <w:rPr>
                <w:rFonts w:eastAsia="SimSun"/>
                <w:b/>
                <w:sz w:val="16"/>
                <w:szCs w:val="16"/>
              </w:rPr>
              <w:t>6</w:t>
            </w:r>
            <w:r>
              <w:rPr>
                <w:rFonts w:eastAsia="SimSun"/>
                <w:b/>
                <w:sz w:val="16"/>
                <w:szCs w:val="16"/>
              </w:rPr>
              <w:t>:</w:t>
            </w:r>
            <w:r w:rsidRPr="00A038B8">
              <w:rPr>
                <w:rFonts w:eastAsia="SimSun"/>
                <w:b/>
                <w:sz w:val="16"/>
                <w:szCs w:val="16"/>
              </w:rPr>
              <w:t xml:space="preserve"> </w:t>
            </w:r>
            <w:r w:rsidRPr="001C74D2">
              <w:rPr>
                <w:rFonts w:eastAsia="SimSun"/>
                <w:sz w:val="16"/>
                <w:szCs w:val="16"/>
              </w:rPr>
              <w:t>Early recovery and rapid return to sustainable development pathways are achieved in post-conflict and post-disaster settings</w:t>
            </w:r>
          </w:p>
        </w:tc>
        <w:tc>
          <w:tcPr>
            <w:tcW w:w="654" w:type="pct"/>
          </w:tcPr>
          <w:p w:rsidR="00E16443" w:rsidRDefault="00E16443" w:rsidP="00E16443">
            <w:pPr>
              <w:numPr>
                <w:ilvl w:val="0"/>
                <w:numId w:val="1"/>
              </w:numPr>
              <w:ind w:left="360"/>
              <w:rPr>
                <w:sz w:val="16"/>
                <w:szCs w:val="16"/>
              </w:rPr>
            </w:pPr>
            <w:r>
              <w:rPr>
                <w:sz w:val="16"/>
                <w:szCs w:val="16"/>
              </w:rPr>
              <w:t xml:space="preserve">Mid-term outcome evaluation </w:t>
            </w:r>
          </w:p>
          <w:p w:rsidR="00E16443" w:rsidRDefault="00E16443" w:rsidP="008C539F">
            <w:pPr>
              <w:ind w:left="360"/>
              <w:rPr>
                <w:sz w:val="16"/>
                <w:szCs w:val="16"/>
              </w:rPr>
            </w:pPr>
          </w:p>
          <w:p w:rsidR="00E16443" w:rsidRDefault="00E16443" w:rsidP="00E16443">
            <w:pPr>
              <w:numPr>
                <w:ilvl w:val="0"/>
                <w:numId w:val="1"/>
              </w:numPr>
              <w:ind w:left="360"/>
              <w:rPr>
                <w:sz w:val="16"/>
                <w:szCs w:val="16"/>
              </w:rPr>
            </w:pPr>
            <w:r w:rsidRPr="000C1AA3">
              <w:rPr>
                <w:sz w:val="16"/>
                <w:szCs w:val="16"/>
              </w:rPr>
              <w:t>Final evaluation</w:t>
            </w:r>
          </w:p>
        </w:tc>
        <w:tc>
          <w:tcPr>
            <w:tcW w:w="622" w:type="pct"/>
          </w:tcPr>
          <w:p w:rsidR="00E16443" w:rsidRPr="000232CE" w:rsidRDefault="00E16443" w:rsidP="008C539F">
            <w:pPr>
              <w:rPr>
                <w:i/>
                <w:iCs/>
                <w:color w:val="000000"/>
                <w:sz w:val="16"/>
                <w:szCs w:val="16"/>
                <w:lang w:val="en-GB"/>
              </w:rPr>
            </w:pPr>
            <w:r w:rsidRPr="000232CE">
              <w:rPr>
                <w:i/>
                <w:iCs/>
                <w:color w:val="000000"/>
                <w:sz w:val="16"/>
                <w:szCs w:val="16"/>
                <w:lang w:val="en-GB"/>
              </w:rPr>
              <w:t>Committee for Environmental Protection, Agency for Forestry, State Agency for Hydrometeorology, National Biodiversity and Biosafety Centre, UNEP, INGOs and NGOs working in the sector</w:t>
            </w:r>
          </w:p>
          <w:p w:rsidR="00E16443" w:rsidRPr="001C74D2" w:rsidRDefault="00E16443" w:rsidP="008C539F">
            <w:pPr>
              <w:rPr>
                <w:rFonts w:eastAsia="Calibri"/>
                <w:i/>
                <w:sz w:val="16"/>
                <w:szCs w:val="16"/>
                <w:lang w:val="en-GB"/>
              </w:rPr>
            </w:pPr>
          </w:p>
        </w:tc>
        <w:tc>
          <w:tcPr>
            <w:tcW w:w="458" w:type="pct"/>
          </w:tcPr>
          <w:p w:rsidR="00E16443" w:rsidRPr="003C26C1" w:rsidRDefault="00E16443" w:rsidP="008C539F">
            <w:pPr>
              <w:jc w:val="center"/>
              <w:rPr>
                <w:sz w:val="16"/>
                <w:szCs w:val="16"/>
              </w:rPr>
            </w:pPr>
            <w:r>
              <w:rPr>
                <w:sz w:val="16"/>
                <w:szCs w:val="16"/>
              </w:rPr>
              <w:t>n/a</w:t>
            </w:r>
          </w:p>
        </w:tc>
        <w:tc>
          <w:tcPr>
            <w:tcW w:w="393" w:type="pct"/>
          </w:tcPr>
          <w:p w:rsidR="00E16443" w:rsidRPr="003C26C1" w:rsidRDefault="00E16443" w:rsidP="008C539F">
            <w:pPr>
              <w:jc w:val="center"/>
              <w:rPr>
                <w:sz w:val="16"/>
                <w:szCs w:val="16"/>
              </w:rPr>
            </w:pPr>
            <w:r>
              <w:rPr>
                <w:sz w:val="16"/>
                <w:szCs w:val="16"/>
              </w:rPr>
              <w:t>Outcome</w:t>
            </w:r>
          </w:p>
        </w:tc>
        <w:tc>
          <w:tcPr>
            <w:tcW w:w="622" w:type="pct"/>
          </w:tcPr>
          <w:p w:rsidR="00E16443" w:rsidRDefault="00E16443" w:rsidP="00E16443">
            <w:pPr>
              <w:numPr>
                <w:ilvl w:val="0"/>
                <w:numId w:val="2"/>
              </w:numPr>
              <w:ind w:left="360"/>
              <w:rPr>
                <w:sz w:val="16"/>
                <w:szCs w:val="16"/>
              </w:rPr>
            </w:pPr>
            <w:r>
              <w:rPr>
                <w:sz w:val="16"/>
                <w:szCs w:val="16"/>
              </w:rPr>
              <w:t>December 2017</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ind w:left="360"/>
              <w:rPr>
                <w:sz w:val="16"/>
                <w:szCs w:val="16"/>
              </w:rPr>
            </w:pPr>
            <w:r>
              <w:rPr>
                <w:sz w:val="16"/>
                <w:szCs w:val="16"/>
              </w:rPr>
              <w:t xml:space="preserve">July 2020 </w:t>
            </w:r>
          </w:p>
        </w:tc>
        <w:tc>
          <w:tcPr>
            <w:tcW w:w="556" w:type="pct"/>
          </w:tcPr>
          <w:p w:rsidR="00E16443" w:rsidRDefault="00E16443" w:rsidP="00E16443">
            <w:pPr>
              <w:numPr>
                <w:ilvl w:val="0"/>
                <w:numId w:val="2"/>
              </w:numPr>
              <w:rPr>
                <w:sz w:val="16"/>
                <w:szCs w:val="16"/>
              </w:rPr>
            </w:pPr>
            <w:r>
              <w:rPr>
                <w:sz w:val="16"/>
                <w:szCs w:val="16"/>
              </w:rPr>
              <w:t>$30,000</w:t>
            </w:r>
          </w:p>
          <w:p w:rsidR="00E16443" w:rsidRDefault="00E16443" w:rsidP="008C539F">
            <w:pPr>
              <w:rPr>
                <w:sz w:val="16"/>
                <w:szCs w:val="16"/>
              </w:rPr>
            </w:pPr>
          </w:p>
          <w:p w:rsidR="00E16443" w:rsidRDefault="00E16443" w:rsidP="008C539F">
            <w:pPr>
              <w:rPr>
                <w:sz w:val="16"/>
                <w:szCs w:val="16"/>
              </w:rPr>
            </w:pPr>
          </w:p>
          <w:p w:rsidR="00E16443" w:rsidRDefault="00E16443" w:rsidP="008C539F">
            <w:pPr>
              <w:rPr>
                <w:sz w:val="16"/>
                <w:szCs w:val="16"/>
              </w:rPr>
            </w:pPr>
          </w:p>
          <w:p w:rsidR="00E16443" w:rsidRPr="003C26C1" w:rsidRDefault="00E16443" w:rsidP="00E16443">
            <w:pPr>
              <w:numPr>
                <w:ilvl w:val="0"/>
                <w:numId w:val="2"/>
              </w:numPr>
              <w:rPr>
                <w:sz w:val="16"/>
                <w:szCs w:val="16"/>
              </w:rPr>
            </w:pPr>
            <w:r>
              <w:rPr>
                <w:sz w:val="16"/>
                <w:szCs w:val="16"/>
              </w:rPr>
              <w:t>$50,000</w:t>
            </w:r>
          </w:p>
        </w:tc>
        <w:tc>
          <w:tcPr>
            <w:tcW w:w="379" w:type="pct"/>
          </w:tcPr>
          <w:p w:rsidR="00E16443" w:rsidRPr="003C26C1" w:rsidRDefault="00E16443" w:rsidP="008C539F">
            <w:pPr>
              <w:rPr>
                <w:rStyle w:val="CommentReference"/>
                <w:sz w:val="16"/>
                <w:szCs w:val="16"/>
                <w:lang w:eastAsia="uk-UA"/>
              </w:rPr>
            </w:pPr>
            <w:r>
              <w:rPr>
                <w:rStyle w:val="CommentReference"/>
                <w:sz w:val="16"/>
                <w:szCs w:val="16"/>
                <w:lang w:eastAsia="uk-UA"/>
              </w:rPr>
              <w:t>Regular / Donor</w:t>
            </w:r>
          </w:p>
        </w:tc>
      </w:tr>
      <w:tr w:rsidR="00E16443" w:rsidRPr="003C26C1" w:rsidTr="008C539F">
        <w:trPr>
          <w:trHeight w:val="60"/>
        </w:trPr>
        <w:tc>
          <w:tcPr>
            <w:tcW w:w="596" w:type="pct"/>
          </w:tcPr>
          <w:p w:rsidR="00E16443" w:rsidRPr="003C26C1" w:rsidRDefault="00E16443" w:rsidP="008C539F">
            <w:pPr>
              <w:rPr>
                <w:sz w:val="16"/>
                <w:szCs w:val="16"/>
              </w:rPr>
            </w:pPr>
            <w:r w:rsidRPr="003C26C1">
              <w:rPr>
                <w:b/>
                <w:bCs/>
                <w:color w:val="000000"/>
                <w:sz w:val="16"/>
                <w:szCs w:val="16"/>
                <w:lang w:val="en-GB"/>
              </w:rPr>
              <w:t xml:space="preserve">UNDAF </w:t>
            </w:r>
            <w:r w:rsidRPr="003C26C1">
              <w:rPr>
                <w:b/>
                <w:bCs/>
                <w:color w:val="000000"/>
                <w:sz w:val="16"/>
                <w:szCs w:val="16"/>
                <w:lang w:val="en-GB"/>
              </w:rPr>
              <w:lastRenderedPageBreak/>
              <w:t>OUTCOME INVOLVING UNDP #</w:t>
            </w:r>
            <w:r>
              <w:rPr>
                <w:b/>
                <w:bCs/>
                <w:color w:val="000000"/>
                <w:sz w:val="16"/>
                <w:szCs w:val="16"/>
                <w:lang w:val="en-GB"/>
              </w:rPr>
              <w:t>1</w:t>
            </w:r>
            <w:r w:rsidRPr="003C26C1">
              <w:rPr>
                <w:b/>
                <w:bCs/>
                <w:color w:val="000000"/>
                <w:sz w:val="16"/>
                <w:szCs w:val="16"/>
                <w:lang w:val="en-GB"/>
              </w:rPr>
              <w:t>:</w:t>
            </w:r>
            <w:r w:rsidRPr="00B170D1">
              <w:rPr>
                <w:b/>
                <w:bCs/>
                <w:color w:val="000000"/>
                <w:sz w:val="16"/>
                <w:szCs w:val="16"/>
                <w:lang w:val="en-GB"/>
              </w:rPr>
              <w:t xml:space="preserve"> </w:t>
            </w:r>
            <w:r w:rsidRPr="00972FB1">
              <w:rPr>
                <w:sz w:val="16"/>
                <w:szCs w:val="16"/>
              </w:rPr>
              <w:t>People in Tajikistan have their rights protected and benefit from improved access to justice and quality services delivered by accountable, transparent, and gender responsive legislative, executive and judicial institutions at all levels</w:t>
            </w:r>
          </w:p>
        </w:tc>
        <w:tc>
          <w:tcPr>
            <w:tcW w:w="720" w:type="pct"/>
          </w:tcPr>
          <w:p w:rsidR="00E16443" w:rsidRPr="00E72F0F" w:rsidRDefault="00E16443" w:rsidP="008C539F">
            <w:pPr>
              <w:rPr>
                <w:b/>
                <w:sz w:val="16"/>
                <w:szCs w:val="16"/>
              </w:rPr>
            </w:pPr>
            <w:r>
              <w:rPr>
                <w:b/>
                <w:bCs/>
                <w:color w:val="000000"/>
                <w:sz w:val="16"/>
                <w:szCs w:val="16"/>
                <w:lang w:val="en-GB"/>
              </w:rPr>
              <w:lastRenderedPageBreak/>
              <w:t xml:space="preserve">Outcome 2: </w:t>
            </w:r>
            <w:r w:rsidRPr="0020427D">
              <w:rPr>
                <w:sz w:val="16"/>
                <w:szCs w:val="16"/>
              </w:rPr>
              <w:t xml:space="preserve">Citizen </w:t>
            </w:r>
            <w:r w:rsidRPr="0020427D">
              <w:rPr>
                <w:sz w:val="16"/>
                <w:szCs w:val="16"/>
              </w:rPr>
              <w:lastRenderedPageBreak/>
              <w:t>expectations for voice, development, the rule of law and accountability are met by stronger systems of democratic governance</w:t>
            </w:r>
            <w:r>
              <w:rPr>
                <w:sz w:val="16"/>
                <w:szCs w:val="16"/>
              </w:rPr>
              <w:t>.</w:t>
            </w:r>
          </w:p>
          <w:p w:rsidR="00E16443" w:rsidRPr="003C26C1" w:rsidRDefault="00E16443" w:rsidP="008C539F">
            <w:pPr>
              <w:rPr>
                <w:sz w:val="16"/>
                <w:szCs w:val="16"/>
              </w:rPr>
            </w:pPr>
            <w:r w:rsidRPr="00594B49">
              <w:rPr>
                <w:b/>
                <w:sz w:val="16"/>
                <w:szCs w:val="16"/>
              </w:rPr>
              <w:t xml:space="preserve">Outcome 3: </w:t>
            </w:r>
            <w:r w:rsidRPr="0020427D">
              <w:rPr>
                <w:sz w:val="16"/>
                <w:szCs w:val="16"/>
              </w:rPr>
              <w:t>Countries have strengthened institutions to progressively deliver universal access to basic services</w:t>
            </w:r>
          </w:p>
        </w:tc>
        <w:tc>
          <w:tcPr>
            <w:tcW w:w="654" w:type="pct"/>
          </w:tcPr>
          <w:p w:rsidR="00E16443" w:rsidRDefault="00E16443" w:rsidP="008C539F">
            <w:pPr>
              <w:rPr>
                <w:sz w:val="16"/>
                <w:szCs w:val="16"/>
              </w:rPr>
            </w:pPr>
            <w:r w:rsidRPr="00BA063C">
              <w:rPr>
                <w:sz w:val="16"/>
                <w:szCs w:val="16"/>
              </w:rPr>
              <w:lastRenderedPageBreak/>
              <w:t xml:space="preserve">Final evaluation of </w:t>
            </w:r>
            <w:r w:rsidRPr="00BA063C">
              <w:rPr>
                <w:sz w:val="16"/>
                <w:szCs w:val="16"/>
              </w:rPr>
              <w:lastRenderedPageBreak/>
              <w:t>Strengthening Rule of Law and Human Rights to Empower People in Tajikistan</w:t>
            </w:r>
          </w:p>
        </w:tc>
        <w:tc>
          <w:tcPr>
            <w:tcW w:w="622" w:type="pct"/>
          </w:tcPr>
          <w:p w:rsidR="00E16443" w:rsidRDefault="00E16443" w:rsidP="008C539F">
            <w:pPr>
              <w:rPr>
                <w:i/>
                <w:iCs/>
                <w:color w:val="000000"/>
                <w:sz w:val="16"/>
                <w:szCs w:val="16"/>
                <w:lang w:val="en-GB"/>
              </w:rPr>
            </w:pPr>
            <w:r>
              <w:rPr>
                <w:i/>
                <w:iCs/>
                <w:color w:val="000000"/>
                <w:sz w:val="16"/>
                <w:szCs w:val="16"/>
                <w:lang w:val="en-GB"/>
              </w:rPr>
              <w:lastRenderedPageBreak/>
              <w:t>Ministry of Justice,</w:t>
            </w:r>
          </w:p>
          <w:p w:rsidR="00E16443" w:rsidRPr="000232CE" w:rsidRDefault="00E16443" w:rsidP="008C539F">
            <w:pPr>
              <w:rPr>
                <w:i/>
                <w:iCs/>
                <w:color w:val="000000"/>
                <w:sz w:val="16"/>
                <w:szCs w:val="16"/>
                <w:lang w:val="en-GB"/>
              </w:rPr>
            </w:pPr>
            <w:r>
              <w:rPr>
                <w:i/>
                <w:iCs/>
                <w:color w:val="000000"/>
                <w:sz w:val="16"/>
                <w:szCs w:val="16"/>
                <w:lang w:val="en-GB"/>
              </w:rPr>
              <w:lastRenderedPageBreak/>
              <w:t xml:space="preserve">CSOs </w:t>
            </w:r>
          </w:p>
        </w:tc>
        <w:tc>
          <w:tcPr>
            <w:tcW w:w="458" w:type="pct"/>
          </w:tcPr>
          <w:p w:rsidR="00E16443" w:rsidRDefault="00E16443" w:rsidP="008C539F">
            <w:pPr>
              <w:jc w:val="center"/>
              <w:rPr>
                <w:sz w:val="16"/>
                <w:szCs w:val="16"/>
              </w:rPr>
            </w:pPr>
            <w:r>
              <w:rPr>
                <w:sz w:val="16"/>
                <w:szCs w:val="16"/>
              </w:rPr>
              <w:lastRenderedPageBreak/>
              <w:t>n/a</w:t>
            </w:r>
          </w:p>
        </w:tc>
        <w:tc>
          <w:tcPr>
            <w:tcW w:w="393" w:type="pct"/>
          </w:tcPr>
          <w:p w:rsidR="00E16443" w:rsidRDefault="00E16443" w:rsidP="008C539F">
            <w:pPr>
              <w:jc w:val="center"/>
              <w:rPr>
                <w:sz w:val="16"/>
                <w:szCs w:val="16"/>
              </w:rPr>
            </w:pPr>
            <w:r>
              <w:rPr>
                <w:sz w:val="16"/>
                <w:szCs w:val="16"/>
              </w:rPr>
              <w:t xml:space="preserve">Project </w:t>
            </w:r>
          </w:p>
        </w:tc>
        <w:tc>
          <w:tcPr>
            <w:tcW w:w="622" w:type="pct"/>
          </w:tcPr>
          <w:p w:rsidR="00E16443" w:rsidRDefault="00E16443" w:rsidP="008C539F">
            <w:pPr>
              <w:rPr>
                <w:sz w:val="16"/>
                <w:szCs w:val="16"/>
              </w:rPr>
            </w:pPr>
            <w:r>
              <w:rPr>
                <w:sz w:val="16"/>
                <w:szCs w:val="16"/>
              </w:rPr>
              <w:t>December 2017</w:t>
            </w:r>
          </w:p>
        </w:tc>
        <w:tc>
          <w:tcPr>
            <w:tcW w:w="556" w:type="pct"/>
          </w:tcPr>
          <w:p w:rsidR="00E16443" w:rsidRDefault="00E16443" w:rsidP="008C539F">
            <w:pPr>
              <w:rPr>
                <w:sz w:val="16"/>
                <w:szCs w:val="16"/>
              </w:rPr>
            </w:pPr>
            <w:r>
              <w:rPr>
                <w:sz w:val="16"/>
                <w:szCs w:val="16"/>
              </w:rPr>
              <w:t>$25,000</w:t>
            </w:r>
          </w:p>
        </w:tc>
        <w:tc>
          <w:tcPr>
            <w:tcW w:w="379" w:type="pct"/>
          </w:tcPr>
          <w:p w:rsidR="00E16443" w:rsidRDefault="00E16443" w:rsidP="008C539F">
            <w:pPr>
              <w:rPr>
                <w:rStyle w:val="CommentReference"/>
                <w:sz w:val="16"/>
                <w:szCs w:val="16"/>
                <w:lang w:eastAsia="uk-UA"/>
              </w:rPr>
            </w:pPr>
            <w:r>
              <w:rPr>
                <w:rStyle w:val="CommentReference"/>
                <w:sz w:val="16"/>
                <w:szCs w:val="16"/>
                <w:lang w:eastAsia="uk-UA"/>
              </w:rPr>
              <w:t xml:space="preserve">Donor </w:t>
            </w:r>
          </w:p>
        </w:tc>
      </w:tr>
      <w:tr w:rsidR="00E16443" w:rsidRPr="003C26C1" w:rsidTr="008C539F">
        <w:trPr>
          <w:trHeight w:val="60"/>
        </w:trPr>
        <w:tc>
          <w:tcPr>
            <w:tcW w:w="596" w:type="pct"/>
          </w:tcPr>
          <w:p w:rsidR="00E16443" w:rsidRPr="003C26C1" w:rsidRDefault="00E16443" w:rsidP="008C539F">
            <w:pPr>
              <w:rPr>
                <w:sz w:val="16"/>
                <w:szCs w:val="16"/>
              </w:rPr>
            </w:pPr>
            <w:r w:rsidRPr="003C26C1">
              <w:rPr>
                <w:b/>
                <w:bCs/>
                <w:color w:val="000000"/>
                <w:sz w:val="16"/>
                <w:szCs w:val="16"/>
                <w:lang w:val="en-GB"/>
              </w:rPr>
              <w:lastRenderedPageBreak/>
              <w:t>UNDAF OUTCOME INVOLVING UNDP #</w:t>
            </w:r>
            <w:r>
              <w:rPr>
                <w:b/>
                <w:bCs/>
                <w:color w:val="000000"/>
                <w:sz w:val="16"/>
                <w:szCs w:val="16"/>
                <w:lang w:val="en-GB"/>
              </w:rPr>
              <w:t>1</w:t>
            </w:r>
            <w:r w:rsidRPr="003C26C1">
              <w:rPr>
                <w:b/>
                <w:bCs/>
                <w:color w:val="000000"/>
                <w:sz w:val="16"/>
                <w:szCs w:val="16"/>
                <w:lang w:val="en-GB"/>
              </w:rPr>
              <w:t>:</w:t>
            </w:r>
            <w:r w:rsidRPr="00B170D1">
              <w:rPr>
                <w:b/>
                <w:bCs/>
                <w:color w:val="000000"/>
                <w:sz w:val="16"/>
                <w:szCs w:val="16"/>
                <w:lang w:val="en-GB"/>
              </w:rPr>
              <w:t xml:space="preserve"> </w:t>
            </w:r>
            <w:r w:rsidRPr="00972FB1">
              <w:rPr>
                <w:sz w:val="16"/>
                <w:szCs w:val="16"/>
              </w:rPr>
              <w:t>People in Tajikistan have their rights protected and benefit from improved access to justice and quality services delivered by accountable, transparent, and gender responsive legislative, executive and judicial institutions at all levels</w:t>
            </w:r>
          </w:p>
        </w:tc>
        <w:tc>
          <w:tcPr>
            <w:tcW w:w="720" w:type="pct"/>
          </w:tcPr>
          <w:p w:rsidR="00E16443" w:rsidRPr="00E72F0F" w:rsidRDefault="00E16443" w:rsidP="008C539F">
            <w:pPr>
              <w:rPr>
                <w:b/>
                <w:sz w:val="16"/>
                <w:szCs w:val="16"/>
              </w:rPr>
            </w:pPr>
            <w:r>
              <w:rPr>
                <w:b/>
                <w:bCs/>
                <w:color w:val="000000"/>
                <w:sz w:val="16"/>
                <w:szCs w:val="16"/>
                <w:lang w:val="en-GB"/>
              </w:rPr>
              <w:t xml:space="preserve">Outcome 2: </w:t>
            </w:r>
            <w:r w:rsidRPr="0020427D">
              <w:rPr>
                <w:sz w:val="16"/>
                <w:szCs w:val="16"/>
              </w:rPr>
              <w:t>Citizen expectations for voice, development, the rule of law and accountability are met by stronger systems of democratic governance</w:t>
            </w:r>
            <w:r>
              <w:rPr>
                <w:sz w:val="16"/>
                <w:szCs w:val="16"/>
              </w:rPr>
              <w:t>.</w:t>
            </w:r>
          </w:p>
          <w:p w:rsidR="00E16443" w:rsidRPr="003C26C1" w:rsidRDefault="00E16443" w:rsidP="008C539F">
            <w:pPr>
              <w:rPr>
                <w:sz w:val="16"/>
                <w:szCs w:val="16"/>
              </w:rPr>
            </w:pPr>
            <w:r w:rsidRPr="00594B49">
              <w:rPr>
                <w:b/>
                <w:sz w:val="16"/>
                <w:szCs w:val="16"/>
              </w:rPr>
              <w:t xml:space="preserve">Outcome 3: </w:t>
            </w:r>
            <w:r w:rsidRPr="0020427D">
              <w:rPr>
                <w:sz w:val="16"/>
                <w:szCs w:val="16"/>
              </w:rPr>
              <w:t>Countries have strengthened institutions to progressively deliver universal access to basic services</w:t>
            </w:r>
          </w:p>
        </w:tc>
        <w:tc>
          <w:tcPr>
            <w:tcW w:w="654" w:type="pct"/>
          </w:tcPr>
          <w:p w:rsidR="00E16443" w:rsidRPr="00BA063C" w:rsidRDefault="00E16443" w:rsidP="008C539F">
            <w:pPr>
              <w:rPr>
                <w:sz w:val="16"/>
                <w:szCs w:val="16"/>
              </w:rPr>
            </w:pPr>
            <w:r w:rsidRPr="00A70BAD">
              <w:rPr>
                <w:sz w:val="16"/>
                <w:szCs w:val="16"/>
              </w:rPr>
              <w:t>Final evaluation of Access to Justice Project</w:t>
            </w:r>
          </w:p>
        </w:tc>
        <w:tc>
          <w:tcPr>
            <w:tcW w:w="622" w:type="pct"/>
          </w:tcPr>
          <w:p w:rsidR="00E16443" w:rsidRDefault="00E16443" w:rsidP="008C539F">
            <w:pPr>
              <w:rPr>
                <w:i/>
                <w:iCs/>
                <w:color w:val="000000"/>
                <w:sz w:val="16"/>
                <w:szCs w:val="16"/>
                <w:lang w:val="en-GB"/>
              </w:rPr>
            </w:pPr>
            <w:r>
              <w:rPr>
                <w:i/>
                <w:iCs/>
                <w:color w:val="000000"/>
                <w:sz w:val="16"/>
                <w:szCs w:val="16"/>
                <w:lang w:val="en-GB"/>
              </w:rPr>
              <w:t>Ministry of Justice,</w:t>
            </w:r>
          </w:p>
          <w:p w:rsidR="00E16443" w:rsidRDefault="00E16443" w:rsidP="008C539F">
            <w:pPr>
              <w:rPr>
                <w:i/>
                <w:iCs/>
                <w:color w:val="000000"/>
                <w:sz w:val="16"/>
                <w:szCs w:val="16"/>
                <w:lang w:val="en-GB"/>
              </w:rPr>
            </w:pPr>
            <w:r>
              <w:rPr>
                <w:i/>
                <w:iCs/>
                <w:color w:val="000000"/>
                <w:sz w:val="16"/>
                <w:szCs w:val="16"/>
                <w:lang w:val="en-GB"/>
              </w:rPr>
              <w:t>INGO "</w:t>
            </w:r>
            <w:proofErr w:type="spellStart"/>
            <w:r>
              <w:rPr>
                <w:i/>
                <w:iCs/>
                <w:color w:val="000000"/>
                <w:sz w:val="16"/>
                <w:szCs w:val="16"/>
                <w:lang w:val="en-GB"/>
              </w:rPr>
              <w:t>Helvetas</w:t>
            </w:r>
            <w:proofErr w:type="spellEnd"/>
            <w:r>
              <w:rPr>
                <w:i/>
                <w:iCs/>
                <w:color w:val="000000"/>
                <w:sz w:val="16"/>
                <w:szCs w:val="16"/>
                <w:lang w:val="en-GB"/>
              </w:rPr>
              <w:t xml:space="preserve">" </w:t>
            </w:r>
          </w:p>
        </w:tc>
        <w:tc>
          <w:tcPr>
            <w:tcW w:w="458" w:type="pct"/>
          </w:tcPr>
          <w:p w:rsidR="00E16443" w:rsidRDefault="00E16443" w:rsidP="008C539F">
            <w:pPr>
              <w:jc w:val="center"/>
              <w:rPr>
                <w:sz w:val="16"/>
                <w:szCs w:val="16"/>
              </w:rPr>
            </w:pPr>
            <w:r>
              <w:rPr>
                <w:sz w:val="16"/>
                <w:szCs w:val="16"/>
              </w:rPr>
              <w:t>n/a</w:t>
            </w:r>
          </w:p>
        </w:tc>
        <w:tc>
          <w:tcPr>
            <w:tcW w:w="393" w:type="pct"/>
          </w:tcPr>
          <w:p w:rsidR="00E16443" w:rsidRDefault="00E16443" w:rsidP="008C539F">
            <w:pPr>
              <w:jc w:val="center"/>
              <w:rPr>
                <w:sz w:val="16"/>
                <w:szCs w:val="16"/>
              </w:rPr>
            </w:pPr>
            <w:r>
              <w:rPr>
                <w:sz w:val="16"/>
                <w:szCs w:val="16"/>
              </w:rPr>
              <w:t xml:space="preserve">Project </w:t>
            </w:r>
          </w:p>
        </w:tc>
        <w:tc>
          <w:tcPr>
            <w:tcW w:w="622" w:type="pct"/>
          </w:tcPr>
          <w:p w:rsidR="00E16443" w:rsidRDefault="00E16443" w:rsidP="008C539F">
            <w:pPr>
              <w:rPr>
                <w:sz w:val="16"/>
                <w:szCs w:val="16"/>
              </w:rPr>
            </w:pPr>
            <w:r>
              <w:rPr>
                <w:sz w:val="16"/>
                <w:szCs w:val="16"/>
              </w:rPr>
              <w:t xml:space="preserve">November 2016 </w:t>
            </w:r>
          </w:p>
        </w:tc>
        <w:tc>
          <w:tcPr>
            <w:tcW w:w="556" w:type="pct"/>
          </w:tcPr>
          <w:p w:rsidR="00E16443" w:rsidRDefault="00E16443" w:rsidP="008C539F">
            <w:pPr>
              <w:rPr>
                <w:sz w:val="16"/>
                <w:szCs w:val="16"/>
              </w:rPr>
            </w:pPr>
            <w:r>
              <w:rPr>
                <w:sz w:val="16"/>
                <w:szCs w:val="16"/>
              </w:rPr>
              <w:t>$25,000</w:t>
            </w:r>
          </w:p>
        </w:tc>
        <w:tc>
          <w:tcPr>
            <w:tcW w:w="379" w:type="pct"/>
          </w:tcPr>
          <w:p w:rsidR="00E16443" w:rsidRDefault="00E16443" w:rsidP="008C539F">
            <w:pPr>
              <w:rPr>
                <w:rStyle w:val="CommentReference"/>
                <w:sz w:val="16"/>
                <w:szCs w:val="16"/>
                <w:lang w:eastAsia="uk-UA"/>
              </w:rPr>
            </w:pPr>
            <w:r>
              <w:rPr>
                <w:rStyle w:val="CommentReference"/>
                <w:sz w:val="16"/>
                <w:szCs w:val="16"/>
                <w:lang w:eastAsia="uk-UA"/>
              </w:rPr>
              <w:t xml:space="preserve">Donor </w:t>
            </w:r>
          </w:p>
        </w:tc>
      </w:tr>
    </w:tbl>
    <w:p w:rsidR="00E16443" w:rsidRPr="0019048D" w:rsidRDefault="00E16443" w:rsidP="00E16443">
      <w:pPr>
        <w:rPr>
          <w:color w:val="000000"/>
        </w:rPr>
      </w:pPr>
    </w:p>
    <w:p w:rsidR="00E16443" w:rsidRPr="0019048D" w:rsidRDefault="00E16443" w:rsidP="00E16443"/>
    <w:p w:rsidR="003E093C" w:rsidRDefault="003E093C"/>
    <w:sectPr w:rsidR="003E093C" w:rsidSect="00E16443">
      <w:pgSz w:w="15840" w:h="12240"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F5769"/>
    <w:multiLevelType w:val="hybridMultilevel"/>
    <w:tmpl w:val="F47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B255A"/>
    <w:multiLevelType w:val="hybridMultilevel"/>
    <w:tmpl w:val="49D2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43"/>
    <w:rsid w:val="00013A69"/>
    <w:rsid w:val="00097708"/>
    <w:rsid w:val="001233CA"/>
    <w:rsid w:val="00190679"/>
    <w:rsid w:val="001B65F5"/>
    <w:rsid w:val="002433B6"/>
    <w:rsid w:val="00384A8C"/>
    <w:rsid w:val="003E093C"/>
    <w:rsid w:val="00425047"/>
    <w:rsid w:val="005C4949"/>
    <w:rsid w:val="0066523F"/>
    <w:rsid w:val="00666C21"/>
    <w:rsid w:val="006B573C"/>
    <w:rsid w:val="006E18B6"/>
    <w:rsid w:val="00707463"/>
    <w:rsid w:val="00712F71"/>
    <w:rsid w:val="00745A4B"/>
    <w:rsid w:val="008D0283"/>
    <w:rsid w:val="009C4A1B"/>
    <w:rsid w:val="00A54563"/>
    <w:rsid w:val="00B5738A"/>
    <w:rsid w:val="00B57E8C"/>
    <w:rsid w:val="00BC33DF"/>
    <w:rsid w:val="00CD1CCA"/>
    <w:rsid w:val="00D279E6"/>
    <w:rsid w:val="00DA391C"/>
    <w:rsid w:val="00DE27CA"/>
    <w:rsid w:val="00E16443"/>
    <w:rsid w:val="00E678A4"/>
    <w:rsid w:val="00F8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E0052-0799-4076-9836-BD5AD81E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16443"/>
    <w:rPr>
      <w:rFonts w:cs="Times New Roman"/>
      <w:sz w:val="6"/>
      <w:szCs w:val="6"/>
    </w:rPr>
  </w:style>
  <w:style w:type="paragraph" w:customStyle="1" w:styleId="Pasus1">
    <w:name w:val="Pasus1"/>
    <w:basedOn w:val="Normal"/>
    <w:qFormat/>
    <w:rsid w:val="00E16443"/>
    <w:pPr>
      <w:spacing w:before="120" w:after="120"/>
    </w:pPr>
    <w:rPr>
      <w:rFonts w:ascii="Candara" w:hAnsi="Candar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Aliona.Niculita</dc:creator>
  <cp:lastModifiedBy>Svetlana Iazykova</cp:lastModifiedBy>
  <cp:revision>2</cp:revision>
  <dcterms:created xsi:type="dcterms:W3CDTF">2015-05-13T16:15:00Z</dcterms:created>
  <dcterms:modified xsi:type="dcterms:W3CDTF">2015-05-13T16:15:00Z</dcterms:modified>
</cp:coreProperties>
</file>