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982" w:rsidRPr="006B5982" w:rsidRDefault="006625BB" w:rsidP="006B598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b/>
          <w:bCs/>
          <w:color w:val="000000"/>
          <w:sz w:val="20"/>
          <w:szCs w:val="20"/>
        </w:rPr>
        <w:t>ANNEX</w:t>
      </w:r>
      <w:bookmarkStart w:id="0" w:name="_GoBack"/>
      <w:bookmarkEnd w:id="0"/>
      <w:r w:rsidR="006B5982" w:rsidRPr="006B5982">
        <w:rPr>
          <w:rFonts w:ascii="Times New Roman" w:eastAsia="Times New Roman" w:hAnsi="Times New Roman" w:cs="Times New Roman"/>
          <w:bCs/>
          <w:color w:val="000000"/>
          <w:sz w:val="20"/>
          <w:szCs w:val="20"/>
        </w:rPr>
        <w:t xml:space="preserve">. </w:t>
      </w:r>
      <w:r w:rsidR="006B5982" w:rsidRPr="006B5982">
        <w:rPr>
          <w:rFonts w:ascii="Times New Roman" w:eastAsia="Times New Roman" w:hAnsi="Times New Roman" w:cs="Times New Roman"/>
          <w:b/>
          <w:bCs/>
          <w:color w:val="000000"/>
          <w:sz w:val="20"/>
          <w:szCs w:val="20"/>
        </w:rPr>
        <w:t>FULLY-</w:t>
      </w:r>
      <w:r w:rsidR="006B5982" w:rsidRPr="006B5982">
        <w:rPr>
          <w:rFonts w:ascii="Times New Roman" w:eastAsia="Times New Roman" w:hAnsi="Times New Roman" w:cs="Times New Roman"/>
          <w:b/>
          <w:color w:val="000000"/>
          <w:sz w:val="20"/>
          <w:szCs w:val="20"/>
        </w:rPr>
        <w:t xml:space="preserve">COSTED EVALUATION PLAN </w:t>
      </w:r>
    </w:p>
    <w:tbl>
      <w:tblPr>
        <w:tblStyle w:val="TableGrid11"/>
        <w:tblW w:w="0" w:type="auto"/>
        <w:tblLook w:val="04A0" w:firstRow="1" w:lastRow="0" w:firstColumn="1" w:lastColumn="0" w:noHBand="0" w:noVBand="1"/>
      </w:tblPr>
      <w:tblGrid>
        <w:gridCol w:w="1256"/>
        <w:gridCol w:w="2347"/>
        <w:gridCol w:w="2175"/>
        <w:gridCol w:w="1603"/>
        <w:gridCol w:w="1530"/>
        <w:gridCol w:w="1317"/>
        <w:gridCol w:w="636"/>
        <w:gridCol w:w="636"/>
        <w:gridCol w:w="1027"/>
        <w:gridCol w:w="1225"/>
      </w:tblGrid>
      <w:tr w:rsidR="006B5982" w:rsidRPr="006B5982" w:rsidTr="00B80FC7">
        <w:trPr>
          <w:tblHeader/>
        </w:trPr>
        <w:tc>
          <w:tcPr>
            <w:tcW w:w="0" w:type="auto"/>
            <w:shd w:val="clear" w:color="auto" w:fill="B8CCE4"/>
            <w:vAlign w:val="center"/>
          </w:tcPr>
          <w:p w:rsidR="006B5982" w:rsidRPr="006B5982" w:rsidRDefault="006B5982" w:rsidP="006B5982">
            <w:pPr>
              <w:jc w:val="center"/>
              <w:rPr>
                <w:rFonts w:ascii="Times New Roman" w:hAnsi="Times New Roman" w:cs="Times New Roman"/>
                <w:b/>
                <w:color w:val="000000"/>
                <w:sz w:val="16"/>
                <w:szCs w:val="16"/>
                <w:lang w:val="en-GB" w:eastAsia="ja-JP"/>
              </w:rPr>
            </w:pPr>
            <w:r w:rsidRPr="006B5982">
              <w:rPr>
                <w:b/>
                <w:color w:val="000000"/>
                <w:sz w:val="16"/>
                <w:szCs w:val="16"/>
                <w:lang w:val="en-GB" w:eastAsia="ja-JP"/>
              </w:rPr>
              <w:t>UNDAF (or equivalent) Outcome</w:t>
            </w:r>
            <w:r w:rsidRPr="006B5982">
              <w:rPr>
                <w:rFonts w:cs="Times New Roman"/>
                <w:b/>
                <w:color w:val="000000"/>
                <w:sz w:val="16"/>
                <w:szCs w:val="16"/>
                <w:vertAlign w:val="superscript"/>
                <w:lang w:val="en-GB" w:eastAsia="ja-JP"/>
              </w:rPr>
              <w:footnoteReference w:id="1"/>
            </w:r>
          </w:p>
        </w:tc>
        <w:tc>
          <w:tcPr>
            <w:tcW w:w="0" w:type="auto"/>
            <w:shd w:val="clear" w:color="auto" w:fill="B8CCE4"/>
            <w:vAlign w:val="center"/>
          </w:tcPr>
          <w:p w:rsidR="006B5982" w:rsidRPr="006B5982" w:rsidRDefault="006B5982" w:rsidP="006B5982">
            <w:pPr>
              <w:jc w:val="center"/>
              <w:rPr>
                <w:rFonts w:ascii="Times New Roman" w:hAnsi="Times New Roman" w:cs="Times New Roman"/>
                <w:b/>
                <w:color w:val="000000"/>
                <w:sz w:val="16"/>
                <w:szCs w:val="16"/>
                <w:lang w:val="en-GB" w:eastAsia="ja-JP"/>
              </w:rPr>
            </w:pPr>
            <w:r w:rsidRPr="006B5982">
              <w:rPr>
                <w:b/>
                <w:color w:val="000000"/>
                <w:sz w:val="16"/>
                <w:szCs w:val="16"/>
                <w:lang w:val="en-GB" w:eastAsia="ja-JP"/>
              </w:rPr>
              <w:t>UNDP Strategic Plan Outcome</w:t>
            </w:r>
          </w:p>
        </w:tc>
        <w:tc>
          <w:tcPr>
            <w:tcW w:w="0" w:type="auto"/>
            <w:shd w:val="clear" w:color="auto" w:fill="B8CCE4"/>
            <w:vAlign w:val="center"/>
          </w:tcPr>
          <w:p w:rsidR="006B5982" w:rsidRPr="006B5982" w:rsidRDefault="006B5982" w:rsidP="006B5982">
            <w:pPr>
              <w:jc w:val="center"/>
              <w:rPr>
                <w:rFonts w:ascii="Times New Roman" w:hAnsi="Times New Roman" w:cs="Times New Roman"/>
                <w:b/>
                <w:color w:val="000000"/>
                <w:sz w:val="16"/>
                <w:szCs w:val="16"/>
                <w:lang w:val="en-GB" w:eastAsia="ja-JP"/>
              </w:rPr>
            </w:pPr>
            <w:r w:rsidRPr="006B5982">
              <w:rPr>
                <w:b/>
                <w:color w:val="000000"/>
                <w:sz w:val="16"/>
                <w:szCs w:val="16"/>
                <w:lang w:val="en-GB" w:eastAsia="ja-JP"/>
              </w:rPr>
              <w:t>Evaluation Title</w:t>
            </w:r>
          </w:p>
        </w:tc>
        <w:tc>
          <w:tcPr>
            <w:tcW w:w="0" w:type="auto"/>
            <w:shd w:val="clear" w:color="auto" w:fill="B8CCE4"/>
            <w:vAlign w:val="center"/>
          </w:tcPr>
          <w:p w:rsidR="006B5982" w:rsidRPr="006B5982" w:rsidRDefault="006B5982" w:rsidP="006B5982">
            <w:pPr>
              <w:jc w:val="center"/>
              <w:rPr>
                <w:rFonts w:ascii="Times New Roman" w:hAnsi="Times New Roman" w:cs="Times New Roman"/>
                <w:b/>
                <w:color w:val="000000"/>
                <w:sz w:val="16"/>
                <w:szCs w:val="16"/>
                <w:lang w:val="en-GB" w:eastAsia="ja-JP"/>
              </w:rPr>
            </w:pPr>
            <w:r w:rsidRPr="006B5982">
              <w:rPr>
                <w:b/>
                <w:color w:val="000000"/>
                <w:sz w:val="16"/>
                <w:szCs w:val="16"/>
                <w:lang w:val="en-GB" w:eastAsia="ja-JP"/>
              </w:rPr>
              <w:t>Partners (joint evaluation)</w:t>
            </w:r>
          </w:p>
        </w:tc>
        <w:tc>
          <w:tcPr>
            <w:tcW w:w="0" w:type="auto"/>
            <w:shd w:val="clear" w:color="auto" w:fill="B8CCE4"/>
            <w:vAlign w:val="center"/>
          </w:tcPr>
          <w:p w:rsidR="006B5982" w:rsidRPr="006B5982" w:rsidRDefault="006B5982" w:rsidP="006B5982">
            <w:pPr>
              <w:jc w:val="center"/>
              <w:rPr>
                <w:rFonts w:ascii="Times New Roman" w:hAnsi="Times New Roman" w:cs="Times New Roman"/>
                <w:b/>
                <w:color w:val="000000"/>
                <w:sz w:val="16"/>
                <w:szCs w:val="16"/>
                <w:lang w:val="en-GB" w:eastAsia="ja-JP"/>
              </w:rPr>
            </w:pPr>
            <w:r w:rsidRPr="006B5982">
              <w:rPr>
                <w:b/>
                <w:color w:val="000000"/>
                <w:sz w:val="16"/>
                <w:szCs w:val="16"/>
                <w:lang w:val="en-GB" w:eastAsia="ja-JP"/>
              </w:rPr>
              <w:t>Evaluation commissioned by (if not UNDP)</w:t>
            </w:r>
          </w:p>
        </w:tc>
        <w:tc>
          <w:tcPr>
            <w:tcW w:w="0" w:type="auto"/>
            <w:shd w:val="clear" w:color="auto" w:fill="B8CCE4"/>
            <w:vAlign w:val="center"/>
          </w:tcPr>
          <w:p w:rsidR="006B5982" w:rsidRPr="006B5982" w:rsidRDefault="006B5982" w:rsidP="006B5982">
            <w:pPr>
              <w:jc w:val="center"/>
              <w:rPr>
                <w:rFonts w:ascii="Times New Roman" w:hAnsi="Times New Roman" w:cs="Times New Roman"/>
                <w:b/>
                <w:color w:val="000000"/>
                <w:sz w:val="16"/>
                <w:szCs w:val="16"/>
                <w:lang w:val="en-GB" w:eastAsia="ja-JP"/>
              </w:rPr>
            </w:pPr>
            <w:r w:rsidRPr="006B5982">
              <w:rPr>
                <w:b/>
                <w:color w:val="000000"/>
                <w:sz w:val="16"/>
                <w:szCs w:val="16"/>
                <w:lang w:val="en-GB" w:eastAsia="ja-JP"/>
              </w:rPr>
              <w:t>Type of evaluation</w:t>
            </w:r>
          </w:p>
        </w:tc>
        <w:tc>
          <w:tcPr>
            <w:tcW w:w="0" w:type="auto"/>
            <w:gridSpan w:val="2"/>
            <w:shd w:val="clear" w:color="auto" w:fill="B8CCE4"/>
            <w:vAlign w:val="center"/>
          </w:tcPr>
          <w:p w:rsidR="006B5982" w:rsidRPr="006B5982" w:rsidRDefault="006B5982" w:rsidP="006B5982">
            <w:pPr>
              <w:jc w:val="center"/>
              <w:rPr>
                <w:rFonts w:ascii="Times New Roman" w:hAnsi="Times New Roman" w:cs="Times New Roman"/>
                <w:b/>
                <w:color w:val="000000"/>
                <w:sz w:val="16"/>
                <w:szCs w:val="16"/>
                <w:lang w:val="en-GB" w:eastAsia="ja-JP"/>
              </w:rPr>
            </w:pPr>
            <w:r w:rsidRPr="006B5982">
              <w:rPr>
                <w:b/>
                <w:color w:val="000000"/>
                <w:sz w:val="16"/>
                <w:szCs w:val="16"/>
                <w:lang w:val="en-GB" w:eastAsia="ja-JP"/>
              </w:rPr>
              <w:t>Planned evaluation completion date</w:t>
            </w:r>
          </w:p>
        </w:tc>
        <w:tc>
          <w:tcPr>
            <w:tcW w:w="0" w:type="auto"/>
            <w:shd w:val="clear" w:color="auto" w:fill="B8CCE4"/>
            <w:vAlign w:val="center"/>
          </w:tcPr>
          <w:p w:rsidR="006B5982" w:rsidRPr="006B5982" w:rsidRDefault="006B5982" w:rsidP="006B5982">
            <w:pPr>
              <w:jc w:val="center"/>
              <w:rPr>
                <w:rFonts w:ascii="Times New Roman" w:hAnsi="Times New Roman" w:cs="Times New Roman"/>
                <w:b/>
                <w:color w:val="000000"/>
                <w:sz w:val="16"/>
                <w:szCs w:val="16"/>
                <w:lang w:val="en-GB" w:eastAsia="ja-JP"/>
              </w:rPr>
            </w:pPr>
            <w:r w:rsidRPr="006B5982">
              <w:rPr>
                <w:b/>
                <w:color w:val="000000"/>
                <w:sz w:val="16"/>
                <w:szCs w:val="16"/>
                <w:lang w:val="en-GB" w:eastAsia="ja-JP"/>
              </w:rPr>
              <w:t>Estimated cost</w:t>
            </w:r>
          </w:p>
        </w:tc>
        <w:tc>
          <w:tcPr>
            <w:tcW w:w="0" w:type="auto"/>
            <w:shd w:val="clear" w:color="auto" w:fill="B8CCE4"/>
            <w:vAlign w:val="center"/>
          </w:tcPr>
          <w:p w:rsidR="006B5982" w:rsidRPr="006B5982" w:rsidRDefault="006B5982" w:rsidP="006B5982">
            <w:pPr>
              <w:jc w:val="center"/>
              <w:rPr>
                <w:rFonts w:ascii="Times New Roman" w:hAnsi="Times New Roman" w:cs="Times New Roman"/>
                <w:b/>
                <w:color w:val="000000"/>
                <w:sz w:val="16"/>
                <w:szCs w:val="16"/>
                <w:lang w:val="en-GB" w:eastAsia="ja-JP"/>
              </w:rPr>
            </w:pPr>
            <w:r w:rsidRPr="006B5982">
              <w:rPr>
                <w:b/>
                <w:color w:val="000000"/>
                <w:sz w:val="16"/>
                <w:szCs w:val="16"/>
                <w:lang w:val="en-GB" w:eastAsia="ja-JP"/>
              </w:rPr>
              <w:t>Provisional Source of Funding</w:t>
            </w:r>
          </w:p>
        </w:tc>
      </w:tr>
      <w:tr w:rsidR="006B5982" w:rsidRPr="006B5982" w:rsidTr="00B80FC7">
        <w:trPr>
          <w:trHeight w:val="1680"/>
        </w:trPr>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Not applicable</w:t>
            </w:r>
          </w:p>
        </w:tc>
        <w:tc>
          <w:tcPr>
            <w:tcW w:w="0" w:type="auto"/>
          </w:tcPr>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Countries have strengthened institutions to progressively deliver universal access to basic services.</w:t>
            </w:r>
          </w:p>
          <w:p w:rsidR="006B5982" w:rsidRPr="006B5982" w:rsidRDefault="006B5982" w:rsidP="006B5982">
            <w:pPr>
              <w:rPr>
                <w:rFonts w:ascii="Times New Roman" w:hAnsi="Times New Roman" w:cs="Times New Roman"/>
                <w:bCs/>
                <w:color w:val="000000"/>
                <w:sz w:val="16"/>
                <w:szCs w:val="16"/>
                <w:lang w:val="en-GB" w:eastAsia="ja-JP"/>
              </w:rPr>
            </w:pPr>
          </w:p>
          <w:p w:rsidR="006B5982" w:rsidRPr="006B5982" w:rsidRDefault="006B5982" w:rsidP="006B5982">
            <w:pPr>
              <w:rPr>
                <w:rFonts w:ascii="Times New Roman" w:hAnsi="Times New Roman" w:cs="Times New Roman"/>
                <w:color w:val="000000"/>
                <w:sz w:val="16"/>
                <w:szCs w:val="16"/>
                <w:lang w:val="en-GB" w:eastAsia="ja-JP"/>
              </w:rPr>
            </w:pPr>
            <w:r w:rsidRPr="006B5982">
              <w:rPr>
                <w:bCs/>
                <w:color w:val="000000"/>
                <w:sz w:val="16"/>
                <w:szCs w:val="16"/>
                <w:lang w:val="en-GB" w:eastAsia="ja-JP"/>
              </w:rPr>
              <w:t>Growth and development are inclusive and sustainable, incorporating productive capacities that create employment and livelihoods for the poor and excluded.</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Mid-term Country Programme Review</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Coordination Committee</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 xml:space="preserve">Decentralized </w:t>
            </w:r>
          </w:p>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Independent Review</w:t>
            </w:r>
          </w:p>
        </w:tc>
        <w:tc>
          <w:tcPr>
            <w:tcW w:w="0" w:type="auto"/>
            <w:gridSpan w:val="2"/>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July 2018</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US$ 40,000</w:t>
            </w:r>
          </w:p>
        </w:tc>
        <w:tc>
          <w:tcPr>
            <w:tcW w:w="0" w:type="auto"/>
          </w:tcPr>
          <w:p w:rsidR="006B5982" w:rsidRPr="006B5982" w:rsidRDefault="006B5982" w:rsidP="006B5982">
            <w:pPr>
              <w:rPr>
                <w:rFonts w:ascii="Times New Roman" w:hAnsi="Times New Roman" w:cs="Times New Roman"/>
                <w:sz w:val="16"/>
                <w:szCs w:val="16"/>
                <w:lang w:val="en-GB" w:eastAsia="ja-JP"/>
              </w:rPr>
            </w:pPr>
          </w:p>
          <w:p w:rsidR="006B5982" w:rsidRPr="006B5982" w:rsidRDefault="006B5982" w:rsidP="006B5982">
            <w:pPr>
              <w:rPr>
                <w:rFonts w:ascii="Times New Roman" w:hAnsi="Times New Roman" w:cs="Times New Roman"/>
                <w:color w:val="000000"/>
                <w:sz w:val="18"/>
                <w:szCs w:val="18"/>
                <w:lang w:val="en-GB" w:eastAsia="ja-JP"/>
              </w:rPr>
            </w:pPr>
            <w:r w:rsidRPr="006B5982">
              <w:rPr>
                <w:color w:val="000000"/>
                <w:sz w:val="18"/>
                <w:szCs w:val="18"/>
                <w:lang w:val="en-GB" w:eastAsia="ja-JP"/>
              </w:rPr>
              <w:t>UNDP Projects</w:t>
            </w:r>
          </w:p>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8"/>
                <w:szCs w:val="18"/>
                <w:lang w:val="en-GB" w:eastAsia="ja-JP"/>
              </w:rPr>
              <w:t>and other sources</w:t>
            </w:r>
          </w:p>
        </w:tc>
      </w:tr>
      <w:tr w:rsidR="006B5982" w:rsidRPr="006B5982" w:rsidTr="00B80FC7">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Not applicable</w:t>
            </w:r>
          </w:p>
        </w:tc>
        <w:tc>
          <w:tcPr>
            <w:tcW w:w="0" w:type="auto"/>
          </w:tcPr>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Countries have strengthened institutions to progressively deliver universal access to basic services.</w:t>
            </w:r>
          </w:p>
          <w:p w:rsidR="006B5982" w:rsidRPr="006B5982" w:rsidRDefault="006B5982" w:rsidP="006B5982">
            <w:pPr>
              <w:rPr>
                <w:rFonts w:ascii="Times New Roman" w:hAnsi="Times New Roman" w:cs="Times New Roman"/>
                <w:bCs/>
                <w:color w:val="000000"/>
                <w:sz w:val="16"/>
                <w:szCs w:val="16"/>
                <w:lang w:val="en-GB" w:eastAsia="ja-JP"/>
              </w:rPr>
            </w:pPr>
          </w:p>
          <w:p w:rsidR="006B5982" w:rsidRPr="006B5982" w:rsidRDefault="006B5982" w:rsidP="006B5982">
            <w:pPr>
              <w:rPr>
                <w:rFonts w:ascii="Times New Roman" w:hAnsi="Times New Roman" w:cs="Times New Roman"/>
                <w:color w:val="000000"/>
                <w:sz w:val="16"/>
                <w:szCs w:val="16"/>
                <w:lang w:val="en-GB" w:eastAsia="ja-JP"/>
              </w:rPr>
            </w:pPr>
            <w:r w:rsidRPr="006B5982">
              <w:rPr>
                <w:bCs/>
                <w:color w:val="000000"/>
                <w:sz w:val="16"/>
                <w:szCs w:val="16"/>
                <w:lang w:val="en-GB" w:eastAsia="ja-JP"/>
              </w:rPr>
              <w:t>Growth and development are inclusive and sustainable, incorporating productive capacities that create employment and livelihoods for the poor and excluded.</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sz w:val="16"/>
                <w:szCs w:val="16"/>
                <w:lang w:val="en-GB" w:eastAsia="ja-JP"/>
              </w:rPr>
              <w:t>Thematic Sector evaluation of of “Social and Gender</w:t>
            </w:r>
            <w:r w:rsidRPr="006B5982">
              <w:rPr>
                <w:rFonts w:cs="Times New Roman"/>
                <w:sz w:val="16"/>
                <w:szCs w:val="16"/>
                <w:vertAlign w:val="superscript"/>
                <w:lang w:val="en-GB" w:eastAsia="ja-JP"/>
              </w:rPr>
              <w:footnoteReference w:id="2"/>
            </w:r>
            <w:r w:rsidRPr="006B5982">
              <w:rPr>
                <w:sz w:val="16"/>
                <w:szCs w:val="16"/>
                <w:lang w:val="en-GB" w:eastAsia="ja-JP"/>
              </w:rPr>
              <w:t xml:space="preserve"> Programmes” as cluster of projects related to women, youth, elderly, childhood etc </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Coordination Committee along with line institutions (IPs)</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Decentralised project evaluation</w:t>
            </w:r>
          </w:p>
        </w:tc>
        <w:tc>
          <w:tcPr>
            <w:tcW w:w="0" w:type="auto"/>
            <w:gridSpan w:val="2"/>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March 2017 &amp; 2018</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US$ 25,000</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 xml:space="preserve">Several project budgets </w:t>
            </w:r>
          </w:p>
        </w:tc>
      </w:tr>
      <w:tr w:rsidR="006B5982" w:rsidRPr="006B5982" w:rsidTr="00B80FC7">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Not applicable</w:t>
            </w:r>
          </w:p>
        </w:tc>
        <w:tc>
          <w:tcPr>
            <w:tcW w:w="0" w:type="auto"/>
          </w:tcPr>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Countries have strengthened institutions to progressively deliver universal access to basic services.</w:t>
            </w:r>
          </w:p>
          <w:p w:rsidR="006B5982" w:rsidRPr="006B5982" w:rsidRDefault="006B5982" w:rsidP="006B5982">
            <w:pPr>
              <w:rPr>
                <w:rFonts w:ascii="Times New Roman" w:hAnsi="Times New Roman" w:cs="Times New Roman"/>
                <w:bCs/>
                <w:color w:val="000000"/>
                <w:sz w:val="16"/>
                <w:szCs w:val="16"/>
                <w:lang w:val="en-GB" w:eastAsia="ja-JP"/>
              </w:rPr>
            </w:pPr>
          </w:p>
          <w:p w:rsidR="006B5982" w:rsidRPr="006B5982" w:rsidRDefault="006B5982" w:rsidP="006B5982">
            <w:pPr>
              <w:rPr>
                <w:rFonts w:ascii="Times New Roman" w:hAnsi="Times New Roman" w:cs="Times New Roman"/>
                <w:color w:val="000000"/>
                <w:sz w:val="16"/>
                <w:szCs w:val="16"/>
                <w:lang w:val="en-GB" w:eastAsia="ja-JP"/>
              </w:rPr>
            </w:pPr>
            <w:r w:rsidRPr="006B5982">
              <w:rPr>
                <w:bCs/>
                <w:color w:val="000000"/>
                <w:sz w:val="16"/>
                <w:szCs w:val="16"/>
                <w:lang w:val="en-GB" w:eastAsia="ja-JP"/>
              </w:rPr>
              <w:t>Growth and development are inclusive and sustainable, incorporating productive capacities that create employment and livelihoods for the poor and excluded.</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 xml:space="preserve">Thematic Sector evaluation of programmes in “Energy and Environment” </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Coordination Committee along with line institutions (IPs)</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Decentralised project evaluation</w:t>
            </w:r>
          </w:p>
        </w:tc>
        <w:tc>
          <w:tcPr>
            <w:tcW w:w="0" w:type="auto"/>
            <w:gridSpan w:val="2"/>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March 2018</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US$ 20,000</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 xml:space="preserve">Several project budgets </w:t>
            </w:r>
          </w:p>
        </w:tc>
      </w:tr>
      <w:tr w:rsidR="006B5982" w:rsidRPr="006B5982" w:rsidTr="00B80FC7">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Not applicable</w:t>
            </w:r>
          </w:p>
        </w:tc>
        <w:tc>
          <w:tcPr>
            <w:tcW w:w="0" w:type="auto"/>
          </w:tcPr>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Countries have strengthened institutions to progressively deliver universal access to basic services.</w:t>
            </w:r>
          </w:p>
          <w:p w:rsidR="006B5982" w:rsidRPr="006B5982" w:rsidRDefault="006B5982" w:rsidP="006B5982">
            <w:pPr>
              <w:rPr>
                <w:rFonts w:ascii="Times New Roman" w:hAnsi="Times New Roman" w:cs="Times New Roman"/>
                <w:bCs/>
                <w:color w:val="000000"/>
                <w:sz w:val="16"/>
                <w:szCs w:val="16"/>
                <w:lang w:val="en-GB" w:eastAsia="ja-JP"/>
              </w:rPr>
            </w:pPr>
          </w:p>
          <w:p w:rsidR="006B5982" w:rsidRPr="006B5982" w:rsidRDefault="006B5982" w:rsidP="006B5982">
            <w:pPr>
              <w:rPr>
                <w:rFonts w:ascii="Times New Roman" w:hAnsi="Times New Roman" w:cs="Times New Roman"/>
                <w:color w:val="000000"/>
                <w:sz w:val="16"/>
                <w:szCs w:val="16"/>
                <w:lang w:val="en-GB" w:eastAsia="ja-JP"/>
              </w:rPr>
            </w:pPr>
            <w:r w:rsidRPr="006B5982">
              <w:rPr>
                <w:bCs/>
                <w:color w:val="000000"/>
                <w:sz w:val="16"/>
                <w:szCs w:val="16"/>
                <w:lang w:val="en-GB" w:eastAsia="ja-JP"/>
              </w:rPr>
              <w:t xml:space="preserve">Growth and development are </w:t>
            </w:r>
            <w:r w:rsidRPr="006B5982">
              <w:rPr>
                <w:bCs/>
                <w:color w:val="000000"/>
                <w:sz w:val="16"/>
                <w:szCs w:val="16"/>
                <w:lang w:val="en-GB" w:eastAsia="ja-JP"/>
              </w:rPr>
              <w:lastRenderedPageBreak/>
              <w:t>inclusive and sustainable, incorporating productive capacities that create employment and livelihoods for the poor and excluded.</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lastRenderedPageBreak/>
              <w:t>Thematic Sector evaluation of programmes in “Energy and Environment”</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Coordination Committee along with line institutions (IPs)</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 xml:space="preserve">Decentralized </w:t>
            </w:r>
          </w:p>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Outcome evaluation</w:t>
            </w:r>
          </w:p>
        </w:tc>
        <w:tc>
          <w:tcPr>
            <w:tcW w:w="0" w:type="auto"/>
            <w:gridSpan w:val="2"/>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March 2019-2020</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US$ 50,000</w:t>
            </w:r>
          </w:p>
        </w:tc>
        <w:tc>
          <w:tcPr>
            <w:tcW w:w="0" w:type="auto"/>
          </w:tcPr>
          <w:p w:rsidR="006B5982" w:rsidRPr="006B5982" w:rsidRDefault="006B5982" w:rsidP="006B5982">
            <w:pPr>
              <w:rPr>
                <w:rFonts w:ascii="Times New Roman" w:hAnsi="Times New Roman" w:cs="Times New Roman"/>
                <w:color w:val="000000"/>
                <w:sz w:val="18"/>
                <w:szCs w:val="18"/>
                <w:lang w:val="en-GB" w:eastAsia="ja-JP"/>
              </w:rPr>
            </w:pPr>
            <w:r w:rsidRPr="006B5982">
              <w:rPr>
                <w:color w:val="000000"/>
                <w:sz w:val="18"/>
                <w:szCs w:val="18"/>
                <w:lang w:val="en-GB" w:eastAsia="ja-JP"/>
              </w:rPr>
              <w:t>UNDP Projects</w:t>
            </w:r>
          </w:p>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8"/>
                <w:szCs w:val="18"/>
                <w:lang w:val="en-GB" w:eastAsia="ja-JP"/>
              </w:rPr>
              <w:t>and other sources</w:t>
            </w:r>
          </w:p>
        </w:tc>
      </w:tr>
      <w:tr w:rsidR="006B5982" w:rsidRPr="006B5982" w:rsidTr="00B80FC7">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Not applicable</w:t>
            </w:r>
          </w:p>
        </w:tc>
        <w:tc>
          <w:tcPr>
            <w:tcW w:w="0" w:type="auto"/>
          </w:tcPr>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Countries have strengthened institutions to progressively deliver universal access to basic services.</w:t>
            </w:r>
          </w:p>
          <w:p w:rsidR="006B5982" w:rsidRPr="006B5982" w:rsidRDefault="006B5982" w:rsidP="006B5982">
            <w:pPr>
              <w:rPr>
                <w:rFonts w:ascii="Times New Roman" w:hAnsi="Times New Roman" w:cs="Times New Roman"/>
                <w:bCs/>
                <w:color w:val="000000"/>
                <w:sz w:val="16"/>
                <w:szCs w:val="16"/>
                <w:lang w:val="en-GB" w:eastAsia="ja-JP"/>
              </w:rPr>
            </w:pPr>
          </w:p>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Growth and development are inclusive and sustainable, incorporating productive capacities that create employment and livelihoods for the poor and excluded.</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sz w:val="16"/>
                <w:szCs w:val="16"/>
                <w:lang w:val="en-GB" w:eastAsia="ja-JP"/>
              </w:rPr>
              <w:t>Terminal evaluation of the Capacity Development Facility</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Bahrain Institute for Public Administration</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Decentralised project evaluation</w:t>
            </w:r>
          </w:p>
        </w:tc>
        <w:tc>
          <w:tcPr>
            <w:tcW w:w="0" w:type="auto"/>
            <w:gridSpan w:val="2"/>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March 2017</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US$ 10,000</w:t>
            </w:r>
          </w:p>
        </w:tc>
        <w:tc>
          <w:tcPr>
            <w:tcW w:w="0" w:type="auto"/>
          </w:tcPr>
          <w:p w:rsidR="006B5982" w:rsidRPr="006B5982" w:rsidRDefault="006B5982" w:rsidP="006B5982">
            <w:pPr>
              <w:rPr>
                <w:rFonts w:ascii="Times New Roman" w:hAnsi="Times New Roman" w:cs="Times New Roman"/>
                <w:color w:val="000000"/>
                <w:sz w:val="18"/>
                <w:szCs w:val="18"/>
                <w:lang w:val="en-GB" w:eastAsia="ja-JP"/>
              </w:rPr>
            </w:pPr>
            <w:r w:rsidRPr="006B5982">
              <w:rPr>
                <w:color w:val="000000"/>
                <w:sz w:val="16"/>
                <w:szCs w:val="16"/>
                <w:lang w:val="en-GB" w:eastAsia="ja-JP"/>
              </w:rPr>
              <w:t xml:space="preserve">Project budget </w:t>
            </w:r>
          </w:p>
        </w:tc>
      </w:tr>
      <w:tr w:rsidR="006B5982" w:rsidRPr="006B5982" w:rsidTr="00B80FC7">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Not applicable</w:t>
            </w:r>
          </w:p>
        </w:tc>
        <w:tc>
          <w:tcPr>
            <w:tcW w:w="0" w:type="auto"/>
          </w:tcPr>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Countries have strengthened institutions to progressively deliver universal access to basic services.</w:t>
            </w:r>
          </w:p>
          <w:p w:rsidR="006B5982" w:rsidRPr="006B5982" w:rsidRDefault="006B5982" w:rsidP="006B5982">
            <w:pPr>
              <w:rPr>
                <w:rFonts w:ascii="Times New Roman" w:hAnsi="Times New Roman" w:cs="Times New Roman"/>
                <w:bCs/>
                <w:color w:val="000000"/>
                <w:sz w:val="16"/>
                <w:szCs w:val="16"/>
                <w:lang w:val="en-GB" w:eastAsia="ja-JP"/>
              </w:rPr>
            </w:pPr>
          </w:p>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Growth and development are inclusive and sustainable, incorporating productive capacities that create employment and livelihoods for the poor and excluded.</w:t>
            </w:r>
          </w:p>
        </w:tc>
        <w:tc>
          <w:tcPr>
            <w:tcW w:w="0" w:type="auto"/>
          </w:tcPr>
          <w:p w:rsidR="006B5982" w:rsidRPr="006B5982" w:rsidRDefault="006B5982" w:rsidP="006B5982">
            <w:pPr>
              <w:rPr>
                <w:rFonts w:ascii="Times New Roman" w:hAnsi="Times New Roman" w:cs="Times New Roman"/>
                <w:sz w:val="16"/>
                <w:szCs w:val="16"/>
                <w:lang w:val="en-GB" w:eastAsia="ja-JP"/>
              </w:rPr>
            </w:pPr>
            <w:r w:rsidRPr="006B5982">
              <w:rPr>
                <w:sz w:val="16"/>
                <w:szCs w:val="16"/>
                <w:lang w:val="en-GB" w:eastAsia="ja-JP"/>
              </w:rPr>
              <w:t>Terminal evaluation of the Institutional Capacity for Global Economic Environment &amp; Globalization Programme</w:t>
            </w:r>
            <w:r w:rsidRPr="006B5982">
              <w:rPr>
                <w:rFonts w:cs="Times New Roman"/>
                <w:sz w:val="16"/>
                <w:szCs w:val="16"/>
                <w:vertAlign w:val="superscript"/>
                <w:lang w:val="en-GB" w:eastAsia="ja-JP"/>
              </w:rPr>
              <w:footnoteReference w:id="3"/>
            </w:r>
          </w:p>
          <w:p w:rsidR="006B5982" w:rsidRPr="006B5982" w:rsidRDefault="006B5982" w:rsidP="006B5982">
            <w:pPr>
              <w:rPr>
                <w:rFonts w:ascii="Times New Roman" w:hAnsi="Times New Roman" w:cs="Times New Roman"/>
                <w:sz w:val="16"/>
                <w:szCs w:val="16"/>
                <w:lang w:val="en-GB" w:eastAsia="ja-JP"/>
              </w:rPr>
            </w:pP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Ministry of Industries and Commerce</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Decentralised project evaluation</w:t>
            </w:r>
          </w:p>
        </w:tc>
        <w:tc>
          <w:tcPr>
            <w:tcW w:w="0" w:type="auto"/>
            <w:gridSpan w:val="2"/>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 xml:space="preserve">end 2017/early </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US$ 30,000</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 xml:space="preserve">Project budget </w:t>
            </w:r>
          </w:p>
        </w:tc>
      </w:tr>
      <w:tr w:rsidR="006B5982" w:rsidRPr="006B5982" w:rsidTr="00B80FC7">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Not applicable</w:t>
            </w:r>
          </w:p>
        </w:tc>
        <w:tc>
          <w:tcPr>
            <w:tcW w:w="0" w:type="auto"/>
          </w:tcPr>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Countries have strengthened institutions to progressively deliver universal access to basic services.</w:t>
            </w:r>
          </w:p>
          <w:p w:rsidR="006B5982" w:rsidRPr="006B5982" w:rsidRDefault="006B5982" w:rsidP="006B5982">
            <w:pPr>
              <w:rPr>
                <w:rFonts w:ascii="Times New Roman" w:hAnsi="Times New Roman" w:cs="Times New Roman"/>
                <w:bCs/>
                <w:color w:val="000000"/>
                <w:sz w:val="16"/>
                <w:szCs w:val="16"/>
                <w:lang w:val="en-GB" w:eastAsia="ja-JP"/>
              </w:rPr>
            </w:pPr>
          </w:p>
          <w:p w:rsidR="006B5982" w:rsidRPr="006B5982" w:rsidRDefault="006B5982" w:rsidP="006B5982">
            <w:pPr>
              <w:rPr>
                <w:rFonts w:ascii="Times New Roman" w:hAnsi="Times New Roman" w:cs="Times New Roman"/>
                <w:bCs/>
                <w:color w:val="000000"/>
                <w:sz w:val="16"/>
                <w:szCs w:val="16"/>
                <w:lang w:val="en-GB" w:eastAsia="ja-JP"/>
              </w:rPr>
            </w:pPr>
            <w:r w:rsidRPr="006B5982">
              <w:rPr>
                <w:bCs/>
                <w:color w:val="000000"/>
                <w:sz w:val="16"/>
                <w:szCs w:val="16"/>
                <w:lang w:val="en-GB" w:eastAsia="ja-JP"/>
              </w:rPr>
              <w:t>Growth and development are inclusive and sustainable, incorporating productive capacities that create employment and livelihoods for the poor and excluded.</w:t>
            </w:r>
          </w:p>
        </w:tc>
        <w:tc>
          <w:tcPr>
            <w:tcW w:w="0" w:type="auto"/>
          </w:tcPr>
          <w:p w:rsidR="006B5982" w:rsidRPr="006B5982" w:rsidRDefault="006B5982" w:rsidP="006B5982">
            <w:pPr>
              <w:rPr>
                <w:rFonts w:ascii="Times New Roman" w:hAnsi="Times New Roman" w:cs="Times New Roman"/>
                <w:sz w:val="16"/>
                <w:szCs w:val="16"/>
                <w:lang w:val="en-GB" w:eastAsia="ja-JP"/>
              </w:rPr>
            </w:pPr>
            <w:r w:rsidRPr="006B5982">
              <w:rPr>
                <w:sz w:val="16"/>
                <w:szCs w:val="16"/>
                <w:lang w:val="en-GB" w:eastAsia="ja-JP"/>
              </w:rPr>
              <w:t>Terminal evaluation of the Gender and Economic Policy Management Initiative (GEPMI)</w:t>
            </w:r>
          </w:p>
          <w:p w:rsidR="006B5982" w:rsidRPr="006B5982" w:rsidRDefault="006B5982" w:rsidP="006B5982">
            <w:pPr>
              <w:rPr>
                <w:rFonts w:ascii="Times New Roman" w:hAnsi="Times New Roman" w:cs="Times New Roman"/>
                <w:sz w:val="16"/>
                <w:szCs w:val="16"/>
                <w:lang w:val="en-GB" w:eastAsia="ja-JP"/>
              </w:rPr>
            </w:pP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University of Bahrain</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Decentralised project evaluation</w:t>
            </w:r>
          </w:p>
        </w:tc>
        <w:tc>
          <w:tcPr>
            <w:tcW w:w="0" w:type="auto"/>
            <w:gridSpan w:val="2"/>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 xml:space="preserve">December </w:t>
            </w:r>
          </w:p>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2017</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US$ 20,000</w:t>
            </w:r>
          </w:p>
        </w:tc>
        <w:tc>
          <w:tcPr>
            <w:tcW w:w="0" w:type="auto"/>
          </w:tcPr>
          <w:p w:rsidR="006B5982" w:rsidRPr="006B5982" w:rsidRDefault="006B5982" w:rsidP="006B5982">
            <w:pPr>
              <w:rPr>
                <w:rFonts w:ascii="Times New Roman" w:hAnsi="Times New Roman" w:cs="Times New Roman"/>
                <w:color w:val="000000"/>
                <w:sz w:val="16"/>
                <w:szCs w:val="16"/>
                <w:lang w:val="en-GB" w:eastAsia="ja-JP"/>
              </w:rPr>
            </w:pPr>
            <w:r w:rsidRPr="006B5982">
              <w:rPr>
                <w:color w:val="000000"/>
                <w:sz w:val="16"/>
                <w:szCs w:val="16"/>
                <w:lang w:val="en-GB" w:eastAsia="ja-JP"/>
              </w:rPr>
              <w:t xml:space="preserve">Project budget </w:t>
            </w:r>
          </w:p>
        </w:tc>
      </w:tr>
      <w:tr w:rsidR="006B5982" w:rsidRPr="006B5982" w:rsidTr="00B80FC7">
        <w:tc>
          <w:tcPr>
            <w:tcW w:w="0" w:type="auto"/>
          </w:tcPr>
          <w:p w:rsidR="006B5982" w:rsidRPr="006B5982" w:rsidRDefault="006B5982" w:rsidP="006B5982">
            <w:pPr>
              <w:rPr>
                <w:rFonts w:ascii="Times New Roman" w:hAnsi="Times New Roman" w:cs="Times New Roman"/>
                <w:color w:val="000000"/>
                <w:sz w:val="16"/>
                <w:szCs w:val="16"/>
                <w:lang w:val="en-GB" w:eastAsia="ja-JP"/>
              </w:rPr>
            </w:pPr>
          </w:p>
          <w:p w:rsidR="006B5982" w:rsidRPr="006B5982" w:rsidRDefault="006B5982" w:rsidP="006B5982">
            <w:pPr>
              <w:rPr>
                <w:rFonts w:ascii="Times New Roman" w:hAnsi="Times New Roman" w:cs="Times New Roman"/>
                <w:color w:val="000000"/>
                <w:sz w:val="16"/>
                <w:szCs w:val="16"/>
                <w:lang w:val="en-GB" w:eastAsia="ja-JP"/>
              </w:rPr>
            </w:pPr>
          </w:p>
          <w:p w:rsidR="006B5982" w:rsidRPr="006B5982" w:rsidRDefault="006B5982" w:rsidP="006B5982">
            <w:pPr>
              <w:rPr>
                <w:rFonts w:ascii="Times New Roman" w:hAnsi="Times New Roman" w:cs="Times New Roman"/>
                <w:b/>
                <w:bCs/>
                <w:sz w:val="16"/>
                <w:szCs w:val="16"/>
                <w:lang w:val="en-GB" w:eastAsia="ja-JP"/>
              </w:rPr>
            </w:pPr>
            <w:r w:rsidRPr="006B5982">
              <w:rPr>
                <w:b/>
                <w:bCs/>
                <w:sz w:val="16"/>
                <w:szCs w:val="16"/>
                <w:lang w:val="en-GB" w:eastAsia="ja-JP"/>
              </w:rPr>
              <w:t>Monitoring activities</w:t>
            </w:r>
          </w:p>
          <w:p w:rsidR="006B5982" w:rsidRPr="006B5982" w:rsidRDefault="006B5982" w:rsidP="006B5982">
            <w:pPr>
              <w:rPr>
                <w:rFonts w:ascii="Times New Roman" w:hAnsi="Times New Roman" w:cs="Times New Roman"/>
                <w:color w:val="000000"/>
                <w:sz w:val="16"/>
                <w:szCs w:val="16"/>
                <w:lang w:val="en-GB" w:eastAsia="ja-JP"/>
              </w:rPr>
            </w:pPr>
          </w:p>
        </w:tc>
        <w:tc>
          <w:tcPr>
            <w:tcW w:w="0" w:type="auto"/>
          </w:tcPr>
          <w:p w:rsidR="006B5982" w:rsidRPr="006B5982" w:rsidRDefault="006B5982" w:rsidP="006B5982">
            <w:pPr>
              <w:rPr>
                <w:rFonts w:ascii="Times New Roman" w:hAnsi="Times New Roman" w:cs="Times New Roman"/>
                <w:bCs/>
                <w:sz w:val="16"/>
                <w:szCs w:val="16"/>
                <w:lang w:val="en-GB" w:eastAsia="ja-JP"/>
              </w:rPr>
            </w:pPr>
          </w:p>
          <w:p w:rsidR="006B5982" w:rsidRPr="006B5982" w:rsidRDefault="006B5982" w:rsidP="006B5982">
            <w:pPr>
              <w:rPr>
                <w:rFonts w:ascii="Times New Roman" w:hAnsi="Times New Roman" w:cs="Times New Roman"/>
                <w:bCs/>
                <w:sz w:val="16"/>
                <w:szCs w:val="16"/>
                <w:lang w:val="en-GB" w:eastAsia="ja-JP"/>
              </w:rPr>
            </w:pPr>
          </w:p>
          <w:p w:rsidR="006B5982" w:rsidRPr="006B5982" w:rsidRDefault="006B5982" w:rsidP="006B5982">
            <w:pPr>
              <w:rPr>
                <w:rFonts w:ascii="Times New Roman" w:hAnsi="Times New Roman" w:cs="Times New Roman"/>
                <w:bCs/>
                <w:sz w:val="16"/>
                <w:szCs w:val="16"/>
                <w:lang w:val="en-GB" w:eastAsia="ja-JP"/>
              </w:rPr>
            </w:pPr>
            <w:r w:rsidRPr="006B5982">
              <w:rPr>
                <w:sz w:val="16"/>
                <w:szCs w:val="16"/>
                <w:lang w:val="en-GB" w:eastAsia="ja-JP"/>
              </w:rPr>
              <w:t>All</w:t>
            </w:r>
          </w:p>
        </w:tc>
        <w:tc>
          <w:tcPr>
            <w:tcW w:w="0" w:type="auto"/>
            <w:gridSpan w:val="5"/>
          </w:tcPr>
          <w:p w:rsidR="006B5982" w:rsidRPr="006B5982" w:rsidRDefault="006B5982" w:rsidP="006B5982">
            <w:pPr>
              <w:spacing w:before="40" w:after="40"/>
              <w:jc w:val="mediumKashida"/>
              <w:rPr>
                <w:rFonts w:ascii="Times New Roman" w:hAnsi="Times New Roman" w:cs="Times New Roman"/>
                <w:sz w:val="16"/>
                <w:szCs w:val="16"/>
                <w:lang w:val="en-GB" w:eastAsia="ja-JP"/>
              </w:rPr>
            </w:pPr>
            <w:r w:rsidRPr="006B5982">
              <w:rPr>
                <w:sz w:val="16"/>
                <w:szCs w:val="16"/>
                <w:lang w:val="en-GB" w:eastAsia="ja-JP"/>
              </w:rPr>
              <w:t>Project monitoring is undertaken by UNDP and PSC visits to the Implementing Partners, stakeholders and their facilities. Independent monitoring may also be sought. Project Board (or Project Steering Committee) meetings are also means for monitoring.</w:t>
            </w:r>
          </w:p>
          <w:p w:rsidR="006B5982" w:rsidRPr="006B5982" w:rsidRDefault="006B5982" w:rsidP="006B5982">
            <w:pPr>
              <w:rPr>
                <w:rFonts w:ascii="Times New Roman" w:hAnsi="Times New Roman" w:cs="Times New Roman"/>
                <w:color w:val="000000"/>
                <w:sz w:val="16"/>
                <w:szCs w:val="16"/>
                <w:lang w:val="en-GB" w:eastAsia="ja-JP"/>
              </w:rPr>
            </w:pPr>
          </w:p>
          <w:p w:rsidR="006B5982" w:rsidRPr="006B5982" w:rsidRDefault="006B5982" w:rsidP="006B5982">
            <w:pPr>
              <w:rPr>
                <w:rFonts w:ascii="Times New Roman" w:hAnsi="Times New Roman" w:cs="Times New Roman"/>
                <w:sz w:val="16"/>
                <w:szCs w:val="16"/>
                <w:lang w:val="en-GB" w:eastAsia="ja-JP"/>
              </w:rPr>
            </w:pPr>
            <w:r w:rsidRPr="006B5982">
              <w:rPr>
                <w:sz w:val="16"/>
                <w:szCs w:val="16"/>
                <w:lang w:val="en-GB" w:eastAsia="ja-JP"/>
              </w:rPr>
              <w:lastRenderedPageBreak/>
              <w:t>As projects are within Manama and there are no sub-offices or activities outside Manama there are no monitoring visits planned.</w:t>
            </w:r>
          </w:p>
          <w:p w:rsidR="006B5982" w:rsidRPr="006B5982" w:rsidRDefault="006B5982" w:rsidP="006B5982">
            <w:pPr>
              <w:rPr>
                <w:rFonts w:ascii="Times New Roman" w:hAnsi="Times New Roman" w:cs="Times New Roman"/>
                <w:color w:val="000000"/>
                <w:sz w:val="16"/>
                <w:szCs w:val="16"/>
                <w:lang w:val="en-GB" w:eastAsia="ja-JP"/>
              </w:rPr>
            </w:pPr>
          </w:p>
        </w:tc>
        <w:tc>
          <w:tcPr>
            <w:tcW w:w="0" w:type="auto"/>
            <w:gridSpan w:val="3"/>
          </w:tcPr>
          <w:p w:rsidR="006B5982" w:rsidRPr="006B5982" w:rsidRDefault="006B5982" w:rsidP="006B5982">
            <w:pPr>
              <w:rPr>
                <w:rFonts w:ascii="Times New Roman" w:hAnsi="Times New Roman" w:cs="Times New Roman"/>
                <w:sz w:val="16"/>
                <w:szCs w:val="16"/>
                <w:lang w:val="en-GB" w:eastAsia="ja-JP"/>
              </w:rPr>
            </w:pPr>
          </w:p>
          <w:p w:rsidR="006B5982" w:rsidRPr="006B5982" w:rsidRDefault="006B5982" w:rsidP="006B5982">
            <w:pPr>
              <w:rPr>
                <w:rFonts w:ascii="Times New Roman" w:hAnsi="Times New Roman" w:cs="Times New Roman"/>
                <w:sz w:val="16"/>
                <w:szCs w:val="16"/>
                <w:lang w:val="en-GB" w:eastAsia="ja-JP"/>
              </w:rPr>
            </w:pPr>
          </w:p>
          <w:p w:rsidR="006B5982" w:rsidRPr="006B5982" w:rsidRDefault="006B5982" w:rsidP="006B5982">
            <w:pPr>
              <w:rPr>
                <w:rFonts w:ascii="Times New Roman" w:hAnsi="Times New Roman" w:cs="Times New Roman"/>
                <w:sz w:val="16"/>
                <w:szCs w:val="16"/>
                <w:lang w:val="en-GB" w:eastAsia="ja-JP"/>
              </w:rPr>
            </w:pPr>
            <w:r w:rsidRPr="006B5982">
              <w:rPr>
                <w:sz w:val="16"/>
                <w:szCs w:val="16"/>
                <w:lang w:val="en-GB" w:eastAsia="ja-JP"/>
              </w:rPr>
              <w:t>All monitoring activities are financed directly from the Project budgets</w:t>
            </w:r>
          </w:p>
        </w:tc>
      </w:tr>
    </w:tbl>
    <w:p w:rsidR="006B5982" w:rsidRPr="006B5982" w:rsidRDefault="006B5982" w:rsidP="006B5982">
      <w:pPr>
        <w:spacing w:after="0" w:line="240" w:lineRule="auto"/>
        <w:jc w:val="both"/>
        <w:rPr>
          <w:rFonts w:ascii="Times New Roman" w:eastAsia="Times New Roman" w:hAnsi="Times New Roman" w:cs="Times New Roman"/>
          <w:color w:val="000000"/>
          <w:sz w:val="20"/>
          <w:szCs w:val="20"/>
        </w:rPr>
      </w:pPr>
    </w:p>
    <w:p w:rsidR="0048217E" w:rsidRDefault="0048217E"/>
    <w:sectPr w:rsidR="0048217E" w:rsidSect="00D23B7F">
      <w:headerReference w:type="even" r:id="rId6"/>
      <w:pgSz w:w="15840" w:h="12240" w:orient="landscape"/>
      <w:pgMar w:top="1440" w:right="1152" w:bottom="1440" w:left="1152"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41C" w:rsidRDefault="0095741C" w:rsidP="006B5982">
      <w:pPr>
        <w:spacing w:after="0" w:line="240" w:lineRule="auto"/>
      </w:pPr>
      <w:r>
        <w:separator/>
      </w:r>
    </w:p>
  </w:endnote>
  <w:endnote w:type="continuationSeparator" w:id="0">
    <w:p w:rsidR="0095741C" w:rsidRDefault="0095741C" w:rsidP="006B59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41C" w:rsidRDefault="0095741C" w:rsidP="006B5982">
      <w:pPr>
        <w:spacing w:after="0" w:line="240" w:lineRule="auto"/>
      </w:pPr>
      <w:r>
        <w:separator/>
      </w:r>
    </w:p>
  </w:footnote>
  <w:footnote w:type="continuationSeparator" w:id="0">
    <w:p w:rsidR="0095741C" w:rsidRDefault="0095741C" w:rsidP="006B5982">
      <w:pPr>
        <w:spacing w:after="0" w:line="240" w:lineRule="auto"/>
      </w:pPr>
      <w:r>
        <w:continuationSeparator/>
      </w:r>
    </w:p>
  </w:footnote>
  <w:footnote w:id="1">
    <w:p w:rsidR="006B5982" w:rsidRPr="00DE2F8F" w:rsidRDefault="006B5982" w:rsidP="006B5982">
      <w:pPr>
        <w:pStyle w:val="FootnoteText"/>
        <w:rPr>
          <w:lang w:val="en-GB"/>
        </w:rPr>
      </w:pPr>
      <w:r>
        <w:rPr>
          <w:rStyle w:val="FootnoteReference"/>
        </w:rPr>
        <w:footnoteRef/>
      </w:r>
      <w:r>
        <w:t xml:space="preserve"> </w:t>
      </w:r>
      <w:r w:rsidRPr="00DE2F8F">
        <w:rPr>
          <w:rFonts w:asciiTheme="majorBidi" w:hAnsiTheme="majorBidi" w:cstheme="majorBidi"/>
          <w:sz w:val="16"/>
          <w:szCs w:val="16"/>
          <w:lang w:val="en-GB"/>
        </w:rPr>
        <w:t>The UN and MOFA are developing a Strategic Cooperation Framework</w:t>
      </w:r>
    </w:p>
  </w:footnote>
  <w:footnote w:id="2">
    <w:p w:rsidR="006B5982" w:rsidRPr="00740AA8" w:rsidRDefault="006B5982" w:rsidP="006B5982">
      <w:pPr>
        <w:pStyle w:val="FootnoteText"/>
        <w:rPr>
          <w:rFonts w:asciiTheme="majorBidi" w:hAnsiTheme="majorBidi" w:cstheme="majorBidi"/>
          <w:sz w:val="16"/>
          <w:szCs w:val="16"/>
          <w:lang w:val="en-GB"/>
        </w:rPr>
      </w:pPr>
      <w:r>
        <w:rPr>
          <w:rStyle w:val="FootnoteReference"/>
        </w:rPr>
        <w:footnoteRef/>
      </w:r>
      <w:r>
        <w:t xml:space="preserve"> </w:t>
      </w:r>
      <w:r w:rsidRPr="00740AA8">
        <w:rPr>
          <w:rFonts w:asciiTheme="majorBidi" w:hAnsiTheme="majorBidi" w:cstheme="majorBidi"/>
          <w:sz w:val="16"/>
          <w:szCs w:val="16"/>
          <w:lang w:val="en-GB"/>
        </w:rPr>
        <w:t xml:space="preserve">This will </w:t>
      </w:r>
      <w:r>
        <w:rPr>
          <w:rFonts w:asciiTheme="majorBidi" w:hAnsiTheme="majorBidi" w:cstheme="majorBidi"/>
          <w:sz w:val="16"/>
          <w:szCs w:val="16"/>
          <w:lang w:val="en-GB"/>
        </w:rPr>
        <w:t>include a study on the e</w:t>
      </w:r>
      <w:r w:rsidRPr="00740AA8">
        <w:rPr>
          <w:rFonts w:asciiTheme="majorBidi" w:hAnsiTheme="majorBidi" w:cstheme="majorBidi"/>
          <w:sz w:val="16"/>
          <w:szCs w:val="16"/>
          <w:lang w:val="en-GB"/>
        </w:rPr>
        <w:t xml:space="preserve">xtent to which </w:t>
      </w:r>
      <w:r>
        <w:rPr>
          <w:rFonts w:asciiTheme="majorBidi" w:hAnsiTheme="majorBidi" w:cstheme="majorBidi"/>
          <w:sz w:val="16"/>
          <w:szCs w:val="16"/>
          <w:lang w:val="en-GB"/>
        </w:rPr>
        <w:t>n</w:t>
      </w:r>
      <w:r w:rsidRPr="00740AA8">
        <w:rPr>
          <w:rFonts w:asciiTheme="majorBidi" w:hAnsiTheme="majorBidi" w:cstheme="majorBidi"/>
          <w:sz w:val="16"/>
          <w:szCs w:val="16"/>
          <w:lang w:val="en-GB"/>
        </w:rPr>
        <w:t xml:space="preserve">ational policies and strategies reviewed that include sex disaggregated data and reference gender considerations integrate gender considerations  </w:t>
      </w:r>
    </w:p>
    <w:p w:rsidR="006B5982" w:rsidRPr="00740AA8" w:rsidRDefault="006B5982" w:rsidP="006B5982">
      <w:pPr>
        <w:pStyle w:val="FootnoteText"/>
        <w:rPr>
          <w:rFonts w:asciiTheme="majorBidi" w:hAnsiTheme="majorBidi" w:cstheme="majorBidi"/>
          <w:sz w:val="16"/>
          <w:szCs w:val="16"/>
          <w:lang w:val="en-GB"/>
        </w:rPr>
      </w:pPr>
    </w:p>
  </w:footnote>
  <w:footnote w:id="3">
    <w:p w:rsidR="006B5982" w:rsidRDefault="006B5982" w:rsidP="006B5982">
      <w:pPr>
        <w:pStyle w:val="FootnoteText"/>
      </w:pPr>
      <w:r>
        <w:rPr>
          <w:rStyle w:val="FootnoteReference"/>
        </w:rPr>
        <w:footnoteRef/>
      </w:r>
      <w:r>
        <w:t xml:space="preserve"> </w:t>
      </w:r>
      <w:r w:rsidRPr="00740AA8">
        <w:rPr>
          <w:rFonts w:asciiTheme="majorBidi" w:hAnsiTheme="majorBidi" w:cstheme="majorBidi"/>
          <w:sz w:val="16"/>
          <w:szCs w:val="16"/>
          <w:lang w:val="en-GB"/>
        </w:rPr>
        <w:t xml:space="preserve">This includes </w:t>
      </w:r>
      <w:r>
        <w:rPr>
          <w:rFonts w:asciiTheme="majorBidi" w:hAnsiTheme="majorBidi" w:cstheme="majorBidi"/>
          <w:sz w:val="16"/>
          <w:szCs w:val="16"/>
          <w:lang w:val="en-GB"/>
        </w:rPr>
        <w:t xml:space="preserve">a </w:t>
      </w:r>
      <w:r w:rsidRPr="00740AA8">
        <w:rPr>
          <w:rFonts w:asciiTheme="majorBidi" w:hAnsiTheme="majorBidi" w:cstheme="majorBidi"/>
          <w:sz w:val="16"/>
          <w:szCs w:val="16"/>
          <w:lang w:val="en-GB"/>
        </w:rPr>
        <w:t xml:space="preserve"> study on utilization of the FTA market access toolkit will be also conducted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14A" w:rsidRDefault="0010724D">
    <w:pPr>
      <w:pStyle w:val="Header"/>
    </w:pPr>
    <w:r>
      <w:rPr>
        <w:noProof/>
      </w:rPr>
      <mc:AlternateContent>
        <mc:Choice Requires="wps">
          <w:drawing>
            <wp:anchor distT="0" distB="0" distL="114300" distR="114300" simplePos="0" relativeHeight="251659264" behindDoc="0" locked="0" layoutInCell="0" allowOverlap="1" wp14:anchorId="284B04C0" wp14:editId="61020128">
              <wp:simplePos x="0" y="0"/>
              <wp:positionH relativeFrom="column">
                <wp:posOffset>-73025</wp:posOffset>
              </wp:positionH>
              <wp:positionV relativeFrom="paragraph">
                <wp:posOffset>-302895</wp:posOffset>
              </wp:positionV>
              <wp:extent cx="8464550" cy="640080"/>
              <wp:effectExtent l="3175"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455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7D214A" w:rsidRPr="005841A3">
                            <w:trPr>
                              <w:trHeight w:hRule="exact" w:val="864"/>
                            </w:trPr>
                            <w:tc>
                              <w:tcPr>
                                <w:tcW w:w="4838" w:type="dxa"/>
                                <w:tcBorders>
                                  <w:bottom w:val="single" w:sz="4" w:space="0" w:color="auto"/>
                                </w:tcBorders>
                                <w:vAlign w:val="bottom"/>
                              </w:tcPr>
                              <w:p w:rsidR="007D214A" w:rsidRPr="007C6F85" w:rsidRDefault="0010724D" w:rsidP="005841A3">
                                <w:pPr>
                                  <w:pStyle w:val="Header"/>
                                  <w:spacing w:after="80"/>
                                  <w:rPr>
                                    <w:rFonts w:ascii="Times New Roman" w:hAnsi="Times New Roman"/>
                                    <w:b/>
                                    <w:sz w:val="17"/>
                                    <w:szCs w:val="17"/>
                                  </w:rPr>
                                </w:pPr>
                                <w:r w:rsidRPr="007C6F85">
                                  <w:rPr>
                                    <w:rFonts w:ascii="Times New Roman" w:hAnsi="Times New Roman"/>
                                    <w:b/>
                                    <w:sz w:val="17"/>
                                    <w:szCs w:val="17"/>
                                  </w:rPr>
                                  <w:t>DP/DCP/</w:t>
                                </w:r>
                              </w:p>
                            </w:tc>
                            <w:tc>
                              <w:tcPr>
                                <w:tcW w:w="8276" w:type="dxa"/>
                                <w:tcBorders>
                                  <w:bottom w:val="single" w:sz="4" w:space="0" w:color="auto"/>
                                </w:tcBorders>
                                <w:vAlign w:val="bottom"/>
                              </w:tcPr>
                              <w:p w:rsidR="007D214A" w:rsidRPr="007C6F85" w:rsidRDefault="0095741C">
                                <w:pPr>
                                  <w:pStyle w:val="Header"/>
                                  <w:rPr>
                                    <w:rFonts w:ascii="Times New Roman" w:hAnsi="Times New Roman"/>
                                    <w:sz w:val="17"/>
                                    <w:szCs w:val="17"/>
                                  </w:rPr>
                                </w:pPr>
                              </w:p>
                            </w:tc>
                          </w:tr>
                        </w:tbl>
                        <w:p w:rsidR="007D214A" w:rsidRDefault="0095741C"/>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84B04C0" id="_x0000_t202" coordsize="21600,21600" o:spt="202" path="m,l,21600r21600,l21600,xe">
              <v:stroke joinstyle="miter"/>
              <v:path gradientshapeok="t" o:connecttype="rect"/>
            </v:shapetype>
            <v:shape id="Text Box 2" o:spid="_x0000_s1026" type="#_x0000_t202" style="position:absolute;margin-left:-5.75pt;margin-top:-23.85pt;width:666.5pt;height:5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" o:allowincell="f" stroked="f">
              <v:textbox inset="0,0,0,0">
                <w:txbxContent>
                  <w:tbl>
                    <w:tblPr>
                      <w:tblW w:w="13114" w:type="dxa"/>
                      <w:tblBorders>
                        <w:bottom w:val="single" w:sz="4" w:space="0" w:color="auto"/>
                      </w:tblBorders>
                      <w:tblLayout w:type="fixed"/>
                      <w:tblCellMar>
                        <w:left w:w="0" w:type="dxa"/>
                        <w:right w:w="0" w:type="dxa"/>
                      </w:tblCellMar>
                      <w:tblLook w:val="0000" w:firstRow="0" w:lastRow="0" w:firstColumn="0" w:lastColumn="0" w:noHBand="0" w:noVBand="0"/>
                    </w:tblPr>
                    <w:tblGrid>
                      <w:gridCol w:w="4838"/>
                      <w:gridCol w:w="8276"/>
                    </w:tblGrid>
                    <w:tr w:rsidR="007D214A" w:rsidRPr="005841A3">
                      <w:trPr>
                        <w:trHeight w:hRule="exact" w:val="864"/>
                      </w:trPr>
                      <w:tc>
                        <w:tcPr>
                          <w:tcW w:w="4838" w:type="dxa"/>
                          <w:tcBorders>
                            <w:bottom w:val="single" w:sz="4" w:space="0" w:color="auto"/>
                          </w:tcBorders>
                          <w:vAlign w:val="bottom"/>
                        </w:tcPr>
                        <w:p w:rsidR="007D214A" w:rsidRPr="007C6F85" w:rsidRDefault="0010724D" w:rsidP="005841A3">
                          <w:pPr>
                            <w:pStyle w:val="Header"/>
                            <w:spacing w:after="80"/>
                            <w:rPr>
                              <w:rFonts w:ascii="Times New Roman" w:hAnsi="Times New Roman"/>
                              <w:b/>
                              <w:sz w:val="17"/>
                              <w:szCs w:val="17"/>
                            </w:rPr>
                          </w:pPr>
                          <w:r w:rsidRPr="007C6F85">
                            <w:rPr>
                              <w:rFonts w:ascii="Times New Roman" w:hAnsi="Times New Roman"/>
                              <w:b/>
                              <w:sz w:val="17"/>
                              <w:szCs w:val="17"/>
                            </w:rPr>
                            <w:t>DP/DCP/</w:t>
                          </w:r>
                        </w:p>
                      </w:tc>
                      <w:tc>
                        <w:tcPr>
                          <w:tcW w:w="8276" w:type="dxa"/>
                          <w:tcBorders>
                            <w:bottom w:val="single" w:sz="4" w:space="0" w:color="auto"/>
                          </w:tcBorders>
                          <w:vAlign w:val="bottom"/>
                        </w:tcPr>
                        <w:p w:rsidR="007D214A" w:rsidRPr="007C6F85" w:rsidRDefault="0095741C">
                          <w:pPr>
                            <w:pStyle w:val="Header"/>
                            <w:rPr>
                              <w:rFonts w:ascii="Times New Roman" w:hAnsi="Times New Roman"/>
                              <w:sz w:val="17"/>
                              <w:szCs w:val="17"/>
                            </w:rPr>
                          </w:pPr>
                        </w:p>
                      </w:tc>
                    </w:tr>
                  </w:tbl>
                  <w:p w:rsidR="007D214A" w:rsidRDefault="0095741C"/>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982"/>
    <w:rsid w:val="0010724D"/>
    <w:rsid w:val="0048217E"/>
    <w:rsid w:val="006625BB"/>
    <w:rsid w:val="006B5982"/>
    <w:rsid w:val="0095741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A3287E-BCCF-47F0-91A2-4F021CD0B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59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5982"/>
    <w:rPr>
      <w:lang w:val="en-US"/>
    </w:rPr>
  </w:style>
  <w:style w:type="paragraph" w:styleId="FootnoteText">
    <w:name w:val="footnote text"/>
    <w:basedOn w:val="Normal"/>
    <w:link w:val="FootnoteTextChar"/>
    <w:uiPriority w:val="99"/>
    <w:semiHidden/>
    <w:unhideWhenUsed/>
    <w:rsid w:val="006B59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982"/>
    <w:rPr>
      <w:sz w:val="20"/>
      <w:szCs w:val="20"/>
      <w:lang w:val="en-US"/>
    </w:rPr>
  </w:style>
  <w:style w:type="character" w:styleId="FootnoteReference">
    <w:name w:val="footnote reference"/>
    <w:aliases w:val="ftref,Footnotes refss,Footnote Reference1,Error-Fußnotenzeichen5,Error-Fußnotenzeichen6,Error-Fußnotenzeichen3,BVI fnr Char Char Char Char Char Char,BVI fnr Car Car Char Char Char Char Char Cha"/>
    <w:uiPriority w:val="99"/>
    <w:rsid w:val="006B5982"/>
    <w:rPr>
      <w:rFonts w:cs="Times New Roman"/>
      <w:vertAlign w:val="superscript"/>
    </w:rPr>
  </w:style>
  <w:style w:type="table" w:customStyle="1" w:styleId="TableGrid11">
    <w:name w:val="Table Grid11"/>
    <w:basedOn w:val="TableNormal"/>
    <w:next w:val="TableGrid"/>
    <w:uiPriority w:val="39"/>
    <w:rsid w:val="006B5982"/>
    <w:pPr>
      <w:spacing w:after="0" w:line="240" w:lineRule="auto"/>
    </w:pPr>
    <w:rPr>
      <w:rFonts w:ascii="Cambria" w:eastAsia="Calibri" w:hAnsi="Cambria" w:cs="Arial"/>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rsid w:val="006B59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571</Words>
  <Characters>3563</Characters>
  <Application>Microsoft Office Word</Application>
  <DocSecurity>0</DocSecurity>
  <Lines>91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 Sharkawi</dc:creator>
  <cp:lastModifiedBy>Svetlana Iazykova</cp:lastModifiedBy>
  <cp:revision>2</cp:revision>
  <dcterms:created xsi:type="dcterms:W3CDTF">2016-06-07T20:06:00Z</dcterms:created>
  <dcterms:modified xsi:type="dcterms:W3CDTF">2016-06-07T20:06:00Z</dcterms:modified>
</cp:coreProperties>
</file>