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52741" w14:textId="77777777" w:rsidR="00025617" w:rsidRPr="000708D6" w:rsidRDefault="00025617" w:rsidP="00025617">
      <w:pPr>
        <w:pStyle w:val="Header"/>
        <w:rPr>
          <w:sz w:val="2"/>
          <w:lang w:val="en-GB"/>
        </w:rPr>
      </w:pPr>
    </w:p>
    <w:p w14:paraId="516FD57C" w14:textId="77777777" w:rsidR="00025617" w:rsidRPr="000708D6" w:rsidRDefault="00025617" w:rsidP="002655B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lang w:val="en-GB"/>
        </w:rPr>
        <w:sectPr w:rsidR="00025617" w:rsidRPr="000708D6" w:rsidSect="00866161">
          <w:headerReference w:type="even" r:id="rId12"/>
          <w:headerReference w:type="default" r:id="rId13"/>
          <w:footerReference w:type="even" r:id="rId14"/>
          <w:footerReference w:type="default" r:id="rId15"/>
          <w:headerReference w:type="first" r:id="rId16"/>
          <w:pgSz w:w="12240" w:h="15840"/>
          <w:pgMar w:top="1152" w:right="1440" w:bottom="1152" w:left="1440" w:header="720" w:footer="720" w:gutter="0"/>
          <w:cols w:space="720"/>
          <w:titlePg/>
          <w:docGrid w:linePitch="272"/>
        </w:sectPr>
      </w:pPr>
    </w:p>
    <w:p w14:paraId="4A5DCCF7" w14:textId="77777777" w:rsidR="004170DA" w:rsidRPr="005C7E82" w:rsidRDefault="004170DA" w:rsidP="004170D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lang w:val="en-GB"/>
        </w:rPr>
      </w:pPr>
      <w:r w:rsidRPr="005C7E82">
        <w:rPr>
          <w:b/>
          <w:color w:val="000000"/>
          <w:lang w:val="en-GB"/>
        </w:rPr>
        <w:t>Second regular session 2016</w:t>
      </w:r>
    </w:p>
    <w:p w14:paraId="0B8CEE2F" w14:textId="77777777" w:rsidR="004170DA" w:rsidRPr="00414E3E" w:rsidRDefault="004170DA" w:rsidP="004170D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414E3E">
        <w:rPr>
          <w:color w:val="000000"/>
          <w:lang w:val="en-GB"/>
        </w:rPr>
        <w:t>6-9 and 13 September 2016, New York</w:t>
      </w:r>
    </w:p>
    <w:p w14:paraId="389A3B5F" w14:textId="77777777" w:rsidR="004170DA" w:rsidRPr="002807FF" w:rsidRDefault="004170DA" w:rsidP="004170D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2807FF">
        <w:rPr>
          <w:color w:val="000000"/>
          <w:lang w:val="en-GB"/>
        </w:rPr>
        <w:t>Item x of the provisional agenda</w:t>
      </w:r>
    </w:p>
    <w:p w14:paraId="0FE46B21" w14:textId="77777777" w:rsidR="004170DA" w:rsidRPr="005C7E82" w:rsidRDefault="004170DA" w:rsidP="004170DA">
      <w:pPr>
        <w:ind w:right="1260"/>
        <w:rPr>
          <w:b/>
          <w:color w:val="000000"/>
          <w:lang w:val="en-GB"/>
        </w:rPr>
      </w:pPr>
      <w:r w:rsidRPr="005C7E82">
        <w:rPr>
          <w:b/>
          <w:color w:val="000000"/>
          <w:lang w:val="en-GB"/>
        </w:rPr>
        <w:t>Country programmes and related matters</w:t>
      </w:r>
    </w:p>
    <w:p w14:paraId="48EE8CA2" w14:textId="77777777" w:rsidR="004170DA" w:rsidRPr="005C7E82" w:rsidRDefault="004170DA" w:rsidP="004170D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0295ECCF" w14:textId="77777777" w:rsidR="004170DA" w:rsidRPr="005C7E82" w:rsidRDefault="004170DA" w:rsidP="004170D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4CAA7F64" w14:textId="77777777" w:rsidR="004170DA" w:rsidRPr="005C7E82" w:rsidRDefault="004170DA" w:rsidP="004170D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43E5F007" w14:textId="77777777" w:rsidR="004170DA" w:rsidRPr="005C7E82" w:rsidRDefault="004170DA" w:rsidP="004170D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1267"/>
        <w:outlineLvl w:val="0"/>
        <w:rPr>
          <w:rFonts w:asciiTheme="minorHAnsi" w:hAnsiTheme="minorHAnsi"/>
          <w:b/>
          <w:color w:val="000000"/>
          <w:spacing w:val="-2"/>
          <w:w w:val="103"/>
          <w:kern w:val="14"/>
          <w:sz w:val="28"/>
          <w:lang w:val="en-GB"/>
        </w:rPr>
      </w:pPr>
    </w:p>
    <w:p w14:paraId="67361F12" w14:textId="22A19586" w:rsidR="004170DA" w:rsidRPr="005C7E82" w:rsidRDefault="004170DA" w:rsidP="000708D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right="-320"/>
        <w:outlineLvl w:val="0"/>
        <w:rPr>
          <w:b/>
          <w:color w:val="000000"/>
          <w:spacing w:val="-2"/>
          <w:w w:val="103"/>
          <w:kern w:val="14"/>
          <w:sz w:val="32"/>
          <w:szCs w:val="32"/>
          <w:lang w:val="en-GB"/>
        </w:rPr>
      </w:pPr>
      <w:r w:rsidRPr="005C7E82">
        <w:rPr>
          <w:b/>
          <w:color w:val="000000"/>
          <w:spacing w:val="-2"/>
          <w:w w:val="103"/>
          <w:kern w:val="14"/>
          <w:sz w:val="32"/>
          <w:szCs w:val="32"/>
          <w:lang w:val="en-GB"/>
        </w:rPr>
        <w:t>Draft country programme document for Trinidad and Tobago</w:t>
      </w:r>
      <w:r w:rsidR="001B0F48">
        <w:rPr>
          <w:b/>
          <w:color w:val="000000"/>
          <w:spacing w:val="-2"/>
          <w:w w:val="103"/>
          <w:kern w:val="14"/>
          <w:sz w:val="32"/>
          <w:szCs w:val="32"/>
          <w:lang w:val="en-GB"/>
        </w:rPr>
        <w:br/>
        <w:t>(</w:t>
      </w:r>
      <w:r w:rsidRPr="005C7E82">
        <w:rPr>
          <w:b/>
          <w:color w:val="000000"/>
          <w:spacing w:val="-2"/>
          <w:w w:val="103"/>
          <w:kern w:val="14"/>
          <w:sz w:val="32"/>
          <w:szCs w:val="32"/>
          <w:lang w:val="en-GB"/>
        </w:rPr>
        <w:t>2017-2021</w:t>
      </w:r>
      <w:r w:rsidR="001B0F48">
        <w:rPr>
          <w:b/>
          <w:color w:val="000000"/>
          <w:spacing w:val="-2"/>
          <w:w w:val="103"/>
          <w:kern w:val="14"/>
          <w:sz w:val="32"/>
          <w:szCs w:val="32"/>
          <w:lang w:val="en-GB"/>
        </w:rPr>
        <w:t>)</w:t>
      </w:r>
    </w:p>
    <w:p w14:paraId="2252F046" w14:textId="77777777" w:rsidR="004170DA" w:rsidRPr="005C7E82" w:rsidRDefault="004170DA" w:rsidP="004170DA">
      <w:pPr>
        <w:rPr>
          <w:lang w:val="en-GB"/>
        </w:rPr>
      </w:pPr>
    </w:p>
    <w:p w14:paraId="62D87522" w14:textId="77777777" w:rsidR="004170DA" w:rsidRPr="005C7E82" w:rsidRDefault="004170DA" w:rsidP="004170DA">
      <w:pPr>
        <w:tabs>
          <w:tab w:val="left" w:pos="1620"/>
        </w:tabs>
        <w:rPr>
          <w:lang w:val="en-GB"/>
        </w:rPr>
      </w:pPr>
    </w:p>
    <w:p w14:paraId="25129309" w14:textId="77777777" w:rsidR="004170DA" w:rsidRPr="005C7E82" w:rsidRDefault="004170DA" w:rsidP="004170DA">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firstLine="450"/>
        <w:outlineLvl w:val="0"/>
        <w:rPr>
          <w:spacing w:val="-2"/>
          <w:w w:val="103"/>
          <w:kern w:val="14"/>
          <w:sz w:val="24"/>
          <w:szCs w:val="24"/>
          <w:lang w:val="en-GB"/>
        </w:rPr>
      </w:pPr>
      <w:r w:rsidRPr="005C7E82">
        <w:rPr>
          <w:spacing w:val="-2"/>
          <w:w w:val="103"/>
          <w:kern w:val="14"/>
          <w:sz w:val="24"/>
          <w:szCs w:val="24"/>
          <w:lang w:val="en-GB"/>
        </w:rPr>
        <w:t>Contents</w:t>
      </w:r>
    </w:p>
    <w:tbl>
      <w:tblPr>
        <w:tblW w:w="9902" w:type="dxa"/>
        <w:tblLayout w:type="fixed"/>
        <w:tblCellMar>
          <w:left w:w="0" w:type="dxa"/>
          <w:right w:w="0" w:type="dxa"/>
        </w:tblCellMar>
        <w:tblLook w:val="0000" w:firstRow="0" w:lastRow="0" w:firstColumn="0" w:lastColumn="0" w:noHBand="0" w:noVBand="0"/>
      </w:tblPr>
      <w:tblGrid>
        <w:gridCol w:w="720"/>
        <w:gridCol w:w="8640"/>
        <w:gridCol w:w="9"/>
        <w:gridCol w:w="533"/>
      </w:tblGrid>
      <w:tr w:rsidR="004170DA" w:rsidRPr="005C7E82" w14:paraId="68629C86" w14:textId="77777777" w:rsidTr="00CF1355">
        <w:tc>
          <w:tcPr>
            <w:tcW w:w="720" w:type="dxa"/>
            <w:shd w:val="clear" w:color="auto" w:fill="auto"/>
          </w:tcPr>
          <w:p w14:paraId="549F9982" w14:textId="77777777" w:rsidR="004170DA" w:rsidRPr="005C7E82" w:rsidRDefault="004170DA" w:rsidP="00CF1355">
            <w:pPr>
              <w:tabs>
                <w:tab w:val="left" w:pos="1620"/>
              </w:tabs>
              <w:suppressAutoHyphens/>
              <w:spacing w:after="120"/>
              <w:jc w:val="right"/>
              <w:rPr>
                <w:i/>
                <w:spacing w:val="4"/>
                <w:w w:val="103"/>
                <w:kern w:val="14"/>
                <w:sz w:val="14"/>
                <w:lang w:val="en-GB"/>
              </w:rPr>
            </w:pPr>
          </w:p>
        </w:tc>
        <w:tc>
          <w:tcPr>
            <w:tcW w:w="8640" w:type="dxa"/>
            <w:shd w:val="clear" w:color="auto" w:fill="auto"/>
          </w:tcPr>
          <w:p w14:paraId="09D0F6E2" w14:textId="77777777" w:rsidR="004170DA" w:rsidRPr="005C7E82" w:rsidRDefault="004170DA" w:rsidP="00CF1355">
            <w:pPr>
              <w:tabs>
                <w:tab w:val="left" w:pos="1620"/>
              </w:tabs>
              <w:suppressAutoHyphens/>
              <w:spacing w:after="120"/>
              <w:rPr>
                <w:i/>
                <w:spacing w:val="4"/>
                <w:w w:val="103"/>
                <w:kern w:val="14"/>
                <w:sz w:val="14"/>
                <w:lang w:val="en-GB"/>
              </w:rPr>
            </w:pPr>
            <w:r w:rsidRPr="005C7E82">
              <w:rPr>
                <w:i/>
                <w:spacing w:val="4"/>
                <w:w w:val="103"/>
                <w:kern w:val="14"/>
                <w:sz w:val="14"/>
                <w:lang w:val="en-GB"/>
              </w:rPr>
              <w:t>Chapter</w:t>
            </w:r>
          </w:p>
        </w:tc>
        <w:tc>
          <w:tcPr>
            <w:tcW w:w="542" w:type="dxa"/>
            <w:gridSpan w:val="2"/>
            <w:shd w:val="clear" w:color="auto" w:fill="auto"/>
          </w:tcPr>
          <w:p w14:paraId="309BE9BC" w14:textId="77777777" w:rsidR="004170DA" w:rsidRPr="005C7E82" w:rsidRDefault="004170DA" w:rsidP="00CF1355">
            <w:pPr>
              <w:tabs>
                <w:tab w:val="left" w:pos="1620"/>
              </w:tabs>
              <w:suppressAutoHyphens/>
              <w:spacing w:after="120"/>
              <w:jc w:val="right"/>
              <w:rPr>
                <w:i/>
                <w:spacing w:val="4"/>
                <w:w w:val="103"/>
                <w:kern w:val="14"/>
                <w:sz w:val="14"/>
                <w:lang w:val="en-GB"/>
              </w:rPr>
            </w:pPr>
            <w:r w:rsidRPr="005C7E82">
              <w:rPr>
                <w:i/>
                <w:spacing w:val="4"/>
                <w:w w:val="103"/>
                <w:kern w:val="14"/>
                <w:sz w:val="14"/>
                <w:lang w:val="en-GB"/>
              </w:rPr>
              <w:t>Page</w:t>
            </w:r>
          </w:p>
        </w:tc>
      </w:tr>
      <w:tr w:rsidR="004170DA" w:rsidRPr="005C7E82" w14:paraId="3D190E52" w14:textId="77777777" w:rsidTr="00CF1355">
        <w:tc>
          <w:tcPr>
            <w:tcW w:w="9360" w:type="dxa"/>
            <w:gridSpan w:val="2"/>
            <w:shd w:val="clear" w:color="auto" w:fill="auto"/>
          </w:tcPr>
          <w:p w14:paraId="2A1BA89B" w14:textId="77777777" w:rsidR="004170DA" w:rsidRPr="002807FF" w:rsidRDefault="004170DA" w:rsidP="004170DA">
            <w:pPr>
              <w:numPr>
                <w:ilvl w:val="0"/>
                <w:numId w:val="39"/>
              </w:numPr>
              <w:tabs>
                <w:tab w:val="right" w:pos="1080"/>
                <w:tab w:val="left" w:pos="1296"/>
                <w:tab w:val="left" w:pos="1620"/>
                <w:tab w:val="left" w:pos="2160"/>
                <w:tab w:val="left" w:pos="2592"/>
                <w:tab w:val="right" w:leader="dot" w:pos="8381"/>
              </w:tabs>
              <w:suppressAutoHyphens/>
              <w:spacing w:after="120" w:line="240" w:lineRule="exact"/>
              <w:jc w:val="both"/>
              <w:rPr>
                <w:spacing w:val="4"/>
                <w:w w:val="103"/>
                <w:kern w:val="14"/>
                <w:lang w:val="en-GB"/>
              </w:rPr>
            </w:pPr>
            <w:r w:rsidRPr="005C7E82">
              <w:rPr>
                <w:spacing w:val="4"/>
                <w:w w:val="103"/>
                <w:kern w:val="14"/>
                <w:lang w:val="en-GB"/>
              </w:rPr>
              <w:tab/>
              <w:t>Programme rationale</w:t>
            </w:r>
            <w:r w:rsidRPr="00414E3E">
              <w:rPr>
                <w:spacing w:val="60"/>
                <w:w w:val="103"/>
                <w:kern w:val="14"/>
                <w:sz w:val="17"/>
                <w:lang w:val="en-GB"/>
              </w:rPr>
              <w:tab/>
            </w:r>
          </w:p>
        </w:tc>
        <w:tc>
          <w:tcPr>
            <w:tcW w:w="542" w:type="dxa"/>
            <w:gridSpan w:val="2"/>
            <w:vMerge w:val="restart"/>
            <w:shd w:val="clear" w:color="auto" w:fill="auto"/>
            <w:vAlign w:val="bottom"/>
          </w:tcPr>
          <w:p w14:paraId="022019AE" w14:textId="77777777" w:rsidR="004170DA" w:rsidRPr="005C7E82" w:rsidRDefault="004170DA" w:rsidP="00CF1355">
            <w:pPr>
              <w:tabs>
                <w:tab w:val="left" w:pos="1620"/>
              </w:tabs>
              <w:suppressAutoHyphens/>
              <w:spacing w:after="120" w:line="240" w:lineRule="exact"/>
              <w:jc w:val="right"/>
              <w:rPr>
                <w:spacing w:val="4"/>
                <w:w w:val="103"/>
                <w:kern w:val="14"/>
                <w:lang w:val="en-GB"/>
              </w:rPr>
            </w:pPr>
            <w:r w:rsidRPr="005C7E82">
              <w:rPr>
                <w:spacing w:val="4"/>
                <w:w w:val="103"/>
                <w:kern w:val="14"/>
                <w:lang w:val="en-GB"/>
              </w:rPr>
              <w:t>2</w:t>
            </w:r>
          </w:p>
          <w:p w14:paraId="2485D3BF" w14:textId="32533BE8" w:rsidR="004170DA" w:rsidRPr="005C7E82" w:rsidRDefault="00221433" w:rsidP="00CF1355">
            <w:pPr>
              <w:tabs>
                <w:tab w:val="left" w:pos="1620"/>
              </w:tabs>
              <w:suppressAutoHyphens/>
              <w:spacing w:after="120" w:line="240" w:lineRule="exact"/>
              <w:jc w:val="right"/>
              <w:rPr>
                <w:spacing w:val="4"/>
                <w:w w:val="103"/>
                <w:kern w:val="14"/>
                <w:lang w:val="en-GB"/>
              </w:rPr>
            </w:pPr>
            <w:r w:rsidRPr="005C7E82">
              <w:rPr>
                <w:spacing w:val="4"/>
                <w:w w:val="103"/>
                <w:kern w:val="14"/>
                <w:lang w:val="en-GB"/>
              </w:rPr>
              <w:t>3</w:t>
            </w:r>
          </w:p>
        </w:tc>
      </w:tr>
      <w:tr w:rsidR="004170DA" w:rsidRPr="005C7E82" w14:paraId="1AD848B5" w14:textId="77777777" w:rsidTr="00CF1355">
        <w:tc>
          <w:tcPr>
            <w:tcW w:w="9360" w:type="dxa"/>
            <w:gridSpan w:val="2"/>
            <w:shd w:val="clear" w:color="auto" w:fill="auto"/>
          </w:tcPr>
          <w:p w14:paraId="054738A8" w14:textId="77777777" w:rsidR="004170DA" w:rsidRPr="00414E3E" w:rsidRDefault="004170DA" w:rsidP="004170DA">
            <w:pPr>
              <w:numPr>
                <w:ilvl w:val="0"/>
                <w:numId w:val="39"/>
              </w:numPr>
              <w:tabs>
                <w:tab w:val="right" w:pos="1080"/>
                <w:tab w:val="left" w:pos="1296"/>
                <w:tab w:val="left" w:pos="1620"/>
                <w:tab w:val="left" w:pos="2160"/>
                <w:tab w:val="left" w:pos="2592"/>
                <w:tab w:val="left" w:pos="3024"/>
                <w:tab w:val="left" w:pos="3456"/>
                <w:tab w:val="left" w:pos="3888"/>
                <w:tab w:val="left" w:pos="4320"/>
                <w:tab w:val="right" w:leader="dot" w:pos="8381"/>
              </w:tabs>
              <w:suppressAutoHyphens/>
              <w:spacing w:after="120" w:line="240" w:lineRule="exact"/>
              <w:jc w:val="both"/>
              <w:rPr>
                <w:spacing w:val="4"/>
                <w:w w:val="103"/>
                <w:kern w:val="14"/>
                <w:lang w:val="en-GB"/>
              </w:rPr>
            </w:pPr>
            <w:r w:rsidRPr="005C7E82">
              <w:rPr>
                <w:spacing w:val="4"/>
                <w:w w:val="103"/>
                <w:kern w:val="14"/>
                <w:lang w:val="en-GB"/>
              </w:rPr>
              <w:tab/>
              <w:t>Programme priorities and partnerships</w:t>
            </w:r>
            <w:r w:rsidRPr="005C7E82">
              <w:rPr>
                <w:spacing w:val="60"/>
                <w:w w:val="103"/>
                <w:kern w:val="14"/>
                <w:sz w:val="17"/>
                <w:lang w:val="en-GB"/>
              </w:rPr>
              <w:tab/>
            </w:r>
          </w:p>
        </w:tc>
        <w:tc>
          <w:tcPr>
            <w:tcW w:w="542" w:type="dxa"/>
            <w:gridSpan w:val="2"/>
            <w:vMerge/>
            <w:shd w:val="clear" w:color="auto" w:fill="auto"/>
            <w:vAlign w:val="bottom"/>
          </w:tcPr>
          <w:p w14:paraId="185548D8" w14:textId="77777777" w:rsidR="004170DA" w:rsidRPr="005C7E82" w:rsidRDefault="004170DA" w:rsidP="00CF1355">
            <w:pPr>
              <w:tabs>
                <w:tab w:val="left" w:pos="1620"/>
              </w:tabs>
              <w:suppressAutoHyphens/>
              <w:spacing w:after="120" w:line="240" w:lineRule="exact"/>
              <w:jc w:val="right"/>
              <w:rPr>
                <w:spacing w:val="4"/>
                <w:w w:val="103"/>
                <w:kern w:val="14"/>
                <w:lang w:val="en-GB"/>
              </w:rPr>
            </w:pPr>
          </w:p>
        </w:tc>
      </w:tr>
      <w:tr w:rsidR="004170DA" w:rsidRPr="005C7E82" w14:paraId="0B3776B5" w14:textId="77777777" w:rsidTr="00CF1355">
        <w:tc>
          <w:tcPr>
            <w:tcW w:w="9360" w:type="dxa"/>
            <w:gridSpan w:val="2"/>
            <w:shd w:val="clear" w:color="auto" w:fill="auto"/>
          </w:tcPr>
          <w:p w14:paraId="766A111B" w14:textId="77777777" w:rsidR="004170DA" w:rsidRPr="00414E3E" w:rsidRDefault="004170DA" w:rsidP="004170DA">
            <w:pPr>
              <w:numPr>
                <w:ilvl w:val="0"/>
                <w:numId w:val="39"/>
              </w:numPr>
              <w:tabs>
                <w:tab w:val="right" w:pos="1080"/>
                <w:tab w:val="left" w:pos="1296"/>
                <w:tab w:val="left" w:pos="1620"/>
                <w:tab w:val="left" w:pos="2160"/>
                <w:tab w:val="left" w:pos="2592"/>
                <w:tab w:val="left" w:pos="3024"/>
                <w:tab w:val="right" w:leader="dot" w:pos="8381"/>
              </w:tabs>
              <w:suppressAutoHyphens/>
              <w:spacing w:after="120" w:line="240" w:lineRule="exact"/>
              <w:jc w:val="both"/>
              <w:rPr>
                <w:spacing w:val="4"/>
                <w:w w:val="103"/>
                <w:kern w:val="14"/>
                <w:lang w:val="en-GB"/>
              </w:rPr>
            </w:pPr>
            <w:r w:rsidRPr="005C7E82">
              <w:rPr>
                <w:spacing w:val="4"/>
                <w:w w:val="103"/>
                <w:kern w:val="14"/>
                <w:lang w:val="en-GB"/>
              </w:rPr>
              <w:tab/>
              <w:t>Programme and risk management</w:t>
            </w:r>
            <w:r w:rsidRPr="005C7E82">
              <w:rPr>
                <w:spacing w:val="60"/>
                <w:w w:val="103"/>
                <w:kern w:val="14"/>
                <w:sz w:val="17"/>
                <w:lang w:val="en-GB"/>
              </w:rPr>
              <w:tab/>
            </w:r>
          </w:p>
        </w:tc>
        <w:tc>
          <w:tcPr>
            <w:tcW w:w="542" w:type="dxa"/>
            <w:gridSpan w:val="2"/>
            <w:vMerge w:val="restart"/>
            <w:shd w:val="clear" w:color="auto" w:fill="auto"/>
            <w:vAlign w:val="bottom"/>
          </w:tcPr>
          <w:p w14:paraId="5E1F3257" w14:textId="3E2E0A80" w:rsidR="004170DA" w:rsidRPr="005C7E82" w:rsidRDefault="00221433" w:rsidP="00CF1355">
            <w:pPr>
              <w:tabs>
                <w:tab w:val="left" w:pos="1620"/>
              </w:tabs>
              <w:suppressAutoHyphens/>
              <w:spacing w:after="120" w:line="240" w:lineRule="exact"/>
              <w:jc w:val="right"/>
              <w:rPr>
                <w:spacing w:val="4"/>
                <w:w w:val="103"/>
                <w:kern w:val="14"/>
                <w:lang w:val="en-GB"/>
              </w:rPr>
            </w:pPr>
            <w:r w:rsidRPr="002807FF">
              <w:rPr>
                <w:spacing w:val="4"/>
                <w:w w:val="103"/>
                <w:kern w:val="14"/>
                <w:lang w:val="en-GB"/>
              </w:rPr>
              <w:t>7</w:t>
            </w:r>
          </w:p>
          <w:p w14:paraId="6DDB256B" w14:textId="07559477" w:rsidR="004170DA" w:rsidRPr="005C7E82" w:rsidRDefault="00221433" w:rsidP="00CF1355">
            <w:pPr>
              <w:tabs>
                <w:tab w:val="left" w:pos="1620"/>
              </w:tabs>
              <w:suppressAutoHyphens/>
              <w:spacing w:after="120" w:line="240" w:lineRule="exact"/>
              <w:jc w:val="right"/>
              <w:rPr>
                <w:spacing w:val="4"/>
                <w:w w:val="103"/>
                <w:kern w:val="14"/>
                <w:lang w:val="en-GB"/>
              </w:rPr>
            </w:pPr>
            <w:r w:rsidRPr="005C7E82">
              <w:rPr>
                <w:spacing w:val="4"/>
                <w:w w:val="103"/>
                <w:kern w:val="14"/>
                <w:lang w:val="en-GB"/>
              </w:rPr>
              <w:t xml:space="preserve">8 </w:t>
            </w:r>
          </w:p>
        </w:tc>
      </w:tr>
      <w:tr w:rsidR="004170DA" w:rsidRPr="005C7E82" w14:paraId="2F6D30A1" w14:textId="77777777" w:rsidTr="00CF1355">
        <w:tc>
          <w:tcPr>
            <w:tcW w:w="9360" w:type="dxa"/>
            <w:gridSpan w:val="2"/>
            <w:shd w:val="clear" w:color="auto" w:fill="auto"/>
          </w:tcPr>
          <w:p w14:paraId="69D1A28B" w14:textId="77777777" w:rsidR="004170DA" w:rsidRPr="00414E3E" w:rsidRDefault="004170DA" w:rsidP="004170DA">
            <w:pPr>
              <w:numPr>
                <w:ilvl w:val="0"/>
                <w:numId w:val="39"/>
              </w:numPr>
              <w:tabs>
                <w:tab w:val="right" w:pos="1080"/>
                <w:tab w:val="left" w:pos="1296"/>
                <w:tab w:val="left" w:pos="1620"/>
                <w:tab w:val="left" w:pos="2160"/>
                <w:tab w:val="left" w:pos="2592"/>
                <w:tab w:val="left" w:pos="3024"/>
                <w:tab w:val="left" w:pos="3420"/>
                <w:tab w:val="left" w:pos="3456"/>
                <w:tab w:val="right" w:leader="dot" w:pos="8381"/>
              </w:tabs>
              <w:suppressAutoHyphens/>
              <w:spacing w:after="120" w:line="240" w:lineRule="exact"/>
              <w:jc w:val="both"/>
              <w:rPr>
                <w:spacing w:val="4"/>
                <w:w w:val="103"/>
                <w:kern w:val="14"/>
                <w:lang w:val="en-GB"/>
              </w:rPr>
            </w:pPr>
            <w:r w:rsidRPr="005C7E82">
              <w:rPr>
                <w:spacing w:val="4"/>
                <w:w w:val="103"/>
                <w:kern w:val="14"/>
                <w:lang w:val="en-GB"/>
              </w:rPr>
              <w:tab/>
              <w:t>Monitoring and evaluation</w:t>
            </w:r>
            <w:r w:rsidRPr="005C7E82">
              <w:rPr>
                <w:spacing w:val="60"/>
                <w:w w:val="103"/>
                <w:kern w:val="14"/>
                <w:sz w:val="17"/>
                <w:lang w:val="en-GB"/>
              </w:rPr>
              <w:tab/>
            </w:r>
            <w:r w:rsidRPr="005C7E82">
              <w:rPr>
                <w:spacing w:val="60"/>
                <w:w w:val="103"/>
                <w:kern w:val="14"/>
                <w:sz w:val="17"/>
                <w:lang w:val="en-GB"/>
              </w:rPr>
              <w:tab/>
            </w:r>
          </w:p>
        </w:tc>
        <w:tc>
          <w:tcPr>
            <w:tcW w:w="542" w:type="dxa"/>
            <w:gridSpan w:val="2"/>
            <w:vMerge/>
            <w:shd w:val="clear" w:color="auto" w:fill="auto"/>
            <w:vAlign w:val="bottom"/>
          </w:tcPr>
          <w:p w14:paraId="2A558F74" w14:textId="77777777" w:rsidR="004170DA" w:rsidRPr="005C7E82" w:rsidRDefault="004170DA" w:rsidP="00CF1355">
            <w:pPr>
              <w:tabs>
                <w:tab w:val="left" w:pos="1620"/>
              </w:tabs>
              <w:suppressAutoHyphens/>
              <w:spacing w:after="120" w:line="240" w:lineRule="exact"/>
              <w:jc w:val="right"/>
              <w:rPr>
                <w:spacing w:val="4"/>
                <w:w w:val="103"/>
                <w:kern w:val="14"/>
                <w:lang w:val="en-GB"/>
              </w:rPr>
            </w:pPr>
          </w:p>
        </w:tc>
      </w:tr>
      <w:tr w:rsidR="004170DA" w:rsidRPr="005C7E82" w14:paraId="557322F6" w14:textId="77777777" w:rsidTr="00CF1355">
        <w:tc>
          <w:tcPr>
            <w:tcW w:w="9369" w:type="dxa"/>
            <w:gridSpan w:val="3"/>
            <w:shd w:val="clear" w:color="auto" w:fill="auto"/>
          </w:tcPr>
          <w:p w14:paraId="0AEF6204" w14:textId="77777777" w:rsidR="004170DA" w:rsidRPr="005C7E82" w:rsidRDefault="004170DA" w:rsidP="00CF1355">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spacing w:val="4"/>
                <w:w w:val="103"/>
                <w:kern w:val="14"/>
                <w:lang w:val="en-GB"/>
              </w:rPr>
            </w:pPr>
            <w:r w:rsidRPr="005C7E82">
              <w:rPr>
                <w:spacing w:val="4"/>
                <w:w w:val="103"/>
                <w:kern w:val="14"/>
                <w:lang w:val="en-GB"/>
              </w:rPr>
              <w:t xml:space="preserve">     Annex</w:t>
            </w:r>
          </w:p>
        </w:tc>
        <w:tc>
          <w:tcPr>
            <w:tcW w:w="533" w:type="dxa"/>
            <w:shd w:val="clear" w:color="auto" w:fill="auto"/>
            <w:vAlign w:val="bottom"/>
          </w:tcPr>
          <w:p w14:paraId="1C8FD88C" w14:textId="77777777" w:rsidR="004170DA" w:rsidRPr="00414E3E" w:rsidRDefault="004170DA" w:rsidP="00CF1355">
            <w:pPr>
              <w:tabs>
                <w:tab w:val="left" w:pos="1620"/>
              </w:tabs>
              <w:suppressAutoHyphens/>
              <w:spacing w:after="120" w:line="240" w:lineRule="exact"/>
              <w:jc w:val="right"/>
              <w:rPr>
                <w:spacing w:val="4"/>
                <w:w w:val="103"/>
                <w:kern w:val="14"/>
                <w:lang w:val="en-GB"/>
              </w:rPr>
            </w:pPr>
          </w:p>
        </w:tc>
      </w:tr>
      <w:tr w:rsidR="004170DA" w:rsidRPr="005C7E82" w14:paraId="03D81229" w14:textId="77777777" w:rsidTr="00CF1355">
        <w:tc>
          <w:tcPr>
            <w:tcW w:w="9369" w:type="dxa"/>
            <w:gridSpan w:val="3"/>
            <w:shd w:val="clear" w:color="auto" w:fill="auto"/>
          </w:tcPr>
          <w:p w14:paraId="3D1128BC" w14:textId="718B848E" w:rsidR="004170DA" w:rsidRPr="005C7E82" w:rsidRDefault="004170DA" w:rsidP="008426A5">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spacing w:val="60"/>
                <w:w w:val="103"/>
                <w:kern w:val="14"/>
                <w:sz w:val="17"/>
                <w:lang w:val="en-GB"/>
              </w:rPr>
            </w:pPr>
            <w:r w:rsidRPr="005C7E82">
              <w:rPr>
                <w:spacing w:val="4"/>
                <w:w w:val="103"/>
                <w:kern w:val="14"/>
                <w:lang w:val="en-GB"/>
              </w:rPr>
              <w:t>Results and resources framework for Trinidad and Tobago</w:t>
            </w:r>
            <w:r w:rsidRPr="002807FF">
              <w:rPr>
                <w:spacing w:val="4"/>
                <w:w w:val="103"/>
                <w:kern w:val="14"/>
                <w:lang w:val="en-GB"/>
              </w:rPr>
              <w:t xml:space="preserve"> </w:t>
            </w:r>
            <w:r w:rsidR="008426A5">
              <w:rPr>
                <w:spacing w:val="4"/>
                <w:w w:val="103"/>
                <w:kern w:val="14"/>
                <w:lang w:val="en-GB"/>
              </w:rPr>
              <w:t>(</w:t>
            </w:r>
            <w:r w:rsidRPr="005C7E82">
              <w:rPr>
                <w:spacing w:val="4"/>
                <w:w w:val="103"/>
                <w:kern w:val="14"/>
                <w:lang w:val="en-GB"/>
              </w:rPr>
              <w:t>2017-2021</w:t>
            </w:r>
            <w:r w:rsidR="008426A5">
              <w:rPr>
                <w:spacing w:val="4"/>
                <w:w w:val="103"/>
                <w:kern w:val="14"/>
                <w:lang w:val="en-GB"/>
              </w:rPr>
              <w:t>)</w:t>
            </w:r>
            <w:r w:rsidRPr="005C7E82">
              <w:rPr>
                <w:spacing w:val="60"/>
                <w:w w:val="103"/>
                <w:kern w:val="14"/>
                <w:sz w:val="17"/>
                <w:lang w:val="en-GB"/>
              </w:rPr>
              <w:tab/>
            </w:r>
          </w:p>
        </w:tc>
        <w:tc>
          <w:tcPr>
            <w:tcW w:w="533" w:type="dxa"/>
            <w:shd w:val="clear" w:color="auto" w:fill="auto"/>
            <w:vAlign w:val="bottom"/>
          </w:tcPr>
          <w:p w14:paraId="56548751" w14:textId="52946AB6" w:rsidR="004170DA" w:rsidRPr="005C7E82" w:rsidRDefault="008426A5" w:rsidP="008426A5">
            <w:pPr>
              <w:tabs>
                <w:tab w:val="left" w:pos="1620"/>
              </w:tabs>
              <w:suppressAutoHyphens/>
              <w:spacing w:after="120" w:line="240" w:lineRule="exact"/>
              <w:jc w:val="right"/>
              <w:rPr>
                <w:spacing w:val="4"/>
                <w:w w:val="103"/>
                <w:kern w:val="14"/>
                <w:lang w:val="en-GB"/>
              </w:rPr>
            </w:pPr>
            <w:r>
              <w:rPr>
                <w:spacing w:val="4"/>
                <w:w w:val="103"/>
                <w:kern w:val="14"/>
                <w:lang w:val="en-GB"/>
              </w:rPr>
              <w:t>9</w:t>
            </w:r>
          </w:p>
        </w:tc>
      </w:tr>
    </w:tbl>
    <w:p w14:paraId="133D594F" w14:textId="77777777" w:rsidR="00025617" w:rsidRPr="000708D6" w:rsidRDefault="00025617" w:rsidP="002655B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lang w:val="en-GB"/>
        </w:rPr>
      </w:pPr>
    </w:p>
    <w:p w14:paraId="3397D7D5" w14:textId="77777777" w:rsidR="00344957" w:rsidRPr="000708D6" w:rsidRDefault="002655BE" w:rsidP="001B0F48">
      <w:pPr>
        <w:pStyle w:val="Heading2"/>
        <w:numPr>
          <w:ilvl w:val="0"/>
          <w:numId w:val="4"/>
        </w:numPr>
        <w:tabs>
          <w:tab w:val="left" w:pos="1170"/>
        </w:tabs>
        <w:ind w:left="1260" w:right="1267" w:hanging="450"/>
        <w:jc w:val="both"/>
        <w:rPr>
          <w:rFonts w:ascii="Times New Roman" w:hAnsi="Times New Roman"/>
          <w:bCs/>
          <w:szCs w:val="28"/>
          <w:lang w:val="en-GB"/>
        </w:rPr>
      </w:pPr>
      <w:r w:rsidRPr="000708D6">
        <w:rPr>
          <w:lang w:val="en-GB"/>
        </w:rPr>
        <w:br w:type="page"/>
      </w:r>
      <w:r w:rsidR="00B80937" w:rsidRPr="000708D6">
        <w:rPr>
          <w:rFonts w:ascii="Times New Roman" w:hAnsi="Times New Roman"/>
          <w:bCs/>
          <w:szCs w:val="28"/>
          <w:lang w:val="en-GB"/>
        </w:rPr>
        <w:lastRenderedPageBreak/>
        <w:t>Programme r</w:t>
      </w:r>
      <w:r w:rsidRPr="000708D6">
        <w:rPr>
          <w:rFonts w:ascii="Times New Roman" w:hAnsi="Times New Roman"/>
          <w:bCs/>
          <w:szCs w:val="28"/>
          <w:lang w:val="en-GB"/>
        </w:rPr>
        <w:t>ationale</w:t>
      </w:r>
    </w:p>
    <w:p w14:paraId="633FDFB1" w14:textId="77777777" w:rsidR="00CD2683" w:rsidRPr="000708D6" w:rsidRDefault="00CD2683" w:rsidP="00714D57">
      <w:pPr>
        <w:tabs>
          <w:tab w:val="left" w:pos="1620"/>
        </w:tabs>
        <w:ind w:left="1080"/>
        <w:rPr>
          <w:lang w:val="en-GB"/>
        </w:rPr>
      </w:pPr>
    </w:p>
    <w:p w14:paraId="247576EC" w14:textId="61C03FD7" w:rsidR="003168D4" w:rsidRPr="000708D6" w:rsidRDefault="002655BE" w:rsidP="00440828">
      <w:pPr>
        <w:pStyle w:val="ListParagraph"/>
        <w:numPr>
          <w:ilvl w:val="0"/>
          <w:numId w:val="31"/>
        </w:numPr>
        <w:tabs>
          <w:tab w:val="left" w:pos="1440"/>
        </w:tabs>
        <w:spacing w:after="120"/>
        <w:ind w:left="1170" w:right="1030" w:firstLine="0"/>
        <w:jc w:val="both"/>
        <w:rPr>
          <w:lang w:val="en-GB"/>
        </w:rPr>
      </w:pPr>
      <w:r w:rsidRPr="000708D6">
        <w:rPr>
          <w:lang w:val="en-GB"/>
        </w:rPr>
        <w:t xml:space="preserve">Trinidad and </w:t>
      </w:r>
      <w:r w:rsidR="00AE6257" w:rsidRPr="000708D6">
        <w:rPr>
          <w:lang w:val="en-GB"/>
        </w:rPr>
        <w:t xml:space="preserve">Tobago </w:t>
      </w:r>
      <w:r w:rsidR="00117DA1" w:rsidRPr="000708D6">
        <w:rPr>
          <w:lang w:val="en-GB"/>
        </w:rPr>
        <w:t>is a high</w:t>
      </w:r>
      <w:r w:rsidR="006870EF">
        <w:rPr>
          <w:lang w:val="en-GB"/>
        </w:rPr>
        <w:t>-</w:t>
      </w:r>
      <w:r w:rsidR="00977780" w:rsidRPr="000708D6">
        <w:rPr>
          <w:lang w:val="en-GB"/>
        </w:rPr>
        <w:t xml:space="preserve">income country, </w:t>
      </w:r>
      <w:r w:rsidRPr="000708D6">
        <w:rPr>
          <w:lang w:val="en-GB"/>
        </w:rPr>
        <w:t>one of the most industrialized in the Commonwealth Caribbean</w:t>
      </w:r>
      <w:r w:rsidR="00221433" w:rsidRPr="000708D6">
        <w:rPr>
          <w:lang w:val="en-GB"/>
        </w:rPr>
        <w:t xml:space="preserve">. </w:t>
      </w:r>
      <w:r w:rsidRPr="000708D6">
        <w:rPr>
          <w:lang w:val="en-GB"/>
        </w:rPr>
        <w:t xml:space="preserve">On the 2015 </w:t>
      </w:r>
      <w:r w:rsidR="00C25EF7" w:rsidRPr="000708D6">
        <w:rPr>
          <w:lang w:val="en-GB"/>
        </w:rPr>
        <w:t xml:space="preserve">Human Development Index </w:t>
      </w:r>
      <w:r w:rsidRPr="000708D6">
        <w:rPr>
          <w:lang w:val="en-GB"/>
        </w:rPr>
        <w:t xml:space="preserve">scale, </w:t>
      </w:r>
      <w:r w:rsidR="00056AF6" w:rsidRPr="000708D6">
        <w:rPr>
          <w:lang w:val="en-GB"/>
        </w:rPr>
        <w:t>Trinidad and Tobago</w:t>
      </w:r>
      <w:r w:rsidRPr="000708D6">
        <w:rPr>
          <w:lang w:val="en-GB"/>
        </w:rPr>
        <w:t xml:space="preserve"> ranked 64</w:t>
      </w:r>
      <w:r w:rsidRPr="000708D6">
        <w:rPr>
          <w:vertAlign w:val="superscript"/>
          <w:lang w:val="en-GB"/>
        </w:rPr>
        <w:t>th</w:t>
      </w:r>
      <w:r w:rsidRPr="000708D6">
        <w:rPr>
          <w:lang w:val="en-GB"/>
        </w:rPr>
        <w:t xml:space="preserve"> out of </w:t>
      </w:r>
      <w:r w:rsidR="006870EF">
        <w:rPr>
          <w:lang w:val="en-GB"/>
        </w:rPr>
        <w:t xml:space="preserve">the </w:t>
      </w:r>
      <w:r w:rsidRPr="000708D6">
        <w:rPr>
          <w:lang w:val="en-GB"/>
        </w:rPr>
        <w:t xml:space="preserve">188 </w:t>
      </w:r>
      <w:r w:rsidR="006870EF" w:rsidRPr="00241D6F">
        <w:rPr>
          <w:lang w:val="en-GB"/>
        </w:rPr>
        <w:t xml:space="preserve">highly developed </w:t>
      </w:r>
      <w:r w:rsidRPr="000708D6">
        <w:rPr>
          <w:lang w:val="en-GB"/>
        </w:rPr>
        <w:t>countries</w:t>
      </w:r>
      <w:r w:rsidR="009928E1">
        <w:rPr>
          <w:lang w:val="en-GB"/>
        </w:rPr>
        <w:t>,</w:t>
      </w:r>
      <w:r w:rsidRPr="000708D6">
        <w:rPr>
          <w:lang w:val="en-GB"/>
        </w:rPr>
        <w:t xml:space="preserve"> with </w:t>
      </w:r>
      <w:r w:rsidR="009928E1">
        <w:rPr>
          <w:lang w:val="en-GB"/>
        </w:rPr>
        <w:t xml:space="preserve">a </w:t>
      </w:r>
      <w:r w:rsidRPr="000708D6">
        <w:rPr>
          <w:lang w:val="en-GB"/>
        </w:rPr>
        <w:t>value of 0.772, above the regional value of 0.748 for Latin America and the Caribbean</w:t>
      </w:r>
      <w:r w:rsidR="00221433" w:rsidRPr="000708D6">
        <w:rPr>
          <w:lang w:val="en-GB"/>
        </w:rPr>
        <w:t xml:space="preserve">. </w:t>
      </w:r>
      <w:r w:rsidR="00266AEF" w:rsidRPr="000708D6">
        <w:rPr>
          <w:lang w:val="en-GB"/>
        </w:rPr>
        <w:t xml:space="preserve">While the </w:t>
      </w:r>
      <w:r w:rsidR="00A4436A" w:rsidRPr="000708D6">
        <w:rPr>
          <w:lang w:val="en-GB"/>
        </w:rPr>
        <w:t xml:space="preserve">indicator </w:t>
      </w:r>
      <w:r w:rsidR="00266AEF" w:rsidRPr="000708D6">
        <w:rPr>
          <w:lang w:val="en-GB"/>
        </w:rPr>
        <w:t>for 2014 is 0.772</w:t>
      </w:r>
      <w:r w:rsidR="009928E1">
        <w:rPr>
          <w:lang w:val="en-GB"/>
        </w:rPr>
        <w:t>,</w:t>
      </w:r>
      <w:r w:rsidR="00266AEF" w:rsidRPr="000708D6">
        <w:rPr>
          <w:lang w:val="en-GB"/>
        </w:rPr>
        <w:t xml:space="preserve"> when this figure is discounted for inequality it falls to</w:t>
      </w:r>
      <w:r w:rsidR="00266AEF" w:rsidRPr="000708D6">
        <w:rPr>
          <w:rFonts w:eastAsia="Calibri"/>
          <w:lang w:val="en-GB"/>
        </w:rPr>
        <w:t xml:space="preserve"> 0.654, representing a 15.2</w:t>
      </w:r>
      <w:r w:rsidR="006870EF">
        <w:rPr>
          <w:rFonts w:eastAsia="Calibri"/>
          <w:lang w:val="en-GB"/>
        </w:rPr>
        <w:t> </w:t>
      </w:r>
      <w:r w:rsidR="00266AEF" w:rsidRPr="000708D6">
        <w:rPr>
          <w:rFonts w:eastAsia="Calibri"/>
          <w:lang w:val="en-GB"/>
        </w:rPr>
        <w:t>per</w:t>
      </w:r>
      <w:r w:rsidR="006870EF">
        <w:rPr>
          <w:rFonts w:eastAsia="Calibri"/>
          <w:lang w:val="en-GB"/>
        </w:rPr>
        <w:t> </w:t>
      </w:r>
      <w:r w:rsidR="00266AEF" w:rsidRPr="000708D6">
        <w:rPr>
          <w:rFonts w:eastAsia="Calibri"/>
          <w:lang w:val="en-GB"/>
        </w:rPr>
        <w:t>cent loss</w:t>
      </w:r>
      <w:r w:rsidR="00A4436A" w:rsidRPr="000708D6">
        <w:rPr>
          <w:rFonts w:eastAsia="Calibri"/>
          <w:lang w:val="en-GB"/>
        </w:rPr>
        <w:t>.</w:t>
      </w:r>
      <w:r w:rsidR="00266AEF" w:rsidRPr="000708D6">
        <w:rPr>
          <w:rFonts w:eastAsia="Calibri"/>
          <w:lang w:val="en-GB"/>
        </w:rPr>
        <w:t xml:space="preserve"> </w:t>
      </w:r>
      <w:r w:rsidRPr="000708D6">
        <w:rPr>
          <w:lang w:val="en-GB"/>
        </w:rPr>
        <w:t xml:space="preserve">The economic base </w:t>
      </w:r>
      <w:r w:rsidR="00A4436A" w:rsidRPr="000708D6">
        <w:rPr>
          <w:lang w:val="en-GB"/>
        </w:rPr>
        <w:t xml:space="preserve">of </w:t>
      </w:r>
      <w:r w:rsidR="009928E1">
        <w:rPr>
          <w:lang w:val="en-GB"/>
        </w:rPr>
        <w:t xml:space="preserve">the country </w:t>
      </w:r>
      <w:r w:rsidRPr="000708D6">
        <w:rPr>
          <w:lang w:val="en-GB"/>
        </w:rPr>
        <w:t>is driven by oil and gas exploration and production</w:t>
      </w:r>
      <w:r w:rsidR="009928E1">
        <w:rPr>
          <w:lang w:val="en-GB"/>
        </w:rPr>
        <w:t>,</w:t>
      </w:r>
      <w:r w:rsidRPr="000708D6">
        <w:rPr>
          <w:lang w:val="en-GB"/>
        </w:rPr>
        <w:t xml:space="preserve"> as well as petrochemical manufacturing</w:t>
      </w:r>
      <w:r w:rsidR="00221433" w:rsidRPr="000708D6">
        <w:rPr>
          <w:lang w:val="en-GB"/>
        </w:rPr>
        <w:t xml:space="preserve">. </w:t>
      </w:r>
      <w:r w:rsidR="00C25EF7" w:rsidRPr="000708D6">
        <w:rPr>
          <w:lang w:val="en-GB"/>
        </w:rPr>
        <w:t xml:space="preserve">In 2014, </w:t>
      </w:r>
      <w:r w:rsidR="00A4436A" w:rsidRPr="000708D6">
        <w:rPr>
          <w:lang w:val="en-GB"/>
        </w:rPr>
        <w:t>the</w:t>
      </w:r>
      <w:r w:rsidR="00C25EF7" w:rsidRPr="000708D6">
        <w:rPr>
          <w:lang w:val="en-GB"/>
        </w:rPr>
        <w:t xml:space="preserve"> </w:t>
      </w:r>
      <w:r w:rsidR="00056AF6" w:rsidRPr="000708D6">
        <w:rPr>
          <w:lang w:val="en-GB"/>
        </w:rPr>
        <w:t>g</w:t>
      </w:r>
      <w:r w:rsidR="00C25EF7" w:rsidRPr="000708D6">
        <w:rPr>
          <w:lang w:val="en-GB"/>
        </w:rPr>
        <w:t xml:space="preserve">ross </w:t>
      </w:r>
      <w:r w:rsidR="00056AF6" w:rsidRPr="000708D6">
        <w:rPr>
          <w:lang w:val="en-GB"/>
        </w:rPr>
        <w:t>d</w:t>
      </w:r>
      <w:r w:rsidR="00C25EF7" w:rsidRPr="000708D6">
        <w:rPr>
          <w:lang w:val="en-GB"/>
        </w:rPr>
        <w:t xml:space="preserve">omestic </w:t>
      </w:r>
      <w:r w:rsidR="00056AF6" w:rsidRPr="000708D6">
        <w:rPr>
          <w:lang w:val="en-GB"/>
        </w:rPr>
        <w:t>p</w:t>
      </w:r>
      <w:r w:rsidR="00C25EF7" w:rsidRPr="000708D6">
        <w:rPr>
          <w:lang w:val="en-GB"/>
        </w:rPr>
        <w:t xml:space="preserve">roduct </w:t>
      </w:r>
      <w:r w:rsidRPr="000708D6">
        <w:rPr>
          <w:lang w:val="en-GB"/>
        </w:rPr>
        <w:t>grew by 0.8</w:t>
      </w:r>
      <w:r w:rsidR="00221433" w:rsidRPr="000708D6">
        <w:rPr>
          <w:lang w:val="en-GB"/>
        </w:rPr>
        <w:t xml:space="preserve"> per cent</w:t>
      </w:r>
      <w:r w:rsidRPr="000708D6">
        <w:rPr>
          <w:sz w:val="16"/>
          <w:szCs w:val="16"/>
          <w:vertAlign w:val="superscript"/>
          <w:lang w:val="en-GB"/>
        </w:rPr>
        <w:footnoteReference w:id="1"/>
      </w:r>
      <w:r w:rsidRPr="000708D6">
        <w:rPr>
          <w:lang w:val="en-GB"/>
        </w:rPr>
        <w:t xml:space="preserve"> </w:t>
      </w:r>
      <w:r w:rsidR="00A4436A" w:rsidRPr="000708D6">
        <w:rPr>
          <w:lang w:val="en-GB"/>
        </w:rPr>
        <w:t>(</w:t>
      </w:r>
      <w:r w:rsidRPr="000708D6">
        <w:rPr>
          <w:lang w:val="en-GB"/>
        </w:rPr>
        <w:t>compared to 2</w:t>
      </w:r>
      <w:r w:rsidR="00B74B0C" w:rsidRPr="000708D6">
        <w:rPr>
          <w:lang w:val="en-GB"/>
        </w:rPr>
        <w:t> </w:t>
      </w:r>
      <w:r w:rsidR="00221433" w:rsidRPr="000708D6">
        <w:rPr>
          <w:lang w:val="en-GB"/>
        </w:rPr>
        <w:t>per cent</w:t>
      </w:r>
      <w:r w:rsidRPr="000708D6">
        <w:rPr>
          <w:lang w:val="en-GB"/>
        </w:rPr>
        <w:t xml:space="preserve"> in 2013</w:t>
      </w:r>
      <w:r w:rsidR="00A4436A" w:rsidRPr="000708D6">
        <w:rPr>
          <w:lang w:val="en-GB"/>
        </w:rPr>
        <w:t>)</w:t>
      </w:r>
      <w:r w:rsidRPr="000708D6">
        <w:rPr>
          <w:lang w:val="en-GB"/>
        </w:rPr>
        <w:t xml:space="preserve"> due to contraction of the energy sector</w:t>
      </w:r>
      <w:r w:rsidR="00221433" w:rsidRPr="000708D6">
        <w:rPr>
          <w:lang w:val="en-GB"/>
        </w:rPr>
        <w:t xml:space="preserve">. </w:t>
      </w:r>
      <w:r w:rsidR="006870EF">
        <w:rPr>
          <w:lang w:val="en-GB"/>
        </w:rPr>
        <w:t>O</w:t>
      </w:r>
      <w:r w:rsidRPr="000708D6">
        <w:rPr>
          <w:lang w:val="en-GB"/>
        </w:rPr>
        <w:t xml:space="preserve">il prices </w:t>
      </w:r>
      <w:r w:rsidR="006870EF">
        <w:rPr>
          <w:lang w:val="en-GB"/>
        </w:rPr>
        <w:t xml:space="preserve">having fallen </w:t>
      </w:r>
      <w:r w:rsidRPr="000708D6">
        <w:rPr>
          <w:lang w:val="en-GB"/>
        </w:rPr>
        <w:t xml:space="preserve">from an average of $76 </w:t>
      </w:r>
      <w:r w:rsidR="006870EF" w:rsidRPr="00241D6F">
        <w:rPr>
          <w:lang w:val="en-GB"/>
        </w:rPr>
        <w:t xml:space="preserve">per barrel </w:t>
      </w:r>
      <w:r w:rsidRPr="000708D6">
        <w:rPr>
          <w:lang w:val="en-GB"/>
        </w:rPr>
        <w:t>in 2010-</w:t>
      </w:r>
      <w:r w:rsidR="00A4436A" w:rsidRPr="000708D6">
        <w:rPr>
          <w:lang w:val="en-GB"/>
        </w:rPr>
        <w:t>20</w:t>
      </w:r>
      <w:r w:rsidRPr="000708D6">
        <w:rPr>
          <w:lang w:val="en-GB"/>
        </w:rPr>
        <w:t xml:space="preserve">15 to $28 (a 9-year low) in January 2016, the economy is </w:t>
      </w:r>
      <w:r w:rsidR="00267475" w:rsidRPr="000708D6">
        <w:rPr>
          <w:lang w:val="en-GB"/>
        </w:rPr>
        <w:t xml:space="preserve">expected </w:t>
      </w:r>
      <w:r w:rsidRPr="000708D6">
        <w:rPr>
          <w:lang w:val="en-GB"/>
        </w:rPr>
        <w:t>to contract a further 1.5</w:t>
      </w:r>
      <w:r w:rsidR="00221433" w:rsidRPr="000708D6">
        <w:rPr>
          <w:lang w:val="en-GB"/>
        </w:rPr>
        <w:t xml:space="preserve"> per cent</w:t>
      </w:r>
      <w:r w:rsidRPr="000708D6">
        <w:rPr>
          <w:lang w:val="en-GB"/>
        </w:rPr>
        <w:t>.</w:t>
      </w:r>
      <w:r w:rsidRPr="000708D6">
        <w:rPr>
          <w:rStyle w:val="FootnoteReference"/>
          <w:sz w:val="16"/>
          <w:szCs w:val="16"/>
          <w:lang w:val="en-GB"/>
        </w:rPr>
        <w:footnoteReference w:id="2"/>
      </w:r>
      <w:r w:rsidRPr="000708D6">
        <w:rPr>
          <w:sz w:val="16"/>
          <w:szCs w:val="16"/>
          <w:lang w:val="en-GB"/>
        </w:rPr>
        <w:t xml:space="preserve"> </w:t>
      </w:r>
      <w:r w:rsidR="00503181" w:rsidRPr="000708D6">
        <w:rPr>
          <w:lang w:val="en-GB"/>
        </w:rPr>
        <w:t xml:space="preserve">Access to development finance </w:t>
      </w:r>
      <w:r w:rsidRPr="000708D6">
        <w:rPr>
          <w:lang w:val="en-GB"/>
        </w:rPr>
        <w:t xml:space="preserve">is rather </w:t>
      </w:r>
      <w:r w:rsidR="009C2E7F" w:rsidRPr="000708D6">
        <w:rPr>
          <w:lang w:val="en-GB"/>
        </w:rPr>
        <w:t xml:space="preserve">limited </w:t>
      </w:r>
      <w:r w:rsidR="00267475" w:rsidRPr="000708D6">
        <w:rPr>
          <w:lang w:val="en-GB"/>
        </w:rPr>
        <w:t>since</w:t>
      </w:r>
      <w:r w:rsidR="00B74B0C" w:rsidRPr="000708D6">
        <w:rPr>
          <w:lang w:val="en-GB"/>
        </w:rPr>
        <w:t xml:space="preserve"> </w:t>
      </w:r>
      <w:r w:rsidR="00221433" w:rsidRPr="000708D6">
        <w:rPr>
          <w:lang w:val="en-GB"/>
        </w:rPr>
        <w:t>Trinidad and Tobago</w:t>
      </w:r>
      <w:r w:rsidR="00267475" w:rsidRPr="000708D6">
        <w:rPr>
          <w:lang w:val="en-GB"/>
        </w:rPr>
        <w:t xml:space="preserve"> i</w:t>
      </w:r>
      <w:r w:rsidR="009C2E7F" w:rsidRPr="000708D6">
        <w:rPr>
          <w:lang w:val="en-GB"/>
        </w:rPr>
        <w:t>s a</w:t>
      </w:r>
      <w:r w:rsidRPr="000708D6">
        <w:rPr>
          <w:lang w:val="en-GB"/>
        </w:rPr>
        <w:t xml:space="preserve"> </w:t>
      </w:r>
      <w:r w:rsidR="00AE6257" w:rsidRPr="000708D6">
        <w:rPr>
          <w:lang w:val="en-GB"/>
        </w:rPr>
        <w:t>high</w:t>
      </w:r>
      <w:r w:rsidR="006870EF">
        <w:rPr>
          <w:lang w:val="en-GB"/>
        </w:rPr>
        <w:t>-</w:t>
      </w:r>
      <w:r w:rsidRPr="000708D6">
        <w:rPr>
          <w:lang w:val="en-GB"/>
        </w:rPr>
        <w:t xml:space="preserve">income country. </w:t>
      </w:r>
    </w:p>
    <w:p w14:paraId="49600B9C" w14:textId="7A85F3D9" w:rsidR="00A110ED" w:rsidRPr="000708D6" w:rsidRDefault="002655BE" w:rsidP="00440828">
      <w:pPr>
        <w:pStyle w:val="ListParagraph"/>
        <w:numPr>
          <w:ilvl w:val="0"/>
          <w:numId w:val="31"/>
        </w:numPr>
        <w:tabs>
          <w:tab w:val="left" w:pos="1440"/>
        </w:tabs>
        <w:spacing w:after="120"/>
        <w:ind w:left="1170" w:right="1030" w:firstLine="0"/>
        <w:jc w:val="both"/>
        <w:rPr>
          <w:lang w:val="en-GB"/>
        </w:rPr>
      </w:pPr>
      <w:r w:rsidRPr="000708D6">
        <w:rPr>
          <w:lang w:val="en-GB"/>
        </w:rPr>
        <w:t>A small island developing state</w:t>
      </w:r>
      <w:r w:rsidR="00563A00" w:rsidRPr="000708D6">
        <w:rPr>
          <w:lang w:val="en-GB"/>
        </w:rPr>
        <w:t>,</w:t>
      </w:r>
      <w:r w:rsidR="00644B92" w:rsidRPr="000708D6">
        <w:rPr>
          <w:lang w:val="en-GB"/>
        </w:rPr>
        <w:t xml:space="preserve"> </w:t>
      </w:r>
      <w:r w:rsidR="00221433" w:rsidRPr="000708D6">
        <w:rPr>
          <w:lang w:val="en-GB"/>
        </w:rPr>
        <w:t>Trinidad and Tobago</w:t>
      </w:r>
      <w:r w:rsidRPr="000708D6">
        <w:rPr>
          <w:lang w:val="en-GB"/>
        </w:rPr>
        <w:t xml:space="preserve"> has a population of approximately 1.3</w:t>
      </w:r>
      <w:r w:rsidR="00607342">
        <w:rPr>
          <w:lang w:val="en-GB"/>
        </w:rPr>
        <w:t> </w:t>
      </w:r>
      <w:r w:rsidR="00563A00" w:rsidRPr="000708D6">
        <w:rPr>
          <w:lang w:val="en-GB"/>
        </w:rPr>
        <w:t>million and</w:t>
      </w:r>
      <w:r w:rsidR="00503181" w:rsidRPr="000708D6">
        <w:rPr>
          <w:lang w:val="en-GB"/>
        </w:rPr>
        <w:t xml:space="preserve"> is</w:t>
      </w:r>
      <w:r w:rsidRPr="000708D6">
        <w:rPr>
          <w:lang w:val="en-GB"/>
        </w:rPr>
        <w:t xml:space="preserve"> predominantly middle-class</w:t>
      </w:r>
      <w:r w:rsidR="00221433" w:rsidRPr="000708D6">
        <w:rPr>
          <w:lang w:val="en-GB"/>
        </w:rPr>
        <w:t xml:space="preserve">. </w:t>
      </w:r>
      <w:r w:rsidRPr="000708D6">
        <w:rPr>
          <w:lang w:val="en-GB"/>
        </w:rPr>
        <w:t xml:space="preserve">It is </w:t>
      </w:r>
      <w:r w:rsidR="00B74B0C" w:rsidRPr="000708D6">
        <w:rPr>
          <w:lang w:val="en-GB"/>
        </w:rPr>
        <w:t xml:space="preserve">a </w:t>
      </w:r>
      <w:r w:rsidR="00977780" w:rsidRPr="000708D6">
        <w:rPr>
          <w:lang w:val="en-GB"/>
        </w:rPr>
        <w:t>stable</w:t>
      </w:r>
      <w:r w:rsidR="00B74B0C" w:rsidRPr="000708D6">
        <w:rPr>
          <w:lang w:val="en-GB"/>
        </w:rPr>
        <w:t>,</w:t>
      </w:r>
      <w:r w:rsidR="00977780" w:rsidRPr="000708D6">
        <w:rPr>
          <w:lang w:val="en-GB"/>
        </w:rPr>
        <w:t xml:space="preserve"> democratic </w:t>
      </w:r>
      <w:r w:rsidR="00B74B0C" w:rsidRPr="000708D6">
        <w:rPr>
          <w:lang w:val="en-GB"/>
        </w:rPr>
        <w:t xml:space="preserve">and </w:t>
      </w:r>
      <w:r w:rsidR="007F7DDD" w:rsidRPr="000708D6">
        <w:rPr>
          <w:lang w:val="en-GB"/>
        </w:rPr>
        <w:t xml:space="preserve">highly </w:t>
      </w:r>
      <w:r w:rsidRPr="000708D6">
        <w:rPr>
          <w:lang w:val="en-GB"/>
        </w:rPr>
        <w:t xml:space="preserve">diverse </w:t>
      </w:r>
      <w:r w:rsidR="00B74B0C" w:rsidRPr="000708D6">
        <w:rPr>
          <w:lang w:val="en-GB"/>
        </w:rPr>
        <w:t xml:space="preserve">society </w:t>
      </w:r>
      <w:r w:rsidRPr="000708D6">
        <w:rPr>
          <w:lang w:val="en-GB"/>
        </w:rPr>
        <w:t>(in terms of e</w:t>
      </w:r>
      <w:r w:rsidR="00977780" w:rsidRPr="000708D6">
        <w:rPr>
          <w:lang w:val="en-GB"/>
        </w:rPr>
        <w:t xml:space="preserve">thnicity, religion and culture). </w:t>
      </w:r>
    </w:p>
    <w:p w14:paraId="04AA2B47" w14:textId="147D3C97" w:rsidR="00A110ED" w:rsidRPr="000708D6" w:rsidRDefault="00A110ED" w:rsidP="00440828">
      <w:pPr>
        <w:numPr>
          <w:ilvl w:val="0"/>
          <w:numId w:val="31"/>
        </w:numPr>
        <w:tabs>
          <w:tab w:val="left" w:pos="1440"/>
        </w:tabs>
        <w:spacing w:after="120"/>
        <w:ind w:left="1170" w:right="1030" w:firstLine="0"/>
        <w:jc w:val="both"/>
        <w:rPr>
          <w:rFonts w:eastAsia="Calibri"/>
          <w:lang w:val="en-GB"/>
        </w:rPr>
      </w:pPr>
      <w:r w:rsidRPr="000708D6">
        <w:rPr>
          <w:rFonts w:eastAsia="Calibri"/>
          <w:lang w:val="en-GB"/>
        </w:rPr>
        <w:t xml:space="preserve">Challenges in addressing poverty and inequality persist and may increase due to the worsening economic situation, which is reducing the fiscal space </w:t>
      </w:r>
      <w:r w:rsidR="00B74B0C" w:rsidRPr="000708D6">
        <w:rPr>
          <w:rFonts w:eastAsia="Calibri"/>
          <w:lang w:val="en-GB"/>
        </w:rPr>
        <w:t xml:space="preserve">for </w:t>
      </w:r>
      <w:r w:rsidRPr="000708D6">
        <w:rPr>
          <w:rFonts w:eastAsia="Calibri"/>
          <w:lang w:val="en-GB"/>
        </w:rPr>
        <w:t>undertak</w:t>
      </w:r>
      <w:r w:rsidR="00B74B0C" w:rsidRPr="000708D6">
        <w:rPr>
          <w:rFonts w:eastAsia="Calibri"/>
          <w:lang w:val="en-GB"/>
        </w:rPr>
        <w:t>ing</w:t>
      </w:r>
      <w:r w:rsidRPr="000708D6">
        <w:rPr>
          <w:rFonts w:eastAsia="Calibri"/>
          <w:lang w:val="en-GB"/>
        </w:rPr>
        <w:t xml:space="preserve"> social protection. According to the Survey of Living Conditions</w:t>
      </w:r>
      <w:r w:rsidR="00056AF6" w:rsidRPr="000708D6">
        <w:rPr>
          <w:rFonts w:eastAsia="Calibri"/>
          <w:lang w:val="en-GB"/>
        </w:rPr>
        <w:t>,</w:t>
      </w:r>
      <w:r w:rsidR="00933904" w:rsidRPr="000708D6">
        <w:rPr>
          <w:rFonts w:eastAsia="Calibri"/>
          <w:lang w:val="en-GB"/>
        </w:rPr>
        <w:t xml:space="preserve"> </w:t>
      </w:r>
      <w:r w:rsidRPr="000708D6">
        <w:rPr>
          <w:rFonts w:eastAsia="Calibri"/>
          <w:lang w:val="en-GB"/>
        </w:rPr>
        <w:t>2005, 16.7</w:t>
      </w:r>
      <w:r w:rsidR="00221433" w:rsidRPr="000708D6">
        <w:rPr>
          <w:rFonts w:eastAsia="Calibri"/>
          <w:lang w:val="en-GB"/>
        </w:rPr>
        <w:t xml:space="preserve"> per cent</w:t>
      </w:r>
      <w:r w:rsidRPr="000708D6">
        <w:rPr>
          <w:rFonts w:eastAsia="Calibri"/>
          <w:lang w:val="en-GB"/>
        </w:rPr>
        <w:t xml:space="preserve"> of households w</w:t>
      </w:r>
      <w:r w:rsidR="00B74B0C" w:rsidRPr="000708D6">
        <w:rPr>
          <w:rFonts w:eastAsia="Calibri"/>
          <w:lang w:val="en-GB"/>
        </w:rPr>
        <w:t>ere</w:t>
      </w:r>
      <w:r w:rsidRPr="000708D6">
        <w:rPr>
          <w:rFonts w:eastAsia="Calibri"/>
          <w:lang w:val="en-GB"/>
        </w:rPr>
        <w:t xml:space="preserve"> classified </w:t>
      </w:r>
      <w:r w:rsidR="00EA76D3">
        <w:rPr>
          <w:rFonts w:eastAsia="Calibri"/>
          <w:lang w:val="en-GB"/>
        </w:rPr>
        <w:t>‘</w:t>
      </w:r>
      <w:r w:rsidRPr="000708D6">
        <w:rPr>
          <w:rFonts w:eastAsia="Calibri"/>
          <w:lang w:val="en-GB"/>
        </w:rPr>
        <w:t>poor</w:t>
      </w:r>
      <w:r w:rsidR="00EA76D3">
        <w:rPr>
          <w:rFonts w:eastAsia="Calibri"/>
          <w:lang w:val="en-GB"/>
        </w:rPr>
        <w:t>’</w:t>
      </w:r>
      <w:r w:rsidRPr="000708D6">
        <w:rPr>
          <w:rFonts w:eastAsia="Calibri"/>
          <w:lang w:val="en-GB"/>
        </w:rPr>
        <w:t xml:space="preserve"> and 1.2</w:t>
      </w:r>
      <w:r w:rsidR="00221433" w:rsidRPr="000708D6">
        <w:rPr>
          <w:rFonts w:eastAsia="Calibri"/>
          <w:lang w:val="en-GB"/>
        </w:rPr>
        <w:t xml:space="preserve"> per cent</w:t>
      </w:r>
      <w:r w:rsidRPr="000708D6">
        <w:rPr>
          <w:rFonts w:eastAsia="Calibri"/>
          <w:lang w:val="en-GB"/>
        </w:rPr>
        <w:t xml:space="preserve"> lived in extreme poverty</w:t>
      </w:r>
      <w:r w:rsidR="00221433" w:rsidRPr="000708D6">
        <w:rPr>
          <w:rFonts w:eastAsia="Calibri"/>
          <w:lang w:val="en-GB"/>
        </w:rPr>
        <w:t xml:space="preserve">. </w:t>
      </w:r>
      <w:r w:rsidRPr="000708D6">
        <w:rPr>
          <w:rFonts w:eastAsia="Calibri"/>
          <w:lang w:val="en-GB"/>
        </w:rPr>
        <w:t>The linkage between poverty and inequality is substantial, with poverty, joblessness and exclusion disproportionately affecting vulnera</w:t>
      </w:r>
      <w:r w:rsidR="005D73BE" w:rsidRPr="000708D6">
        <w:rPr>
          <w:rFonts w:eastAsia="Calibri"/>
          <w:lang w:val="en-GB"/>
        </w:rPr>
        <w:t>ble groups</w:t>
      </w:r>
      <w:r w:rsidR="00B74B0C" w:rsidRPr="000708D6">
        <w:rPr>
          <w:rFonts w:eastAsia="Calibri"/>
          <w:lang w:val="en-GB"/>
        </w:rPr>
        <w:t xml:space="preserve"> – </w:t>
      </w:r>
      <w:r w:rsidR="005D73BE" w:rsidRPr="000708D6">
        <w:rPr>
          <w:rFonts w:eastAsia="Calibri"/>
          <w:lang w:val="en-GB"/>
        </w:rPr>
        <w:t>particularly female-</w:t>
      </w:r>
      <w:r w:rsidRPr="000708D6">
        <w:rPr>
          <w:rFonts w:eastAsia="Calibri"/>
          <w:lang w:val="en-GB"/>
        </w:rPr>
        <w:t>headed households</w:t>
      </w:r>
      <w:r w:rsidR="0076226C" w:rsidRPr="000708D6">
        <w:rPr>
          <w:rFonts w:eastAsia="Calibri"/>
          <w:lang w:val="en-GB"/>
        </w:rPr>
        <w:t>, at-risk urban youth and the rural poor</w:t>
      </w:r>
      <w:r w:rsidR="00221433" w:rsidRPr="000708D6">
        <w:rPr>
          <w:rFonts w:eastAsia="Calibri"/>
          <w:lang w:val="en-GB"/>
        </w:rPr>
        <w:t xml:space="preserve">. </w:t>
      </w:r>
      <w:r w:rsidR="0076226C" w:rsidRPr="000708D6">
        <w:rPr>
          <w:rFonts w:eastAsia="Calibri"/>
          <w:lang w:val="en-GB"/>
        </w:rPr>
        <w:t>T</w:t>
      </w:r>
      <w:r w:rsidRPr="000708D6">
        <w:rPr>
          <w:rFonts w:eastAsia="Calibri"/>
          <w:lang w:val="en-GB"/>
        </w:rPr>
        <w:t xml:space="preserve">he root causes of poverty and inequality are multiple and self-reinforcing, going beyond </w:t>
      </w:r>
      <w:r w:rsidR="00B74B0C" w:rsidRPr="000708D6">
        <w:rPr>
          <w:rFonts w:eastAsia="Calibri"/>
          <w:lang w:val="en-GB"/>
        </w:rPr>
        <w:t xml:space="preserve">income access </w:t>
      </w:r>
      <w:r w:rsidRPr="000708D6">
        <w:rPr>
          <w:rFonts w:eastAsia="Calibri"/>
          <w:lang w:val="en-GB"/>
        </w:rPr>
        <w:t>challenges to include</w:t>
      </w:r>
      <w:r w:rsidR="006619CD" w:rsidRPr="000708D6">
        <w:rPr>
          <w:rFonts w:eastAsia="Calibri"/>
          <w:lang w:val="en-GB"/>
        </w:rPr>
        <w:t>:</w:t>
      </w:r>
      <w:r w:rsidRPr="000708D6">
        <w:rPr>
          <w:rFonts w:eastAsia="Calibri"/>
          <w:lang w:val="en-GB"/>
        </w:rPr>
        <w:t xml:space="preserve"> (</w:t>
      </w:r>
      <w:r w:rsidR="00B74B0C" w:rsidRPr="000708D6">
        <w:rPr>
          <w:rFonts w:eastAsia="Calibri"/>
          <w:lang w:val="en-GB"/>
        </w:rPr>
        <w:t>a</w:t>
      </w:r>
      <w:r w:rsidRPr="000708D6">
        <w:rPr>
          <w:rFonts w:eastAsia="Calibri"/>
          <w:lang w:val="en-GB"/>
        </w:rPr>
        <w:t>) sub-optim</w:t>
      </w:r>
      <w:r w:rsidR="00B74B0C" w:rsidRPr="000708D6">
        <w:rPr>
          <w:rFonts w:eastAsia="Calibri"/>
          <w:lang w:val="en-GB"/>
        </w:rPr>
        <w:t>al</w:t>
      </w:r>
      <w:r w:rsidRPr="000708D6">
        <w:rPr>
          <w:rFonts w:eastAsia="Calibri"/>
          <w:lang w:val="en-GB"/>
        </w:rPr>
        <w:t xml:space="preserve"> safety nets</w:t>
      </w:r>
      <w:r w:rsidR="00B74B0C" w:rsidRPr="000708D6">
        <w:rPr>
          <w:rFonts w:eastAsia="Calibri"/>
          <w:lang w:val="en-GB"/>
        </w:rPr>
        <w:t>;</w:t>
      </w:r>
      <w:r w:rsidRPr="000708D6">
        <w:rPr>
          <w:rFonts w:eastAsia="Calibri"/>
          <w:lang w:val="en-GB"/>
        </w:rPr>
        <w:t xml:space="preserve"> (</w:t>
      </w:r>
      <w:r w:rsidR="00B74B0C" w:rsidRPr="000708D6">
        <w:rPr>
          <w:rFonts w:eastAsia="Calibri"/>
          <w:lang w:val="en-GB"/>
        </w:rPr>
        <w:t>b</w:t>
      </w:r>
      <w:r w:rsidRPr="000708D6">
        <w:rPr>
          <w:rFonts w:eastAsia="Calibri"/>
          <w:lang w:val="en-GB"/>
        </w:rPr>
        <w:t>) high insecurity</w:t>
      </w:r>
      <w:r w:rsidR="00B74B0C" w:rsidRPr="000708D6">
        <w:rPr>
          <w:rFonts w:eastAsia="Calibri"/>
          <w:lang w:val="en-GB"/>
        </w:rPr>
        <w:t>;</w:t>
      </w:r>
      <w:r w:rsidRPr="000708D6">
        <w:rPr>
          <w:rFonts w:eastAsia="Calibri"/>
          <w:lang w:val="en-GB"/>
        </w:rPr>
        <w:t xml:space="preserve"> (</w:t>
      </w:r>
      <w:r w:rsidR="00B74B0C" w:rsidRPr="000708D6">
        <w:rPr>
          <w:rFonts w:eastAsia="Calibri"/>
          <w:lang w:val="en-GB"/>
        </w:rPr>
        <w:t>c</w:t>
      </w:r>
      <w:r w:rsidRPr="000708D6">
        <w:rPr>
          <w:rFonts w:eastAsia="Calibri"/>
          <w:lang w:val="en-GB"/>
        </w:rPr>
        <w:t>)</w:t>
      </w:r>
      <w:r w:rsidR="00607342">
        <w:rPr>
          <w:rFonts w:eastAsia="Calibri"/>
          <w:lang w:val="en-GB"/>
        </w:rPr>
        <w:t> </w:t>
      </w:r>
      <w:r w:rsidRPr="000708D6">
        <w:rPr>
          <w:rFonts w:eastAsia="Calibri"/>
          <w:lang w:val="en-GB"/>
        </w:rPr>
        <w:t>limited civic participation</w:t>
      </w:r>
      <w:r w:rsidR="00B74B0C" w:rsidRPr="000708D6">
        <w:rPr>
          <w:rFonts w:eastAsia="Calibri"/>
          <w:lang w:val="en-GB"/>
        </w:rPr>
        <w:t>;</w:t>
      </w:r>
      <w:r w:rsidRPr="000708D6">
        <w:rPr>
          <w:rFonts w:eastAsia="Calibri"/>
          <w:lang w:val="en-GB"/>
        </w:rPr>
        <w:t xml:space="preserve"> (</w:t>
      </w:r>
      <w:r w:rsidR="00B74B0C" w:rsidRPr="000708D6">
        <w:rPr>
          <w:rFonts w:eastAsia="Calibri"/>
          <w:lang w:val="en-GB"/>
        </w:rPr>
        <w:t>d</w:t>
      </w:r>
      <w:r w:rsidRPr="000708D6">
        <w:rPr>
          <w:rFonts w:eastAsia="Calibri"/>
          <w:lang w:val="en-GB"/>
        </w:rPr>
        <w:t>) absence of restorative justice approaches</w:t>
      </w:r>
      <w:r w:rsidR="00B74B0C" w:rsidRPr="000708D6">
        <w:rPr>
          <w:rFonts w:eastAsia="Calibri"/>
          <w:lang w:val="en-GB"/>
        </w:rPr>
        <w:t>;</w:t>
      </w:r>
      <w:r w:rsidRPr="000708D6">
        <w:rPr>
          <w:rFonts w:eastAsia="Calibri"/>
          <w:lang w:val="en-GB"/>
        </w:rPr>
        <w:t xml:space="preserve"> and (</w:t>
      </w:r>
      <w:r w:rsidR="00B74B0C" w:rsidRPr="000708D6">
        <w:rPr>
          <w:rFonts w:eastAsia="Calibri"/>
          <w:lang w:val="en-GB"/>
        </w:rPr>
        <w:t>e</w:t>
      </w:r>
      <w:r w:rsidRPr="000708D6">
        <w:rPr>
          <w:rFonts w:eastAsia="Calibri"/>
          <w:lang w:val="en-GB"/>
        </w:rPr>
        <w:t xml:space="preserve">) cultural elements linked to gender relations, male underperformance in schools, </w:t>
      </w:r>
      <w:r w:rsidR="006C2871" w:rsidRPr="000708D6">
        <w:rPr>
          <w:rFonts w:eastAsia="Calibri"/>
          <w:lang w:val="en-GB"/>
        </w:rPr>
        <w:t xml:space="preserve">and </w:t>
      </w:r>
      <w:r w:rsidR="000F28F7" w:rsidRPr="000708D6">
        <w:rPr>
          <w:rFonts w:eastAsia="Calibri"/>
          <w:lang w:val="en-GB"/>
        </w:rPr>
        <w:t>gender-based violence</w:t>
      </w:r>
      <w:r w:rsidR="00645D79" w:rsidRPr="000708D6">
        <w:rPr>
          <w:rStyle w:val="FootnoteReference"/>
          <w:rFonts w:eastAsia="Calibri"/>
          <w:lang w:val="en-GB"/>
        </w:rPr>
        <w:footnoteReference w:id="3"/>
      </w:r>
      <w:r w:rsidRPr="000708D6">
        <w:rPr>
          <w:rFonts w:eastAsia="Calibri"/>
          <w:lang w:val="en-GB"/>
        </w:rPr>
        <w:t xml:space="preserve">. </w:t>
      </w:r>
    </w:p>
    <w:p w14:paraId="0F4B00D6" w14:textId="2B21255E" w:rsidR="00A110ED" w:rsidRPr="000708D6" w:rsidRDefault="00A110ED" w:rsidP="00440828">
      <w:pPr>
        <w:pStyle w:val="ListParagraph"/>
        <w:numPr>
          <w:ilvl w:val="0"/>
          <w:numId w:val="31"/>
        </w:numPr>
        <w:tabs>
          <w:tab w:val="left" w:pos="1440"/>
        </w:tabs>
        <w:spacing w:after="120"/>
        <w:ind w:left="1170" w:right="1030" w:firstLine="0"/>
        <w:jc w:val="both"/>
        <w:rPr>
          <w:lang w:val="en-GB"/>
        </w:rPr>
      </w:pPr>
      <w:r w:rsidRPr="000708D6">
        <w:rPr>
          <w:lang w:val="en-GB"/>
        </w:rPr>
        <w:t>Reliable poverty measurements are challenged by outdated data and the lack of an accepted definition of multidimensional poverty indicators</w:t>
      </w:r>
      <w:r w:rsidR="00221433" w:rsidRPr="000708D6">
        <w:rPr>
          <w:lang w:val="en-GB"/>
        </w:rPr>
        <w:t xml:space="preserve">. </w:t>
      </w:r>
      <w:r w:rsidRPr="000708D6">
        <w:rPr>
          <w:lang w:val="en-GB"/>
        </w:rPr>
        <w:t>The effectiveness of social safety</w:t>
      </w:r>
      <w:r w:rsidR="00AE12F8">
        <w:rPr>
          <w:lang w:val="en-GB"/>
        </w:rPr>
        <w:t>-</w:t>
      </w:r>
      <w:r w:rsidRPr="000708D6">
        <w:rPr>
          <w:lang w:val="en-GB"/>
        </w:rPr>
        <w:t>net programmes has been hindered by gaps in data and information management</w:t>
      </w:r>
      <w:r w:rsidR="00221433" w:rsidRPr="000708D6">
        <w:rPr>
          <w:lang w:val="en-GB"/>
        </w:rPr>
        <w:t xml:space="preserve">. </w:t>
      </w:r>
      <w:r w:rsidRPr="000708D6">
        <w:rPr>
          <w:lang w:val="en-GB"/>
        </w:rPr>
        <w:t>Inadequate data disaggregation h</w:t>
      </w:r>
      <w:r w:rsidR="005C7E82" w:rsidRPr="000708D6">
        <w:rPr>
          <w:lang w:val="en-GB"/>
        </w:rPr>
        <w:t>amp</w:t>
      </w:r>
      <w:r w:rsidRPr="000708D6">
        <w:rPr>
          <w:lang w:val="en-GB"/>
        </w:rPr>
        <w:t>ers proper targeting of poverty reduction strategies, as national aggregate statistics (such as per</w:t>
      </w:r>
      <w:r w:rsidR="00056AF6" w:rsidRPr="000708D6">
        <w:rPr>
          <w:lang w:val="en-GB"/>
        </w:rPr>
        <w:t>-</w:t>
      </w:r>
      <w:r w:rsidRPr="000708D6">
        <w:rPr>
          <w:lang w:val="en-GB"/>
        </w:rPr>
        <w:t>capita</w:t>
      </w:r>
      <w:r w:rsidR="00056AF6" w:rsidRPr="000708D6">
        <w:rPr>
          <w:lang w:val="en-GB"/>
        </w:rPr>
        <w:t xml:space="preserve"> gross domestic product</w:t>
      </w:r>
      <w:r w:rsidRPr="000708D6">
        <w:rPr>
          <w:lang w:val="en-GB"/>
        </w:rPr>
        <w:t xml:space="preserve">) mask inequality issues. </w:t>
      </w:r>
    </w:p>
    <w:p w14:paraId="4B6BD481" w14:textId="686A14E5" w:rsidR="003168D4" w:rsidRPr="000708D6" w:rsidRDefault="005C7E82" w:rsidP="00440828">
      <w:pPr>
        <w:pStyle w:val="ListParagraph"/>
        <w:numPr>
          <w:ilvl w:val="0"/>
          <w:numId w:val="31"/>
        </w:numPr>
        <w:tabs>
          <w:tab w:val="left" w:pos="1440"/>
        </w:tabs>
        <w:spacing w:after="120"/>
        <w:ind w:left="1170" w:right="1030" w:firstLine="0"/>
        <w:jc w:val="both"/>
        <w:rPr>
          <w:lang w:val="en-GB"/>
        </w:rPr>
      </w:pPr>
      <w:r w:rsidRPr="000708D6">
        <w:rPr>
          <w:lang w:val="en-GB"/>
        </w:rPr>
        <w:t xml:space="preserve">Upon independence in 1962, </w:t>
      </w:r>
      <w:r w:rsidR="00221433" w:rsidRPr="000708D6">
        <w:rPr>
          <w:lang w:val="en-GB"/>
        </w:rPr>
        <w:t>Trinidad and Tobago</w:t>
      </w:r>
      <w:r w:rsidR="002655BE" w:rsidRPr="000708D6">
        <w:rPr>
          <w:lang w:val="en-GB"/>
        </w:rPr>
        <w:t xml:space="preserve"> inherited its governance institutions from a British colonial monarchy</w:t>
      </w:r>
      <w:r w:rsidR="00221433" w:rsidRPr="000708D6">
        <w:rPr>
          <w:lang w:val="en-GB"/>
        </w:rPr>
        <w:t xml:space="preserve">. </w:t>
      </w:r>
      <w:r w:rsidR="002655BE" w:rsidRPr="000708D6">
        <w:rPr>
          <w:lang w:val="en-GB"/>
        </w:rPr>
        <w:t>It has a democratic parliamentary system, with free and competitive elections.</w:t>
      </w:r>
      <w:r w:rsidR="006619CD" w:rsidRPr="000708D6">
        <w:rPr>
          <w:lang w:val="en-GB"/>
        </w:rPr>
        <w:t xml:space="preserve"> </w:t>
      </w:r>
      <w:r w:rsidR="002655BE" w:rsidRPr="000708D6">
        <w:rPr>
          <w:lang w:val="en-GB"/>
        </w:rPr>
        <w:t xml:space="preserve">However, there is a need to strengthen transparency, accountability and inclusiveness in government institutions </w:t>
      </w:r>
      <w:r w:rsidR="00EA76D3">
        <w:rPr>
          <w:lang w:val="en-GB"/>
        </w:rPr>
        <w:t>and to</w:t>
      </w:r>
      <w:r w:rsidR="002655BE" w:rsidRPr="000708D6">
        <w:rPr>
          <w:lang w:val="en-GB"/>
        </w:rPr>
        <w:t xml:space="preserve"> expand civic participation</w:t>
      </w:r>
      <w:r w:rsidR="00221433" w:rsidRPr="000708D6">
        <w:rPr>
          <w:lang w:val="en-GB"/>
        </w:rPr>
        <w:t xml:space="preserve">. </w:t>
      </w:r>
      <w:r w:rsidRPr="000708D6">
        <w:rPr>
          <w:lang w:val="en-GB"/>
        </w:rPr>
        <w:t>The country</w:t>
      </w:r>
      <w:r w:rsidR="00887A79" w:rsidRPr="000708D6">
        <w:rPr>
          <w:lang w:val="en-GB"/>
        </w:rPr>
        <w:t xml:space="preserve"> is ranked 63</w:t>
      </w:r>
      <w:r w:rsidRPr="000708D6">
        <w:rPr>
          <w:vertAlign w:val="superscript"/>
          <w:lang w:val="en-GB"/>
        </w:rPr>
        <w:t>rd</w:t>
      </w:r>
      <w:r w:rsidR="00887A79" w:rsidRPr="000708D6">
        <w:rPr>
          <w:lang w:val="en-GB"/>
        </w:rPr>
        <w:t xml:space="preserve"> in the </w:t>
      </w:r>
      <w:r w:rsidRPr="000708D6">
        <w:rPr>
          <w:lang w:val="en-GB"/>
        </w:rPr>
        <w:t xml:space="preserve">World Bank </w:t>
      </w:r>
      <w:r w:rsidR="00887A79" w:rsidRPr="000708D6">
        <w:rPr>
          <w:lang w:val="en-GB"/>
        </w:rPr>
        <w:t>‘</w:t>
      </w:r>
      <w:r w:rsidRPr="000708D6">
        <w:rPr>
          <w:lang w:val="en-GB"/>
        </w:rPr>
        <w:t>v</w:t>
      </w:r>
      <w:r w:rsidR="00887A79" w:rsidRPr="000708D6">
        <w:rPr>
          <w:lang w:val="en-GB"/>
        </w:rPr>
        <w:t xml:space="preserve">oice and </w:t>
      </w:r>
      <w:r w:rsidRPr="000708D6">
        <w:rPr>
          <w:lang w:val="en-GB"/>
        </w:rPr>
        <w:t>a</w:t>
      </w:r>
      <w:r w:rsidR="00887A79" w:rsidRPr="000708D6">
        <w:rPr>
          <w:lang w:val="en-GB"/>
        </w:rPr>
        <w:t xml:space="preserve">ccountability’ governance </w:t>
      </w:r>
      <w:r w:rsidR="00644B92" w:rsidRPr="000708D6">
        <w:rPr>
          <w:lang w:val="en-GB"/>
        </w:rPr>
        <w:t>indicator</w:t>
      </w:r>
      <w:r w:rsidR="00EA76D3">
        <w:rPr>
          <w:lang w:val="en-GB"/>
        </w:rPr>
        <w:t>s</w:t>
      </w:r>
      <w:r w:rsidR="00644B92" w:rsidRPr="000708D6">
        <w:rPr>
          <w:lang w:val="en-GB"/>
        </w:rPr>
        <w:t>,</w:t>
      </w:r>
      <w:r w:rsidR="007F30D0" w:rsidRPr="000708D6">
        <w:rPr>
          <w:lang w:val="en-GB"/>
        </w:rPr>
        <w:t xml:space="preserve"> and 72</w:t>
      </w:r>
      <w:r w:rsidR="007F30D0" w:rsidRPr="000708D6">
        <w:rPr>
          <w:vertAlign w:val="superscript"/>
          <w:lang w:val="en-GB"/>
        </w:rPr>
        <w:t>nd</w:t>
      </w:r>
      <w:r w:rsidR="007F30D0" w:rsidRPr="000708D6">
        <w:rPr>
          <w:lang w:val="en-GB"/>
        </w:rPr>
        <w:t xml:space="preserve"> i</w:t>
      </w:r>
      <w:r w:rsidR="002655BE" w:rsidRPr="000708D6">
        <w:rPr>
          <w:lang w:val="en-GB"/>
        </w:rPr>
        <w:t>n</w:t>
      </w:r>
      <w:r w:rsidR="007F30D0" w:rsidRPr="000708D6">
        <w:rPr>
          <w:lang w:val="en-GB"/>
        </w:rPr>
        <w:t xml:space="preserve"> the</w:t>
      </w:r>
      <w:r w:rsidR="002655BE" w:rsidRPr="000708D6">
        <w:rPr>
          <w:lang w:val="en-GB"/>
        </w:rPr>
        <w:t xml:space="preserve"> </w:t>
      </w:r>
      <w:r w:rsidRPr="000708D6">
        <w:rPr>
          <w:lang w:val="en-GB"/>
        </w:rPr>
        <w:t xml:space="preserve">Transparency International </w:t>
      </w:r>
      <w:r w:rsidR="007F30D0" w:rsidRPr="000708D6">
        <w:rPr>
          <w:lang w:val="en-GB"/>
        </w:rPr>
        <w:t>‘</w:t>
      </w:r>
      <w:r w:rsidRPr="000708D6">
        <w:rPr>
          <w:lang w:val="en-GB"/>
        </w:rPr>
        <w:t>c</w:t>
      </w:r>
      <w:r w:rsidR="007F30D0" w:rsidRPr="000708D6">
        <w:rPr>
          <w:lang w:val="en-GB"/>
        </w:rPr>
        <w:t xml:space="preserve">orruption </w:t>
      </w:r>
      <w:r w:rsidRPr="000708D6">
        <w:rPr>
          <w:lang w:val="en-GB"/>
        </w:rPr>
        <w:t>p</w:t>
      </w:r>
      <w:r w:rsidR="007F30D0" w:rsidRPr="000708D6">
        <w:rPr>
          <w:lang w:val="en-GB"/>
        </w:rPr>
        <w:t>erceptions</w:t>
      </w:r>
      <w:r w:rsidR="00EA76D3">
        <w:rPr>
          <w:lang w:val="en-GB"/>
        </w:rPr>
        <w:t>’</w:t>
      </w:r>
      <w:r w:rsidR="007F30D0" w:rsidRPr="000708D6">
        <w:rPr>
          <w:lang w:val="en-GB"/>
        </w:rPr>
        <w:t xml:space="preserve"> </w:t>
      </w:r>
      <w:r w:rsidRPr="000708D6">
        <w:rPr>
          <w:lang w:val="en-GB"/>
        </w:rPr>
        <w:t>i</w:t>
      </w:r>
      <w:r w:rsidR="007F30D0" w:rsidRPr="000708D6">
        <w:rPr>
          <w:lang w:val="en-GB"/>
        </w:rPr>
        <w:t>ndex</w:t>
      </w:r>
      <w:r w:rsidRPr="000708D6">
        <w:rPr>
          <w:lang w:val="en-GB"/>
        </w:rPr>
        <w:t>,</w:t>
      </w:r>
      <w:r w:rsidR="007F30D0" w:rsidRPr="000708D6">
        <w:rPr>
          <w:lang w:val="en-GB"/>
        </w:rPr>
        <w:t xml:space="preserve"> </w:t>
      </w:r>
      <w:r w:rsidR="00AE6257" w:rsidRPr="000708D6">
        <w:rPr>
          <w:lang w:val="en-GB"/>
        </w:rPr>
        <w:t>2015</w:t>
      </w:r>
      <w:r w:rsidR="00977780" w:rsidRPr="000708D6">
        <w:rPr>
          <w:lang w:val="en-GB"/>
        </w:rPr>
        <w:t>.</w:t>
      </w:r>
      <w:r w:rsidR="003168D4" w:rsidRPr="000708D6">
        <w:rPr>
          <w:lang w:val="en-GB"/>
        </w:rPr>
        <w:t xml:space="preserve"> </w:t>
      </w:r>
    </w:p>
    <w:p w14:paraId="02C42CA3" w14:textId="317B2B88" w:rsidR="003168D4" w:rsidRPr="000708D6" w:rsidRDefault="002655BE" w:rsidP="00440828">
      <w:pPr>
        <w:pStyle w:val="ListParagraph"/>
        <w:numPr>
          <w:ilvl w:val="0"/>
          <w:numId w:val="31"/>
        </w:numPr>
        <w:tabs>
          <w:tab w:val="left" w:pos="1440"/>
        </w:tabs>
        <w:spacing w:after="120"/>
        <w:ind w:left="1170" w:right="1030" w:firstLine="0"/>
        <w:jc w:val="both"/>
        <w:rPr>
          <w:lang w:val="en-GB"/>
        </w:rPr>
      </w:pPr>
      <w:r w:rsidRPr="000708D6">
        <w:rPr>
          <w:lang w:val="en-GB"/>
        </w:rPr>
        <w:t>Crime and criminality remain a fundamental development challenge</w:t>
      </w:r>
      <w:r w:rsidRPr="000708D6">
        <w:rPr>
          <w:rStyle w:val="FootnoteReference"/>
          <w:sz w:val="16"/>
          <w:szCs w:val="16"/>
          <w:lang w:val="en-GB"/>
        </w:rPr>
        <w:footnoteReference w:id="4"/>
      </w:r>
      <w:r w:rsidR="00221433" w:rsidRPr="000708D6">
        <w:rPr>
          <w:lang w:val="en-GB"/>
        </w:rPr>
        <w:t xml:space="preserve">. </w:t>
      </w:r>
      <w:r w:rsidR="00EA76D3">
        <w:rPr>
          <w:lang w:val="en-GB"/>
        </w:rPr>
        <w:t>The country</w:t>
      </w:r>
      <w:r w:rsidRPr="000708D6">
        <w:rPr>
          <w:lang w:val="en-GB"/>
        </w:rPr>
        <w:t xml:space="preserve"> has not yet fully</w:t>
      </w:r>
      <w:r w:rsidR="00977780" w:rsidRPr="000708D6">
        <w:rPr>
          <w:lang w:val="en-GB"/>
        </w:rPr>
        <w:t xml:space="preserve"> embraced a citizen security app</w:t>
      </w:r>
      <w:r w:rsidRPr="000708D6">
        <w:rPr>
          <w:lang w:val="en-GB"/>
        </w:rPr>
        <w:t>roach to deal with the root causes and risk factors that affect crime, victimization and protection of vulnerable groups</w:t>
      </w:r>
      <w:r w:rsidR="00221433" w:rsidRPr="000708D6">
        <w:rPr>
          <w:lang w:val="en-GB"/>
        </w:rPr>
        <w:t xml:space="preserve">. </w:t>
      </w:r>
      <w:r w:rsidRPr="000708D6">
        <w:rPr>
          <w:lang w:val="en-GB"/>
        </w:rPr>
        <w:t>The murder figures reflect an upward trend</w:t>
      </w:r>
      <w:r w:rsidR="005C7E82" w:rsidRPr="000708D6">
        <w:rPr>
          <w:lang w:val="en-GB"/>
        </w:rPr>
        <w:t>,</w:t>
      </w:r>
      <w:r w:rsidRPr="000708D6">
        <w:rPr>
          <w:lang w:val="en-GB"/>
        </w:rPr>
        <w:t xml:space="preserve"> with 410 murders recorded in 2015 as compared to 352 in 2011.</w:t>
      </w:r>
      <w:r w:rsidR="009C2E7F" w:rsidRPr="000708D6">
        <w:rPr>
          <w:lang w:val="en-GB"/>
        </w:rPr>
        <w:t xml:space="preserve"> </w:t>
      </w:r>
      <w:r w:rsidRPr="000708D6">
        <w:rPr>
          <w:lang w:val="en-GB"/>
        </w:rPr>
        <w:t xml:space="preserve">Over 100 criminal gangs </w:t>
      </w:r>
      <w:r w:rsidR="00591EA0" w:rsidRPr="000708D6">
        <w:rPr>
          <w:lang w:val="en-GB"/>
        </w:rPr>
        <w:t>are</w:t>
      </w:r>
      <w:r w:rsidRPr="000708D6">
        <w:rPr>
          <w:lang w:val="en-GB"/>
        </w:rPr>
        <w:t xml:space="preserve"> linked to weapons smuggling, fraud, and other organi</w:t>
      </w:r>
      <w:r w:rsidR="005C7E82">
        <w:rPr>
          <w:lang w:val="en-GB"/>
        </w:rPr>
        <w:t>z</w:t>
      </w:r>
      <w:r w:rsidRPr="000708D6">
        <w:rPr>
          <w:lang w:val="en-GB"/>
        </w:rPr>
        <w:t>ed criminal activities</w:t>
      </w:r>
      <w:r w:rsidRPr="000708D6">
        <w:rPr>
          <w:sz w:val="16"/>
          <w:szCs w:val="16"/>
          <w:vertAlign w:val="superscript"/>
          <w:lang w:val="en-GB"/>
        </w:rPr>
        <w:footnoteReference w:id="5"/>
      </w:r>
      <w:r w:rsidR="00221433" w:rsidRPr="000708D6">
        <w:rPr>
          <w:sz w:val="16"/>
          <w:szCs w:val="16"/>
          <w:lang w:val="en-GB"/>
        </w:rPr>
        <w:t xml:space="preserve">. </w:t>
      </w:r>
      <w:r w:rsidRPr="000708D6">
        <w:rPr>
          <w:lang w:val="en-GB"/>
        </w:rPr>
        <w:t>Male youth between the ages of 14</w:t>
      </w:r>
      <w:r w:rsidR="005C7E82" w:rsidRPr="005C7E82">
        <w:rPr>
          <w:lang w:val="en-GB"/>
        </w:rPr>
        <w:t xml:space="preserve"> </w:t>
      </w:r>
      <w:r w:rsidR="00056AF6" w:rsidRPr="000708D6">
        <w:rPr>
          <w:lang w:val="en-GB"/>
        </w:rPr>
        <w:t>and</w:t>
      </w:r>
      <w:r w:rsidRPr="000708D6">
        <w:rPr>
          <w:lang w:val="en-GB"/>
        </w:rPr>
        <w:t xml:space="preserve"> 24 are the predominant victims and perpetrators of serious criminal offences</w:t>
      </w:r>
      <w:r w:rsidR="00EA3147" w:rsidRPr="000708D6">
        <w:rPr>
          <w:lang w:val="en-GB"/>
        </w:rPr>
        <w:t>, and when</w:t>
      </w:r>
      <w:r w:rsidRPr="000708D6">
        <w:rPr>
          <w:lang w:val="en-GB"/>
        </w:rPr>
        <w:t xml:space="preserve"> in conflict with the law</w:t>
      </w:r>
      <w:r w:rsidR="00977780" w:rsidRPr="000708D6">
        <w:rPr>
          <w:lang w:val="en-GB"/>
        </w:rPr>
        <w:t>, the norms of the</w:t>
      </w:r>
      <w:r w:rsidR="00644B92" w:rsidRPr="000708D6">
        <w:rPr>
          <w:lang w:val="en-GB"/>
        </w:rPr>
        <w:t xml:space="preserve"> U</w:t>
      </w:r>
      <w:r w:rsidR="00056AF6" w:rsidRPr="000708D6">
        <w:rPr>
          <w:lang w:val="en-GB"/>
        </w:rPr>
        <w:t>nited Nations</w:t>
      </w:r>
      <w:r w:rsidRPr="000708D6">
        <w:rPr>
          <w:lang w:val="en-GB"/>
        </w:rPr>
        <w:t xml:space="preserve"> Convention </w:t>
      </w:r>
      <w:r w:rsidRPr="000708D6">
        <w:rPr>
          <w:lang w:val="en-GB"/>
        </w:rPr>
        <w:lastRenderedPageBreak/>
        <w:t>on the Rights of the Child</w:t>
      </w:r>
      <w:r w:rsidR="00EA3147" w:rsidRPr="000708D6">
        <w:rPr>
          <w:sz w:val="16"/>
          <w:szCs w:val="16"/>
          <w:vertAlign w:val="superscript"/>
          <w:lang w:val="en-GB"/>
        </w:rPr>
        <w:footnoteReference w:id="6"/>
      </w:r>
      <w:r w:rsidR="00977780" w:rsidRPr="000708D6">
        <w:rPr>
          <w:lang w:val="en-GB"/>
        </w:rPr>
        <w:t xml:space="preserve"> are not routinely upheld</w:t>
      </w:r>
      <w:r w:rsidR="00221433" w:rsidRPr="000708D6">
        <w:rPr>
          <w:lang w:val="en-GB"/>
        </w:rPr>
        <w:t xml:space="preserve">. </w:t>
      </w:r>
      <w:r w:rsidRPr="000708D6">
        <w:rPr>
          <w:lang w:val="en-GB"/>
        </w:rPr>
        <w:t>Reported crimes related to sexual assault and domestic violence increased from 551 in 2013 to 825 in 2014</w:t>
      </w:r>
      <w:r w:rsidRPr="000708D6">
        <w:rPr>
          <w:sz w:val="16"/>
          <w:szCs w:val="16"/>
          <w:vertAlign w:val="superscript"/>
          <w:lang w:val="en-GB"/>
        </w:rPr>
        <w:footnoteReference w:id="7"/>
      </w:r>
      <w:r w:rsidR="00CD6866" w:rsidRPr="000708D6">
        <w:rPr>
          <w:lang w:val="en-GB"/>
        </w:rPr>
        <w:t>. The c</w:t>
      </w:r>
      <w:r w:rsidRPr="000708D6">
        <w:rPr>
          <w:lang w:val="en-GB"/>
        </w:rPr>
        <w:t xml:space="preserve">riminal </w:t>
      </w:r>
      <w:r w:rsidR="00CD6866" w:rsidRPr="000708D6">
        <w:rPr>
          <w:lang w:val="en-GB"/>
        </w:rPr>
        <w:t>justice s</w:t>
      </w:r>
      <w:r w:rsidRPr="000708D6">
        <w:rPr>
          <w:lang w:val="en-GB"/>
        </w:rPr>
        <w:t>ystem has been undermined by inefficienc</w:t>
      </w:r>
      <w:r w:rsidR="00665234">
        <w:rPr>
          <w:lang w:val="en-GB"/>
        </w:rPr>
        <w:t>y</w:t>
      </w:r>
      <w:r w:rsidRPr="000708D6">
        <w:rPr>
          <w:lang w:val="en-GB"/>
        </w:rPr>
        <w:t xml:space="preserve"> due to </w:t>
      </w:r>
      <w:r w:rsidR="00C41FBC">
        <w:rPr>
          <w:lang w:val="en-GB"/>
        </w:rPr>
        <w:t xml:space="preserve">a </w:t>
      </w:r>
      <w:r w:rsidRPr="000708D6">
        <w:rPr>
          <w:lang w:val="en-GB"/>
        </w:rPr>
        <w:t>shortage of judges</w:t>
      </w:r>
      <w:r w:rsidR="00977780" w:rsidRPr="000708D6">
        <w:rPr>
          <w:lang w:val="en-GB"/>
        </w:rPr>
        <w:t xml:space="preserve"> and</w:t>
      </w:r>
      <w:r w:rsidRPr="000708D6">
        <w:rPr>
          <w:lang w:val="en-GB"/>
        </w:rPr>
        <w:t xml:space="preserve"> poor police practices</w:t>
      </w:r>
      <w:r w:rsidR="00977780" w:rsidRPr="000708D6">
        <w:rPr>
          <w:lang w:val="en-GB"/>
        </w:rPr>
        <w:t>,</w:t>
      </w:r>
      <w:r w:rsidRPr="000708D6">
        <w:rPr>
          <w:lang w:val="en-GB"/>
        </w:rPr>
        <w:t xml:space="preserve"> resulting in case backlogs</w:t>
      </w:r>
      <w:r w:rsidR="00117DA1" w:rsidRPr="000708D6">
        <w:rPr>
          <w:lang w:val="en-GB"/>
        </w:rPr>
        <w:t xml:space="preserve"> and</w:t>
      </w:r>
      <w:r w:rsidR="00A56CEC" w:rsidRPr="000708D6">
        <w:rPr>
          <w:lang w:val="en-GB"/>
        </w:rPr>
        <w:t xml:space="preserve"> </w:t>
      </w:r>
      <w:r w:rsidRPr="000708D6">
        <w:rPr>
          <w:lang w:val="en-GB"/>
        </w:rPr>
        <w:t xml:space="preserve">insufficient resources for </w:t>
      </w:r>
      <w:r w:rsidR="009C2E7F" w:rsidRPr="000708D6">
        <w:rPr>
          <w:lang w:val="en-GB"/>
        </w:rPr>
        <w:t>the j</w:t>
      </w:r>
      <w:r w:rsidRPr="000708D6">
        <w:rPr>
          <w:lang w:val="en-GB"/>
        </w:rPr>
        <w:t xml:space="preserve">udiciary. </w:t>
      </w:r>
    </w:p>
    <w:p w14:paraId="3AF11F8A" w14:textId="0AEF2B5A" w:rsidR="003168D4" w:rsidRPr="000708D6" w:rsidRDefault="002655BE" w:rsidP="00440828">
      <w:pPr>
        <w:pStyle w:val="ListParagraph"/>
        <w:numPr>
          <w:ilvl w:val="0"/>
          <w:numId w:val="31"/>
        </w:numPr>
        <w:tabs>
          <w:tab w:val="left" w:pos="1440"/>
          <w:tab w:val="left" w:pos="1530"/>
        </w:tabs>
        <w:spacing w:after="120"/>
        <w:ind w:left="1170" w:right="1030" w:firstLine="0"/>
        <w:jc w:val="both"/>
        <w:rPr>
          <w:lang w:val="en-GB"/>
        </w:rPr>
      </w:pPr>
      <w:r w:rsidRPr="000708D6">
        <w:rPr>
          <w:lang w:val="en-GB"/>
        </w:rPr>
        <w:t>Climate</w:t>
      </w:r>
      <w:r w:rsidR="00C41FBC">
        <w:rPr>
          <w:lang w:val="en-GB"/>
        </w:rPr>
        <w:t>-</w:t>
      </w:r>
      <w:r w:rsidR="00A56CEC" w:rsidRPr="000708D6">
        <w:rPr>
          <w:lang w:val="en-GB"/>
        </w:rPr>
        <w:t xml:space="preserve">resilient development requires </w:t>
      </w:r>
      <w:r w:rsidRPr="000708D6">
        <w:rPr>
          <w:lang w:val="en-GB"/>
        </w:rPr>
        <w:t>a long</w:t>
      </w:r>
      <w:r w:rsidR="00C41FBC">
        <w:rPr>
          <w:lang w:val="en-GB"/>
        </w:rPr>
        <w:t>-</w:t>
      </w:r>
      <w:r w:rsidRPr="000708D6">
        <w:rPr>
          <w:lang w:val="en-GB"/>
        </w:rPr>
        <w:t xml:space="preserve">term management approach to climate change mitigation and adaptation, including risk reduction. </w:t>
      </w:r>
      <w:r w:rsidR="0076226C" w:rsidRPr="000708D6">
        <w:rPr>
          <w:lang w:val="en-GB"/>
        </w:rPr>
        <w:t xml:space="preserve">Strengthening climate resilience and </w:t>
      </w:r>
      <w:r w:rsidR="00C41FBC">
        <w:rPr>
          <w:lang w:val="en-GB"/>
        </w:rPr>
        <w:t xml:space="preserve">the </w:t>
      </w:r>
      <w:r w:rsidR="0076226C" w:rsidRPr="000708D6">
        <w:rPr>
          <w:lang w:val="en-GB"/>
        </w:rPr>
        <w:t xml:space="preserve">capacity </w:t>
      </w:r>
      <w:r w:rsidR="00C41FBC">
        <w:rPr>
          <w:lang w:val="en-GB"/>
        </w:rPr>
        <w:t>for</w:t>
      </w:r>
      <w:r w:rsidR="0076226C" w:rsidRPr="000708D6">
        <w:rPr>
          <w:lang w:val="en-GB"/>
        </w:rPr>
        <w:t xml:space="preserve"> risk-informed development planning is particularly important </w:t>
      </w:r>
      <w:r w:rsidR="00C41FBC">
        <w:rPr>
          <w:lang w:val="en-GB"/>
        </w:rPr>
        <w:t>in</w:t>
      </w:r>
      <w:r w:rsidR="0076226C" w:rsidRPr="000708D6">
        <w:rPr>
          <w:lang w:val="en-GB"/>
        </w:rPr>
        <w:t xml:space="preserve"> improv</w:t>
      </w:r>
      <w:r w:rsidR="00F75492">
        <w:rPr>
          <w:lang w:val="en-GB"/>
        </w:rPr>
        <w:t>ing</w:t>
      </w:r>
      <w:r w:rsidR="0076226C" w:rsidRPr="000708D6">
        <w:rPr>
          <w:lang w:val="en-GB"/>
        </w:rPr>
        <w:t xml:space="preserve"> the lives of vulnerable groups</w:t>
      </w:r>
      <w:r w:rsidR="00221433" w:rsidRPr="000708D6">
        <w:rPr>
          <w:lang w:val="en-GB"/>
        </w:rPr>
        <w:t xml:space="preserve">. </w:t>
      </w:r>
      <w:r w:rsidR="0076226C" w:rsidRPr="000708D6">
        <w:rPr>
          <w:lang w:val="en-GB"/>
        </w:rPr>
        <w:t xml:space="preserve">Regarding </w:t>
      </w:r>
      <w:r w:rsidRPr="000708D6">
        <w:rPr>
          <w:lang w:val="en-GB"/>
        </w:rPr>
        <w:t xml:space="preserve">adaptation to climate change, while </w:t>
      </w:r>
      <w:r w:rsidR="00221433" w:rsidRPr="000708D6">
        <w:rPr>
          <w:lang w:val="en-GB"/>
        </w:rPr>
        <w:t>Trinidad and Tobago</w:t>
      </w:r>
      <w:r w:rsidRPr="000708D6">
        <w:rPr>
          <w:lang w:val="en-GB"/>
        </w:rPr>
        <w:t xml:space="preserve"> </w:t>
      </w:r>
      <w:r w:rsidR="00C41FBC">
        <w:rPr>
          <w:lang w:val="en-GB"/>
        </w:rPr>
        <w:t>does</w:t>
      </w:r>
      <w:r w:rsidR="00C41FBC" w:rsidRPr="000708D6">
        <w:rPr>
          <w:lang w:val="en-GB"/>
        </w:rPr>
        <w:t xml:space="preserve"> </w:t>
      </w:r>
      <w:r w:rsidRPr="000708D6">
        <w:rPr>
          <w:lang w:val="en-GB"/>
        </w:rPr>
        <w:t>not regularly experience national</w:t>
      </w:r>
      <w:r w:rsidR="00C41FBC">
        <w:rPr>
          <w:lang w:val="en-GB"/>
        </w:rPr>
        <w:t>-</w:t>
      </w:r>
      <w:r w:rsidRPr="000708D6">
        <w:rPr>
          <w:lang w:val="en-GB"/>
        </w:rPr>
        <w:t>level disasters there has been an increase in the intensity and duration of hydro-meteorological events.</w:t>
      </w:r>
      <w:r w:rsidR="009C2E7F" w:rsidRPr="000708D6">
        <w:rPr>
          <w:lang w:val="en-GB"/>
        </w:rPr>
        <w:t xml:space="preserve"> </w:t>
      </w:r>
      <w:r w:rsidR="00C41FBC">
        <w:rPr>
          <w:lang w:val="en-GB"/>
        </w:rPr>
        <w:t>S</w:t>
      </w:r>
      <w:r w:rsidR="00C41FBC" w:rsidRPr="00A56C57">
        <w:rPr>
          <w:lang w:val="en-GB"/>
        </w:rPr>
        <w:t>ituated on the Caribbean tectonic plate</w:t>
      </w:r>
      <w:r w:rsidR="00C41FBC">
        <w:rPr>
          <w:lang w:val="en-GB"/>
        </w:rPr>
        <w:t>,</w:t>
      </w:r>
      <w:r w:rsidRPr="000708D6">
        <w:rPr>
          <w:lang w:val="en-GB"/>
        </w:rPr>
        <w:t xml:space="preserve"> </w:t>
      </w:r>
      <w:r w:rsidR="00F75492">
        <w:rPr>
          <w:lang w:val="en-GB"/>
        </w:rPr>
        <w:t>the country</w:t>
      </w:r>
      <w:r w:rsidR="00C41FBC">
        <w:rPr>
          <w:lang w:val="en-GB"/>
        </w:rPr>
        <w:t xml:space="preserve"> </w:t>
      </w:r>
      <w:r w:rsidRPr="000708D6">
        <w:rPr>
          <w:lang w:val="en-GB"/>
        </w:rPr>
        <w:t>is at relatively high risk of seismic activity</w:t>
      </w:r>
      <w:r w:rsidR="00A0115C" w:rsidRPr="000708D6">
        <w:rPr>
          <w:lang w:val="en-GB"/>
        </w:rPr>
        <w:t xml:space="preserve"> </w:t>
      </w:r>
      <w:r w:rsidRPr="000708D6">
        <w:rPr>
          <w:lang w:val="en-GB"/>
        </w:rPr>
        <w:t>and man-made hazards</w:t>
      </w:r>
      <w:r w:rsidR="00221433" w:rsidRPr="000708D6">
        <w:rPr>
          <w:lang w:val="en-GB"/>
        </w:rPr>
        <w:t xml:space="preserve">. </w:t>
      </w:r>
      <w:r w:rsidRPr="000708D6">
        <w:rPr>
          <w:lang w:val="en-GB"/>
        </w:rPr>
        <w:t xml:space="preserve">In terms of climate change mitigation, </w:t>
      </w:r>
      <w:r w:rsidR="00221433" w:rsidRPr="000708D6">
        <w:rPr>
          <w:lang w:val="en-GB"/>
        </w:rPr>
        <w:t>Trinidad and Tobago</w:t>
      </w:r>
      <w:r w:rsidRPr="000708D6">
        <w:rPr>
          <w:lang w:val="en-GB"/>
        </w:rPr>
        <w:t xml:space="preserve"> has submitted its Intended Nationally Determined Contribution to the </w:t>
      </w:r>
      <w:r w:rsidR="009928E1" w:rsidRPr="000708D6">
        <w:rPr>
          <w:lang w:val="en-GB"/>
        </w:rPr>
        <w:t xml:space="preserve">United Nations Framework Convention on Climate Change </w:t>
      </w:r>
      <w:r w:rsidR="009928E1">
        <w:rPr>
          <w:lang w:val="en-GB"/>
        </w:rPr>
        <w:t>(</w:t>
      </w:r>
      <w:r w:rsidRPr="000708D6">
        <w:rPr>
          <w:lang w:val="en-GB"/>
        </w:rPr>
        <w:t>UNFCCC</w:t>
      </w:r>
      <w:r w:rsidR="009928E1">
        <w:rPr>
          <w:lang w:val="en-GB"/>
        </w:rPr>
        <w:t>)</w:t>
      </w:r>
      <w:r w:rsidRPr="000708D6">
        <w:rPr>
          <w:lang w:val="en-GB"/>
        </w:rPr>
        <w:t xml:space="preserve"> and has developed </w:t>
      </w:r>
      <w:r w:rsidR="00056AF6" w:rsidRPr="000708D6">
        <w:rPr>
          <w:lang w:val="en-GB"/>
        </w:rPr>
        <w:t>a c</w:t>
      </w:r>
      <w:r w:rsidRPr="000708D6">
        <w:rPr>
          <w:lang w:val="en-GB"/>
        </w:rPr>
        <w:t>arbon</w:t>
      </w:r>
      <w:r w:rsidR="00C41FBC">
        <w:rPr>
          <w:lang w:val="en-GB"/>
        </w:rPr>
        <w:t>-</w:t>
      </w:r>
      <w:r w:rsidR="00056AF6" w:rsidRPr="000708D6">
        <w:rPr>
          <w:lang w:val="en-GB"/>
        </w:rPr>
        <w:t>r</w:t>
      </w:r>
      <w:r w:rsidRPr="000708D6">
        <w:rPr>
          <w:lang w:val="en-GB"/>
        </w:rPr>
        <w:t xml:space="preserve">eduction </w:t>
      </w:r>
      <w:r w:rsidR="00056AF6" w:rsidRPr="000708D6">
        <w:rPr>
          <w:lang w:val="en-GB"/>
        </w:rPr>
        <w:t>s</w:t>
      </w:r>
      <w:r w:rsidRPr="000708D6">
        <w:rPr>
          <w:lang w:val="en-GB"/>
        </w:rPr>
        <w:t>trategy</w:t>
      </w:r>
      <w:r w:rsidRPr="000708D6">
        <w:rPr>
          <w:lang w:val="en-GB"/>
        </w:rPr>
        <w:footnoteReference w:id="8"/>
      </w:r>
      <w:r w:rsidRPr="000708D6">
        <w:rPr>
          <w:lang w:val="en-GB"/>
        </w:rPr>
        <w:t xml:space="preserve">. </w:t>
      </w:r>
      <w:r w:rsidR="009C2E7F" w:rsidRPr="000708D6">
        <w:rPr>
          <w:lang w:val="en-GB"/>
        </w:rPr>
        <w:t>Th</w:t>
      </w:r>
      <w:r w:rsidR="00056AF6" w:rsidRPr="000708D6">
        <w:rPr>
          <w:lang w:val="en-GB"/>
        </w:rPr>
        <w:t>e</w:t>
      </w:r>
      <w:r w:rsidR="009C2E7F" w:rsidRPr="000708D6">
        <w:rPr>
          <w:lang w:val="en-GB"/>
        </w:rPr>
        <w:t xml:space="preserve"> s</w:t>
      </w:r>
      <w:r w:rsidRPr="000708D6">
        <w:rPr>
          <w:lang w:val="en-GB"/>
        </w:rPr>
        <w:t xml:space="preserve">trategy emphasizes energy efficiency as </w:t>
      </w:r>
      <w:r w:rsidR="00C41FBC">
        <w:rPr>
          <w:lang w:val="en-GB"/>
        </w:rPr>
        <w:t>a means</w:t>
      </w:r>
      <w:r w:rsidRPr="000708D6">
        <w:rPr>
          <w:lang w:val="en-GB"/>
        </w:rPr>
        <w:t xml:space="preserve"> towards reducing carbon emissions, particularly </w:t>
      </w:r>
      <w:r w:rsidR="00F75492">
        <w:rPr>
          <w:lang w:val="en-GB"/>
        </w:rPr>
        <w:t>since</w:t>
      </w:r>
      <w:r w:rsidRPr="000708D6">
        <w:rPr>
          <w:lang w:val="en-GB"/>
        </w:rPr>
        <w:t xml:space="preserve"> </w:t>
      </w:r>
      <w:r w:rsidR="00221433" w:rsidRPr="000708D6">
        <w:rPr>
          <w:lang w:val="en-GB"/>
        </w:rPr>
        <w:t>Trinidad and Tobago</w:t>
      </w:r>
      <w:r w:rsidRPr="000708D6">
        <w:rPr>
          <w:lang w:val="en-GB"/>
        </w:rPr>
        <w:t xml:space="preserve"> was ranked the least energy</w:t>
      </w:r>
      <w:r w:rsidR="00056AF6" w:rsidRPr="000708D6">
        <w:rPr>
          <w:lang w:val="en-GB"/>
        </w:rPr>
        <w:t>-</w:t>
      </w:r>
      <w:r w:rsidRPr="000708D6">
        <w:rPr>
          <w:lang w:val="en-GB"/>
        </w:rPr>
        <w:t>efficient of 14 Caribbean states</w:t>
      </w:r>
      <w:r w:rsidRPr="000708D6">
        <w:rPr>
          <w:sz w:val="16"/>
          <w:szCs w:val="16"/>
          <w:vertAlign w:val="superscript"/>
          <w:lang w:val="en-GB"/>
        </w:rPr>
        <w:footnoteReference w:id="9"/>
      </w:r>
      <w:r w:rsidR="00F75492" w:rsidRPr="00F75492">
        <w:rPr>
          <w:lang w:val="en-GB"/>
        </w:rPr>
        <w:t xml:space="preserve"> </w:t>
      </w:r>
      <w:r w:rsidR="00F75492">
        <w:rPr>
          <w:lang w:val="en-GB"/>
        </w:rPr>
        <w:t>in </w:t>
      </w:r>
      <w:r w:rsidR="00F75492" w:rsidRPr="00241D6F">
        <w:rPr>
          <w:lang w:val="en-GB"/>
        </w:rPr>
        <w:t>2013</w:t>
      </w:r>
      <w:r w:rsidR="00221433" w:rsidRPr="000708D6">
        <w:rPr>
          <w:lang w:val="en-GB"/>
        </w:rPr>
        <w:t xml:space="preserve">. </w:t>
      </w:r>
    </w:p>
    <w:p w14:paraId="4F53BF0F" w14:textId="5BB32D46" w:rsidR="003168D4" w:rsidRPr="005C7E82" w:rsidRDefault="00F36891" w:rsidP="00440828">
      <w:pPr>
        <w:pStyle w:val="ListParagraph"/>
        <w:numPr>
          <w:ilvl w:val="0"/>
          <w:numId w:val="31"/>
        </w:numPr>
        <w:tabs>
          <w:tab w:val="left" w:pos="1440"/>
          <w:tab w:val="left" w:pos="1530"/>
        </w:tabs>
        <w:spacing w:after="120"/>
        <w:ind w:left="1170" w:right="1030" w:firstLine="0"/>
        <w:jc w:val="both"/>
        <w:rPr>
          <w:strike/>
          <w:lang w:val="en-GB"/>
        </w:rPr>
      </w:pPr>
      <w:r w:rsidRPr="000708D6">
        <w:rPr>
          <w:lang w:val="en-GB"/>
        </w:rPr>
        <w:t xml:space="preserve">During the previous </w:t>
      </w:r>
      <w:r w:rsidR="00CF1355" w:rsidRPr="000708D6">
        <w:rPr>
          <w:lang w:val="en-GB"/>
        </w:rPr>
        <w:t>c</w:t>
      </w:r>
      <w:r w:rsidR="008A64EF" w:rsidRPr="000708D6">
        <w:rPr>
          <w:lang w:val="en-GB"/>
        </w:rPr>
        <w:t xml:space="preserve">ountry </w:t>
      </w:r>
      <w:r w:rsidR="00CF1355" w:rsidRPr="000708D6">
        <w:rPr>
          <w:lang w:val="en-GB"/>
        </w:rPr>
        <w:t>p</w:t>
      </w:r>
      <w:r w:rsidR="008A64EF" w:rsidRPr="000708D6">
        <w:rPr>
          <w:lang w:val="en-GB"/>
        </w:rPr>
        <w:t>rogramme</w:t>
      </w:r>
      <w:r w:rsidR="00CF1355" w:rsidRPr="000708D6">
        <w:rPr>
          <w:lang w:val="en-GB"/>
        </w:rPr>
        <w:t>,</w:t>
      </w:r>
      <w:r w:rsidR="00C25EF7" w:rsidRPr="000708D6">
        <w:rPr>
          <w:lang w:val="en-GB"/>
        </w:rPr>
        <w:t xml:space="preserve"> </w:t>
      </w:r>
      <w:r w:rsidR="008A64EF" w:rsidRPr="000708D6">
        <w:rPr>
          <w:lang w:val="en-GB"/>
        </w:rPr>
        <w:t>2012-2016</w:t>
      </w:r>
      <w:r w:rsidR="00CF1355" w:rsidRPr="000708D6">
        <w:rPr>
          <w:lang w:val="en-GB"/>
        </w:rPr>
        <w:t>,</w:t>
      </w:r>
      <w:r w:rsidR="008A64EF" w:rsidRPr="000708D6">
        <w:rPr>
          <w:lang w:val="en-GB"/>
        </w:rPr>
        <w:t xml:space="preserve"> </w:t>
      </w:r>
      <w:r w:rsidRPr="000708D6">
        <w:rPr>
          <w:lang w:val="en-GB"/>
        </w:rPr>
        <w:t xml:space="preserve">UNDP succeeded in strengthening </w:t>
      </w:r>
      <w:r w:rsidR="00953118" w:rsidRPr="000708D6">
        <w:rPr>
          <w:lang w:val="en-GB"/>
        </w:rPr>
        <w:t xml:space="preserve">national ownership and </w:t>
      </w:r>
      <w:r w:rsidRPr="000708D6">
        <w:rPr>
          <w:lang w:val="en-GB"/>
        </w:rPr>
        <w:t xml:space="preserve">relationships with the </w:t>
      </w:r>
      <w:r w:rsidR="00CF08BC">
        <w:rPr>
          <w:lang w:val="en-GB"/>
        </w:rPr>
        <w:t>G</w:t>
      </w:r>
      <w:r w:rsidRPr="000708D6">
        <w:rPr>
          <w:lang w:val="en-GB"/>
        </w:rPr>
        <w:t>overnment</w:t>
      </w:r>
      <w:r w:rsidR="00CF08BC">
        <w:rPr>
          <w:lang w:val="en-GB"/>
        </w:rPr>
        <w:t>,</w:t>
      </w:r>
      <w:r w:rsidRPr="000708D6">
        <w:rPr>
          <w:lang w:val="en-GB"/>
        </w:rPr>
        <w:t xml:space="preserve"> civil society, donor partners and academia. </w:t>
      </w:r>
      <w:r w:rsidR="008872CE" w:rsidRPr="000708D6">
        <w:rPr>
          <w:lang w:val="en-GB"/>
        </w:rPr>
        <w:t>The evaluation of th</w:t>
      </w:r>
      <w:r w:rsidR="00CF08BC">
        <w:rPr>
          <w:lang w:val="en-GB"/>
        </w:rPr>
        <w:t>a</w:t>
      </w:r>
      <w:r w:rsidR="008872CE" w:rsidRPr="000708D6">
        <w:rPr>
          <w:lang w:val="en-GB"/>
        </w:rPr>
        <w:t xml:space="preserve">t </w:t>
      </w:r>
      <w:r w:rsidR="00CF1355" w:rsidRPr="000708D6">
        <w:rPr>
          <w:lang w:val="en-GB"/>
        </w:rPr>
        <w:t>programme</w:t>
      </w:r>
      <w:r w:rsidR="008872CE" w:rsidRPr="000708D6">
        <w:rPr>
          <w:lang w:val="en-GB"/>
        </w:rPr>
        <w:t xml:space="preserve"> confirmed</w:t>
      </w:r>
      <w:r w:rsidRPr="000708D6">
        <w:rPr>
          <w:lang w:val="en-GB"/>
        </w:rPr>
        <w:t xml:space="preserve"> UNDP</w:t>
      </w:r>
      <w:r w:rsidR="008872CE" w:rsidRPr="000708D6">
        <w:rPr>
          <w:lang w:val="en-GB"/>
        </w:rPr>
        <w:t xml:space="preserve"> as </w:t>
      </w:r>
      <w:r w:rsidRPr="000708D6">
        <w:rPr>
          <w:lang w:val="en-GB"/>
        </w:rPr>
        <w:t xml:space="preserve">a valued </w:t>
      </w:r>
      <w:r w:rsidR="00C85AE2" w:rsidRPr="000708D6">
        <w:rPr>
          <w:lang w:val="en-GB"/>
        </w:rPr>
        <w:t xml:space="preserve">and trusted </w:t>
      </w:r>
      <w:r w:rsidRPr="000708D6">
        <w:rPr>
          <w:lang w:val="en-GB"/>
        </w:rPr>
        <w:t xml:space="preserve">development partner </w:t>
      </w:r>
      <w:r w:rsidR="00F75492">
        <w:rPr>
          <w:lang w:val="en-GB"/>
        </w:rPr>
        <w:t>thanks to</w:t>
      </w:r>
      <w:r w:rsidRPr="000708D6">
        <w:rPr>
          <w:lang w:val="en-GB"/>
        </w:rPr>
        <w:t xml:space="preserve"> its technical support and exp</w:t>
      </w:r>
      <w:r w:rsidR="00A0115C" w:rsidRPr="000708D6">
        <w:rPr>
          <w:lang w:val="en-GB"/>
        </w:rPr>
        <w:t>ertise.</w:t>
      </w:r>
      <w:r w:rsidR="00C85AE2" w:rsidRPr="000708D6">
        <w:rPr>
          <w:rStyle w:val="FootnoteReference"/>
          <w:lang w:val="en-GB"/>
        </w:rPr>
        <w:footnoteReference w:id="10"/>
      </w:r>
      <w:r w:rsidR="00C71943" w:rsidRPr="000708D6">
        <w:rPr>
          <w:lang w:val="en-GB"/>
        </w:rPr>
        <w:t xml:space="preserve"> </w:t>
      </w:r>
      <w:r w:rsidR="00282E39" w:rsidRPr="000708D6">
        <w:rPr>
          <w:lang w:val="en-GB"/>
        </w:rPr>
        <w:t>The</w:t>
      </w:r>
      <w:r w:rsidR="00A0115C" w:rsidRPr="000708D6">
        <w:rPr>
          <w:lang w:val="en-GB"/>
        </w:rPr>
        <w:t xml:space="preserve"> </w:t>
      </w:r>
      <w:r w:rsidR="00C85AE2" w:rsidRPr="000708D6">
        <w:rPr>
          <w:lang w:val="en-GB"/>
        </w:rPr>
        <w:t>report recognized</w:t>
      </w:r>
      <w:r w:rsidR="00A0115C" w:rsidRPr="000708D6">
        <w:rPr>
          <w:lang w:val="en-GB"/>
        </w:rPr>
        <w:t xml:space="preserve"> </w:t>
      </w:r>
      <w:r w:rsidR="00F75492">
        <w:rPr>
          <w:lang w:val="en-GB"/>
        </w:rPr>
        <w:t xml:space="preserve">its </w:t>
      </w:r>
      <w:r w:rsidR="00A0115C" w:rsidRPr="000708D6">
        <w:rPr>
          <w:lang w:val="en-GB"/>
        </w:rPr>
        <w:t xml:space="preserve">contributions to </w:t>
      </w:r>
      <w:r w:rsidR="004E2B7A" w:rsidRPr="000708D6">
        <w:rPr>
          <w:lang w:val="en-GB"/>
        </w:rPr>
        <w:t>strengthening</w:t>
      </w:r>
      <w:r w:rsidR="00A0115C" w:rsidRPr="000708D6">
        <w:rPr>
          <w:lang w:val="en-GB"/>
        </w:rPr>
        <w:t xml:space="preserve"> national institutions</w:t>
      </w:r>
      <w:r w:rsidR="004E2B7A" w:rsidRPr="000708D6">
        <w:rPr>
          <w:lang w:val="en-GB"/>
        </w:rPr>
        <w:t xml:space="preserve"> (</w:t>
      </w:r>
      <w:r w:rsidR="00CF08BC">
        <w:rPr>
          <w:lang w:val="en-GB"/>
        </w:rPr>
        <w:t xml:space="preserve">such as </w:t>
      </w:r>
      <w:r w:rsidR="004E2B7A" w:rsidRPr="000708D6">
        <w:rPr>
          <w:lang w:val="en-GB"/>
        </w:rPr>
        <w:t>Parliament</w:t>
      </w:r>
      <w:r w:rsidR="00CF08BC">
        <w:rPr>
          <w:lang w:val="en-GB"/>
        </w:rPr>
        <w:t xml:space="preserve"> and</w:t>
      </w:r>
      <w:r w:rsidR="004E2B7A" w:rsidRPr="000708D6">
        <w:rPr>
          <w:lang w:val="en-GB"/>
        </w:rPr>
        <w:t xml:space="preserve"> Public Procurement), </w:t>
      </w:r>
      <w:r w:rsidRPr="000708D6">
        <w:rPr>
          <w:lang w:val="en-GB"/>
        </w:rPr>
        <w:t>disaster risk management</w:t>
      </w:r>
      <w:r w:rsidR="00CF08BC">
        <w:rPr>
          <w:lang w:val="en-GB"/>
        </w:rPr>
        <w:t>,</w:t>
      </w:r>
      <w:r w:rsidR="00C25EF7" w:rsidRPr="000708D6">
        <w:rPr>
          <w:lang w:val="en-GB"/>
        </w:rPr>
        <w:t xml:space="preserve"> </w:t>
      </w:r>
      <w:r w:rsidR="004E2B7A" w:rsidRPr="000708D6">
        <w:rPr>
          <w:lang w:val="en-GB"/>
        </w:rPr>
        <w:t xml:space="preserve">and </w:t>
      </w:r>
      <w:r w:rsidRPr="000708D6">
        <w:rPr>
          <w:lang w:val="en-GB"/>
        </w:rPr>
        <w:t>citizen</w:t>
      </w:r>
      <w:r w:rsidR="00CF08BC">
        <w:rPr>
          <w:lang w:val="en-GB"/>
        </w:rPr>
        <w:t>s’</w:t>
      </w:r>
      <w:r w:rsidRPr="000708D6">
        <w:rPr>
          <w:lang w:val="en-GB"/>
        </w:rPr>
        <w:t xml:space="preserve"> rights</w:t>
      </w:r>
      <w:r w:rsidR="00CF08BC">
        <w:rPr>
          <w:lang w:val="en-GB"/>
        </w:rPr>
        <w:t>,</w:t>
      </w:r>
      <w:r w:rsidR="00C74CEB" w:rsidRPr="000708D6">
        <w:rPr>
          <w:lang w:val="en-GB"/>
        </w:rPr>
        <w:t xml:space="preserve"> resulting in increased public awareness </w:t>
      </w:r>
      <w:r w:rsidR="00C71943" w:rsidRPr="000708D6">
        <w:rPr>
          <w:lang w:val="en-GB"/>
        </w:rPr>
        <w:t xml:space="preserve">and </w:t>
      </w:r>
      <w:r w:rsidR="00F75492" w:rsidRPr="00241D6F">
        <w:rPr>
          <w:lang w:val="en-GB"/>
        </w:rPr>
        <w:t xml:space="preserve">national partner </w:t>
      </w:r>
      <w:r w:rsidR="00C74CEB" w:rsidRPr="000708D6">
        <w:rPr>
          <w:lang w:val="en-GB"/>
        </w:rPr>
        <w:t>requests for UNDP</w:t>
      </w:r>
      <w:r w:rsidR="00CF08BC">
        <w:rPr>
          <w:lang w:val="en-GB"/>
        </w:rPr>
        <w:t xml:space="preserve"> to</w:t>
      </w:r>
      <w:r w:rsidR="00C74CEB" w:rsidRPr="000708D6">
        <w:rPr>
          <w:lang w:val="en-GB"/>
        </w:rPr>
        <w:t xml:space="preserve"> engage in these programmatic areas.</w:t>
      </w:r>
      <w:r w:rsidRPr="000708D6">
        <w:rPr>
          <w:lang w:val="en-GB"/>
        </w:rPr>
        <w:t xml:space="preserve"> </w:t>
      </w:r>
      <w:r w:rsidR="00591678" w:rsidRPr="000708D6">
        <w:rPr>
          <w:lang w:val="en-GB"/>
        </w:rPr>
        <w:t>On the policy side, UNDP facilitate</w:t>
      </w:r>
      <w:r w:rsidR="00CF08BC">
        <w:rPr>
          <w:lang w:val="en-GB"/>
        </w:rPr>
        <w:t>d</w:t>
      </w:r>
      <w:r w:rsidR="00591678" w:rsidRPr="000708D6">
        <w:rPr>
          <w:lang w:val="en-GB"/>
        </w:rPr>
        <w:t xml:space="preserve"> a </w:t>
      </w:r>
      <w:r w:rsidR="00A0115C" w:rsidRPr="000708D6">
        <w:rPr>
          <w:lang w:val="en-GB"/>
        </w:rPr>
        <w:t>series</w:t>
      </w:r>
      <w:r w:rsidR="00591678" w:rsidRPr="000708D6">
        <w:rPr>
          <w:lang w:val="en-GB"/>
        </w:rPr>
        <w:t xml:space="preserve"> of </w:t>
      </w:r>
      <w:r w:rsidR="008A64EF" w:rsidRPr="000708D6">
        <w:rPr>
          <w:lang w:val="en-GB"/>
        </w:rPr>
        <w:t xml:space="preserve">dialogues on </w:t>
      </w:r>
      <w:r w:rsidR="004148F6" w:rsidRPr="000708D6">
        <w:rPr>
          <w:lang w:val="en-GB"/>
        </w:rPr>
        <w:t>various development issues</w:t>
      </w:r>
      <w:r w:rsidR="00CF08BC">
        <w:rPr>
          <w:lang w:val="en-GB"/>
        </w:rPr>
        <w:t xml:space="preserve">, </w:t>
      </w:r>
      <w:r w:rsidR="004E2B7A" w:rsidRPr="000708D6">
        <w:rPr>
          <w:lang w:val="en-GB"/>
        </w:rPr>
        <w:t>introduc</w:t>
      </w:r>
      <w:r w:rsidR="00CF08BC">
        <w:rPr>
          <w:lang w:val="en-GB"/>
        </w:rPr>
        <w:t>ing</w:t>
      </w:r>
      <w:r w:rsidR="004E2B7A" w:rsidRPr="000708D6">
        <w:rPr>
          <w:lang w:val="en-GB"/>
        </w:rPr>
        <w:t xml:space="preserve"> municipal poverty </w:t>
      </w:r>
      <w:r w:rsidR="00BC272E" w:rsidRPr="000708D6">
        <w:rPr>
          <w:lang w:val="en-GB"/>
        </w:rPr>
        <w:t>profiles</w:t>
      </w:r>
      <w:r w:rsidR="004E2B7A" w:rsidRPr="000708D6">
        <w:rPr>
          <w:lang w:val="en-GB"/>
        </w:rPr>
        <w:t xml:space="preserve"> </w:t>
      </w:r>
      <w:r w:rsidR="00591678" w:rsidRPr="000708D6">
        <w:rPr>
          <w:lang w:val="en-GB"/>
        </w:rPr>
        <w:t xml:space="preserve">and </w:t>
      </w:r>
      <w:r w:rsidR="00CF08BC">
        <w:rPr>
          <w:lang w:val="en-GB"/>
        </w:rPr>
        <w:t>undertaking</w:t>
      </w:r>
      <w:r w:rsidR="00591678" w:rsidRPr="000708D6">
        <w:rPr>
          <w:lang w:val="en-GB"/>
        </w:rPr>
        <w:t xml:space="preserve"> research </w:t>
      </w:r>
      <w:r w:rsidR="00CF08BC">
        <w:rPr>
          <w:lang w:val="en-GB"/>
        </w:rPr>
        <w:t>into</w:t>
      </w:r>
      <w:r w:rsidR="00CF08BC" w:rsidRPr="000708D6">
        <w:rPr>
          <w:lang w:val="en-GB"/>
        </w:rPr>
        <w:t xml:space="preserve"> </w:t>
      </w:r>
      <w:r w:rsidR="00591678" w:rsidRPr="000708D6">
        <w:rPr>
          <w:lang w:val="en-GB"/>
        </w:rPr>
        <w:t xml:space="preserve">alternative </w:t>
      </w:r>
      <w:r w:rsidRPr="000708D6">
        <w:rPr>
          <w:lang w:val="en-GB"/>
        </w:rPr>
        <w:t xml:space="preserve">methods </w:t>
      </w:r>
      <w:r w:rsidR="00CF08BC">
        <w:rPr>
          <w:lang w:val="en-GB"/>
        </w:rPr>
        <w:t>of</w:t>
      </w:r>
      <w:r w:rsidR="00CF08BC" w:rsidRPr="000708D6">
        <w:rPr>
          <w:lang w:val="en-GB"/>
        </w:rPr>
        <w:t xml:space="preserve"> </w:t>
      </w:r>
      <w:r w:rsidRPr="000708D6">
        <w:rPr>
          <w:lang w:val="en-GB"/>
        </w:rPr>
        <w:t>assess</w:t>
      </w:r>
      <w:r w:rsidR="00A0115C" w:rsidRPr="000708D6">
        <w:rPr>
          <w:lang w:val="en-GB"/>
        </w:rPr>
        <w:t>ing</w:t>
      </w:r>
      <w:r w:rsidRPr="000708D6">
        <w:rPr>
          <w:lang w:val="en-GB"/>
        </w:rPr>
        <w:t xml:space="preserve"> development</w:t>
      </w:r>
      <w:r w:rsidR="00591678" w:rsidRPr="000708D6">
        <w:rPr>
          <w:lang w:val="en-GB"/>
        </w:rPr>
        <w:t xml:space="preserve"> </w:t>
      </w:r>
      <w:r w:rsidR="004148F6" w:rsidRPr="000708D6">
        <w:rPr>
          <w:lang w:val="en-GB"/>
        </w:rPr>
        <w:t xml:space="preserve">in </w:t>
      </w:r>
      <w:r w:rsidR="00591678" w:rsidRPr="000708D6">
        <w:rPr>
          <w:lang w:val="en-GB"/>
        </w:rPr>
        <w:t>high</w:t>
      </w:r>
      <w:r w:rsidR="00CF08BC">
        <w:rPr>
          <w:lang w:val="en-GB"/>
        </w:rPr>
        <w:t>-</w:t>
      </w:r>
      <w:r w:rsidR="00A0115C" w:rsidRPr="000708D6">
        <w:rPr>
          <w:lang w:val="en-GB"/>
        </w:rPr>
        <w:t>income</w:t>
      </w:r>
      <w:r w:rsidR="009535C4" w:rsidRPr="000708D6">
        <w:rPr>
          <w:lang w:val="en-GB"/>
        </w:rPr>
        <w:t xml:space="preserve"> countries</w:t>
      </w:r>
      <w:r w:rsidR="00CF08BC">
        <w:rPr>
          <w:lang w:val="en-GB"/>
        </w:rPr>
        <w:t xml:space="preserve"> –</w:t>
      </w:r>
      <w:r w:rsidR="00F75492">
        <w:rPr>
          <w:lang w:val="en-GB"/>
        </w:rPr>
        <w:t xml:space="preserve"> </w:t>
      </w:r>
      <w:r w:rsidR="00A0115C" w:rsidRPr="000708D6">
        <w:rPr>
          <w:lang w:val="en-GB"/>
        </w:rPr>
        <w:t xml:space="preserve">critical to the </w:t>
      </w:r>
      <w:r w:rsidR="000F3AA9" w:rsidRPr="000708D6">
        <w:rPr>
          <w:lang w:val="en-GB"/>
        </w:rPr>
        <w:t>sustainable development goal</w:t>
      </w:r>
      <w:r w:rsidR="005E035C" w:rsidRPr="000708D6">
        <w:rPr>
          <w:lang w:val="en-GB"/>
        </w:rPr>
        <w:t>s</w:t>
      </w:r>
      <w:r w:rsidR="000F3AA9" w:rsidRPr="000708D6">
        <w:rPr>
          <w:lang w:val="en-GB"/>
        </w:rPr>
        <w:t xml:space="preserve"> </w:t>
      </w:r>
      <w:r w:rsidR="00591678" w:rsidRPr="000708D6">
        <w:rPr>
          <w:lang w:val="en-GB"/>
        </w:rPr>
        <w:t>agenda</w:t>
      </w:r>
      <w:r w:rsidR="00591678" w:rsidRPr="000708D6">
        <w:rPr>
          <w:rStyle w:val="FootnoteReference"/>
          <w:lang w:val="en-GB"/>
        </w:rPr>
        <w:footnoteReference w:id="11"/>
      </w:r>
      <w:r w:rsidR="00591678" w:rsidRPr="000708D6">
        <w:rPr>
          <w:lang w:val="en-GB"/>
        </w:rPr>
        <w:t>.</w:t>
      </w:r>
      <w:r w:rsidR="003168D4" w:rsidRPr="000708D6">
        <w:rPr>
          <w:lang w:val="en-GB"/>
        </w:rPr>
        <w:t xml:space="preserve"> </w:t>
      </w:r>
    </w:p>
    <w:p w14:paraId="5AD58FB1" w14:textId="59A957F7" w:rsidR="00D679FA" w:rsidRPr="005C7E82" w:rsidRDefault="00650F9E" w:rsidP="00440828">
      <w:pPr>
        <w:pStyle w:val="ListParagraph"/>
        <w:numPr>
          <w:ilvl w:val="0"/>
          <w:numId w:val="31"/>
        </w:numPr>
        <w:tabs>
          <w:tab w:val="left" w:pos="1440"/>
          <w:tab w:val="left" w:pos="1530"/>
        </w:tabs>
        <w:ind w:left="1170" w:right="1030" w:firstLine="0"/>
        <w:jc w:val="both"/>
        <w:rPr>
          <w:lang w:val="en-GB"/>
        </w:rPr>
      </w:pPr>
      <w:r w:rsidRPr="000708D6">
        <w:rPr>
          <w:lang w:val="en-GB"/>
        </w:rPr>
        <w:t xml:space="preserve">Following the recommendations of the </w:t>
      </w:r>
      <w:r w:rsidR="004148F6" w:rsidRPr="000708D6">
        <w:rPr>
          <w:lang w:val="en-GB"/>
        </w:rPr>
        <w:t>evaluation</w:t>
      </w:r>
      <w:r w:rsidRPr="000708D6">
        <w:rPr>
          <w:lang w:val="en-GB"/>
        </w:rPr>
        <w:t xml:space="preserve">, the new </w:t>
      </w:r>
      <w:r w:rsidR="00CF1355" w:rsidRPr="000708D6">
        <w:rPr>
          <w:lang w:val="en-GB"/>
        </w:rPr>
        <w:t>country programme</w:t>
      </w:r>
      <w:r w:rsidRPr="000708D6">
        <w:rPr>
          <w:lang w:val="en-GB"/>
        </w:rPr>
        <w:t xml:space="preserve"> cycle will build on past successes and pursue opportunities for g</w:t>
      </w:r>
      <w:r w:rsidR="002655BE" w:rsidRPr="000708D6">
        <w:rPr>
          <w:lang w:val="en-GB"/>
        </w:rPr>
        <w:t>ender mainstreaming</w:t>
      </w:r>
      <w:r w:rsidR="00644B92" w:rsidRPr="000708D6">
        <w:rPr>
          <w:lang w:val="en-GB"/>
        </w:rPr>
        <w:t xml:space="preserve"> </w:t>
      </w:r>
      <w:r w:rsidR="004148F6" w:rsidRPr="000708D6">
        <w:rPr>
          <w:lang w:val="en-GB"/>
        </w:rPr>
        <w:t xml:space="preserve">and </w:t>
      </w:r>
      <w:r w:rsidR="00CF08BC" w:rsidRPr="00A56C57">
        <w:rPr>
          <w:lang w:val="en-GB"/>
        </w:rPr>
        <w:t>increased</w:t>
      </w:r>
      <w:r w:rsidR="00CF08BC">
        <w:rPr>
          <w:lang w:val="en-GB"/>
        </w:rPr>
        <w:t xml:space="preserve"> </w:t>
      </w:r>
      <w:r w:rsidR="002655BE" w:rsidRPr="000708D6">
        <w:rPr>
          <w:lang w:val="en-GB"/>
        </w:rPr>
        <w:t xml:space="preserve">use of </w:t>
      </w:r>
      <w:r w:rsidR="005E035C" w:rsidRPr="000708D6">
        <w:rPr>
          <w:lang w:val="en-GB"/>
        </w:rPr>
        <w:t xml:space="preserve">information and communications technology </w:t>
      </w:r>
      <w:r w:rsidR="002655BE" w:rsidRPr="000708D6">
        <w:rPr>
          <w:lang w:val="en-GB"/>
        </w:rPr>
        <w:t>for development across the portfolio</w:t>
      </w:r>
      <w:r w:rsidR="00E638D0" w:rsidRPr="000708D6">
        <w:rPr>
          <w:lang w:val="en-GB"/>
        </w:rPr>
        <w:t xml:space="preserve">, </w:t>
      </w:r>
      <w:r w:rsidRPr="000708D6">
        <w:rPr>
          <w:lang w:val="en-GB"/>
        </w:rPr>
        <w:t xml:space="preserve">while strengthening </w:t>
      </w:r>
      <w:r w:rsidR="00B76F5A" w:rsidRPr="000708D6">
        <w:rPr>
          <w:lang w:val="en-GB"/>
        </w:rPr>
        <w:t>outreach to Tobago</w:t>
      </w:r>
      <w:r w:rsidR="002655BE" w:rsidRPr="000708D6">
        <w:rPr>
          <w:lang w:val="en-GB"/>
        </w:rPr>
        <w:t>.</w:t>
      </w:r>
      <w:r w:rsidR="00C71943" w:rsidRPr="000708D6">
        <w:rPr>
          <w:lang w:val="en-GB"/>
        </w:rPr>
        <w:t xml:space="preserve"> </w:t>
      </w:r>
      <w:r w:rsidR="00CF08BC">
        <w:rPr>
          <w:lang w:val="en-GB"/>
        </w:rPr>
        <w:t>UNDP will work</w:t>
      </w:r>
      <w:r w:rsidR="00CF08BC" w:rsidRPr="00A56C57">
        <w:rPr>
          <w:lang w:val="en-GB"/>
        </w:rPr>
        <w:t xml:space="preserve"> with </w:t>
      </w:r>
      <w:r w:rsidR="00CF08BC">
        <w:rPr>
          <w:lang w:val="en-GB"/>
        </w:rPr>
        <w:t>the G</w:t>
      </w:r>
      <w:r w:rsidR="00CF08BC" w:rsidRPr="00A56C57">
        <w:rPr>
          <w:lang w:val="en-GB"/>
        </w:rPr>
        <w:t>overnment, civil society and other partners</w:t>
      </w:r>
      <w:r w:rsidR="00CF08BC" w:rsidRPr="00414E3E" w:rsidDel="00CF08BC">
        <w:rPr>
          <w:lang w:val="en-GB"/>
        </w:rPr>
        <w:t xml:space="preserve"> </w:t>
      </w:r>
      <w:r w:rsidR="00CF08BC">
        <w:rPr>
          <w:lang w:val="en-GB"/>
        </w:rPr>
        <w:t>to</w:t>
      </w:r>
      <w:r w:rsidR="00302544" w:rsidRPr="000708D6">
        <w:rPr>
          <w:lang w:val="en-GB"/>
        </w:rPr>
        <w:t xml:space="preserve"> advoca</w:t>
      </w:r>
      <w:r w:rsidR="00CF08BC">
        <w:rPr>
          <w:lang w:val="en-GB"/>
        </w:rPr>
        <w:t>te for</w:t>
      </w:r>
      <w:r w:rsidR="00302544" w:rsidRPr="000708D6">
        <w:rPr>
          <w:lang w:val="en-GB"/>
        </w:rPr>
        <w:t xml:space="preserve"> human rights and HIV/AIDS issues.</w:t>
      </w:r>
      <w:r w:rsidR="002655BE" w:rsidRPr="000708D6">
        <w:rPr>
          <w:lang w:val="en-GB"/>
        </w:rPr>
        <w:t xml:space="preserve"> </w:t>
      </w:r>
      <w:r w:rsidR="00711FB9">
        <w:rPr>
          <w:lang w:val="en-GB"/>
        </w:rPr>
        <w:t>Noting</w:t>
      </w:r>
      <w:r w:rsidR="00711FB9" w:rsidRPr="000708D6">
        <w:rPr>
          <w:lang w:val="en-GB"/>
        </w:rPr>
        <w:t xml:space="preserve"> </w:t>
      </w:r>
      <w:r w:rsidR="00711FB9">
        <w:rPr>
          <w:lang w:val="en-GB"/>
        </w:rPr>
        <w:t>the</w:t>
      </w:r>
      <w:r w:rsidR="002655BE" w:rsidRPr="000708D6">
        <w:rPr>
          <w:lang w:val="en-GB"/>
        </w:rPr>
        <w:t xml:space="preserve"> high</w:t>
      </w:r>
      <w:r w:rsidR="00711FB9">
        <w:rPr>
          <w:lang w:val="en-GB"/>
        </w:rPr>
        <w:t>-</w:t>
      </w:r>
      <w:r w:rsidR="002655BE" w:rsidRPr="000708D6">
        <w:rPr>
          <w:lang w:val="en-GB"/>
        </w:rPr>
        <w:t>income status</w:t>
      </w:r>
      <w:r w:rsidR="00711FB9">
        <w:rPr>
          <w:lang w:val="en-GB"/>
        </w:rPr>
        <w:t xml:space="preserve"> of Trinidad and Tobago</w:t>
      </w:r>
      <w:r w:rsidR="002655BE" w:rsidRPr="000708D6">
        <w:rPr>
          <w:lang w:val="en-GB"/>
        </w:rPr>
        <w:t>, the</w:t>
      </w:r>
      <w:r w:rsidR="008C6F7E" w:rsidRPr="000708D6">
        <w:rPr>
          <w:lang w:val="en-GB"/>
        </w:rPr>
        <w:t xml:space="preserve"> evaluation highlighted</w:t>
      </w:r>
      <w:r w:rsidR="002655BE" w:rsidRPr="000708D6">
        <w:rPr>
          <w:lang w:val="en-GB"/>
        </w:rPr>
        <w:t xml:space="preserve"> </w:t>
      </w:r>
      <w:r w:rsidR="00711FB9">
        <w:rPr>
          <w:lang w:val="en-GB"/>
        </w:rPr>
        <w:t>it</w:t>
      </w:r>
      <w:r w:rsidR="00711FB9" w:rsidRPr="000708D6">
        <w:rPr>
          <w:lang w:val="en-GB"/>
        </w:rPr>
        <w:t xml:space="preserve">s </w:t>
      </w:r>
      <w:r w:rsidR="002655BE" w:rsidRPr="000708D6">
        <w:rPr>
          <w:lang w:val="en-GB"/>
        </w:rPr>
        <w:t xml:space="preserve">categorization as a </w:t>
      </w:r>
      <w:r w:rsidR="00CF1355" w:rsidRPr="000708D6">
        <w:rPr>
          <w:lang w:val="en-GB"/>
        </w:rPr>
        <w:t>n</w:t>
      </w:r>
      <w:r w:rsidR="002655BE" w:rsidRPr="000708D6">
        <w:rPr>
          <w:lang w:val="en-GB"/>
        </w:rPr>
        <w:t xml:space="preserve">et </w:t>
      </w:r>
      <w:r w:rsidR="00CF1355" w:rsidRPr="000708D6">
        <w:rPr>
          <w:lang w:val="en-GB"/>
        </w:rPr>
        <w:t>c</w:t>
      </w:r>
      <w:r w:rsidR="002655BE" w:rsidRPr="000708D6">
        <w:rPr>
          <w:lang w:val="en-GB"/>
        </w:rPr>
        <w:t>ontribut</w:t>
      </w:r>
      <w:r w:rsidR="00CF1355" w:rsidRPr="000708D6">
        <w:rPr>
          <w:lang w:val="en-GB"/>
        </w:rPr>
        <w:t>or</w:t>
      </w:r>
      <w:r w:rsidR="002655BE" w:rsidRPr="000708D6">
        <w:rPr>
          <w:lang w:val="en-GB"/>
        </w:rPr>
        <w:t xml:space="preserve"> </w:t>
      </w:r>
      <w:r w:rsidR="00CF1355" w:rsidRPr="000708D6">
        <w:rPr>
          <w:lang w:val="en-GB"/>
        </w:rPr>
        <w:t>c</w:t>
      </w:r>
      <w:r w:rsidR="00D57222" w:rsidRPr="000708D6">
        <w:rPr>
          <w:lang w:val="en-GB"/>
        </w:rPr>
        <w:t xml:space="preserve">ountry </w:t>
      </w:r>
      <w:r w:rsidR="008C6F7E" w:rsidRPr="000708D6">
        <w:rPr>
          <w:lang w:val="en-GB"/>
        </w:rPr>
        <w:t>and the</w:t>
      </w:r>
      <w:r w:rsidR="004148F6" w:rsidRPr="000708D6">
        <w:rPr>
          <w:lang w:val="en-GB"/>
        </w:rPr>
        <w:t xml:space="preserve"> </w:t>
      </w:r>
      <w:r w:rsidR="008C6F7E" w:rsidRPr="000708D6">
        <w:rPr>
          <w:lang w:val="en-GB"/>
        </w:rPr>
        <w:t xml:space="preserve">need for greater </w:t>
      </w:r>
      <w:r w:rsidR="00953118" w:rsidRPr="000708D6">
        <w:rPr>
          <w:lang w:val="en-GB"/>
        </w:rPr>
        <w:t xml:space="preserve">national ownership, </w:t>
      </w:r>
      <w:r w:rsidR="008C6F7E" w:rsidRPr="000708D6">
        <w:rPr>
          <w:lang w:val="en-GB"/>
        </w:rPr>
        <w:t>partnership</w:t>
      </w:r>
      <w:r w:rsidR="00711FB9">
        <w:rPr>
          <w:lang w:val="en-GB"/>
        </w:rPr>
        <w:t>-</w:t>
      </w:r>
      <w:r w:rsidR="008C6F7E" w:rsidRPr="000708D6">
        <w:rPr>
          <w:lang w:val="en-GB"/>
        </w:rPr>
        <w:t>building and relationship management to broaden its funding base</w:t>
      </w:r>
      <w:r w:rsidR="004148F6" w:rsidRPr="000708D6">
        <w:rPr>
          <w:lang w:val="en-GB"/>
        </w:rPr>
        <w:t xml:space="preserve">. </w:t>
      </w:r>
      <w:r w:rsidR="00711FB9">
        <w:rPr>
          <w:lang w:val="en-GB"/>
        </w:rPr>
        <w:t>E</w:t>
      </w:r>
      <w:r w:rsidR="004148F6" w:rsidRPr="000708D6">
        <w:rPr>
          <w:lang w:val="en-GB"/>
        </w:rPr>
        <w:t xml:space="preserve">mphasis on </w:t>
      </w:r>
      <w:r w:rsidR="00CF1355" w:rsidRPr="000708D6">
        <w:rPr>
          <w:lang w:val="en-GB"/>
        </w:rPr>
        <w:t>monitoring and evaluation</w:t>
      </w:r>
      <w:r w:rsidR="00711FB9">
        <w:rPr>
          <w:lang w:val="en-GB"/>
        </w:rPr>
        <w:t>,</w:t>
      </w:r>
      <w:r w:rsidR="004148F6" w:rsidRPr="000708D6">
        <w:rPr>
          <w:lang w:val="en-GB"/>
        </w:rPr>
        <w:t xml:space="preserve"> and innovative approaches to evidence-based programming</w:t>
      </w:r>
      <w:r w:rsidR="00711FB9">
        <w:rPr>
          <w:lang w:val="en-GB"/>
        </w:rPr>
        <w:t>,</w:t>
      </w:r>
      <w:r w:rsidR="004148F6" w:rsidRPr="000708D6">
        <w:rPr>
          <w:lang w:val="en-GB"/>
        </w:rPr>
        <w:t xml:space="preserve"> will </w:t>
      </w:r>
      <w:r w:rsidR="00711FB9">
        <w:rPr>
          <w:lang w:val="en-GB"/>
        </w:rPr>
        <w:t>assist</w:t>
      </w:r>
      <w:r w:rsidR="004148F6" w:rsidRPr="000708D6">
        <w:rPr>
          <w:lang w:val="en-GB"/>
        </w:rPr>
        <w:t xml:space="preserve"> UNDP </w:t>
      </w:r>
      <w:r w:rsidR="00711FB9">
        <w:rPr>
          <w:lang w:val="en-GB"/>
        </w:rPr>
        <w:t>in</w:t>
      </w:r>
      <w:r w:rsidR="00711FB9" w:rsidRPr="000708D6">
        <w:rPr>
          <w:lang w:val="en-GB"/>
        </w:rPr>
        <w:t xml:space="preserve"> </w:t>
      </w:r>
      <w:r w:rsidR="004148F6" w:rsidRPr="000708D6">
        <w:rPr>
          <w:lang w:val="en-GB"/>
        </w:rPr>
        <w:t>provid</w:t>
      </w:r>
      <w:r w:rsidR="00711FB9">
        <w:rPr>
          <w:lang w:val="en-GB"/>
        </w:rPr>
        <w:t>ing</w:t>
      </w:r>
      <w:r w:rsidR="004148F6" w:rsidRPr="000708D6">
        <w:rPr>
          <w:lang w:val="en-GB"/>
        </w:rPr>
        <w:t xml:space="preserve"> unique</w:t>
      </w:r>
      <w:r w:rsidR="00E638D0" w:rsidRPr="000708D6">
        <w:rPr>
          <w:lang w:val="en-GB"/>
        </w:rPr>
        <w:t xml:space="preserve"> added value</w:t>
      </w:r>
      <w:r w:rsidR="00221433" w:rsidRPr="000708D6">
        <w:rPr>
          <w:lang w:val="en-GB"/>
        </w:rPr>
        <w:t xml:space="preserve">. </w:t>
      </w:r>
    </w:p>
    <w:p w14:paraId="4DF6730F" w14:textId="77777777" w:rsidR="00266AEF" w:rsidRPr="001B0F48" w:rsidRDefault="00266AEF" w:rsidP="00440828">
      <w:pPr>
        <w:pStyle w:val="ListParagraph"/>
        <w:tabs>
          <w:tab w:val="left" w:pos="1530"/>
        </w:tabs>
        <w:ind w:left="1170" w:right="1030"/>
        <w:jc w:val="both"/>
        <w:rPr>
          <w:lang w:val="en-GB"/>
        </w:rPr>
      </w:pPr>
    </w:p>
    <w:p w14:paraId="02A8E6A9" w14:textId="50A084DB" w:rsidR="002655BE" w:rsidRPr="000708D6" w:rsidRDefault="002655BE" w:rsidP="00440828">
      <w:pPr>
        <w:pStyle w:val="Heading2"/>
        <w:tabs>
          <w:tab w:val="left" w:pos="1260"/>
          <w:tab w:val="left" w:pos="1530"/>
          <w:tab w:val="right" w:pos="8093"/>
        </w:tabs>
        <w:ind w:left="1170" w:right="1030" w:hanging="547"/>
        <w:jc w:val="both"/>
        <w:rPr>
          <w:rFonts w:ascii="Times New Roman" w:hAnsi="Times New Roman"/>
          <w:bCs/>
          <w:szCs w:val="28"/>
          <w:lang w:val="en-GB"/>
        </w:rPr>
      </w:pPr>
      <w:r w:rsidRPr="000708D6">
        <w:rPr>
          <w:rFonts w:ascii="Times New Roman" w:hAnsi="Times New Roman"/>
          <w:bCs/>
          <w:szCs w:val="28"/>
          <w:lang w:val="en-GB"/>
        </w:rPr>
        <w:t xml:space="preserve">II. </w:t>
      </w:r>
      <w:r w:rsidR="00711FB9" w:rsidRPr="000708D6">
        <w:rPr>
          <w:rFonts w:ascii="Times New Roman" w:hAnsi="Times New Roman"/>
          <w:bCs/>
          <w:szCs w:val="28"/>
          <w:lang w:val="en-GB"/>
        </w:rPr>
        <w:tab/>
      </w:r>
      <w:r w:rsidR="0015475A" w:rsidRPr="000708D6">
        <w:rPr>
          <w:rFonts w:ascii="Times New Roman" w:hAnsi="Times New Roman"/>
          <w:bCs/>
          <w:szCs w:val="28"/>
          <w:lang w:val="en-GB"/>
        </w:rPr>
        <w:t>Programme priorities and p</w:t>
      </w:r>
      <w:r w:rsidRPr="000708D6">
        <w:rPr>
          <w:rFonts w:ascii="Times New Roman" w:hAnsi="Times New Roman"/>
          <w:bCs/>
          <w:szCs w:val="28"/>
          <w:lang w:val="en-GB"/>
        </w:rPr>
        <w:t xml:space="preserve">artnerships </w:t>
      </w:r>
    </w:p>
    <w:p w14:paraId="24A59D90" w14:textId="77777777" w:rsidR="002655BE" w:rsidRPr="000708D6" w:rsidRDefault="002655BE" w:rsidP="00440828">
      <w:pPr>
        <w:tabs>
          <w:tab w:val="left" w:pos="1530"/>
        </w:tabs>
        <w:ind w:left="1170" w:right="1030"/>
        <w:rPr>
          <w:lang w:val="en-GB"/>
        </w:rPr>
      </w:pPr>
    </w:p>
    <w:p w14:paraId="009A71B0" w14:textId="7A57BD81" w:rsidR="001434FA" w:rsidRPr="000708D6" w:rsidRDefault="000D201A" w:rsidP="00440828">
      <w:pPr>
        <w:pStyle w:val="ListParagraph"/>
        <w:numPr>
          <w:ilvl w:val="0"/>
          <w:numId w:val="31"/>
        </w:numPr>
        <w:tabs>
          <w:tab w:val="left" w:pos="1530"/>
        </w:tabs>
        <w:spacing w:after="120"/>
        <w:ind w:left="1170" w:right="1030" w:firstLine="0"/>
        <w:jc w:val="both"/>
        <w:rPr>
          <w:lang w:val="en-GB"/>
        </w:rPr>
      </w:pPr>
      <w:r>
        <w:rPr>
          <w:lang w:val="en-GB"/>
        </w:rPr>
        <w:t>F</w:t>
      </w:r>
      <w:r w:rsidR="00E638D0" w:rsidRPr="000708D6">
        <w:rPr>
          <w:lang w:val="en-GB"/>
        </w:rPr>
        <w:t xml:space="preserve">ollowing </w:t>
      </w:r>
      <w:r w:rsidR="00711FB9">
        <w:rPr>
          <w:lang w:val="en-GB"/>
        </w:rPr>
        <w:t xml:space="preserve">the </w:t>
      </w:r>
      <w:r w:rsidR="00E638D0" w:rsidRPr="000708D6">
        <w:rPr>
          <w:lang w:val="en-GB"/>
        </w:rPr>
        <w:t>general election</w:t>
      </w:r>
      <w:r w:rsidR="00711FB9" w:rsidRPr="00711FB9">
        <w:rPr>
          <w:lang w:val="en-GB"/>
        </w:rPr>
        <w:t xml:space="preserve"> </w:t>
      </w:r>
      <w:r w:rsidR="00711FB9">
        <w:rPr>
          <w:lang w:val="en-GB"/>
        </w:rPr>
        <w:t xml:space="preserve">in </w:t>
      </w:r>
      <w:r w:rsidR="00711FB9" w:rsidRPr="00A56C57">
        <w:rPr>
          <w:lang w:val="en-GB"/>
        </w:rPr>
        <w:t>September 2015</w:t>
      </w:r>
      <w:r w:rsidR="00E638D0" w:rsidRPr="000708D6">
        <w:rPr>
          <w:lang w:val="en-GB"/>
        </w:rPr>
        <w:t>, there was a change in government</w:t>
      </w:r>
      <w:r>
        <w:rPr>
          <w:lang w:val="en-GB"/>
        </w:rPr>
        <w:t xml:space="preserve"> </w:t>
      </w:r>
      <w:r w:rsidR="00A94A38">
        <w:rPr>
          <w:lang w:val="en-GB"/>
        </w:rPr>
        <w:t>in Trinidad and Tobago.</w:t>
      </w:r>
      <w:r w:rsidR="00E638D0" w:rsidRPr="000708D6">
        <w:rPr>
          <w:lang w:val="en-GB"/>
        </w:rPr>
        <w:t xml:space="preserve"> The </w:t>
      </w:r>
      <w:r w:rsidR="00A94A38">
        <w:rPr>
          <w:lang w:val="en-GB"/>
        </w:rPr>
        <w:t>n</w:t>
      </w:r>
      <w:r w:rsidR="00E638D0" w:rsidRPr="000708D6">
        <w:rPr>
          <w:lang w:val="en-GB"/>
        </w:rPr>
        <w:t xml:space="preserve">ational </w:t>
      </w:r>
      <w:r w:rsidR="00A94A38">
        <w:rPr>
          <w:lang w:val="en-GB"/>
        </w:rPr>
        <w:t>d</w:t>
      </w:r>
      <w:r w:rsidR="00E638D0" w:rsidRPr="000708D6">
        <w:rPr>
          <w:lang w:val="en-GB"/>
        </w:rPr>
        <w:t xml:space="preserve">evelopment </w:t>
      </w:r>
      <w:r w:rsidR="00A94A38">
        <w:rPr>
          <w:lang w:val="en-GB"/>
        </w:rPr>
        <w:t>p</w:t>
      </w:r>
      <w:r w:rsidR="00E638D0" w:rsidRPr="000708D6">
        <w:rPr>
          <w:lang w:val="en-GB"/>
        </w:rPr>
        <w:t>lan</w:t>
      </w:r>
      <w:r w:rsidR="00A94A38">
        <w:rPr>
          <w:lang w:val="en-GB"/>
        </w:rPr>
        <w:t>, known as</w:t>
      </w:r>
      <w:r w:rsidR="004F4C15" w:rsidRPr="000708D6">
        <w:rPr>
          <w:lang w:val="en-GB"/>
        </w:rPr>
        <w:t xml:space="preserve"> </w:t>
      </w:r>
      <w:r w:rsidR="00A94A38">
        <w:rPr>
          <w:lang w:val="en-GB"/>
        </w:rPr>
        <w:t>‘</w:t>
      </w:r>
      <w:r w:rsidR="00134353" w:rsidRPr="000708D6">
        <w:rPr>
          <w:lang w:val="en-GB"/>
        </w:rPr>
        <w:t>Vision 2030</w:t>
      </w:r>
      <w:r w:rsidR="00A94A38">
        <w:rPr>
          <w:lang w:val="en-GB"/>
        </w:rPr>
        <w:t>’</w:t>
      </w:r>
      <w:r w:rsidR="00F75492">
        <w:rPr>
          <w:lang w:val="en-GB"/>
        </w:rPr>
        <w:t>,</w:t>
      </w:r>
      <w:r w:rsidR="00134353" w:rsidRPr="000708D6">
        <w:rPr>
          <w:lang w:val="en-GB"/>
        </w:rPr>
        <w:t xml:space="preserve"> is </w:t>
      </w:r>
      <w:r w:rsidR="00A94A38">
        <w:rPr>
          <w:lang w:val="en-GB"/>
        </w:rPr>
        <w:t>under preparation</w:t>
      </w:r>
      <w:r w:rsidR="006D4A32" w:rsidRPr="000708D6">
        <w:rPr>
          <w:lang w:val="en-GB"/>
        </w:rPr>
        <w:t xml:space="preserve"> in a different </w:t>
      </w:r>
      <w:r w:rsidR="00A94A38">
        <w:rPr>
          <w:lang w:val="en-GB"/>
        </w:rPr>
        <w:t>context</w:t>
      </w:r>
      <w:r w:rsidR="00A94A38" w:rsidRPr="000708D6">
        <w:rPr>
          <w:lang w:val="en-GB"/>
        </w:rPr>
        <w:t xml:space="preserve"> </w:t>
      </w:r>
      <w:r w:rsidR="006D4A32" w:rsidRPr="000708D6">
        <w:rPr>
          <w:lang w:val="en-GB"/>
        </w:rPr>
        <w:t>from the last programming cycle and</w:t>
      </w:r>
      <w:r w:rsidR="0052077D" w:rsidRPr="000708D6">
        <w:rPr>
          <w:lang w:val="en-GB"/>
        </w:rPr>
        <w:t xml:space="preserve"> </w:t>
      </w:r>
      <w:r w:rsidR="00DC45DB" w:rsidRPr="000708D6">
        <w:rPr>
          <w:lang w:val="en-GB"/>
        </w:rPr>
        <w:t>in a</w:t>
      </w:r>
      <w:r w:rsidR="00E42D79" w:rsidRPr="000708D6">
        <w:rPr>
          <w:lang w:val="en-GB"/>
        </w:rPr>
        <w:t xml:space="preserve"> period of </w:t>
      </w:r>
      <w:r w:rsidR="00E638D0" w:rsidRPr="000708D6">
        <w:rPr>
          <w:lang w:val="en-GB"/>
        </w:rPr>
        <w:t xml:space="preserve">economic </w:t>
      </w:r>
      <w:r w:rsidR="00E42D79" w:rsidRPr="000708D6">
        <w:rPr>
          <w:lang w:val="en-GB"/>
        </w:rPr>
        <w:t>contraction</w:t>
      </w:r>
      <w:r w:rsidR="002655BE" w:rsidRPr="000708D6">
        <w:rPr>
          <w:lang w:val="en-GB"/>
        </w:rPr>
        <w:t xml:space="preserve"> </w:t>
      </w:r>
      <w:r w:rsidR="00E42D79" w:rsidRPr="000708D6">
        <w:rPr>
          <w:lang w:val="en-GB"/>
        </w:rPr>
        <w:t>and</w:t>
      </w:r>
      <w:r w:rsidR="00E638D0" w:rsidRPr="000708D6">
        <w:rPr>
          <w:lang w:val="en-GB"/>
        </w:rPr>
        <w:t xml:space="preserve"> </w:t>
      </w:r>
      <w:r w:rsidR="002655BE" w:rsidRPr="000708D6">
        <w:rPr>
          <w:lang w:val="en-GB"/>
        </w:rPr>
        <w:t>increased fiscal deficit</w:t>
      </w:r>
      <w:r w:rsidR="00DC45DB" w:rsidRPr="000708D6">
        <w:rPr>
          <w:rStyle w:val="FootnoteReference"/>
          <w:sz w:val="16"/>
          <w:szCs w:val="16"/>
          <w:lang w:val="en-GB"/>
        </w:rPr>
        <w:footnoteReference w:id="12"/>
      </w:r>
      <w:r w:rsidR="00221433" w:rsidRPr="000708D6">
        <w:rPr>
          <w:lang w:val="en-GB"/>
        </w:rPr>
        <w:t xml:space="preserve">. </w:t>
      </w:r>
      <w:r w:rsidR="00DC45DB" w:rsidRPr="000708D6">
        <w:rPr>
          <w:lang w:val="en-GB"/>
        </w:rPr>
        <w:t>Nevertheless, th</w:t>
      </w:r>
      <w:r w:rsidR="00A94A38">
        <w:rPr>
          <w:lang w:val="en-GB"/>
        </w:rPr>
        <w:t>e</w:t>
      </w:r>
      <w:r w:rsidR="00DC45DB" w:rsidRPr="000708D6">
        <w:rPr>
          <w:lang w:val="en-GB"/>
        </w:rPr>
        <w:t xml:space="preserve"> plan </w:t>
      </w:r>
      <w:r w:rsidR="00E42D79" w:rsidRPr="000708D6">
        <w:rPr>
          <w:lang w:val="en-GB"/>
        </w:rPr>
        <w:t xml:space="preserve">is being framed against the </w:t>
      </w:r>
      <w:r w:rsidR="00DC45DB" w:rsidRPr="000708D6">
        <w:rPr>
          <w:lang w:val="en-GB"/>
        </w:rPr>
        <w:t xml:space="preserve">2030 </w:t>
      </w:r>
      <w:r w:rsidR="00E93CE5" w:rsidRPr="000708D6">
        <w:rPr>
          <w:lang w:val="en-GB"/>
        </w:rPr>
        <w:t>Agenda for Sustainable Development</w:t>
      </w:r>
      <w:r w:rsidR="00DC45DB" w:rsidRPr="000708D6">
        <w:rPr>
          <w:lang w:val="en-GB"/>
        </w:rPr>
        <w:t xml:space="preserve"> including the agreed </w:t>
      </w:r>
      <w:r w:rsidR="00056AF6" w:rsidRPr="000708D6">
        <w:rPr>
          <w:lang w:val="en-GB"/>
        </w:rPr>
        <w:t>sustainable development goals</w:t>
      </w:r>
      <w:r w:rsidR="00DC45DB" w:rsidRPr="000708D6">
        <w:rPr>
          <w:lang w:val="en-GB"/>
        </w:rPr>
        <w:t>,</w:t>
      </w:r>
      <w:r w:rsidR="006D4A32" w:rsidRPr="000708D6">
        <w:rPr>
          <w:lang w:val="en-GB"/>
        </w:rPr>
        <w:t xml:space="preserve"> the United Nations Multi-Country Sustainable Development Framework,</w:t>
      </w:r>
      <w:r w:rsidR="00DC45DB" w:rsidRPr="000708D6">
        <w:rPr>
          <w:lang w:val="en-GB"/>
        </w:rPr>
        <w:t xml:space="preserve"> </w:t>
      </w:r>
      <w:r w:rsidR="0096541A">
        <w:rPr>
          <w:lang w:val="en-GB"/>
        </w:rPr>
        <w:t>and</w:t>
      </w:r>
      <w:r w:rsidR="00DC45DB" w:rsidRPr="000708D6">
        <w:rPr>
          <w:lang w:val="en-GB"/>
        </w:rPr>
        <w:t xml:space="preserve"> global agreements </w:t>
      </w:r>
      <w:r w:rsidR="00DC45DB" w:rsidRPr="000708D6">
        <w:rPr>
          <w:lang w:val="en-GB"/>
        </w:rPr>
        <w:lastRenderedPageBreak/>
        <w:t>such as the Samoa Pathway, the Sendai Framework</w:t>
      </w:r>
      <w:r w:rsidR="00E93CE5" w:rsidRPr="000708D6">
        <w:rPr>
          <w:lang w:val="en-GB"/>
        </w:rPr>
        <w:t xml:space="preserve"> for Disaster Risk Reduction</w:t>
      </w:r>
      <w:r w:rsidR="00DC45DB" w:rsidRPr="000708D6">
        <w:rPr>
          <w:lang w:val="en-GB"/>
        </w:rPr>
        <w:t xml:space="preserve"> and th</w:t>
      </w:r>
      <w:r w:rsidR="00563D08" w:rsidRPr="000708D6">
        <w:rPr>
          <w:lang w:val="en-GB"/>
        </w:rPr>
        <w:t xml:space="preserve">e </w:t>
      </w:r>
      <w:r w:rsidR="003574AC" w:rsidRPr="000708D6">
        <w:rPr>
          <w:lang w:val="en-GB"/>
        </w:rPr>
        <w:t>Paris Agreement</w:t>
      </w:r>
      <w:r w:rsidR="009A65C3" w:rsidRPr="000708D6">
        <w:rPr>
          <w:lang w:val="en-GB"/>
        </w:rPr>
        <w:t xml:space="preserve"> on </w:t>
      </w:r>
      <w:r w:rsidR="00E93CE5">
        <w:rPr>
          <w:lang w:val="en-GB"/>
        </w:rPr>
        <w:t>c</w:t>
      </w:r>
      <w:r w:rsidR="009A65C3" w:rsidRPr="000708D6">
        <w:rPr>
          <w:lang w:val="en-GB"/>
        </w:rPr>
        <w:t xml:space="preserve">limate </w:t>
      </w:r>
      <w:r w:rsidR="00E93CE5">
        <w:rPr>
          <w:lang w:val="en-GB"/>
        </w:rPr>
        <w:t>c</w:t>
      </w:r>
      <w:r w:rsidR="009A65C3" w:rsidRPr="000708D6">
        <w:rPr>
          <w:lang w:val="en-GB"/>
        </w:rPr>
        <w:t>hange.</w:t>
      </w:r>
      <w:r w:rsidR="00644B92" w:rsidRPr="000708D6">
        <w:rPr>
          <w:lang w:val="en-GB"/>
        </w:rPr>
        <w:t xml:space="preserve"> </w:t>
      </w:r>
    </w:p>
    <w:p w14:paraId="40082549" w14:textId="4455383B" w:rsidR="009A0A24" w:rsidRPr="000708D6" w:rsidRDefault="00B241D9" w:rsidP="00440828">
      <w:pPr>
        <w:pStyle w:val="ListParagraph"/>
        <w:numPr>
          <w:ilvl w:val="0"/>
          <w:numId w:val="31"/>
        </w:numPr>
        <w:tabs>
          <w:tab w:val="left" w:pos="1530"/>
        </w:tabs>
        <w:spacing w:after="120"/>
        <w:ind w:left="1170" w:right="1030" w:firstLine="0"/>
        <w:jc w:val="both"/>
        <w:rPr>
          <w:lang w:val="en-GB"/>
        </w:rPr>
      </w:pPr>
      <w:r w:rsidRPr="00B241D9">
        <w:rPr>
          <w:color w:val="000000" w:themeColor="text1"/>
          <w:shd w:val="clear" w:color="auto" w:fill="FFFFFF"/>
        </w:rPr>
        <w:t>In 2015, the</w:t>
      </w:r>
      <w:r w:rsidRPr="00B241D9">
        <w:rPr>
          <w:rStyle w:val="apple-converted-space"/>
          <w:color w:val="000000" w:themeColor="text1"/>
          <w:shd w:val="clear" w:color="auto" w:fill="FFFFFF"/>
        </w:rPr>
        <w:t xml:space="preserve"> </w:t>
      </w:r>
      <w:r w:rsidRPr="00B241D9">
        <w:rPr>
          <w:color w:val="000000" w:themeColor="text1"/>
          <w:shd w:val="clear" w:color="auto" w:fill="F3F3F3"/>
        </w:rPr>
        <w:t>United Nations</w:t>
      </w:r>
      <w:r w:rsidRPr="00B241D9">
        <w:rPr>
          <w:rStyle w:val="apple-converted-space"/>
          <w:color w:val="000000" w:themeColor="text1"/>
          <w:shd w:val="clear" w:color="auto" w:fill="F3F3F3"/>
        </w:rPr>
        <w:t xml:space="preserve"> </w:t>
      </w:r>
      <w:r w:rsidRPr="00B241D9">
        <w:rPr>
          <w:color w:val="000000" w:themeColor="text1"/>
          <w:shd w:val="clear" w:color="auto" w:fill="FFFFFF"/>
        </w:rPr>
        <w:t>and the</w:t>
      </w:r>
      <w:r w:rsidRPr="00B241D9">
        <w:rPr>
          <w:rStyle w:val="apple-converted-space"/>
          <w:color w:val="000000" w:themeColor="text1"/>
          <w:shd w:val="clear" w:color="auto" w:fill="FFFFFF"/>
        </w:rPr>
        <w:t xml:space="preserve"> </w:t>
      </w:r>
      <w:r w:rsidRPr="00B241D9">
        <w:rPr>
          <w:color w:val="000000" w:themeColor="text1"/>
          <w:shd w:val="clear" w:color="auto" w:fill="FFFFFF"/>
        </w:rPr>
        <w:t>governments of the Caribbean decided to move from six United Nations Development Frameworks to a common</w:t>
      </w:r>
      <w:r w:rsidRPr="00B241D9">
        <w:rPr>
          <w:rStyle w:val="apple-converted-space"/>
          <w:color w:val="000000" w:themeColor="text1"/>
          <w:shd w:val="clear" w:color="auto" w:fill="FFFFFF"/>
        </w:rPr>
        <w:t xml:space="preserve"> </w:t>
      </w:r>
      <w:r w:rsidRPr="00B241D9">
        <w:rPr>
          <w:color w:val="000000" w:themeColor="text1"/>
          <w:shd w:val="clear" w:color="auto" w:fill="FFFFFF"/>
        </w:rPr>
        <w:t>United Nations</w:t>
      </w:r>
      <w:r w:rsidR="00CA03B6">
        <w:rPr>
          <w:color w:val="000000" w:themeColor="text1"/>
          <w:shd w:val="clear" w:color="auto" w:fill="FFFFFF"/>
        </w:rPr>
        <w:t xml:space="preserve"> </w:t>
      </w:r>
      <w:r w:rsidR="003878A4">
        <w:rPr>
          <w:color w:val="000000" w:themeColor="text1"/>
          <w:shd w:val="clear" w:color="auto" w:fill="FFFFFF"/>
        </w:rPr>
        <w:t>Multi-c</w:t>
      </w:r>
      <w:r w:rsidR="00CA03B6" w:rsidRPr="00CA03B6">
        <w:rPr>
          <w:color w:val="000000" w:themeColor="text1"/>
          <w:shd w:val="clear" w:color="auto" w:fill="FFFFFF"/>
        </w:rPr>
        <w:t>ountry Sustainable Development Framework</w:t>
      </w:r>
      <w:r w:rsidRPr="00B241D9">
        <w:rPr>
          <w:color w:val="000000" w:themeColor="text1"/>
          <w:shd w:val="clear" w:color="auto" w:fill="FFFFFF"/>
        </w:rPr>
        <w:t>. National consultations were conducted in 15 countries,</w:t>
      </w:r>
      <w:r w:rsidRPr="00B241D9">
        <w:rPr>
          <w:rStyle w:val="apple-converted-space"/>
          <w:color w:val="000000" w:themeColor="text1"/>
          <w:shd w:val="clear" w:color="auto" w:fill="FFFFFF"/>
        </w:rPr>
        <w:t xml:space="preserve"> </w:t>
      </w:r>
      <w:r w:rsidRPr="00B241D9">
        <w:rPr>
          <w:color w:val="000000" w:themeColor="text1"/>
          <w:shd w:val="clear" w:color="auto" w:fill="FFFFFF"/>
        </w:rPr>
        <w:t xml:space="preserve">including </w:t>
      </w:r>
      <w:r w:rsidR="00AE3967">
        <w:rPr>
          <w:color w:val="000000" w:themeColor="text1"/>
          <w:shd w:val="clear" w:color="auto" w:fill="FFFFFF"/>
        </w:rPr>
        <w:t>Trinidad and Tobago,</w:t>
      </w:r>
      <w:r w:rsidRPr="00B241D9">
        <w:rPr>
          <w:color w:val="000000" w:themeColor="text1"/>
          <w:shd w:val="clear" w:color="auto" w:fill="FFFFFF"/>
        </w:rPr>
        <w:t xml:space="preserve"> to ensure that the</w:t>
      </w:r>
      <w:r w:rsidRPr="00B241D9">
        <w:rPr>
          <w:rStyle w:val="apple-converted-space"/>
          <w:color w:val="000000" w:themeColor="text1"/>
          <w:shd w:val="clear" w:color="auto" w:fill="FFFFFF"/>
        </w:rPr>
        <w:t xml:space="preserve"> </w:t>
      </w:r>
      <w:r w:rsidR="003878A4">
        <w:rPr>
          <w:color w:val="000000" w:themeColor="text1"/>
          <w:shd w:val="clear" w:color="auto" w:fill="FFFFFF"/>
        </w:rPr>
        <w:t xml:space="preserve">United </w:t>
      </w:r>
      <w:r w:rsidRPr="00B241D9">
        <w:rPr>
          <w:color w:val="000000" w:themeColor="text1"/>
          <w:shd w:val="clear" w:color="auto" w:fill="FFFFFF"/>
        </w:rPr>
        <w:t>Nations common</w:t>
      </w:r>
      <w:r w:rsidRPr="00B241D9">
        <w:rPr>
          <w:rStyle w:val="apple-converted-space"/>
          <w:color w:val="000000" w:themeColor="text1"/>
          <w:shd w:val="clear" w:color="auto" w:fill="FFFFFF"/>
        </w:rPr>
        <w:t xml:space="preserve"> </w:t>
      </w:r>
      <w:r w:rsidRPr="00B241D9">
        <w:rPr>
          <w:color w:val="000000" w:themeColor="text1"/>
          <w:shd w:val="clear" w:color="auto" w:fill="FFFFFF"/>
        </w:rPr>
        <w:t>multi-country</w:t>
      </w:r>
      <w:r w:rsidRPr="00B241D9">
        <w:rPr>
          <w:rStyle w:val="apple-converted-space"/>
          <w:color w:val="000000" w:themeColor="text1"/>
          <w:shd w:val="clear" w:color="auto" w:fill="FFFFFF"/>
        </w:rPr>
        <w:t xml:space="preserve"> </w:t>
      </w:r>
      <w:r w:rsidRPr="00B241D9">
        <w:rPr>
          <w:color w:val="000000" w:themeColor="text1"/>
          <w:shd w:val="clear" w:color="auto" w:fill="FFFFFF"/>
        </w:rPr>
        <w:t>assessment focuses on development challenges that are central to national development needs. Four key priority areas emerged, which will inform the national and regional actions of the</w:t>
      </w:r>
      <w:r w:rsidRPr="00B241D9">
        <w:rPr>
          <w:rStyle w:val="apple-converted-space"/>
          <w:color w:val="000000" w:themeColor="text1"/>
          <w:shd w:val="clear" w:color="auto" w:fill="FFFFFF"/>
        </w:rPr>
        <w:t xml:space="preserve"> </w:t>
      </w:r>
      <w:r w:rsidRPr="00B241D9">
        <w:rPr>
          <w:color w:val="000000" w:themeColor="text1"/>
          <w:shd w:val="clear" w:color="auto" w:fill="FFFFFF"/>
        </w:rPr>
        <w:t>United Nations</w:t>
      </w:r>
      <w:r w:rsidRPr="00B241D9">
        <w:rPr>
          <w:rStyle w:val="apple-converted-space"/>
          <w:color w:val="000000" w:themeColor="text1"/>
          <w:shd w:val="clear" w:color="auto" w:fill="FFFFFF"/>
        </w:rPr>
        <w:t xml:space="preserve"> </w:t>
      </w:r>
      <w:r w:rsidRPr="00B241D9">
        <w:rPr>
          <w:color w:val="000000" w:themeColor="text1"/>
          <w:shd w:val="clear" w:color="auto" w:fill="FFFFFF"/>
        </w:rPr>
        <w:t>system and</w:t>
      </w:r>
      <w:r w:rsidRPr="00B241D9">
        <w:rPr>
          <w:rStyle w:val="apple-converted-space"/>
          <w:color w:val="000000" w:themeColor="text1"/>
          <w:shd w:val="clear" w:color="auto" w:fill="FFFFFF"/>
        </w:rPr>
        <w:t xml:space="preserve"> </w:t>
      </w:r>
      <w:r w:rsidRPr="00B241D9">
        <w:rPr>
          <w:color w:val="000000" w:themeColor="text1"/>
          <w:shd w:val="clear" w:color="auto" w:fill="FFFFFF"/>
        </w:rPr>
        <w:t>its</w:t>
      </w:r>
      <w:r w:rsidRPr="00B241D9">
        <w:rPr>
          <w:rStyle w:val="apple-converted-space"/>
          <w:color w:val="000000" w:themeColor="text1"/>
          <w:shd w:val="clear" w:color="auto" w:fill="FFFFFF"/>
        </w:rPr>
        <w:t xml:space="preserve"> </w:t>
      </w:r>
      <w:r w:rsidRPr="00B241D9">
        <w:rPr>
          <w:color w:val="000000" w:themeColor="text1"/>
          <w:shd w:val="clear" w:color="auto" w:fill="FFFFFF"/>
        </w:rPr>
        <w:t xml:space="preserve">partners over the next five years: (a) </w:t>
      </w:r>
      <w:r w:rsidRPr="004618AE">
        <w:rPr>
          <w:b/>
          <w:color w:val="000000" w:themeColor="text1"/>
          <w:shd w:val="clear" w:color="auto" w:fill="FFFFFF"/>
        </w:rPr>
        <w:t>a</w:t>
      </w:r>
      <w:r w:rsidRPr="004618AE">
        <w:rPr>
          <w:b/>
          <w:bCs/>
          <w:color w:val="000000" w:themeColor="text1"/>
          <w:shd w:val="clear" w:color="auto" w:fill="FFFFFF"/>
        </w:rPr>
        <w:t xml:space="preserve"> </w:t>
      </w:r>
      <w:r w:rsidRPr="00B241D9">
        <w:rPr>
          <w:b/>
          <w:bCs/>
          <w:color w:val="000000" w:themeColor="text1"/>
          <w:shd w:val="clear" w:color="auto" w:fill="FFFFFF"/>
        </w:rPr>
        <w:t>sustainable and resilient Caribbean;</w:t>
      </w:r>
      <w:r w:rsidRPr="00B241D9">
        <w:rPr>
          <w:color w:val="000000" w:themeColor="text1"/>
          <w:shd w:val="clear" w:color="auto" w:fill="FFFFFF"/>
        </w:rPr>
        <w:t xml:space="preserve"> (b) </w:t>
      </w:r>
      <w:r w:rsidRPr="004618AE">
        <w:rPr>
          <w:b/>
          <w:color w:val="000000" w:themeColor="text1"/>
          <w:shd w:val="clear" w:color="auto" w:fill="FFFFFF"/>
        </w:rPr>
        <w:t>a</w:t>
      </w:r>
      <w:r w:rsidRPr="00B241D9">
        <w:rPr>
          <w:b/>
          <w:bCs/>
          <w:color w:val="000000" w:themeColor="text1"/>
          <w:shd w:val="clear" w:color="auto" w:fill="FFFFFF"/>
        </w:rPr>
        <w:t xml:space="preserve"> safe, cohesive and just Caribbean;</w:t>
      </w:r>
      <w:r w:rsidRPr="00B241D9">
        <w:rPr>
          <w:color w:val="000000" w:themeColor="text1"/>
          <w:shd w:val="clear" w:color="auto" w:fill="FFFFFF"/>
        </w:rPr>
        <w:t xml:space="preserve"> (c)</w:t>
      </w:r>
      <w:r w:rsidR="003878A4">
        <w:rPr>
          <w:color w:val="000000" w:themeColor="text1"/>
          <w:shd w:val="clear" w:color="auto" w:fill="FFFFFF"/>
        </w:rPr>
        <w:t xml:space="preserve"> </w:t>
      </w:r>
      <w:r w:rsidRPr="00B241D9">
        <w:rPr>
          <w:b/>
          <w:bCs/>
          <w:color w:val="000000" w:themeColor="text1"/>
          <w:shd w:val="clear" w:color="auto" w:fill="FFFFFF"/>
        </w:rPr>
        <w:t>a</w:t>
      </w:r>
      <w:r w:rsidRPr="00B241D9">
        <w:rPr>
          <w:rStyle w:val="apple-converted-space"/>
          <w:b/>
          <w:bCs/>
          <w:color w:val="000000" w:themeColor="text1"/>
          <w:shd w:val="clear" w:color="auto" w:fill="FFFFFF"/>
        </w:rPr>
        <w:t xml:space="preserve"> </w:t>
      </w:r>
      <w:r w:rsidRPr="00B241D9">
        <w:rPr>
          <w:b/>
          <w:bCs/>
          <w:color w:val="000000" w:themeColor="text1"/>
          <w:shd w:val="clear" w:color="auto" w:fill="FFFFFF"/>
        </w:rPr>
        <w:t>healthy Caribbean;</w:t>
      </w:r>
      <w:r w:rsidRPr="00B241D9">
        <w:rPr>
          <w:color w:val="000000" w:themeColor="text1"/>
          <w:shd w:val="clear" w:color="auto" w:fill="FFFFFF"/>
        </w:rPr>
        <w:t xml:space="preserve"> and (d)</w:t>
      </w:r>
      <w:r w:rsidRPr="00B241D9">
        <w:rPr>
          <w:b/>
          <w:bCs/>
          <w:color w:val="000000" w:themeColor="text1"/>
          <w:shd w:val="clear" w:color="auto" w:fill="FFFFFF"/>
        </w:rPr>
        <w:t xml:space="preserve"> an inclusive, equitable and prosperous Caribbean.</w:t>
      </w:r>
      <w:r w:rsidRPr="00B241D9">
        <w:rPr>
          <w:color w:val="000000" w:themeColor="text1"/>
          <w:shd w:val="clear" w:color="auto" w:fill="FFFFFF"/>
        </w:rPr>
        <w:t xml:space="preserve"> These national and subregional pr</w:t>
      </w:r>
      <w:r w:rsidR="00AE3967">
        <w:rPr>
          <w:color w:val="000000" w:themeColor="text1"/>
          <w:shd w:val="clear" w:color="auto" w:fill="FFFFFF"/>
        </w:rPr>
        <w:t>iorities were validated with 17 </w:t>
      </w:r>
      <w:r w:rsidRPr="00B241D9">
        <w:rPr>
          <w:color w:val="000000" w:themeColor="text1"/>
          <w:shd w:val="clear" w:color="auto" w:fill="FFFFFF"/>
        </w:rPr>
        <w:t>Caribbean governments and are</w:t>
      </w:r>
      <w:r w:rsidRPr="00B241D9">
        <w:rPr>
          <w:rStyle w:val="apple-converted-space"/>
          <w:color w:val="000000" w:themeColor="text1"/>
          <w:shd w:val="clear" w:color="auto" w:fill="FFFFFF"/>
        </w:rPr>
        <w:t xml:space="preserve"> </w:t>
      </w:r>
      <w:r w:rsidRPr="00B241D9">
        <w:rPr>
          <w:color w:val="000000" w:themeColor="text1"/>
          <w:shd w:val="clear" w:color="auto" w:fill="FFFFFF"/>
        </w:rPr>
        <w:t>aligned with the Caribbean Community (CARICOM)</w:t>
      </w:r>
      <w:r w:rsidRPr="00B241D9">
        <w:rPr>
          <w:rStyle w:val="apple-converted-space"/>
          <w:color w:val="000000" w:themeColor="text1"/>
          <w:shd w:val="clear" w:color="auto" w:fill="FFFFFF"/>
        </w:rPr>
        <w:t xml:space="preserve"> </w:t>
      </w:r>
      <w:r w:rsidRPr="00B241D9">
        <w:rPr>
          <w:color w:val="000000" w:themeColor="text1"/>
          <w:shd w:val="clear" w:color="auto" w:fill="FFFFFF"/>
        </w:rPr>
        <w:t>strategic</w:t>
      </w:r>
      <w:r w:rsidRPr="00B241D9">
        <w:rPr>
          <w:rStyle w:val="apple-converted-space"/>
          <w:color w:val="000000" w:themeColor="text1"/>
          <w:shd w:val="clear" w:color="auto" w:fill="FFFFFF"/>
        </w:rPr>
        <w:t xml:space="preserve"> </w:t>
      </w:r>
      <w:r w:rsidRPr="00B241D9">
        <w:rPr>
          <w:color w:val="000000" w:themeColor="text1"/>
          <w:shd w:val="clear" w:color="auto" w:fill="FFFFFF"/>
        </w:rPr>
        <w:t>plan,</w:t>
      </w:r>
      <w:r w:rsidRPr="00B241D9">
        <w:rPr>
          <w:rStyle w:val="apple-converted-space"/>
          <w:color w:val="000000" w:themeColor="text1"/>
          <w:shd w:val="clear" w:color="auto" w:fill="FFFFFF"/>
        </w:rPr>
        <w:t xml:space="preserve"> </w:t>
      </w:r>
      <w:r w:rsidRPr="00B241D9">
        <w:rPr>
          <w:color w:val="000000" w:themeColor="text1"/>
          <w:shd w:val="clear" w:color="auto" w:fill="FFFFFF"/>
        </w:rPr>
        <w:t>2015-2019</w:t>
      </w:r>
      <w:r w:rsidR="002236CB">
        <w:rPr>
          <w:color w:val="000000" w:themeColor="text1"/>
          <w:shd w:val="clear" w:color="auto" w:fill="FFFFFF"/>
        </w:rPr>
        <w:t>;</w:t>
      </w:r>
      <w:r w:rsidRPr="00B241D9">
        <w:rPr>
          <w:color w:val="000000" w:themeColor="text1"/>
          <w:shd w:val="clear" w:color="auto" w:fill="FFFFFF"/>
        </w:rPr>
        <w:t xml:space="preserve"> the</w:t>
      </w:r>
      <w:r w:rsidRPr="00B241D9">
        <w:rPr>
          <w:rStyle w:val="apple-converted-space"/>
          <w:color w:val="000000" w:themeColor="text1"/>
          <w:shd w:val="clear" w:color="auto" w:fill="FFFFFF"/>
        </w:rPr>
        <w:t xml:space="preserve"> </w:t>
      </w:r>
      <w:r w:rsidRPr="00B241D9">
        <w:rPr>
          <w:color w:val="000000" w:themeColor="text1"/>
          <w:shd w:val="clear" w:color="auto" w:fill="FFFFFF"/>
        </w:rPr>
        <w:t>Samoa</w:t>
      </w:r>
      <w:r w:rsidRPr="00B241D9">
        <w:rPr>
          <w:rStyle w:val="apple-converted-space"/>
          <w:color w:val="000000" w:themeColor="text1"/>
          <w:shd w:val="clear" w:color="auto" w:fill="FFFFFF"/>
        </w:rPr>
        <w:t xml:space="preserve"> </w:t>
      </w:r>
      <w:r w:rsidRPr="00B241D9">
        <w:rPr>
          <w:color w:val="000000" w:themeColor="text1"/>
          <w:shd w:val="clear" w:color="auto" w:fill="FFFFFF"/>
        </w:rPr>
        <w:t>Pathway</w:t>
      </w:r>
      <w:r w:rsidR="002236CB">
        <w:rPr>
          <w:color w:val="000000" w:themeColor="text1"/>
          <w:shd w:val="clear" w:color="auto" w:fill="FFFFFF"/>
        </w:rPr>
        <w:t>;</w:t>
      </w:r>
      <w:r w:rsidRPr="00B241D9">
        <w:rPr>
          <w:color w:val="000000" w:themeColor="text1"/>
          <w:shd w:val="clear" w:color="auto" w:fill="FFFFFF"/>
        </w:rPr>
        <w:t xml:space="preserve"> and the 2030 Agenda for Sustainable Development.</w:t>
      </w:r>
      <w:r w:rsidR="009A0A24" w:rsidRPr="00B241D9" w:rsidDel="002D4F61">
        <w:rPr>
          <w:color w:val="000000" w:themeColor="text1"/>
          <w:lang w:val="en-GB"/>
        </w:rPr>
        <w:t xml:space="preserve">This </w:t>
      </w:r>
      <w:r w:rsidR="00CF1355" w:rsidRPr="00B241D9">
        <w:rPr>
          <w:color w:val="000000" w:themeColor="text1"/>
          <w:lang w:val="en-GB"/>
        </w:rPr>
        <w:t>country programme do</w:t>
      </w:r>
      <w:r w:rsidR="005E035C" w:rsidRPr="00B241D9">
        <w:rPr>
          <w:color w:val="000000" w:themeColor="text1"/>
          <w:lang w:val="en-GB"/>
        </w:rPr>
        <w:t>c</w:t>
      </w:r>
      <w:r w:rsidR="00CF1355" w:rsidRPr="00B241D9">
        <w:rPr>
          <w:color w:val="000000" w:themeColor="text1"/>
          <w:lang w:val="en-GB"/>
        </w:rPr>
        <w:t>ument</w:t>
      </w:r>
      <w:r w:rsidR="009A0A24" w:rsidRPr="00B241D9" w:rsidDel="002D4F61">
        <w:rPr>
          <w:color w:val="000000" w:themeColor="text1"/>
          <w:lang w:val="en-GB"/>
        </w:rPr>
        <w:t xml:space="preserve"> acts </w:t>
      </w:r>
      <w:r w:rsidR="005E035C" w:rsidRPr="00B241D9" w:rsidDel="002D4F61">
        <w:rPr>
          <w:color w:val="000000" w:themeColor="text1"/>
          <w:lang w:val="en-GB"/>
        </w:rPr>
        <w:t>d</w:t>
      </w:r>
      <w:r w:rsidR="005E035C" w:rsidRPr="000708D6" w:rsidDel="002D4F61">
        <w:rPr>
          <w:lang w:val="en-GB"/>
        </w:rPr>
        <w:t xml:space="preserve">irectly </w:t>
      </w:r>
      <w:r w:rsidR="009A0A24" w:rsidRPr="000708D6" w:rsidDel="002D4F61">
        <w:rPr>
          <w:lang w:val="en-GB"/>
        </w:rPr>
        <w:t xml:space="preserve">on </w:t>
      </w:r>
      <w:r w:rsidR="005E035C" w:rsidRPr="000708D6">
        <w:rPr>
          <w:lang w:val="en-GB"/>
        </w:rPr>
        <w:t>sustainable development goals</w:t>
      </w:r>
      <w:r w:rsidR="009A0A24" w:rsidRPr="000708D6" w:rsidDel="002D4F61">
        <w:rPr>
          <w:lang w:val="en-GB"/>
        </w:rPr>
        <w:t xml:space="preserve"> 1, 5, 7, 10, 11, 13, 16</w:t>
      </w:r>
      <w:r w:rsidR="0096541A">
        <w:rPr>
          <w:lang w:val="en-GB"/>
        </w:rPr>
        <w:t xml:space="preserve"> and</w:t>
      </w:r>
      <w:r w:rsidR="009A0A24" w:rsidRPr="000708D6" w:rsidDel="002D4F61">
        <w:rPr>
          <w:lang w:val="en-GB"/>
        </w:rPr>
        <w:t xml:space="preserve"> 17</w:t>
      </w:r>
      <w:r w:rsidR="009A0A24" w:rsidRPr="000708D6" w:rsidDel="002D4F61">
        <w:rPr>
          <w:rStyle w:val="FootnoteReference"/>
          <w:sz w:val="16"/>
          <w:szCs w:val="16"/>
          <w:lang w:val="en-GB"/>
        </w:rPr>
        <w:footnoteReference w:id="13"/>
      </w:r>
      <w:r w:rsidR="009A0A24" w:rsidRPr="000708D6" w:rsidDel="002D4F61">
        <w:rPr>
          <w:sz w:val="16"/>
          <w:szCs w:val="16"/>
          <w:lang w:val="en-GB"/>
        </w:rPr>
        <w:t xml:space="preserve"> </w:t>
      </w:r>
      <w:r w:rsidR="009A0A24" w:rsidRPr="000708D6" w:rsidDel="002D4F61">
        <w:rPr>
          <w:lang w:val="en-GB"/>
        </w:rPr>
        <w:t xml:space="preserve">(and indirectly on those related to health, clean water or life on land). </w:t>
      </w:r>
    </w:p>
    <w:p w14:paraId="138B2BC7" w14:textId="2367A661" w:rsidR="00897C2A" w:rsidRPr="000708D6" w:rsidRDefault="0096541A" w:rsidP="00440828">
      <w:pPr>
        <w:pStyle w:val="ListParagraph"/>
        <w:numPr>
          <w:ilvl w:val="0"/>
          <w:numId w:val="31"/>
        </w:numPr>
        <w:tabs>
          <w:tab w:val="left" w:pos="1530"/>
          <w:tab w:val="left" w:pos="8190"/>
        </w:tabs>
        <w:spacing w:after="120"/>
        <w:ind w:left="1170" w:right="1030" w:firstLine="0"/>
        <w:jc w:val="both"/>
        <w:rPr>
          <w:lang w:val="en-GB"/>
        </w:rPr>
      </w:pPr>
      <w:r>
        <w:rPr>
          <w:lang w:val="en-GB"/>
        </w:rPr>
        <w:t xml:space="preserve">The </w:t>
      </w:r>
      <w:r w:rsidR="00897C2A" w:rsidRPr="000708D6">
        <w:rPr>
          <w:lang w:val="en-GB"/>
        </w:rPr>
        <w:t xml:space="preserve">UNDP approach for the new </w:t>
      </w:r>
      <w:r w:rsidR="00CF1355" w:rsidRPr="000708D6">
        <w:rPr>
          <w:lang w:val="en-GB"/>
        </w:rPr>
        <w:t>country programme</w:t>
      </w:r>
      <w:r w:rsidR="00897C2A" w:rsidRPr="000708D6">
        <w:rPr>
          <w:lang w:val="en-GB"/>
        </w:rPr>
        <w:t xml:space="preserve"> </w:t>
      </w:r>
      <w:r>
        <w:rPr>
          <w:lang w:val="en-GB"/>
        </w:rPr>
        <w:t>c</w:t>
      </w:r>
      <w:r w:rsidR="00897C2A" w:rsidRPr="000708D6">
        <w:rPr>
          <w:lang w:val="en-GB"/>
        </w:rPr>
        <w:t>ycle is to promote and provide technical support for localiz</w:t>
      </w:r>
      <w:r>
        <w:rPr>
          <w:lang w:val="en-GB"/>
        </w:rPr>
        <w:t>ing</w:t>
      </w:r>
      <w:r w:rsidR="00897C2A" w:rsidRPr="000708D6">
        <w:rPr>
          <w:lang w:val="en-GB"/>
        </w:rPr>
        <w:t xml:space="preserve"> the </w:t>
      </w:r>
      <w:r w:rsidR="00056AF6" w:rsidRPr="000708D6">
        <w:rPr>
          <w:lang w:val="en-GB"/>
        </w:rPr>
        <w:t>sustainable development goals</w:t>
      </w:r>
      <w:r w:rsidR="00897C2A" w:rsidRPr="000708D6">
        <w:rPr>
          <w:lang w:val="en-GB"/>
        </w:rPr>
        <w:t xml:space="preserve"> while continuing to build on areas of strength; </w:t>
      </w:r>
      <w:r>
        <w:rPr>
          <w:lang w:val="en-GB"/>
        </w:rPr>
        <w:t>deep</w:t>
      </w:r>
      <w:r w:rsidRPr="000708D6">
        <w:rPr>
          <w:lang w:val="en-GB"/>
        </w:rPr>
        <w:t xml:space="preserve">en </w:t>
      </w:r>
      <w:r w:rsidR="00897C2A" w:rsidRPr="000708D6">
        <w:rPr>
          <w:lang w:val="en-GB"/>
        </w:rPr>
        <w:t xml:space="preserve">partnerships with national counterparts and other development actors; and increase efforts </w:t>
      </w:r>
      <w:r>
        <w:rPr>
          <w:lang w:val="en-GB"/>
        </w:rPr>
        <w:t>to</w:t>
      </w:r>
      <w:r w:rsidR="00897C2A" w:rsidRPr="000708D6">
        <w:rPr>
          <w:lang w:val="en-GB"/>
        </w:rPr>
        <w:t xml:space="preserve"> expand and diversify funding sources</w:t>
      </w:r>
      <w:r w:rsidR="00221433" w:rsidRPr="000708D6">
        <w:rPr>
          <w:lang w:val="en-GB"/>
        </w:rPr>
        <w:t xml:space="preserve">. </w:t>
      </w:r>
      <w:r w:rsidR="00897C2A" w:rsidRPr="000708D6">
        <w:rPr>
          <w:lang w:val="en-GB"/>
        </w:rPr>
        <w:t>Using an</w:t>
      </w:r>
      <w:r w:rsidR="0051413F" w:rsidRPr="000708D6">
        <w:rPr>
          <w:lang w:val="en-GB"/>
        </w:rPr>
        <w:t xml:space="preserve"> </w:t>
      </w:r>
      <w:r w:rsidR="00897C2A" w:rsidRPr="000708D6">
        <w:rPr>
          <w:lang w:val="en-GB"/>
        </w:rPr>
        <w:t>issues-based approach, UNDP will seek to strengthen data capacity, increase citizen participation and strengthen gender mainstreaming across programmatic areas.</w:t>
      </w:r>
      <w:r w:rsidR="002D4F61" w:rsidRPr="000708D6">
        <w:rPr>
          <w:lang w:val="en-GB"/>
        </w:rPr>
        <w:t xml:space="preserve"> </w:t>
      </w:r>
    </w:p>
    <w:p w14:paraId="5D1B3075" w14:textId="5B97711E" w:rsidR="002655BE" w:rsidRPr="000708D6" w:rsidRDefault="00E20CF7" w:rsidP="00440828">
      <w:pPr>
        <w:pStyle w:val="ListParagraph"/>
        <w:numPr>
          <w:ilvl w:val="0"/>
          <w:numId w:val="31"/>
        </w:numPr>
        <w:tabs>
          <w:tab w:val="left" w:pos="1530"/>
          <w:tab w:val="left" w:pos="8190"/>
        </w:tabs>
        <w:spacing w:after="120"/>
        <w:ind w:left="1170" w:right="1030" w:firstLine="0"/>
        <w:jc w:val="both"/>
        <w:rPr>
          <w:lang w:val="en-GB"/>
        </w:rPr>
      </w:pPr>
      <w:r w:rsidRPr="000708D6">
        <w:rPr>
          <w:lang w:val="en-GB"/>
        </w:rPr>
        <w:t xml:space="preserve">During 2017-2021, UNDP aims to solidify its position as a strategic development partner by </w:t>
      </w:r>
      <w:r w:rsidR="009A0A24" w:rsidRPr="000708D6">
        <w:rPr>
          <w:lang w:val="en-GB"/>
        </w:rPr>
        <w:t>focusing on</w:t>
      </w:r>
      <w:r w:rsidRPr="000708D6">
        <w:rPr>
          <w:lang w:val="en-GB"/>
        </w:rPr>
        <w:t xml:space="preserve"> four areas of interest </w:t>
      </w:r>
      <w:r w:rsidR="0096541A">
        <w:rPr>
          <w:lang w:val="en-GB"/>
        </w:rPr>
        <w:t>to</w:t>
      </w:r>
      <w:r w:rsidR="0096541A" w:rsidRPr="000708D6">
        <w:rPr>
          <w:lang w:val="en-GB"/>
        </w:rPr>
        <w:t xml:space="preserve"> </w:t>
      </w:r>
      <w:r w:rsidRPr="000708D6">
        <w:rPr>
          <w:lang w:val="en-GB"/>
        </w:rPr>
        <w:t xml:space="preserve">the </w:t>
      </w:r>
      <w:r w:rsidR="0096541A">
        <w:rPr>
          <w:lang w:val="en-GB"/>
        </w:rPr>
        <w:t>G</w:t>
      </w:r>
      <w:r w:rsidRPr="000708D6">
        <w:rPr>
          <w:lang w:val="en-GB"/>
        </w:rPr>
        <w:t>overnm</w:t>
      </w:r>
      <w:r w:rsidR="009A0A24" w:rsidRPr="000708D6">
        <w:rPr>
          <w:lang w:val="en-GB"/>
        </w:rPr>
        <w:t xml:space="preserve">ent </w:t>
      </w:r>
      <w:r w:rsidRPr="000708D6">
        <w:rPr>
          <w:lang w:val="en-GB"/>
        </w:rPr>
        <w:t xml:space="preserve">aligned with </w:t>
      </w:r>
      <w:r w:rsidR="0096541A">
        <w:rPr>
          <w:lang w:val="en-GB"/>
        </w:rPr>
        <w:t>o</w:t>
      </w:r>
      <w:r w:rsidR="009A0A24" w:rsidRPr="000708D6">
        <w:rPr>
          <w:lang w:val="en-GB"/>
        </w:rPr>
        <w:t xml:space="preserve">utcomes 2, 3, 5 and 7 of </w:t>
      </w:r>
      <w:r w:rsidR="0096541A">
        <w:rPr>
          <w:lang w:val="en-GB"/>
        </w:rPr>
        <w:t xml:space="preserve">the </w:t>
      </w:r>
      <w:r w:rsidRPr="000708D6">
        <w:rPr>
          <w:lang w:val="en-GB"/>
        </w:rPr>
        <w:t xml:space="preserve">UNDP </w:t>
      </w:r>
      <w:r w:rsidR="0096541A">
        <w:rPr>
          <w:lang w:val="en-GB"/>
        </w:rPr>
        <w:t>s</w:t>
      </w:r>
      <w:r w:rsidRPr="000708D6">
        <w:rPr>
          <w:lang w:val="en-GB"/>
        </w:rPr>
        <w:t xml:space="preserve">trategic </w:t>
      </w:r>
      <w:r w:rsidR="0096541A">
        <w:rPr>
          <w:lang w:val="en-GB"/>
        </w:rPr>
        <w:t>p</w:t>
      </w:r>
      <w:r w:rsidRPr="000708D6">
        <w:rPr>
          <w:lang w:val="en-GB"/>
        </w:rPr>
        <w:t>lan: (</w:t>
      </w:r>
      <w:r w:rsidR="0096541A">
        <w:rPr>
          <w:lang w:val="en-GB"/>
        </w:rPr>
        <w:t>a</w:t>
      </w:r>
      <w:r w:rsidRPr="000708D6">
        <w:rPr>
          <w:lang w:val="en-GB"/>
        </w:rPr>
        <w:t xml:space="preserve">) </w:t>
      </w:r>
      <w:r w:rsidR="0096541A">
        <w:rPr>
          <w:lang w:val="en-GB"/>
        </w:rPr>
        <w:t>p</w:t>
      </w:r>
      <w:r w:rsidRPr="000708D6">
        <w:rPr>
          <w:lang w:val="en-GB"/>
        </w:rPr>
        <w:t xml:space="preserve">overty </w:t>
      </w:r>
      <w:r w:rsidR="0096541A">
        <w:rPr>
          <w:lang w:val="en-GB"/>
        </w:rPr>
        <w:t>p</w:t>
      </w:r>
      <w:r w:rsidRPr="000708D6">
        <w:rPr>
          <w:lang w:val="en-GB"/>
        </w:rPr>
        <w:t xml:space="preserve">olicies and </w:t>
      </w:r>
      <w:r w:rsidR="0096541A">
        <w:rPr>
          <w:lang w:val="en-GB"/>
        </w:rPr>
        <w:t>s</w:t>
      </w:r>
      <w:r w:rsidRPr="000708D6">
        <w:rPr>
          <w:lang w:val="en-GB"/>
        </w:rPr>
        <w:t>trategies; (</w:t>
      </w:r>
      <w:r w:rsidR="0096541A">
        <w:rPr>
          <w:lang w:val="en-GB"/>
        </w:rPr>
        <w:t>b</w:t>
      </w:r>
      <w:r w:rsidRPr="000708D6">
        <w:rPr>
          <w:lang w:val="en-GB"/>
        </w:rPr>
        <w:t xml:space="preserve">) </w:t>
      </w:r>
      <w:r w:rsidR="0096541A">
        <w:rPr>
          <w:lang w:val="en-GB"/>
        </w:rPr>
        <w:t>o</w:t>
      </w:r>
      <w:r w:rsidRPr="000708D6">
        <w:rPr>
          <w:lang w:val="en-GB"/>
        </w:rPr>
        <w:t xml:space="preserve">pen and </w:t>
      </w:r>
      <w:r w:rsidR="0096541A">
        <w:rPr>
          <w:lang w:val="en-GB"/>
        </w:rPr>
        <w:t>p</w:t>
      </w:r>
      <w:r w:rsidRPr="000708D6">
        <w:rPr>
          <w:lang w:val="en-GB"/>
        </w:rPr>
        <w:t xml:space="preserve">articipatory </w:t>
      </w:r>
      <w:r w:rsidR="0096541A">
        <w:rPr>
          <w:lang w:val="en-GB"/>
        </w:rPr>
        <w:t>g</w:t>
      </w:r>
      <w:r w:rsidRPr="000708D6">
        <w:rPr>
          <w:lang w:val="en-GB"/>
        </w:rPr>
        <w:t>overnance; (</w:t>
      </w:r>
      <w:r w:rsidR="00AE12F8">
        <w:rPr>
          <w:lang w:val="en-GB"/>
        </w:rPr>
        <w:t>c</w:t>
      </w:r>
      <w:r w:rsidRPr="000708D6">
        <w:rPr>
          <w:lang w:val="en-GB"/>
        </w:rPr>
        <w:t xml:space="preserve">) </w:t>
      </w:r>
      <w:r w:rsidR="00AE12F8">
        <w:rPr>
          <w:lang w:val="en-GB"/>
        </w:rPr>
        <w:t>c</w:t>
      </w:r>
      <w:r w:rsidRPr="000708D6">
        <w:rPr>
          <w:lang w:val="en-GB"/>
        </w:rPr>
        <w:t xml:space="preserve">itizen </w:t>
      </w:r>
      <w:r w:rsidR="00AE12F8">
        <w:rPr>
          <w:lang w:val="en-GB"/>
        </w:rPr>
        <w:t>s</w:t>
      </w:r>
      <w:r w:rsidRPr="000708D6">
        <w:rPr>
          <w:lang w:val="en-GB"/>
        </w:rPr>
        <w:t>ecurity</w:t>
      </w:r>
      <w:r w:rsidR="00AE12F8">
        <w:rPr>
          <w:lang w:val="en-GB"/>
        </w:rPr>
        <w:t>;</w:t>
      </w:r>
      <w:r w:rsidRPr="000708D6">
        <w:rPr>
          <w:lang w:val="en-GB"/>
        </w:rPr>
        <w:t xml:space="preserve"> and (</w:t>
      </w:r>
      <w:r w:rsidR="00AE12F8">
        <w:rPr>
          <w:lang w:val="en-GB"/>
        </w:rPr>
        <w:t>d</w:t>
      </w:r>
      <w:r w:rsidRPr="000708D6">
        <w:rPr>
          <w:lang w:val="en-GB"/>
        </w:rPr>
        <w:t xml:space="preserve">) </w:t>
      </w:r>
      <w:r w:rsidR="00AE12F8">
        <w:rPr>
          <w:lang w:val="en-GB"/>
        </w:rPr>
        <w:t>c</w:t>
      </w:r>
      <w:r w:rsidRPr="000708D6">
        <w:rPr>
          <w:lang w:val="en-GB"/>
        </w:rPr>
        <w:t xml:space="preserve">limate </w:t>
      </w:r>
      <w:r w:rsidR="00AE12F8">
        <w:rPr>
          <w:lang w:val="en-GB"/>
        </w:rPr>
        <w:t>r</w:t>
      </w:r>
      <w:r w:rsidRPr="000708D6">
        <w:rPr>
          <w:lang w:val="en-GB"/>
        </w:rPr>
        <w:t xml:space="preserve">esilience and </w:t>
      </w:r>
      <w:r w:rsidR="00812EB1" w:rsidRPr="000708D6">
        <w:rPr>
          <w:lang w:val="en-GB"/>
        </w:rPr>
        <w:t>d</w:t>
      </w:r>
      <w:r w:rsidR="00C25EF7" w:rsidRPr="000708D6">
        <w:rPr>
          <w:lang w:val="en-GB"/>
        </w:rPr>
        <w:t xml:space="preserve">isaster </w:t>
      </w:r>
      <w:r w:rsidR="00812EB1" w:rsidRPr="000708D6">
        <w:rPr>
          <w:lang w:val="en-GB"/>
        </w:rPr>
        <w:t>r</w:t>
      </w:r>
      <w:r w:rsidR="00C25EF7" w:rsidRPr="000708D6">
        <w:rPr>
          <w:lang w:val="en-GB"/>
        </w:rPr>
        <w:t xml:space="preserve">isk </w:t>
      </w:r>
      <w:r w:rsidR="00812EB1" w:rsidRPr="000708D6">
        <w:rPr>
          <w:lang w:val="en-GB"/>
        </w:rPr>
        <w:t>r</w:t>
      </w:r>
      <w:r w:rsidR="00C25EF7" w:rsidRPr="000708D6">
        <w:rPr>
          <w:lang w:val="en-GB"/>
        </w:rPr>
        <w:t>eduction</w:t>
      </w:r>
      <w:r w:rsidRPr="000708D6">
        <w:rPr>
          <w:lang w:val="en-GB"/>
        </w:rPr>
        <w:t>, with gender equality</w:t>
      </w:r>
      <w:r w:rsidR="00AE12F8">
        <w:rPr>
          <w:lang w:val="en-GB"/>
        </w:rPr>
        <w:t xml:space="preserve"> and </w:t>
      </w:r>
      <w:r w:rsidRPr="000708D6">
        <w:rPr>
          <w:lang w:val="en-GB"/>
        </w:rPr>
        <w:t>empowerment integrated as a cross-cutting element</w:t>
      </w:r>
      <w:r w:rsidR="00221433" w:rsidRPr="000708D6">
        <w:rPr>
          <w:lang w:val="en-GB"/>
        </w:rPr>
        <w:t xml:space="preserve">. </w:t>
      </w:r>
      <w:r w:rsidR="004643DC" w:rsidRPr="000708D6">
        <w:rPr>
          <w:lang w:val="en-GB"/>
        </w:rPr>
        <w:t>C</w:t>
      </w:r>
      <w:r w:rsidR="002655BE" w:rsidRPr="000708D6">
        <w:rPr>
          <w:lang w:val="en-GB"/>
        </w:rPr>
        <w:t xml:space="preserve">ommon intervention </w:t>
      </w:r>
      <w:r w:rsidR="000A166F" w:rsidRPr="000708D6">
        <w:rPr>
          <w:lang w:val="en-GB"/>
        </w:rPr>
        <w:t xml:space="preserve">needs </w:t>
      </w:r>
      <w:r w:rsidR="004643DC" w:rsidRPr="000708D6">
        <w:rPr>
          <w:lang w:val="en-GB"/>
        </w:rPr>
        <w:t xml:space="preserve">include: </w:t>
      </w:r>
      <w:r w:rsidR="00426B50" w:rsidRPr="000708D6">
        <w:rPr>
          <w:lang w:val="en-GB"/>
        </w:rPr>
        <w:t>(</w:t>
      </w:r>
      <w:r w:rsidR="00AE12F8">
        <w:rPr>
          <w:lang w:val="en-GB"/>
        </w:rPr>
        <w:t>a</w:t>
      </w:r>
      <w:r w:rsidR="00426B50" w:rsidRPr="000708D6">
        <w:rPr>
          <w:lang w:val="en-GB"/>
        </w:rPr>
        <w:t>) strengthening</w:t>
      </w:r>
      <w:r w:rsidR="002655BE" w:rsidRPr="000708D6">
        <w:rPr>
          <w:lang w:val="en-GB"/>
        </w:rPr>
        <w:t xml:space="preserve"> institutions </w:t>
      </w:r>
      <w:r w:rsidR="004643DC" w:rsidRPr="000708D6">
        <w:rPr>
          <w:lang w:val="en-GB"/>
        </w:rPr>
        <w:t>for results-based</w:t>
      </w:r>
      <w:r w:rsidR="002655BE" w:rsidRPr="000708D6">
        <w:rPr>
          <w:lang w:val="en-GB"/>
        </w:rPr>
        <w:t xml:space="preserve"> m</w:t>
      </w:r>
      <w:r w:rsidR="00426B50" w:rsidRPr="000708D6">
        <w:rPr>
          <w:lang w:val="en-GB"/>
        </w:rPr>
        <w:t>anagement of public goods; (</w:t>
      </w:r>
      <w:r w:rsidR="00AE12F8">
        <w:rPr>
          <w:lang w:val="en-GB"/>
        </w:rPr>
        <w:t>b</w:t>
      </w:r>
      <w:r w:rsidR="00426B50" w:rsidRPr="000708D6">
        <w:rPr>
          <w:lang w:val="en-GB"/>
        </w:rPr>
        <w:t>)</w:t>
      </w:r>
      <w:r w:rsidR="00607342">
        <w:rPr>
          <w:lang w:val="en-GB"/>
        </w:rPr>
        <w:t> </w:t>
      </w:r>
      <w:r w:rsidR="00426B50" w:rsidRPr="000708D6">
        <w:rPr>
          <w:lang w:val="en-GB"/>
        </w:rPr>
        <w:t>building</w:t>
      </w:r>
      <w:r w:rsidR="004643DC" w:rsidRPr="000708D6">
        <w:rPr>
          <w:lang w:val="en-GB"/>
        </w:rPr>
        <w:t xml:space="preserve"> </w:t>
      </w:r>
      <w:r w:rsidR="002655BE" w:rsidRPr="000708D6">
        <w:rPr>
          <w:lang w:val="en-GB"/>
        </w:rPr>
        <w:t>data</w:t>
      </w:r>
      <w:r w:rsidR="00AE12F8">
        <w:rPr>
          <w:lang w:val="en-GB"/>
        </w:rPr>
        <w:t xml:space="preserve"> and </w:t>
      </w:r>
      <w:r w:rsidR="002655BE" w:rsidRPr="000708D6">
        <w:rPr>
          <w:lang w:val="en-GB"/>
        </w:rPr>
        <w:t>information capacities; and (</w:t>
      </w:r>
      <w:r w:rsidR="00AE12F8">
        <w:rPr>
          <w:lang w:val="en-GB"/>
        </w:rPr>
        <w:t>c</w:t>
      </w:r>
      <w:r w:rsidR="00426B50" w:rsidRPr="000708D6">
        <w:rPr>
          <w:lang w:val="en-GB"/>
        </w:rPr>
        <w:t>)</w:t>
      </w:r>
      <w:r w:rsidR="00F75492">
        <w:rPr>
          <w:lang w:val="en-GB"/>
        </w:rPr>
        <w:t xml:space="preserve"> </w:t>
      </w:r>
      <w:r w:rsidR="00426B50" w:rsidRPr="000708D6">
        <w:rPr>
          <w:lang w:val="en-GB"/>
        </w:rPr>
        <w:t>facilitating</w:t>
      </w:r>
      <w:r w:rsidR="004643DC" w:rsidRPr="000708D6">
        <w:rPr>
          <w:lang w:val="en-GB"/>
        </w:rPr>
        <w:t xml:space="preserve"> </w:t>
      </w:r>
      <w:r w:rsidR="002655BE" w:rsidRPr="000708D6">
        <w:rPr>
          <w:lang w:val="en-GB"/>
        </w:rPr>
        <w:t xml:space="preserve">civic participation </w:t>
      </w:r>
      <w:r w:rsidR="00AE12F8">
        <w:rPr>
          <w:lang w:val="en-GB"/>
        </w:rPr>
        <w:t xml:space="preserve">in </w:t>
      </w:r>
      <w:r w:rsidR="002655BE" w:rsidRPr="000708D6">
        <w:rPr>
          <w:lang w:val="en-GB"/>
        </w:rPr>
        <w:t>policies</w:t>
      </w:r>
      <w:r w:rsidR="00AE12F8">
        <w:rPr>
          <w:lang w:val="en-GB"/>
        </w:rPr>
        <w:t xml:space="preserve"> and </w:t>
      </w:r>
      <w:r w:rsidR="002655BE" w:rsidRPr="000708D6">
        <w:rPr>
          <w:lang w:val="en-GB"/>
        </w:rPr>
        <w:t>reforms.</w:t>
      </w:r>
      <w:r w:rsidR="004643DC" w:rsidRPr="000708D6">
        <w:rPr>
          <w:lang w:val="en-GB"/>
        </w:rPr>
        <w:t xml:space="preserve"> The application of </w:t>
      </w:r>
      <w:r w:rsidR="005E035C" w:rsidRPr="000708D6">
        <w:rPr>
          <w:lang w:val="en-GB"/>
        </w:rPr>
        <w:t xml:space="preserve">information and communications technology </w:t>
      </w:r>
      <w:r w:rsidR="004643DC" w:rsidRPr="000708D6">
        <w:rPr>
          <w:lang w:val="en-GB"/>
        </w:rPr>
        <w:t>for development</w:t>
      </w:r>
      <w:r w:rsidR="00AE12F8">
        <w:rPr>
          <w:lang w:val="en-GB"/>
        </w:rPr>
        <w:t>,</w:t>
      </w:r>
      <w:r w:rsidR="00C74CEB" w:rsidRPr="000708D6">
        <w:rPr>
          <w:lang w:val="en-GB"/>
        </w:rPr>
        <w:t xml:space="preserve"> as well as gender mainstreaming</w:t>
      </w:r>
      <w:r w:rsidR="00AE12F8">
        <w:rPr>
          <w:lang w:val="en-GB"/>
        </w:rPr>
        <w:t>, and</w:t>
      </w:r>
      <w:r w:rsidR="00C74CEB" w:rsidRPr="000708D6">
        <w:rPr>
          <w:lang w:val="en-GB"/>
        </w:rPr>
        <w:t xml:space="preserve"> </w:t>
      </w:r>
      <w:r w:rsidR="004643DC" w:rsidRPr="000708D6">
        <w:rPr>
          <w:lang w:val="en-GB"/>
        </w:rPr>
        <w:t>lesson</w:t>
      </w:r>
      <w:r w:rsidR="00C74CEB" w:rsidRPr="000708D6">
        <w:rPr>
          <w:lang w:val="en-GB"/>
        </w:rPr>
        <w:t>s</w:t>
      </w:r>
      <w:r w:rsidR="004643DC" w:rsidRPr="000708D6">
        <w:rPr>
          <w:lang w:val="en-GB"/>
        </w:rPr>
        <w:t xml:space="preserve"> learn</w:t>
      </w:r>
      <w:r w:rsidR="00AE12F8">
        <w:rPr>
          <w:lang w:val="en-GB"/>
        </w:rPr>
        <w:t>ed</w:t>
      </w:r>
      <w:r w:rsidR="004643DC" w:rsidRPr="000708D6">
        <w:rPr>
          <w:lang w:val="en-GB"/>
        </w:rPr>
        <w:t xml:space="preserve"> from the past </w:t>
      </w:r>
      <w:r w:rsidR="00CF1355" w:rsidRPr="000708D6">
        <w:rPr>
          <w:lang w:val="en-GB"/>
        </w:rPr>
        <w:t>country programme</w:t>
      </w:r>
      <w:r w:rsidR="004643DC" w:rsidRPr="000708D6">
        <w:rPr>
          <w:lang w:val="en-GB"/>
        </w:rPr>
        <w:t xml:space="preserve"> period, will play a key role in addressing th</w:t>
      </w:r>
      <w:r w:rsidR="00AE12F8">
        <w:rPr>
          <w:lang w:val="en-GB"/>
        </w:rPr>
        <w:t>o</w:t>
      </w:r>
      <w:r w:rsidR="004643DC" w:rsidRPr="000708D6">
        <w:rPr>
          <w:lang w:val="en-GB"/>
        </w:rPr>
        <w:t>se needs.</w:t>
      </w:r>
      <w:r w:rsidR="0030705D" w:rsidRPr="000708D6">
        <w:rPr>
          <w:lang w:val="en-GB"/>
        </w:rPr>
        <w:t xml:space="preserve"> </w:t>
      </w:r>
    </w:p>
    <w:p w14:paraId="771ED70F" w14:textId="18985245" w:rsidR="00477E10" w:rsidRPr="005C7E82" w:rsidRDefault="00677CA0" w:rsidP="00440828">
      <w:pPr>
        <w:pStyle w:val="ListParagraph"/>
        <w:numPr>
          <w:ilvl w:val="0"/>
          <w:numId w:val="31"/>
        </w:numPr>
        <w:tabs>
          <w:tab w:val="left" w:pos="1530"/>
        </w:tabs>
        <w:spacing w:after="120"/>
        <w:ind w:left="1170" w:right="1030" w:firstLine="0"/>
        <w:jc w:val="both"/>
        <w:rPr>
          <w:lang w:val="en-GB"/>
        </w:rPr>
      </w:pPr>
      <w:r w:rsidRPr="005C7E82">
        <w:rPr>
          <w:lang w:val="en-GB"/>
        </w:rPr>
        <w:t xml:space="preserve">South-South </w:t>
      </w:r>
      <w:r w:rsidR="00F75492">
        <w:rPr>
          <w:lang w:val="en-GB"/>
        </w:rPr>
        <w:t>c</w:t>
      </w:r>
      <w:r w:rsidRPr="005C7E82">
        <w:rPr>
          <w:lang w:val="en-GB"/>
        </w:rPr>
        <w:t>ooperation is expected to expa</w:t>
      </w:r>
      <w:r w:rsidR="004643DC" w:rsidRPr="005C7E82">
        <w:rPr>
          <w:lang w:val="en-GB"/>
        </w:rPr>
        <w:t>nd during this programme period, p</w:t>
      </w:r>
      <w:r w:rsidRPr="00414E3E">
        <w:rPr>
          <w:lang w:val="en-GB"/>
        </w:rPr>
        <w:t>art</w:t>
      </w:r>
      <w:r w:rsidR="006124BB" w:rsidRPr="002807FF">
        <w:rPr>
          <w:lang w:val="en-GB"/>
        </w:rPr>
        <w:t xml:space="preserve">ly </w:t>
      </w:r>
      <w:r w:rsidR="004643DC" w:rsidRPr="002807FF">
        <w:rPr>
          <w:lang w:val="en-GB"/>
        </w:rPr>
        <w:t>in the Caribbean sub</w:t>
      </w:r>
      <w:r w:rsidR="004643DC" w:rsidRPr="005C7E82">
        <w:rPr>
          <w:lang w:val="en-GB"/>
        </w:rPr>
        <w:t>region</w:t>
      </w:r>
      <w:r w:rsidR="00AE12F8">
        <w:rPr>
          <w:lang w:val="en-GB"/>
        </w:rPr>
        <w:t>;</w:t>
      </w:r>
      <w:r w:rsidR="004643DC" w:rsidRPr="00414E3E">
        <w:rPr>
          <w:lang w:val="en-GB"/>
        </w:rPr>
        <w:t xml:space="preserve"> </w:t>
      </w:r>
      <w:r w:rsidR="00AE12F8">
        <w:rPr>
          <w:lang w:val="en-GB"/>
        </w:rPr>
        <w:t>this</w:t>
      </w:r>
      <w:r w:rsidR="00AE12F8" w:rsidRPr="00414E3E">
        <w:rPr>
          <w:lang w:val="en-GB"/>
        </w:rPr>
        <w:t xml:space="preserve"> </w:t>
      </w:r>
      <w:r w:rsidR="004643DC" w:rsidRPr="002807FF">
        <w:rPr>
          <w:lang w:val="en-GB"/>
        </w:rPr>
        <w:t xml:space="preserve">is </w:t>
      </w:r>
      <w:r w:rsidR="00F75492" w:rsidRPr="002807FF">
        <w:rPr>
          <w:lang w:val="en-GB"/>
        </w:rPr>
        <w:t>co</w:t>
      </w:r>
      <w:r w:rsidR="00F75492">
        <w:rPr>
          <w:lang w:val="en-GB"/>
        </w:rPr>
        <w:t>nsist</w:t>
      </w:r>
      <w:r w:rsidR="00F75492" w:rsidRPr="002807FF">
        <w:rPr>
          <w:lang w:val="en-GB"/>
        </w:rPr>
        <w:t xml:space="preserve">ent </w:t>
      </w:r>
      <w:r w:rsidR="004643DC" w:rsidRPr="002807FF">
        <w:rPr>
          <w:lang w:val="en-GB"/>
        </w:rPr>
        <w:t>with the S</w:t>
      </w:r>
      <w:r w:rsidR="009C46EF" w:rsidRPr="002807FF">
        <w:rPr>
          <w:lang w:val="en-GB"/>
        </w:rPr>
        <w:t>amoa</w:t>
      </w:r>
      <w:r w:rsidR="004643DC" w:rsidRPr="005C7E82">
        <w:rPr>
          <w:lang w:val="en-GB"/>
        </w:rPr>
        <w:t xml:space="preserve"> </w:t>
      </w:r>
      <w:r w:rsidR="00AE12F8">
        <w:rPr>
          <w:lang w:val="en-GB"/>
        </w:rPr>
        <w:t>P</w:t>
      </w:r>
      <w:r w:rsidR="004643DC" w:rsidRPr="002807FF">
        <w:rPr>
          <w:lang w:val="en-GB"/>
        </w:rPr>
        <w:t>athway</w:t>
      </w:r>
      <w:r w:rsidR="00B846CE" w:rsidRPr="002807FF">
        <w:rPr>
          <w:lang w:val="en-GB"/>
        </w:rPr>
        <w:t xml:space="preserve"> and the overarching goal</w:t>
      </w:r>
      <w:r w:rsidR="00F75492">
        <w:rPr>
          <w:lang w:val="en-GB"/>
        </w:rPr>
        <w:t>s</w:t>
      </w:r>
      <w:r w:rsidR="00B846CE" w:rsidRPr="002807FF">
        <w:rPr>
          <w:lang w:val="en-GB"/>
        </w:rPr>
        <w:t xml:space="preserve"> of the </w:t>
      </w:r>
      <w:r w:rsidR="00A94A38" w:rsidRPr="00A56C57">
        <w:rPr>
          <w:lang w:val="en-GB"/>
        </w:rPr>
        <w:t>Multi-Country Sustainable Development Framework</w:t>
      </w:r>
      <w:r w:rsidR="00221433" w:rsidRPr="005C7E82">
        <w:rPr>
          <w:lang w:val="en-GB"/>
        </w:rPr>
        <w:t xml:space="preserve">. </w:t>
      </w:r>
      <w:r w:rsidR="00AE12F8">
        <w:rPr>
          <w:lang w:val="en-GB"/>
        </w:rPr>
        <w:t>E</w:t>
      </w:r>
      <w:r w:rsidRPr="002807FF">
        <w:rPr>
          <w:lang w:val="en-GB"/>
        </w:rPr>
        <w:t>xperiences</w:t>
      </w:r>
      <w:r w:rsidR="004F4C15" w:rsidRPr="002807FF">
        <w:rPr>
          <w:lang w:val="en-GB"/>
        </w:rPr>
        <w:t xml:space="preserve"> </w:t>
      </w:r>
      <w:r w:rsidR="00C74CEB" w:rsidRPr="005C7E82">
        <w:rPr>
          <w:lang w:val="en-GB"/>
        </w:rPr>
        <w:t>from other</w:t>
      </w:r>
      <w:r w:rsidR="004F4C15" w:rsidRPr="005C7E82">
        <w:rPr>
          <w:lang w:val="en-GB"/>
        </w:rPr>
        <w:t xml:space="preserve"> </w:t>
      </w:r>
      <w:r w:rsidR="00C25EF7" w:rsidRPr="005C7E82">
        <w:rPr>
          <w:lang w:val="en-GB"/>
        </w:rPr>
        <w:t xml:space="preserve">territories served by the </w:t>
      </w:r>
      <w:r w:rsidR="005E035C" w:rsidRPr="005C7E82">
        <w:rPr>
          <w:lang w:val="en-GB"/>
        </w:rPr>
        <w:t>c</w:t>
      </w:r>
      <w:r w:rsidR="00C25EF7" w:rsidRPr="005C7E82">
        <w:rPr>
          <w:lang w:val="en-GB"/>
        </w:rPr>
        <w:t xml:space="preserve">ountry </w:t>
      </w:r>
      <w:r w:rsidR="005E035C" w:rsidRPr="005C7E82">
        <w:rPr>
          <w:lang w:val="en-GB"/>
        </w:rPr>
        <w:t>o</w:t>
      </w:r>
      <w:r w:rsidR="00C25EF7" w:rsidRPr="005C7E82">
        <w:rPr>
          <w:lang w:val="en-GB"/>
        </w:rPr>
        <w:t xml:space="preserve">ffice </w:t>
      </w:r>
      <w:r w:rsidR="00C74CEB" w:rsidRPr="00E93CE5">
        <w:rPr>
          <w:lang w:val="en-GB"/>
        </w:rPr>
        <w:t>(</w:t>
      </w:r>
      <w:r w:rsidR="0090637E" w:rsidRPr="00E93CE5">
        <w:rPr>
          <w:lang w:val="en-GB"/>
        </w:rPr>
        <w:t>Aruba,</w:t>
      </w:r>
      <w:r w:rsidR="00C74CEB" w:rsidRPr="00E93CE5">
        <w:rPr>
          <w:lang w:val="en-GB"/>
        </w:rPr>
        <w:t xml:space="preserve"> Cura</w:t>
      </w:r>
      <w:r w:rsidR="00E93CE5" w:rsidRPr="000708D6">
        <w:rPr>
          <w:lang w:val="en-GB"/>
        </w:rPr>
        <w:t>ç</w:t>
      </w:r>
      <w:r w:rsidR="00C74CEB" w:rsidRPr="00E93CE5">
        <w:rPr>
          <w:lang w:val="en-GB"/>
        </w:rPr>
        <w:t>ao, Suriname</w:t>
      </w:r>
      <w:r w:rsidR="00AE12F8" w:rsidRPr="000708D6">
        <w:rPr>
          <w:lang w:val="en-GB"/>
        </w:rPr>
        <w:t xml:space="preserve"> and</w:t>
      </w:r>
      <w:r w:rsidR="0000535A" w:rsidRPr="000708D6">
        <w:rPr>
          <w:lang w:val="en-GB"/>
        </w:rPr>
        <w:t xml:space="preserve"> </w:t>
      </w:r>
      <w:r w:rsidR="00477E10" w:rsidRPr="00E93CE5">
        <w:rPr>
          <w:lang w:val="en-GB"/>
        </w:rPr>
        <w:t>Sint</w:t>
      </w:r>
      <w:r w:rsidR="004B5943" w:rsidRPr="00E93CE5">
        <w:rPr>
          <w:lang w:val="en-GB"/>
        </w:rPr>
        <w:t xml:space="preserve"> Maarten</w:t>
      </w:r>
      <w:r w:rsidR="00C74CEB" w:rsidRPr="00414E3E">
        <w:rPr>
          <w:lang w:val="en-GB"/>
        </w:rPr>
        <w:t xml:space="preserve">) </w:t>
      </w:r>
      <w:r w:rsidR="00AE12F8">
        <w:rPr>
          <w:lang w:val="en-GB"/>
        </w:rPr>
        <w:t xml:space="preserve">will be leveraged </w:t>
      </w:r>
      <w:r w:rsidR="008B0327" w:rsidRPr="00414E3E">
        <w:rPr>
          <w:lang w:val="en-GB"/>
        </w:rPr>
        <w:t>through</w:t>
      </w:r>
      <w:r w:rsidR="0090637E" w:rsidRPr="002807FF">
        <w:rPr>
          <w:lang w:val="en-GB"/>
        </w:rPr>
        <w:t xml:space="preserve"> </w:t>
      </w:r>
      <w:r w:rsidR="00BD253A" w:rsidRPr="002807FF">
        <w:rPr>
          <w:lang w:val="en-GB"/>
        </w:rPr>
        <w:t>knowledge</w:t>
      </w:r>
      <w:r w:rsidR="00AE12F8">
        <w:rPr>
          <w:lang w:val="en-GB"/>
        </w:rPr>
        <w:t>-</w:t>
      </w:r>
      <w:r w:rsidR="00BD253A" w:rsidRPr="002807FF">
        <w:rPr>
          <w:lang w:val="en-GB"/>
        </w:rPr>
        <w:t>management activities</w:t>
      </w:r>
      <w:r w:rsidR="008B0327" w:rsidRPr="002807FF">
        <w:rPr>
          <w:lang w:val="en-GB"/>
        </w:rPr>
        <w:t xml:space="preserve"> </w:t>
      </w:r>
      <w:r w:rsidR="008B0327" w:rsidRPr="005C7E82">
        <w:rPr>
          <w:lang w:val="en-GB"/>
        </w:rPr>
        <w:t>involving</w:t>
      </w:r>
      <w:r w:rsidR="004643DC" w:rsidRPr="005C7E82">
        <w:rPr>
          <w:lang w:val="en-GB"/>
        </w:rPr>
        <w:t xml:space="preserve"> </w:t>
      </w:r>
      <w:r w:rsidRPr="005C7E82">
        <w:rPr>
          <w:lang w:val="en-GB"/>
        </w:rPr>
        <w:t xml:space="preserve">the </w:t>
      </w:r>
      <w:r w:rsidR="00BD253A" w:rsidRPr="005C7E82">
        <w:rPr>
          <w:lang w:val="en-GB"/>
        </w:rPr>
        <w:t>wider</w:t>
      </w:r>
      <w:r w:rsidR="004643DC" w:rsidRPr="005C7E82">
        <w:rPr>
          <w:lang w:val="en-GB"/>
        </w:rPr>
        <w:t xml:space="preserve"> L</w:t>
      </w:r>
      <w:r w:rsidR="009C46EF" w:rsidRPr="005C7E82">
        <w:rPr>
          <w:lang w:val="en-GB"/>
        </w:rPr>
        <w:t>atin America and the Caribbean</w:t>
      </w:r>
      <w:r w:rsidR="004643DC" w:rsidRPr="005C7E82">
        <w:rPr>
          <w:lang w:val="en-GB"/>
        </w:rPr>
        <w:t xml:space="preserve"> region </w:t>
      </w:r>
      <w:r w:rsidR="00AE12F8">
        <w:rPr>
          <w:lang w:val="en-GB"/>
        </w:rPr>
        <w:t>through</w:t>
      </w:r>
      <w:r w:rsidR="004643DC" w:rsidRPr="002807FF">
        <w:rPr>
          <w:lang w:val="en-GB"/>
        </w:rPr>
        <w:t xml:space="preserve"> </w:t>
      </w:r>
      <w:r w:rsidR="0090637E" w:rsidRPr="002807FF">
        <w:rPr>
          <w:lang w:val="en-GB"/>
        </w:rPr>
        <w:t xml:space="preserve">CARICOM and </w:t>
      </w:r>
      <w:r w:rsidR="004643DC" w:rsidRPr="005C7E82">
        <w:rPr>
          <w:lang w:val="en-GB"/>
        </w:rPr>
        <w:t xml:space="preserve">other UNDP </w:t>
      </w:r>
      <w:r w:rsidR="009C46EF" w:rsidRPr="005C7E82">
        <w:rPr>
          <w:lang w:val="en-GB"/>
        </w:rPr>
        <w:t>c</w:t>
      </w:r>
      <w:r w:rsidR="00142213" w:rsidRPr="005C7E82">
        <w:rPr>
          <w:lang w:val="en-GB"/>
        </w:rPr>
        <w:t xml:space="preserve">ountry </w:t>
      </w:r>
      <w:r w:rsidR="009C46EF" w:rsidRPr="005C7E82">
        <w:rPr>
          <w:lang w:val="en-GB"/>
        </w:rPr>
        <w:t>o</w:t>
      </w:r>
      <w:r w:rsidR="00142213" w:rsidRPr="005C7E82">
        <w:rPr>
          <w:lang w:val="en-GB"/>
        </w:rPr>
        <w:t>ffice</w:t>
      </w:r>
      <w:r w:rsidR="004643DC" w:rsidRPr="005C7E82">
        <w:rPr>
          <w:lang w:val="en-GB"/>
        </w:rPr>
        <w:t>s</w:t>
      </w:r>
      <w:r w:rsidR="00426B50" w:rsidRPr="005C7E82">
        <w:rPr>
          <w:lang w:val="en-GB"/>
        </w:rPr>
        <w:t xml:space="preserve">. </w:t>
      </w:r>
    </w:p>
    <w:p w14:paraId="752D637D" w14:textId="40F0976A" w:rsidR="002655BE" w:rsidRPr="000708D6" w:rsidRDefault="002655BE" w:rsidP="001B0F48">
      <w:pPr>
        <w:tabs>
          <w:tab w:val="left" w:pos="1530"/>
        </w:tabs>
        <w:spacing w:after="120"/>
        <w:ind w:left="1170" w:right="1030"/>
        <w:jc w:val="both"/>
        <w:rPr>
          <w:b/>
          <w:lang w:val="en-GB"/>
        </w:rPr>
      </w:pPr>
      <w:r w:rsidRPr="000708D6">
        <w:rPr>
          <w:b/>
          <w:lang w:val="en-GB"/>
        </w:rPr>
        <w:t>Area 1</w:t>
      </w:r>
      <w:r w:rsidR="00AE12F8">
        <w:rPr>
          <w:b/>
          <w:lang w:val="en-GB"/>
        </w:rPr>
        <w:t>.</w:t>
      </w:r>
      <w:r w:rsidRPr="000708D6">
        <w:rPr>
          <w:b/>
          <w:lang w:val="en-GB"/>
        </w:rPr>
        <w:t xml:space="preserve"> Poverty </w:t>
      </w:r>
      <w:r w:rsidR="00AE12F8">
        <w:rPr>
          <w:b/>
          <w:lang w:val="en-GB"/>
        </w:rPr>
        <w:t>p</w:t>
      </w:r>
      <w:r w:rsidRPr="000708D6">
        <w:rPr>
          <w:b/>
          <w:lang w:val="en-GB"/>
        </w:rPr>
        <w:t xml:space="preserve">olicies and </w:t>
      </w:r>
      <w:r w:rsidR="00AE12F8">
        <w:rPr>
          <w:b/>
          <w:lang w:val="en-GB"/>
        </w:rPr>
        <w:t>s</w:t>
      </w:r>
      <w:r w:rsidRPr="000708D6">
        <w:rPr>
          <w:b/>
          <w:lang w:val="en-GB"/>
        </w:rPr>
        <w:t>trategies</w:t>
      </w:r>
      <w:r w:rsidR="00686BD4" w:rsidRPr="000708D6">
        <w:rPr>
          <w:b/>
          <w:lang w:val="en-GB"/>
        </w:rPr>
        <w:t xml:space="preserve"> </w:t>
      </w:r>
    </w:p>
    <w:p w14:paraId="694EBB27" w14:textId="1A359ADE" w:rsidR="002655BE" w:rsidRPr="000708D6" w:rsidRDefault="002655BE" w:rsidP="00440828">
      <w:pPr>
        <w:pStyle w:val="ListParagraph"/>
        <w:numPr>
          <w:ilvl w:val="0"/>
          <w:numId w:val="31"/>
        </w:numPr>
        <w:tabs>
          <w:tab w:val="left" w:pos="1530"/>
        </w:tabs>
        <w:spacing w:after="120"/>
        <w:ind w:left="1170" w:right="1030" w:firstLine="0"/>
        <w:jc w:val="both"/>
        <w:rPr>
          <w:lang w:val="en-GB"/>
        </w:rPr>
      </w:pPr>
      <w:r w:rsidRPr="000708D6">
        <w:rPr>
          <w:lang w:val="en-GB"/>
        </w:rPr>
        <w:t>In response to the government commitment to eradicat</w:t>
      </w:r>
      <w:r w:rsidR="00AE12F8">
        <w:rPr>
          <w:lang w:val="en-GB"/>
        </w:rPr>
        <w:t>ing</w:t>
      </w:r>
      <w:r w:rsidRPr="000708D6">
        <w:rPr>
          <w:lang w:val="en-GB"/>
        </w:rPr>
        <w:t xml:space="preserve"> poverty and ensur</w:t>
      </w:r>
      <w:r w:rsidR="00AE12F8">
        <w:rPr>
          <w:lang w:val="en-GB"/>
        </w:rPr>
        <w:t>ing</w:t>
      </w:r>
      <w:r w:rsidRPr="000708D6">
        <w:rPr>
          <w:lang w:val="en-GB"/>
        </w:rPr>
        <w:t xml:space="preserve"> alignment </w:t>
      </w:r>
      <w:r w:rsidR="00AE12F8">
        <w:rPr>
          <w:lang w:val="en-GB"/>
        </w:rPr>
        <w:t>with</w:t>
      </w:r>
      <w:r w:rsidR="00AE12F8" w:rsidRPr="000708D6">
        <w:rPr>
          <w:lang w:val="en-GB"/>
        </w:rPr>
        <w:t xml:space="preserve"> </w:t>
      </w:r>
      <w:r w:rsidRPr="000708D6">
        <w:rPr>
          <w:lang w:val="en-GB"/>
        </w:rPr>
        <w:t xml:space="preserve">the </w:t>
      </w:r>
      <w:r w:rsidR="005E035C" w:rsidRPr="000708D6">
        <w:rPr>
          <w:lang w:val="en-GB"/>
        </w:rPr>
        <w:t>sustainable development goals</w:t>
      </w:r>
      <w:r w:rsidRPr="000708D6">
        <w:rPr>
          <w:lang w:val="en-GB"/>
        </w:rPr>
        <w:t xml:space="preserve"> agenda, UNDP will </w:t>
      </w:r>
      <w:r w:rsidR="009C523D" w:rsidRPr="000708D6">
        <w:rPr>
          <w:lang w:val="en-GB"/>
        </w:rPr>
        <w:t xml:space="preserve">collaborate </w:t>
      </w:r>
      <w:r w:rsidRPr="000708D6">
        <w:rPr>
          <w:lang w:val="en-GB"/>
        </w:rPr>
        <w:t>to advance development policies</w:t>
      </w:r>
      <w:r w:rsidR="004E2B7A" w:rsidRPr="000708D6">
        <w:rPr>
          <w:lang w:val="en-GB"/>
        </w:rPr>
        <w:t xml:space="preserve"> </w:t>
      </w:r>
      <w:r w:rsidR="00AE12F8">
        <w:rPr>
          <w:lang w:val="en-GB"/>
        </w:rPr>
        <w:t>primari</w:t>
      </w:r>
      <w:r w:rsidR="00AE12F8" w:rsidRPr="000708D6">
        <w:rPr>
          <w:lang w:val="en-GB"/>
        </w:rPr>
        <w:t xml:space="preserve">ly </w:t>
      </w:r>
      <w:r w:rsidR="004E2B7A" w:rsidRPr="000708D6">
        <w:rPr>
          <w:lang w:val="en-GB"/>
        </w:rPr>
        <w:t xml:space="preserve">through </w:t>
      </w:r>
      <w:r w:rsidRPr="000708D6">
        <w:rPr>
          <w:lang w:val="en-GB"/>
        </w:rPr>
        <w:t>interventions focus</w:t>
      </w:r>
      <w:r w:rsidR="004E2B7A" w:rsidRPr="000708D6">
        <w:rPr>
          <w:lang w:val="en-GB"/>
        </w:rPr>
        <w:t>ed</w:t>
      </w:r>
      <w:r w:rsidRPr="000708D6">
        <w:rPr>
          <w:lang w:val="en-GB"/>
        </w:rPr>
        <w:t xml:space="preserve"> on </w:t>
      </w:r>
      <w:r w:rsidR="00AE12F8">
        <w:rPr>
          <w:lang w:val="en-GB"/>
        </w:rPr>
        <w:t>improving</w:t>
      </w:r>
      <w:r w:rsidRPr="000708D6">
        <w:rPr>
          <w:lang w:val="en-GB"/>
        </w:rPr>
        <w:t xml:space="preserve"> data and information capacities; restructuring social safety</w:t>
      </w:r>
      <w:r w:rsidR="00AE12F8">
        <w:rPr>
          <w:lang w:val="en-GB"/>
        </w:rPr>
        <w:t>-</w:t>
      </w:r>
      <w:r w:rsidRPr="000708D6">
        <w:rPr>
          <w:lang w:val="en-GB"/>
        </w:rPr>
        <w:t>net programmes; and fostering citizen participation in poverty policies.</w:t>
      </w:r>
      <w:r w:rsidR="00352C31" w:rsidRPr="000708D6">
        <w:rPr>
          <w:lang w:val="en-GB"/>
        </w:rPr>
        <w:t xml:space="preserve"> </w:t>
      </w:r>
    </w:p>
    <w:p w14:paraId="0C6EB40B" w14:textId="2547B1A4" w:rsidR="00F343C8" w:rsidRPr="000708D6" w:rsidRDefault="00F343C8" w:rsidP="00440828">
      <w:pPr>
        <w:pStyle w:val="ListParagraph"/>
        <w:numPr>
          <w:ilvl w:val="0"/>
          <w:numId w:val="31"/>
        </w:numPr>
        <w:tabs>
          <w:tab w:val="left" w:pos="1530"/>
        </w:tabs>
        <w:spacing w:after="120"/>
        <w:ind w:left="1170" w:right="1030" w:firstLine="0"/>
        <w:jc w:val="both"/>
        <w:rPr>
          <w:lang w:val="en-GB"/>
        </w:rPr>
      </w:pPr>
      <w:r w:rsidRPr="000708D6">
        <w:rPr>
          <w:lang w:val="en-GB"/>
        </w:rPr>
        <w:t>UNDP will respond to the limitations in data capacities, recog</w:t>
      </w:r>
      <w:r w:rsidR="001B0F48">
        <w:rPr>
          <w:lang w:val="en-GB"/>
        </w:rPr>
        <w:t xml:space="preserve">nized by national counterparts, </w:t>
      </w:r>
      <w:r w:rsidR="00A27006">
        <w:rPr>
          <w:lang w:val="en-GB"/>
        </w:rPr>
        <w:t>that</w:t>
      </w:r>
      <w:r w:rsidR="00A27006" w:rsidRPr="000708D6">
        <w:rPr>
          <w:lang w:val="en-GB"/>
        </w:rPr>
        <w:t xml:space="preserve"> </w:t>
      </w:r>
      <w:r w:rsidRPr="000708D6">
        <w:rPr>
          <w:lang w:val="en-GB"/>
        </w:rPr>
        <w:t>hinder poverty policies and their implementation</w:t>
      </w:r>
      <w:r w:rsidR="00221433" w:rsidRPr="000708D6">
        <w:rPr>
          <w:lang w:val="en-GB"/>
        </w:rPr>
        <w:t xml:space="preserve">. </w:t>
      </w:r>
      <w:r w:rsidRPr="000708D6">
        <w:rPr>
          <w:lang w:val="en-GB"/>
        </w:rPr>
        <w:t>Technical support will be provided to the Central Statistical Office and other government bodies in the areas of development-related (</w:t>
      </w:r>
      <w:r w:rsidR="00E62EDA">
        <w:rPr>
          <w:lang w:val="en-GB"/>
        </w:rPr>
        <w:t>a</w:t>
      </w:r>
      <w:r w:rsidRPr="000708D6">
        <w:rPr>
          <w:lang w:val="en-GB"/>
        </w:rPr>
        <w:t>)</w:t>
      </w:r>
      <w:r w:rsidR="00607342">
        <w:rPr>
          <w:lang w:val="en-GB"/>
        </w:rPr>
        <w:t> </w:t>
      </w:r>
      <w:r w:rsidRPr="000708D6">
        <w:rPr>
          <w:lang w:val="en-GB"/>
        </w:rPr>
        <w:t>data generation, collection, disaggregation</w:t>
      </w:r>
      <w:r w:rsidR="000F3AA9" w:rsidRPr="000708D6">
        <w:rPr>
          <w:lang w:val="en-GB"/>
        </w:rPr>
        <w:t>;</w:t>
      </w:r>
      <w:r w:rsidRPr="000708D6">
        <w:rPr>
          <w:lang w:val="en-GB"/>
        </w:rPr>
        <w:t xml:space="preserve"> (</w:t>
      </w:r>
      <w:r w:rsidR="00E62EDA">
        <w:rPr>
          <w:lang w:val="en-GB"/>
        </w:rPr>
        <w:t>b</w:t>
      </w:r>
      <w:r w:rsidRPr="000708D6">
        <w:rPr>
          <w:lang w:val="en-GB"/>
        </w:rPr>
        <w:t>) statistical analysis</w:t>
      </w:r>
      <w:r w:rsidR="000F3AA9" w:rsidRPr="000708D6">
        <w:rPr>
          <w:lang w:val="en-GB"/>
        </w:rPr>
        <w:t>;</w:t>
      </w:r>
      <w:r w:rsidRPr="000708D6">
        <w:rPr>
          <w:lang w:val="en-GB"/>
        </w:rPr>
        <w:t xml:space="preserve"> and (</w:t>
      </w:r>
      <w:r w:rsidR="00E62EDA">
        <w:rPr>
          <w:lang w:val="en-GB"/>
        </w:rPr>
        <w:t>c</w:t>
      </w:r>
      <w:r w:rsidRPr="000708D6">
        <w:rPr>
          <w:lang w:val="en-GB"/>
        </w:rPr>
        <w:t xml:space="preserve">) public access to </w:t>
      </w:r>
      <w:r w:rsidRPr="000708D6">
        <w:rPr>
          <w:lang w:val="en-GB"/>
        </w:rPr>
        <w:lastRenderedPageBreak/>
        <w:t>data</w:t>
      </w:r>
      <w:r w:rsidR="00221433" w:rsidRPr="000708D6">
        <w:rPr>
          <w:lang w:val="en-GB"/>
        </w:rPr>
        <w:t xml:space="preserve">. </w:t>
      </w:r>
      <w:r w:rsidR="00A27006">
        <w:rPr>
          <w:lang w:val="en-GB"/>
        </w:rPr>
        <w:t>W</w:t>
      </w:r>
      <w:r w:rsidRPr="000708D6">
        <w:rPr>
          <w:lang w:val="en-GB"/>
        </w:rPr>
        <w:t xml:space="preserve">ith </w:t>
      </w:r>
      <w:r w:rsidR="00E62EDA" w:rsidRPr="00414E3E">
        <w:rPr>
          <w:lang w:val="en-GB"/>
        </w:rPr>
        <w:t>country office</w:t>
      </w:r>
      <w:r w:rsidR="009C46EF" w:rsidRPr="000708D6">
        <w:rPr>
          <w:lang w:val="en-GB"/>
        </w:rPr>
        <w:t xml:space="preserve"> </w:t>
      </w:r>
      <w:r w:rsidRPr="000708D6">
        <w:rPr>
          <w:lang w:val="en-GB"/>
        </w:rPr>
        <w:t xml:space="preserve">participation in a global UNDP project on data ecosystems mapping, these interventions will strengthen the capacity </w:t>
      </w:r>
      <w:r w:rsidR="00E62EDA">
        <w:rPr>
          <w:lang w:val="en-GB"/>
        </w:rPr>
        <w:t xml:space="preserve">of Trinidad and Tobago </w:t>
      </w:r>
      <w:r w:rsidRPr="000708D6">
        <w:rPr>
          <w:lang w:val="en-GB"/>
        </w:rPr>
        <w:t>to locali</w:t>
      </w:r>
      <w:r w:rsidR="00E62EDA">
        <w:rPr>
          <w:lang w:val="en-GB"/>
        </w:rPr>
        <w:t>z</w:t>
      </w:r>
      <w:r w:rsidRPr="000708D6">
        <w:rPr>
          <w:lang w:val="en-GB"/>
        </w:rPr>
        <w:t xml:space="preserve">e and track progress towards meeting </w:t>
      </w:r>
      <w:r w:rsidR="005E035C" w:rsidRPr="000708D6">
        <w:rPr>
          <w:lang w:val="en-GB"/>
        </w:rPr>
        <w:t>sustainable development goals</w:t>
      </w:r>
      <w:r w:rsidRPr="000708D6">
        <w:rPr>
          <w:lang w:val="en-GB"/>
        </w:rPr>
        <w:t xml:space="preserve"> targets.</w:t>
      </w:r>
    </w:p>
    <w:p w14:paraId="0DFDBA8E" w14:textId="07214574" w:rsidR="002655BE" w:rsidRPr="000708D6" w:rsidRDefault="002655BE" w:rsidP="00440828">
      <w:pPr>
        <w:pStyle w:val="ListParagraph"/>
        <w:numPr>
          <w:ilvl w:val="0"/>
          <w:numId w:val="31"/>
        </w:numPr>
        <w:tabs>
          <w:tab w:val="left" w:pos="1530"/>
        </w:tabs>
        <w:spacing w:after="120"/>
        <w:ind w:left="1170" w:right="1030" w:firstLine="0"/>
        <w:jc w:val="both"/>
        <w:rPr>
          <w:lang w:val="en-GB"/>
        </w:rPr>
      </w:pPr>
      <w:r w:rsidRPr="000708D6">
        <w:rPr>
          <w:lang w:val="en-GB"/>
        </w:rPr>
        <w:t>UNDP will support the development of transformative pro-poor policies and provi</w:t>
      </w:r>
      <w:r w:rsidR="00E62EDA">
        <w:rPr>
          <w:lang w:val="en-GB"/>
        </w:rPr>
        <w:t>de</w:t>
      </w:r>
      <w:r w:rsidRPr="000708D6">
        <w:rPr>
          <w:lang w:val="en-GB"/>
        </w:rPr>
        <w:t xml:space="preserve"> technical assistance to</w:t>
      </w:r>
      <w:r w:rsidR="003C196B" w:rsidRPr="000708D6">
        <w:rPr>
          <w:lang w:val="en-GB"/>
        </w:rPr>
        <w:t xml:space="preserve"> the </w:t>
      </w:r>
      <w:r w:rsidR="00E62EDA">
        <w:rPr>
          <w:lang w:val="en-GB"/>
        </w:rPr>
        <w:t>G</w:t>
      </w:r>
      <w:r w:rsidR="003C196B" w:rsidRPr="000708D6">
        <w:rPr>
          <w:lang w:val="en-GB"/>
        </w:rPr>
        <w:t xml:space="preserve">overnment </w:t>
      </w:r>
      <w:r w:rsidRPr="000708D6">
        <w:rPr>
          <w:lang w:val="en-GB"/>
        </w:rPr>
        <w:t>to help bolster</w:t>
      </w:r>
      <w:r w:rsidR="00477BDA" w:rsidRPr="000708D6">
        <w:rPr>
          <w:lang w:val="en-GB"/>
        </w:rPr>
        <w:t xml:space="preserve"> and target</w:t>
      </w:r>
      <w:r w:rsidRPr="000708D6">
        <w:rPr>
          <w:lang w:val="en-GB"/>
        </w:rPr>
        <w:t xml:space="preserve"> social safety</w:t>
      </w:r>
      <w:r w:rsidR="00AE12F8">
        <w:rPr>
          <w:lang w:val="en-GB"/>
        </w:rPr>
        <w:t>-</w:t>
      </w:r>
      <w:r w:rsidRPr="000708D6">
        <w:rPr>
          <w:lang w:val="en-GB"/>
        </w:rPr>
        <w:t>net programmes</w:t>
      </w:r>
      <w:r w:rsidR="00BC272E" w:rsidRPr="000708D6">
        <w:rPr>
          <w:lang w:val="en-GB"/>
        </w:rPr>
        <w:t xml:space="preserve">. Besides the work </w:t>
      </w:r>
      <w:r w:rsidR="00E62EDA">
        <w:rPr>
          <w:lang w:val="en-GB"/>
        </w:rPr>
        <w:t>of</w:t>
      </w:r>
      <w:r w:rsidR="00E62EDA" w:rsidRPr="000708D6">
        <w:rPr>
          <w:lang w:val="en-GB"/>
        </w:rPr>
        <w:t xml:space="preserve"> </w:t>
      </w:r>
      <w:r w:rsidR="00BC272E" w:rsidRPr="000708D6">
        <w:rPr>
          <w:lang w:val="en-GB"/>
        </w:rPr>
        <w:t>increas</w:t>
      </w:r>
      <w:r w:rsidR="00E62EDA">
        <w:rPr>
          <w:lang w:val="en-GB"/>
        </w:rPr>
        <w:t>ing</w:t>
      </w:r>
      <w:r w:rsidR="00BC272E" w:rsidRPr="000708D6">
        <w:rPr>
          <w:lang w:val="en-GB"/>
        </w:rPr>
        <w:t xml:space="preserve"> data capacities, this </w:t>
      </w:r>
      <w:r w:rsidR="00E62EDA">
        <w:rPr>
          <w:lang w:val="en-GB"/>
        </w:rPr>
        <w:t xml:space="preserve">will </w:t>
      </w:r>
      <w:r w:rsidR="00BC272E" w:rsidRPr="000708D6">
        <w:rPr>
          <w:lang w:val="en-GB"/>
        </w:rPr>
        <w:t>include the participatory design of a national poverty strategy (involving</w:t>
      </w:r>
      <w:r w:rsidR="00E62EDA">
        <w:rPr>
          <w:lang w:val="en-GB"/>
        </w:rPr>
        <w:t xml:space="preserve"> the</w:t>
      </w:r>
      <w:r w:rsidR="003C196B" w:rsidRPr="000708D6">
        <w:rPr>
          <w:lang w:val="en-GB"/>
        </w:rPr>
        <w:t xml:space="preserve"> Ministry of Social Development and Family Services, </w:t>
      </w:r>
      <w:r w:rsidR="009C46EF" w:rsidRPr="000708D6">
        <w:rPr>
          <w:lang w:val="en-GB"/>
        </w:rPr>
        <w:t>the University of the West Indies,</w:t>
      </w:r>
      <w:r w:rsidR="00BC272E" w:rsidRPr="000708D6">
        <w:rPr>
          <w:lang w:val="en-GB"/>
        </w:rPr>
        <w:t xml:space="preserve"> and others)</w:t>
      </w:r>
      <w:r w:rsidR="00DB4B48" w:rsidRPr="000708D6">
        <w:rPr>
          <w:lang w:val="en-GB"/>
        </w:rPr>
        <w:t>,</w:t>
      </w:r>
      <w:r w:rsidR="004B5289" w:rsidRPr="000708D6">
        <w:rPr>
          <w:lang w:val="en-GB"/>
        </w:rPr>
        <w:t xml:space="preserve"> which </w:t>
      </w:r>
      <w:r w:rsidR="003C196B" w:rsidRPr="000708D6">
        <w:rPr>
          <w:lang w:val="en-GB"/>
        </w:rPr>
        <w:t>considers</w:t>
      </w:r>
      <w:r w:rsidR="004B5289" w:rsidRPr="000708D6">
        <w:rPr>
          <w:lang w:val="en-GB"/>
        </w:rPr>
        <w:t xml:space="preserve"> gender imb</w:t>
      </w:r>
      <w:r w:rsidR="003C196B" w:rsidRPr="000708D6">
        <w:rPr>
          <w:lang w:val="en-GB"/>
        </w:rPr>
        <w:t xml:space="preserve">alances and leverages </w:t>
      </w:r>
      <w:r w:rsidR="00B3602A" w:rsidRPr="000708D6">
        <w:rPr>
          <w:lang w:val="en-GB"/>
        </w:rPr>
        <w:t>UNDP</w:t>
      </w:r>
      <w:r w:rsidR="003C196B" w:rsidRPr="000708D6">
        <w:rPr>
          <w:lang w:val="en-GB"/>
        </w:rPr>
        <w:t xml:space="preserve"> work on</w:t>
      </w:r>
      <w:r w:rsidR="004B5289" w:rsidRPr="000708D6">
        <w:rPr>
          <w:lang w:val="en-GB"/>
        </w:rPr>
        <w:t xml:space="preserve"> </w:t>
      </w:r>
      <w:r w:rsidR="00BC272E" w:rsidRPr="000708D6">
        <w:rPr>
          <w:lang w:val="en-GB"/>
        </w:rPr>
        <w:t xml:space="preserve">municipal poverty </w:t>
      </w:r>
      <w:r w:rsidR="00F62D31" w:rsidRPr="000708D6">
        <w:rPr>
          <w:lang w:val="en-GB"/>
        </w:rPr>
        <w:t>profile c</w:t>
      </w:r>
      <w:r w:rsidR="004B5289" w:rsidRPr="000708D6">
        <w:rPr>
          <w:lang w:val="en-GB"/>
        </w:rPr>
        <w:t>onstruction</w:t>
      </w:r>
      <w:r w:rsidR="00F62D31" w:rsidRPr="000708D6">
        <w:rPr>
          <w:rStyle w:val="FootnoteReference"/>
          <w:lang w:val="en-GB"/>
        </w:rPr>
        <w:footnoteReference w:id="14"/>
      </w:r>
      <w:r w:rsidR="00221433" w:rsidRPr="000708D6">
        <w:rPr>
          <w:lang w:val="en-GB"/>
        </w:rPr>
        <w:t xml:space="preserve">. </w:t>
      </w:r>
      <w:r w:rsidR="007C697A" w:rsidRPr="000708D6">
        <w:rPr>
          <w:lang w:val="en-GB"/>
        </w:rPr>
        <w:t>Disaggregated data on female</w:t>
      </w:r>
      <w:r w:rsidR="00E62EDA">
        <w:rPr>
          <w:lang w:val="en-GB"/>
        </w:rPr>
        <w:t>-</w:t>
      </w:r>
      <w:r w:rsidR="007C697A" w:rsidRPr="000708D6">
        <w:rPr>
          <w:lang w:val="en-GB"/>
        </w:rPr>
        <w:t xml:space="preserve">headed households, women with disabilities, </w:t>
      </w:r>
      <w:r w:rsidR="00E62EDA">
        <w:rPr>
          <w:lang w:val="en-GB"/>
        </w:rPr>
        <w:t xml:space="preserve">and </w:t>
      </w:r>
      <w:r w:rsidR="007C697A" w:rsidRPr="000708D6">
        <w:rPr>
          <w:lang w:val="en-GB"/>
        </w:rPr>
        <w:t>victims of gender</w:t>
      </w:r>
      <w:r w:rsidR="00E62EDA">
        <w:rPr>
          <w:lang w:val="en-GB"/>
        </w:rPr>
        <w:t>-</w:t>
      </w:r>
      <w:r w:rsidR="007C697A" w:rsidRPr="000708D6">
        <w:rPr>
          <w:lang w:val="en-GB"/>
        </w:rPr>
        <w:t>based violence w</w:t>
      </w:r>
      <w:r w:rsidR="00A27006">
        <w:rPr>
          <w:lang w:val="en-GB"/>
        </w:rPr>
        <w:t>ill</w:t>
      </w:r>
      <w:r w:rsidR="007C697A" w:rsidRPr="000708D6">
        <w:rPr>
          <w:lang w:val="en-GB"/>
        </w:rPr>
        <w:t xml:space="preserve"> be utili</w:t>
      </w:r>
      <w:r w:rsidR="00E62EDA">
        <w:rPr>
          <w:lang w:val="en-GB"/>
        </w:rPr>
        <w:t>z</w:t>
      </w:r>
      <w:r w:rsidR="007C697A" w:rsidRPr="000708D6">
        <w:rPr>
          <w:lang w:val="en-GB"/>
        </w:rPr>
        <w:t xml:space="preserve">ed to </w:t>
      </w:r>
      <w:r w:rsidR="003F7BBE" w:rsidRPr="000708D6">
        <w:rPr>
          <w:lang w:val="en-GB"/>
        </w:rPr>
        <w:t>support targeting and mainstreaming</w:t>
      </w:r>
      <w:r w:rsidR="00E62EDA">
        <w:rPr>
          <w:lang w:val="en-GB"/>
        </w:rPr>
        <w:t>,</w:t>
      </w:r>
      <w:r w:rsidR="003F7BBE" w:rsidRPr="000708D6">
        <w:rPr>
          <w:lang w:val="en-GB"/>
        </w:rPr>
        <w:t xml:space="preserve"> and </w:t>
      </w:r>
      <w:r w:rsidR="00E62EDA">
        <w:rPr>
          <w:lang w:val="en-GB"/>
        </w:rPr>
        <w:t xml:space="preserve">to </w:t>
      </w:r>
      <w:r w:rsidR="007C697A" w:rsidRPr="000708D6">
        <w:rPr>
          <w:lang w:val="en-GB"/>
        </w:rPr>
        <w:t>better inform UNDP work in this area</w:t>
      </w:r>
      <w:r w:rsidR="00221433" w:rsidRPr="000708D6">
        <w:rPr>
          <w:lang w:val="en-GB"/>
        </w:rPr>
        <w:t xml:space="preserve">. </w:t>
      </w:r>
      <w:r w:rsidR="007C697A" w:rsidRPr="000708D6">
        <w:rPr>
          <w:lang w:val="en-GB"/>
        </w:rPr>
        <w:t xml:space="preserve">Special emphasis will be placed on deepening the analysis of poverty in rural communities and </w:t>
      </w:r>
      <w:r w:rsidR="00E62EDA">
        <w:rPr>
          <w:lang w:val="en-GB"/>
        </w:rPr>
        <w:t xml:space="preserve">in </w:t>
      </w:r>
      <w:r w:rsidR="007C697A" w:rsidRPr="000708D6">
        <w:rPr>
          <w:lang w:val="en-GB"/>
        </w:rPr>
        <w:t>Tobago</w:t>
      </w:r>
      <w:r w:rsidR="00221433" w:rsidRPr="000708D6">
        <w:rPr>
          <w:lang w:val="en-GB"/>
        </w:rPr>
        <w:t xml:space="preserve">. </w:t>
      </w:r>
      <w:r w:rsidR="00F62D31" w:rsidRPr="000708D6">
        <w:rPr>
          <w:lang w:val="en-GB"/>
        </w:rPr>
        <w:t xml:space="preserve">UNDP will collaborate with </w:t>
      </w:r>
      <w:r w:rsidR="009C46EF" w:rsidRPr="000708D6">
        <w:rPr>
          <w:lang w:val="en-GB"/>
        </w:rPr>
        <w:t>the United Nations Children’s Fund (</w:t>
      </w:r>
      <w:r w:rsidR="00F62D31" w:rsidRPr="000708D6">
        <w:rPr>
          <w:lang w:val="en-GB"/>
        </w:rPr>
        <w:t>UNICEF</w:t>
      </w:r>
      <w:r w:rsidR="009C46EF" w:rsidRPr="000708D6">
        <w:rPr>
          <w:lang w:val="en-GB"/>
        </w:rPr>
        <w:t>)</w:t>
      </w:r>
      <w:r w:rsidR="00F62D31" w:rsidRPr="000708D6">
        <w:rPr>
          <w:lang w:val="en-GB"/>
        </w:rPr>
        <w:t xml:space="preserve"> </w:t>
      </w:r>
      <w:r w:rsidR="00E62EDA">
        <w:rPr>
          <w:lang w:val="en-GB"/>
        </w:rPr>
        <w:t>o</w:t>
      </w:r>
      <w:r w:rsidR="00F62D31" w:rsidRPr="000708D6">
        <w:rPr>
          <w:lang w:val="en-GB"/>
        </w:rPr>
        <w:t>n child poverty and social protection reform</w:t>
      </w:r>
      <w:r w:rsidR="00115578" w:rsidRPr="000708D6">
        <w:rPr>
          <w:lang w:val="en-GB"/>
        </w:rPr>
        <w:t xml:space="preserve"> (improving data access and analysis capabilities)</w:t>
      </w:r>
      <w:r w:rsidR="00F62D31" w:rsidRPr="000708D6">
        <w:rPr>
          <w:lang w:val="en-GB"/>
        </w:rPr>
        <w:t xml:space="preserve">, </w:t>
      </w:r>
      <w:r w:rsidR="00E62EDA">
        <w:rPr>
          <w:lang w:val="en-GB"/>
        </w:rPr>
        <w:t>and</w:t>
      </w:r>
      <w:r w:rsidR="00F62D31" w:rsidRPr="000708D6">
        <w:rPr>
          <w:lang w:val="en-GB"/>
        </w:rPr>
        <w:t xml:space="preserve"> </w:t>
      </w:r>
      <w:r w:rsidR="00E62EDA">
        <w:rPr>
          <w:lang w:val="en-GB"/>
        </w:rPr>
        <w:t xml:space="preserve">with </w:t>
      </w:r>
      <w:r w:rsidR="008C6F7E" w:rsidRPr="000708D6">
        <w:rPr>
          <w:lang w:val="en-GB"/>
        </w:rPr>
        <w:t>the Ministry of Health</w:t>
      </w:r>
      <w:r w:rsidR="00A27006">
        <w:rPr>
          <w:lang w:val="en-GB"/>
        </w:rPr>
        <w:t>,</w:t>
      </w:r>
      <w:r w:rsidR="008C6F7E" w:rsidRPr="000708D6">
        <w:rPr>
          <w:lang w:val="en-GB"/>
        </w:rPr>
        <w:t xml:space="preserve"> </w:t>
      </w:r>
      <w:r w:rsidR="003F7BBE" w:rsidRPr="000708D6">
        <w:rPr>
          <w:lang w:val="en-GB"/>
        </w:rPr>
        <w:t xml:space="preserve">building on support to primary health care through the use of </w:t>
      </w:r>
      <w:r w:rsidR="00E62EDA">
        <w:rPr>
          <w:lang w:val="en-GB"/>
        </w:rPr>
        <w:t>i</w:t>
      </w:r>
      <w:r w:rsidR="000F3AA9" w:rsidRPr="000708D6">
        <w:rPr>
          <w:lang w:val="en-GB"/>
        </w:rPr>
        <w:t xml:space="preserve">nternational </w:t>
      </w:r>
      <w:r w:rsidR="00594A47" w:rsidRPr="000708D6">
        <w:rPr>
          <w:lang w:val="en-GB"/>
        </w:rPr>
        <w:t>U</w:t>
      </w:r>
      <w:r w:rsidR="00E62EDA">
        <w:rPr>
          <w:lang w:val="en-GB"/>
        </w:rPr>
        <w:t>nited Nations</w:t>
      </w:r>
      <w:r w:rsidR="00594A47" w:rsidRPr="000708D6">
        <w:rPr>
          <w:lang w:val="en-GB"/>
        </w:rPr>
        <w:t xml:space="preserve"> Volunteers (UNV) </w:t>
      </w:r>
      <w:r w:rsidR="003F7BBE" w:rsidRPr="000708D6">
        <w:rPr>
          <w:lang w:val="en-GB"/>
        </w:rPr>
        <w:t>doctors</w:t>
      </w:r>
      <w:r w:rsidR="00F62D31" w:rsidRPr="000708D6">
        <w:rPr>
          <w:lang w:val="en-GB"/>
        </w:rPr>
        <w:t xml:space="preserve"> </w:t>
      </w:r>
      <w:r w:rsidR="008C6F7E" w:rsidRPr="000708D6">
        <w:rPr>
          <w:lang w:val="en-GB"/>
        </w:rPr>
        <w:t xml:space="preserve">to </w:t>
      </w:r>
      <w:r w:rsidR="00A27006">
        <w:rPr>
          <w:lang w:val="en-GB"/>
        </w:rPr>
        <w:t>expand</w:t>
      </w:r>
      <w:r w:rsidR="00A27006" w:rsidRPr="000708D6">
        <w:rPr>
          <w:lang w:val="en-GB"/>
        </w:rPr>
        <w:t xml:space="preserve"> </w:t>
      </w:r>
      <w:r w:rsidR="003F7BBE" w:rsidRPr="000708D6">
        <w:rPr>
          <w:lang w:val="en-GB"/>
        </w:rPr>
        <w:t>access to</w:t>
      </w:r>
      <w:r w:rsidR="008C6F7E" w:rsidRPr="000708D6">
        <w:rPr>
          <w:lang w:val="en-GB"/>
        </w:rPr>
        <w:t xml:space="preserve"> health care in rural communities</w:t>
      </w:r>
      <w:r w:rsidR="00F62D31" w:rsidRPr="000708D6">
        <w:rPr>
          <w:lang w:val="en-GB"/>
        </w:rPr>
        <w:t>.</w:t>
      </w:r>
      <w:r w:rsidRPr="000708D6">
        <w:rPr>
          <w:strike/>
          <w:lang w:val="en-GB"/>
        </w:rPr>
        <w:t xml:space="preserve"> </w:t>
      </w:r>
    </w:p>
    <w:p w14:paraId="59EA81AC" w14:textId="669FF52B" w:rsidR="002655BE" w:rsidRPr="000708D6" w:rsidRDefault="002655BE" w:rsidP="00440828">
      <w:pPr>
        <w:pStyle w:val="ListParagraph"/>
        <w:numPr>
          <w:ilvl w:val="0"/>
          <w:numId w:val="31"/>
        </w:numPr>
        <w:tabs>
          <w:tab w:val="left" w:pos="1530"/>
          <w:tab w:val="left" w:pos="9090"/>
        </w:tabs>
        <w:spacing w:after="120"/>
        <w:ind w:left="1170" w:right="1030" w:firstLine="0"/>
        <w:jc w:val="both"/>
        <w:rPr>
          <w:lang w:val="en-GB"/>
        </w:rPr>
      </w:pPr>
      <w:r w:rsidRPr="000708D6">
        <w:rPr>
          <w:lang w:val="en-GB"/>
        </w:rPr>
        <w:t xml:space="preserve">Public participation will be </w:t>
      </w:r>
      <w:r w:rsidR="00E62EDA" w:rsidRPr="000708D6">
        <w:rPr>
          <w:lang w:val="en-GB"/>
        </w:rPr>
        <w:t>e</w:t>
      </w:r>
      <w:r w:rsidR="00E62EDA">
        <w:rPr>
          <w:lang w:val="en-GB"/>
        </w:rPr>
        <w:t>xpand</w:t>
      </w:r>
      <w:r w:rsidR="00E62EDA" w:rsidRPr="000708D6">
        <w:rPr>
          <w:lang w:val="en-GB"/>
        </w:rPr>
        <w:t xml:space="preserve">ed </w:t>
      </w:r>
      <w:r w:rsidRPr="000708D6">
        <w:rPr>
          <w:lang w:val="en-GB"/>
        </w:rPr>
        <w:t xml:space="preserve">through advocacy </w:t>
      </w:r>
      <w:r w:rsidR="00A27006">
        <w:rPr>
          <w:lang w:val="en-GB"/>
        </w:rPr>
        <w:t>i</w:t>
      </w:r>
      <w:r w:rsidRPr="000708D6">
        <w:rPr>
          <w:lang w:val="en-GB"/>
        </w:rPr>
        <w:t xml:space="preserve">n poverty reduction and resilience (taking advantage of UNDP </w:t>
      </w:r>
      <w:r w:rsidR="00E62EDA">
        <w:rPr>
          <w:lang w:val="en-GB"/>
        </w:rPr>
        <w:t>‘d</w:t>
      </w:r>
      <w:r w:rsidRPr="000708D6">
        <w:rPr>
          <w:lang w:val="en-GB"/>
        </w:rPr>
        <w:t xml:space="preserve">evelopment </w:t>
      </w:r>
      <w:r w:rsidR="00E62EDA">
        <w:rPr>
          <w:lang w:val="en-GB"/>
        </w:rPr>
        <w:t>d</w:t>
      </w:r>
      <w:r w:rsidRPr="000708D6">
        <w:rPr>
          <w:lang w:val="en-GB"/>
        </w:rPr>
        <w:t>ialogues</w:t>
      </w:r>
      <w:r w:rsidR="00E62EDA">
        <w:rPr>
          <w:lang w:val="en-GB"/>
        </w:rPr>
        <w:t>’</w:t>
      </w:r>
      <w:r w:rsidRPr="000708D6">
        <w:rPr>
          <w:lang w:val="en-GB"/>
        </w:rPr>
        <w:t xml:space="preserve">) and the dissemination of knowledge products. UNDP will collaborate with </w:t>
      </w:r>
      <w:r w:rsidR="000A166F" w:rsidRPr="000708D6">
        <w:rPr>
          <w:lang w:val="en-GB"/>
        </w:rPr>
        <w:t>m</w:t>
      </w:r>
      <w:r w:rsidRPr="000708D6">
        <w:rPr>
          <w:lang w:val="en-GB"/>
        </w:rPr>
        <w:t xml:space="preserve">inistries and </w:t>
      </w:r>
      <w:r w:rsidR="009C46EF" w:rsidRPr="000708D6">
        <w:rPr>
          <w:lang w:val="en-GB"/>
        </w:rPr>
        <w:t>United Nations partners</w:t>
      </w:r>
      <w:r w:rsidR="004B5289" w:rsidRPr="000708D6">
        <w:rPr>
          <w:lang w:val="en-GB"/>
        </w:rPr>
        <w:t xml:space="preserve"> </w:t>
      </w:r>
      <w:r w:rsidR="00D47D3F" w:rsidRPr="000708D6">
        <w:rPr>
          <w:lang w:val="en-GB"/>
        </w:rPr>
        <w:t>such as UNICEF, UN</w:t>
      </w:r>
      <w:r w:rsidR="009C46EF" w:rsidRPr="000708D6">
        <w:rPr>
          <w:lang w:val="en-GB"/>
        </w:rPr>
        <w:t>-</w:t>
      </w:r>
      <w:r w:rsidR="00D47D3F" w:rsidRPr="000708D6">
        <w:rPr>
          <w:lang w:val="en-GB"/>
        </w:rPr>
        <w:t>W</w:t>
      </w:r>
      <w:r w:rsidR="009C46EF" w:rsidRPr="000708D6">
        <w:rPr>
          <w:lang w:val="en-GB"/>
        </w:rPr>
        <w:t xml:space="preserve">omen, and </w:t>
      </w:r>
      <w:r w:rsidRPr="000708D6">
        <w:rPr>
          <w:lang w:val="en-GB"/>
        </w:rPr>
        <w:t>UNFPA in promoting innovative mechanisms to involve communities and civic organizations in formulati</w:t>
      </w:r>
      <w:r w:rsidR="00E62EDA">
        <w:rPr>
          <w:lang w:val="en-GB"/>
        </w:rPr>
        <w:t>ng</w:t>
      </w:r>
      <w:r w:rsidRPr="000708D6">
        <w:rPr>
          <w:lang w:val="en-GB"/>
        </w:rPr>
        <w:t xml:space="preserve"> and monitoring poverty policies.</w:t>
      </w:r>
    </w:p>
    <w:p w14:paraId="147D8425" w14:textId="6D82416C" w:rsidR="002655BE" w:rsidRPr="000708D6" w:rsidRDefault="002655BE" w:rsidP="00440828">
      <w:pPr>
        <w:tabs>
          <w:tab w:val="left" w:pos="1530"/>
        </w:tabs>
        <w:spacing w:after="120"/>
        <w:ind w:left="1170" w:right="1030"/>
        <w:jc w:val="both"/>
        <w:rPr>
          <w:b/>
          <w:lang w:val="en-GB"/>
        </w:rPr>
      </w:pPr>
      <w:r w:rsidRPr="000708D6">
        <w:rPr>
          <w:b/>
          <w:lang w:val="en-GB"/>
        </w:rPr>
        <w:t>Area 2</w:t>
      </w:r>
      <w:r w:rsidR="00E62EDA">
        <w:rPr>
          <w:b/>
          <w:lang w:val="en-GB"/>
        </w:rPr>
        <w:t>.</w:t>
      </w:r>
      <w:r w:rsidRPr="000708D6">
        <w:rPr>
          <w:b/>
          <w:lang w:val="en-GB"/>
        </w:rPr>
        <w:t xml:space="preserve"> Democratic </w:t>
      </w:r>
      <w:r w:rsidR="00E62EDA">
        <w:rPr>
          <w:b/>
          <w:lang w:val="en-GB"/>
        </w:rPr>
        <w:t>g</w:t>
      </w:r>
      <w:r w:rsidRPr="000708D6">
        <w:rPr>
          <w:b/>
          <w:lang w:val="en-GB"/>
        </w:rPr>
        <w:t>overnance (</w:t>
      </w:r>
      <w:r w:rsidR="00E62EDA">
        <w:rPr>
          <w:b/>
          <w:lang w:val="en-GB"/>
        </w:rPr>
        <w:t>v</w:t>
      </w:r>
      <w:r w:rsidRPr="000708D6">
        <w:rPr>
          <w:b/>
          <w:lang w:val="en-GB"/>
        </w:rPr>
        <w:t xml:space="preserve">oice and </w:t>
      </w:r>
      <w:r w:rsidR="00E62EDA">
        <w:rPr>
          <w:b/>
          <w:lang w:val="en-GB"/>
        </w:rPr>
        <w:t>p</w:t>
      </w:r>
      <w:r w:rsidRPr="000708D6">
        <w:rPr>
          <w:b/>
          <w:lang w:val="en-GB"/>
        </w:rPr>
        <w:t>articipation)</w:t>
      </w:r>
    </w:p>
    <w:p w14:paraId="2E433F0F" w14:textId="34C2499A" w:rsidR="002655BE" w:rsidRPr="000708D6" w:rsidRDefault="00E62EDA" w:rsidP="00440828">
      <w:pPr>
        <w:pStyle w:val="ListParagraph"/>
        <w:numPr>
          <w:ilvl w:val="0"/>
          <w:numId w:val="31"/>
        </w:numPr>
        <w:tabs>
          <w:tab w:val="left" w:pos="1530"/>
        </w:tabs>
        <w:spacing w:after="120"/>
        <w:ind w:left="1170" w:right="1030" w:firstLine="0"/>
        <w:jc w:val="both"/>
        <w:rPr>
          <w:lang w:val="en-GB"/>
        </w:rPr>
      </w:pPr>
      <w:r w:rsidRPr="00FD6D28">
        <w:rPr>
          <w:lang w:val="en-GB"/>
        </w:rPr>
        <w:t>M</w:t>
      </w:r>
      <w:r w:rsidR="002655BE" w:rsidRPr="000708D6">
        <w:rPr>
          <w:lang w:val="en-GB"/>
        </w:rPr>
        <w:t>oderniz</w:t>
      </w:r>
      <w:r w:rsidRPr="00FD6D28">
        <w:rPr>
          <w:lang w:val="en-GB"/>
        </w:rPr>
        <w:t>ing</w:t>
      </w:r>
      <w:r w:rsidR="002655BE" w:rsidRPr="000708D6">
        <w:rPr>
          <w:lang w:val="en-GB"/>
        </w:rPr>
        <w:t xml:space="preserve"> the institutions of government into responsive</w:t>
      </w:r>
      <w:r w:rsidR="00066DC3" w:rsidRPr="000708D6">
        <w:rPr>
          <w:lang w:val="en-GB"/>
        </w:rPr>
        <w:t xml:space="preserve"> and</w:t>
      </w:r>
      <w:r w:rsidR="002655BE" w:rsidRPr="000708D6">
        <w:rPr>
          <w:lang w:val="en-GB"/>
        </w:rPr>
        <w:t xml:space="preserve"> inclusive decision-making structures has been a priority of successive governments </w:t>
      </w:r>
      <w:r w:rsidRPr="00FD6D28">
        <w:rPr>
          <w:lang w:val="en-GB"/>
        </w:rPr>
        <w:t>in Trinidad and Tobago</w:t>
      </w:r>
      <w:r w:rsidRPr="000708D6">
        <w:rPr>
          <w:lang w:val="en-GB"/>
        </w:rPr>
        <w:t xml:space="preserve"> </w:t>
      </w:r>
      <w:r w:rsidR="00F04140" w:rsidRPr="00FD6D28">
        <w:rPr>
          <w:lang w:val="en-GB"/>
        </w:rPr>
        <w:t xml:space="preserve">since </w:t>
      </w:r>
      <w:r w:rsidR="002655BE" w:rsidRPr="000708D6">
        <w:rPr>
          <w:lang w:val="en-GB"/>
        </w:rPr>
        <w:t>independence</w:t>
      </w:r>
      <w:r w:rsidR="00221433" w:rsidRPr="000708D6">
        <w:rPr>
          <w:lang w:val="en-GB"/>
        </w:rPr>
        <w:t xml:space="preserve">. </w:t>
      </w:r>
      <w:r w:rsidR="002655BE" w:rsidRPr="000708D6">
        <w:rPr>
          <w:lang w:val="en-GB"/>
        </w:rPr>
        <w:t xml:space="preserve">UNDP will partner with the </w:t>
      </w:r>
      <w:r w:rsidR="00F04140" w:rsidRPr="00FD6D28">
        <w:rPr>
          <w:lang w:val="en-GB"/>
        </w:rPr>
        <w:t>G</w:t>
      </w:r>
      <w:r w:rsidR="002655BE" w:rsidRPr="000708D6">
        <w:rPr>
          <w:lang w:val="en-GB"/>
        </w:rPr>
        <w:t>overnment, civil society</w:t>
      </w:r>
      <w:r w:rsidR="00F04140" w:rsidRPr="00FD6D28">
        <w:rPr>
          <w:lang w:val="en-GB"/>
        </w:rPr>
        <w:t>,</w:t>
      </w:r>
      <w:r w:rsidR="002655BE" w:rsidRPr="000708D6">
        <w:rPr>
          <w:lang w:val="en-GB"/>
        </w:rPr>
        <w:t xml:space="preserve"> and other development stakeholders, to ensure that principles of good governance (transparency, accountability, inclusiveness and the rule of law) are upheld</w:t>
      </w:r>
      <w:r w:rsidR="003C196B" w:rsidRPr="000708D6">
        <w:rPr>
          <w:lang w:val="en-GB"/>
        </w:rPr>
        <w:t xml:space="preserve"> and strengthened</w:t>
      </w:r>
      <w:r w:rsidR="002655BE" w:rsidRPr="000708D6">
        <w:rPr>
          <w:lang w:val="en-GB"/>
        </w:rPr>
        <w:t xml:space="preserve">. </w:t>
      </w:r>
    </w:p>
    <w:p w14:paraId="64D6DE17" w14:textId="31153236" w:rsidR="00F65799" w:rsidRPr="000708D6" w:rsidRDefault="00F65799" w:rsidP="00440828">
      <w:pPr>
        <w:pStyle w:val="ListParagraph"/>
        <w:numPr>
          <w:ilvl w:val="0"/>
          <w:numId w:val="31"/>
        </w:numPr>
        <w:tabs>
          <w:tab w:val="left" w:pos="1530"/>
        </w:tabs>
        <w:spacing w:after="120"/>
        <w:ind w:left="1170" w:right="1030" w:firstLine="0"/>
        <w:jc w:val="both"/>
        <w:rPr>
          <w:lang w:val="en-GB"/>
        </w:rPr>
      </w:pPr>
      <w:r w:rsidRPr="000708D6">
        <w:rPr>
          <w:lang w:val="en-GB"/>
        </w:rPr>
        <w:t xml:space="preserve">UNDP will support government efforts to bolster mechanisms </w:t>
      </w:r>
      <w:r w:rsidR="00F04140">
        <w:rPr>
          <w:lang w:val="en-GB"/>
        </w:rPr>
        <w:t>that</w:t>
      </w:r>
      <w:r w:rsidR="00F04140" w:rsidRPr="000708D6">
        <w:rPr>
          <w:lang w:val="en-GB"/>
        </w:rPr>
        <w:t xml:space="preserve"> </w:t>
      </w:r>
      <w:r w:rsidR="00DB0C36" w:rsidRPr="000708D6">
        <w:rPr>
          <w:lang w:val="en-GB"/>
        </w:rPr>
        <w:t>support</w:t>
      </w:r>
      <w:r w:rsidR="00041E99" w:rsidRPr="000708D6">
        <w:rPr>
          <w:lang w:val="en-GB"/>
        </w:rPr>
        <w:t xml:space="preserve"> the</w:t>
      </w:r>
      <w:r w:rsidRPr="000708D6">
        <w:rPr>
          <w:lang w:val="en-GB"/>
        </w:rPr>
        <w:t xml:space="preserve"> </w:t>
      </w:r>
      <w:r w:rsidR="00041E99" w:rsidRPr="000708D6">
        <w:rPr>
          <w:lang w:val="en-GB"/>
        </w:rPr>
        <w:t xml:space="preserve">proper use of national resources and </w:t>
      </w:r>
      <w:r w:rsidRPr="000708D6">
        <w:rPr>
          <w:lang w:val="en-GB"/>
        </w:rPr>
        <w:t>integrity in public office</w:t>
      </w:r>
      <w:r w:rsidR="00221433" w:rsidRPr="000708D6">
        <w:rPr>
          <w:lang w:val="en-GB"/>
        </w:rPr>
        <w:t xml:space="preserve">. </w:t>
      </w:r>
      <w:r w:rsidRPr="000708D6">
        <w:rPr>
          <w:lang w:val="en-GB"/>
        </w:rPr>
        <w:t xml:space="preserve">It will </w:t>
      </w:r>
      <w:r w:rsidR="00DE22B9" w:rsidRPr="000708D6">
        <w:rPr>
          <w:lang w:val="en-GB"/>
        </w:rPr>
        <w:t>seek</w:t>
      </w:r>
      <w:r w:rsidRPr="000708D6">
        <w:rPr>
          <w:lang w:val="en-GB"/>
        </w:rPr>
        <w:t xml:space="preserve"> </w:t>
      </w:r>
      <w:r w:rsidR="00041E99" w:rsidRPr="000708D6">
        <w:rPr>
          <w:lang w:val="en-GB"/>
        </w:rPr>
        <w:t>to reduce bureaucratic practices, improve autonomy and advance transparent public management</w:t>
      </w:r>
      <w:r w:rsidR="001F0573" w:rsidRPr="000708D6">
        <w:rPr>
          <w:lang w:val="en-GB"/>
        </w:rPr>
        <w:t xml:space="preserve"> for g</w:t>
      </w:r>
      <w:r w:rsidR="00041E99" w:rsidRPr="000708D6">
        <w:rPr>
          <w:lang w:val="en-GB"/>
        </w:rPr>
        <w:t xml:space="preserve">overnment bodies </w:t>
      </w:r>
      <w:r w:rsidR="00DE22B9" w:rsidRPr="000708D6">
        <w:rPr>
          <w:lang w:val="en-GB"/>
        </w:rPr>
        <w:t>through s</w:t>
      </w:r>
      <w:r w:rsidRPr="000708D6">
        <w:rPr>
          <w:lang w:val="en-GB"/>
        </w:rPr>
        <w:t xml:space="preserve">trengthening </w:t>
      </w:r>
      <w:r w:rsidR="00DE22B9" w:rsidRPr="000708D6">
        <w:rPr>
          <w:lang w:val="en-GB"/>
        </w:rPr>
        <w:t>of the P</w:t>
      </w:r>
      <w:r w:rsidRPr="000708D6">
        <w:rPr>
          <w:lang w:val="en-GB"/>
        </w:rPr>
        <w:t xml:space="preserve">arliament </w:t>
      </w:r>
      <w:r w:rsidR="001F0573" w:rsidRPr="000708D6">
        <w:rPr>
          <w:lang w:val="en-GB"/>
        </w:rPr>
        <w:t xml:space="preserve">and </w:t>
      </w:r>
      <w:r w:rsidR="00DE22B9" w:rsidRPr="000708D6">
        <w:rPr>
          <w:lang w:val="en-GB"/>
        </w:rPr>
        <w:t xml:space="preserve">support for </w:t>
      </w:r>
      <w:r w:rsidR="001F0573" w:rsidRPr="000708D6">
        <w:rPr>
          <w:lang w:val="en-GB"/>
        </w:rPr>
        <w:t>local government reform</w:t>
      </w:r>
      <w:r w:rsidR="00DE22B9" w:rsidRPr="000708D6">
        <w:rPr>
          <w:lang w:val="en-GB"/>
        </w:rPr>
        <w:t xml:space="preserve"> efforts</w:t>
      </w:r>
      <w:r w:rsidR="001F0573" w:rsidRPr="000708D6">
        <w:rPr>
          <w:lang w:val="en-GB"/>
        </w:rPr>
        <w:t>.</w:t>
      </w:r>
      <w:r w:rsidR="00041E99" w:rsidRPr="000708D6">
        <w:rPr>
          <w:lang w:val="en-GB"/>
        </w:rPr>
        <w:t xml:space="preserve"> Leveraging its expertise in legislative reform, UNDP will support the </w:t>
      </w:r>
      <w:r w:rsidR="00DB0C36" w:rsidRPr="000708D6">
        <w:rPr>
          <w:lang w:val="en-GB"/>
        </w:rPr>
        <w:t xml:space="preserve">Ministry of the Attorney General and Legal Affairs and </w:t>
      </w:r>
      <w:r w:rsidR="00C27489" w:rsidRPr="000708D6">
        <w:rPr>
          <w:lang w:val="en-GB"/>
        </w:rPr>
        <w:t xml:space="preserve">the </w:t>
      </w:r>
      <w:r w:rsidR="00DB0C36" w:rsidRPr="000708D6">
        <w:rPr>
          <w:lang w:val="en-GB"/>
        </w:rPr>
        <w:t xml:space="preserve">Parliament, </w:t>
      </w:r>
      <w:r w:rsidR="00041E99" w:rsidRPr="000708D6">
        <w:rPr>
          <w:lang w:val="en-GB"/>
        </w:rPr>
        <w:t>as required</w:t>
      </w:r>
      <w:r w:rsidR="00E808A3">
        <w:rPr>
          <w:lang w:val="en-GB"/>
        </w:rPr>
        <w:t>,</w:t>
      </w:r>
      <w:r w:rsidR="00041E99" w:rsidRPr="000708D6">
        <w:rPr>
          <w:lang w:val="en-GB"/>
        </w:rPr>
        <w:t xml:space="preserve"> </w:t>
      </w:r>
      <w:r w:rsidR="00E808A3">
        <w:rPr>
          <w:lang w:val="en-GB"/>
        </w:rPr>
        <w:t>i</w:t>
      </w:r>
      <w:r w:rsidR="00041E99" w:rsidRPr="000708D6">
        <w:rPr>
          <w:lang w:val="en-GB"/>
        </w:rPr>
        <w:t xml:space="preserve">n drafting legislation on issues </w:t>
      </w:r>
      <w:r w:rsidR="00DB0C36" w:rsidRPr="000708D6">
        <w:rPr>
          <w:lang w:val="en-GB"/>
        </w:rPr>
        <w:t>such as</w:t>
      </w:r>
      <w:r w:rsidR="00041E99" w:rsidRPr="000708D6">
        <w:rPr>
          <w:lang w:val="en-GB"/>
        </w:rPr>
        <w:t xml:space="preserve"> whistleblowing and campaign finance reform. </w:t>
      </w:r>
      <w:r w:rsidR="00DB0C36" w:rsidRPr="000708D6">
        <w:rPr>
          <w:lang w:val="en-GB"/>
        </w:rPr>
        <w:t xml:space="preserve">Additionally, </w:t>
      </w:r>
      <w:r w:rsidRPr="000708D6">
        <w:rPr>
          <w:lang w:val="en-GB"/>
        </w:rPr>
        <w:t xml:space="preserve">UNDP will support improved governance </w:t>
      </w:r>
      <w:r w:rsidR="00DB0C36" w:rsidRPr="000708D6">
        <w:rPr>
          <w:lang w:val="en-GB"/>
        </w:rPr>
        <w:t xml:space="preserve">through </w:t>
      </w:r>
      <w:r w:rsidRPr="000708D6">
        <w:rPr>
          <w:lang w:val="en-GB"/>
        </w:rPr>
        <w:t>capacity</w:t>
      </w:r>
      <w:r w:rsidR="00E808A3">
        <w:rPr>
          <w:lang w:val="en-GB"/>
        </w:rPr>
        <w:t>-</w:t>
      </w:r>
      <w:r w:rsidRPr="000708D6">
        <w:rPr>
          <w:lang w:val="en-GB"/>
        </w:rPr>
        <w:t xml:space="preserve">building and leadership </w:t>
      </w:r>
      <w:r w:rsidR="001A5CAE" w:rsidRPr="000708D6">
        <w:rPr>
          <w:lang w:val="en-GB"/>
        </w:rPr>
        <w:t>sessions for</w:t>
      </w:r>
      <w:r w:rsidR="00DB0C36" w:rsidRPr="000708D6">
        <w:rPr>
          <w:lang w:val="en-GB"/>
        </w:rPr>
        <w:t xml:space="preserve"> permanent secretaries, the </w:t>
      </w:r>
      <w:r w:rsidR="00DF5A05" w:rsidRPr="000708D6">
        <w:rPr>
          <w:lang w:val="en-GB"/>
        </w:rPr>
        <w:t>Tobago House of Assembly</w:t>
      </w:r>
      <w:r w:rsidR="00E808A3">
        <w:rPr>
          <w:lang w:val="en-GB"/>
        </w:rPr>
        <w:t>,</w:t>
      </w:r>
      <w:r w:rsidR="00DF5A05" w:rsidRPr="000708D6">
        <w:rPr>
          <w:lang w:val="en-GB"/>
        </w:rPr>
        <w:t xml:space="preserve"> </w:t>
      </w:r>
      <w:r w:rsidR="00DB0C36" w:rsidRPr="000708D6">
        <w:rPr>
          <w:lang w:val="en-GB"/>
        </w:rPr>
        <w:t>and civil society organizations</w:t>
      </w:r>
      <w:r w:rsidR="001F0573" w:rsidRPr="000708D6">
        <w:rPr>
          <w:lang w:val="en-GB"/>
        </w:rPr>
        <w:t>.</w:t>
      </w:r>
    </w:p>
    <w:p w14:paraId="221308AD" w14:textId="69AF8F3A" w:rsidR="002655BE" w:rsidRPr="000708D6" w:rsidRDefault="002655BE" w:rsidP="00440828">
      <w:pPr>
        <w:pStyle w:val="ListParagraph"/>
        <w:numPr>
          <w:ilvl w:val="0"/>
          <w:numId w:val="31"/>
        </w:numPr>
        <w:tabs>
          <w:tab w:val="left" w:pos="1530"/>
        </w:tabs>
        <w:spacing w:after="120"/>
        <w:ind w:left="1170" w:right="1030" w:firstLine="0"/>
        <w:jc w:val="both"/>
        <w:rPr>
          <w:lang w:val="en-GB"/>
        </w:rPr>
      </w:pPr>
      <w:r w:rsidRPr="000708D6">
        <w:rPr>
          <w:lang w:val="en-GB"/>
        </w:rPr>
        <w:t>UNDP</w:t>
      </w:r>
      <w:r w:rsidR="00DB0C36" w:rsidRPr="000708D6">
        <w:rPr>
          <w:lang w:val="en-GB"/>
        </w:rPr>
        <w:t xml:space="preserve"> will strengthen frameworks for effective citizen participation by promoting</w:t>
      </w:r>
      <w:r w:rsidR="00006BB4" w:rsidRPr="000708D6">
        <w:rPr>
          <w:lang w:val="en-GB"/>
        </w:rPr>
        <w:t xml:space="preserve"> spaces for community involvement</w:t>
      </w:r>
      <w:r w:rsidRPr="000708D6">
        <w:rPr>
          <w:lang w:val="en-GB"/>
        </w:rPr>
        <w:t xml:space="preserve"> in decision-making, </w:t>
      </w:r>
      <w:r w:rsidR="00C27AAD" w:rsidRPr="000708D6">
        <w:rPr>
          <w:lang w:val="en-GB"/>
        </w:rPr>
        <w:t>particularly</w:t>
      </w:r>
      <w:r w:rsidR="003808E8" w:rsidRPr="000708D6">
        <w:rPr>
          <w:lang w:val="en-GB"/>
        </w:rPr>
        <w:t xml:space="preserve"> </w:t>
      </w:r>
      <w:r w:rsidR="00FD6D28">
        <w:rPr>
          <w:lang w:val="en-GB"/>
        </w:rPr>
        <w:t>among</w:t>
      </w:r>
      <w:r w:rsidR="00FD6D28" w:rsidRPr="000708D6">
        <w:rPr>
          <w:lang w:val="en-GB"/>
        </w:rPr>
        <w:t xml:space="preserve"> </w:t>
      </w:r>
      <w:r w:rsidRPr="000708D6">
        <w:rPr>
          <w:lang w:val="en-GB"/>
        </w:rPr>
        <w:t>youth</w:t>
      </w:r>
      <w:r w:rsidR="003808E8" w:rsidRPr="000708D6">
        <w:rPr>
          <w:lang w:val="en-GB"/>
        </w:rPr>
        <w:t>, women and rural groups</w:t>
      </w:r>
      <w:r w:rsidR="00BC1F04" w:rsidRPr="000708D6">
        <w:rPr>
          <w:lang w:val="en-GB"/>
        </w:rPr>
        <w:t xml:space="preserve">, using both </w:t>
      </w:r>
      <w:r w:rsidR="00DF5A05" w:rsidRPr="000708D6">
        <w:rPr>
          <w:lang w:val="en-GB"/>
        </w:rPr>
        <w:t>in-</w:t>
      </w:r>
      <w:r w:rsidR="00DB0C36" w:rsidRPr="000708D6">
        <w:rPr>
          <w:lang w:val="en-GB"/>
        </w:rPr>
        <w:t xml:space="preserve">person and </w:t>
      </w:r>
      <w:r w:rsidR="005E035C" w:rsidRPr="000708D6">
        <w:rPr>
          <w:lang w:val="en-GB"/>
        </w:rPr>
        <w:t>information and communications</w:t>
      </w:r>
      <w:r w:rsidR="00BC1F04" w:rsidRPr="000708D6">
        <w:rPr>
          <w:lang w:val="en-GB"/>
        </w:rPr>
        <w:t>-enabled virtual mechanisms</w:t>
      </w:r>
      <w:r w:rsidR="00221433" w:rsidRPr="000708D6">
        <w:rPr>
          <w:lang w:val="en-GB"/>
        </w:rPr>
        <w:t xml:space="preserve">. </w:t>
      </w:r>
      <w:r w:rsidRPr="000708D6">
        <w:rPr>
          <w:lang w:val="en-GB"/>
        </w:rPr>
        <w:t xml:space="preserve">It will also </w:t>
      </w:r>
      <w:r w:rsidR="00006BB4" w:rsidRPr="000708D6">
        <w:rPr>
          <w:lang w:val="en-GB"/>
        </w:rPr>
        <w:t>increase public sensiti</w:t>
      </w:r>
      <w:r w:rsidR="00E808A3">
        <w:rPr>
          <w:lang w:val="en-GB"/>
        </w:rPr>
        <w:t>z</w:t>
      </w:r>
      <w:r w:rsidR="00006BB4" w:rsidRPr="000708D6">
        <w:rPr>
          <w:lang w:val="en-GB"/>
        </w:rPr>
        <w:t xml:space="preserve">ation on human </w:t>
      </w:r>
      <w:r w:rsidRPr="000708D6">
        <w:rPr>
          <w:lang w:val="en-GB"/>
        </w:rPr>
        <w:t>rights</w:t>
      </w:r>
      <w:r w:rsidR="00F739ED" w:rsidRPr="000708D6">
        <w:rPr>
          <w:lang w:val="en-GB"/>
        </w:rPr>
        <w:t>, HIV/AIDS issues</w:t>
      </w:r>
      <w:r w:rsidR="00D47D3F" w:rsidRPr="000708D6">
        <w:rPr>
          <w:lang w:val="en-GB"/>
        </w:rPr>
        <w:t xml:space="preserve"> and </w:t>
      </w:r>
      <w:r w:rsidR="00F739ED" w:rsidRPr="000708D6">
        <w:rPr>
          <w:lang w:val="en-GB"/>
        </w:rPr>
        <w:t>civic responsibility i</w:t>
      </w:r>
      <w:r w:rsidRPr="000708D6">
        <w:rPr>
          <w:lang w:val="en-GB"/>
        </w:rPr>
        <w:t xml:space="preserve">n partnership with government and </w:t>
      </w:r>
      <w:r w:rsidR="005E035C" w:rsidRPr="000708D6">
        <w:rPr>
          <w:lang w:val="en-GB"/>
        </w:rPr>
        <w:t>civil society organizations</w:t>
      </w:r>
      <w:r w:rsidR="00DB0C36" w:rsidRPr="000708D6">
        <w:rPr>
          <w:lang w:val="en-GB"/>
        </w:rPr>
        <w:t xml:space="preserve">. </w:t>
      </w:r>
    </w:p>
    <w:p w14:paraId="4F40930A" w14:textId="6E3F35ED" w:rsidR="002655BE" w:rsidRPr="000708D6" w:rsidRDefault="002655BE" w:rsidP="00440828">
      <w:pPr>
        <w:tabs>
          <w:tab w:val="left" w:pos="1530"/>
        </w:tabs>
        <w:spacing w:after="120"/>
        <w:ind w:left="1170" w:right="1030"/>
        <w:jc w:val="both"/>
        <w:rPr>
          <w:b/>
          <w:lang w:val="en-GB"/>
        </w:rPr>
      </w:pPr>
      <w:r w:rsidRPr="000708D6">
        <w:rPr>
          <w:b/>
          <w:lang w:val="en-GB"/>
        </w:rPr>
        <w:t>Area 3</w:t>
      </w:r>
      <w:r w:rsidR="00E808A3">
        <w:rPr>
          <w:b/>
          <w:lang w:val="en-GB"/>
        </w:rPr>
        <w:t>.</w:t>
      </w:r>
      <w:r w:rsidRPr="000708D6">
        <w:rPr>
          <w:b/>
          <w:lang w:val="en-GB"/>
        </w:rPr>
        <w:t xml:space="preserve"> Citizen </w:t>
      </w:r>
      <w:r w:rsidR="00E808A3">
        <w:rPr>
          <w:b/>
          <w:lang w:val="en-GB"/>
        </w:rPr>
        <w:t>s</w:t>
      </w:r>
      <w:r w:rsidRPr="000708D6">
        <w:rPr>
          <w:b/>
          <w:lang w:val="en-GB"/>
        </w:rPr>
        <w:t>ecurity</w:t>
      </w:r>
    </w:p>
    <w:p w14:paraId="7B55B754" w14:textId="31BCDFAA" w:rsidR="002655BE" w:rsidRPr="000708D6" w:rsidRDefault="002655BE" w:rsidP="00440828">
      <w:pPr>
        <w:pStyle w:val="ListParagraph"/>
        <w:numPr>
          <w:ilvl w:val="0"/>
          <w:numId w:val="31"/>
        </w:numPr>
        <w:tabs>
          <w:tab w:val="left" w:pos="1530"/>
          <w:tab w:val="left" w:pos="8190"/>
        </w:tabs>
        <w:spacing w:after="120"/>
        <w:ind w:left="1170" w:right="1030" w:firstLine="0"/>
        <w:jc w:val="both"/>
        <w:rPr>
          <w:lang w:val="en-GB"/>
        </w:rPr>
      </w:pPr>
      <w:r w:rsidRPr="000708D6">
        <w:rPr>
          <w:lang w:val="en-GB"/>
        </w:rPr>
        <w:t xml:space="preserve">The prevention of crime and violence </w:t>
      </w:r>
      <w:r w:rsidR="00E808A3">
        <w:rPr>
          <w:lang w:val="en-GB"/>
        </w:rPr>
        <w:t>is</w:t>
      </w:r>
      <w:r w:rsidRPr="000708D6">
        <w:rPr>
          <w:lang w:val="en-GB"/>
        </w:rPr>
        <w:t xml:space="preserve"> an overarchin</w:t>
      </w:r>
      <w:r w:rsidR="00006BB4" w:rsidRPr="000708D6">
        <w:rPr>
          <w:lang w:val="en-GB"/>
        </w:rPr>
        <w:t>g national priority</w:t>
      </w:r>
      <w:r w:rsidRPr="000708D6">
        <w:rPr>
          <w:rStyle w:val="FootnoteReference"/>
          <w:sz w:val="16"/>
          <w:szCs w:val="16"/>
          <w:lang w:val="en-GB"/>
        </w:rPr>
        <w:footnoteReference w:id="15"/>
      </w:r>
      <w:r w:rsidRPr="000708D6">
        <w:rPr>
          <w:lang w:val="en-GB"/>
        </w:rPr>
        <w:t xml:space="preserve">. UNDP will </w:t>
      </w:r>
      <w:r w:rsidR="00006BB4" w:rsidRPr="000708D6">
        <w:rPr>
          <w:lang w:val="en-GB"/>
        </w:rPr>
        <w:t xml:space="preserve">adopt a multi-pronged approach </w:t>
      </w:r>
      <w:r w:rsidRPr="000708D6">
        <w:rPr>
          <w:lang w:val="en-GB"/>
        </w:rPr>
        <w:t>focus</w:t>
      </w:r>
      <w:r w:rsidR="00E808A3">
        <w:rPr>
          <w:lang w:val="en-GB"/>
        </w:rPr>
        <w:t>ed</w:t>
      </w:r>
      <w:r w:rsidRPr="000708D6">
        <w:rPr>
          <w:lang w:val="en-GB"/>
        </w:rPr>
        <w:t xml:space="preserve"> on strengthening crime prevention</w:t>
      </w:r>
      <w:r w:rsidR="00E808A3" w:rsidRPr="00E808A3">
        <w:rPr>
          <w:lang w:val="en-GB"/>
        </w:rPr>
        <w:t xml:space="preserve"> </w:t>
      </w:r>
      <w:r w:rsidR="00E808A3" w:rsidRPr="00A56C57">
        <w:rPr>
          <w:lang w:val="en-GB"/>
        </w:rPr>
        <w:t>capacities</w:t>
      </w:r>
      <w:r w:rsidRPr="000708D6">
        <w:rPr>
          <w:lang w:val="en-GB"/>
        </w:rPr>
        <w:t xml:space="preserve"> and </w:t>
      </w:r>
      <w:r w:rsidR="00E808A3">
        <w:rPr>
          <w:lang w:val="en-GB"/>
        </w:rPr>
        <w:t xml:space="preserve">the </w:t>
      </w:r>
      <w:r w:rsidRPr="000708D6">
        <w:rPr>
          <w:lang w:val="en-GB"/>
        </w:rPr>
        <w:t>response of agencies, with speci</w:t>
      </w:r>
      <w:r w:rsidR="00E808A3">
        <w:rPr>
          <w:lang w:val="en-GB"/>
        </w:rPr>
        <w:t>al</w:t>
      </w:r>
      <w:r w:rsidRPr="000708D6">
        <w:rPr>
          <w:lang w:val="en-GB"/>
        </w:rPr>
        <w:t xml:space="preserve"> attention to gender-based violence.</w:t>
      </w:r>
      <w:r w:rsidR="00263462" w:rsidRPr="000708D6">
        <w:rPr>
          <w:lang w:val="en-GB"/>
        </w:rPr>
        <w:t xml:space="preserve"> With respect to violence involving</w:t>
      </w:r>
      <w:r w:rsidR="009B32FF" w:rsidRPr="000708D6">
        <w:rPr>
          <w:lang w:val="en-GB"/>
        </w:rPr>
        <w:t xml:space="preserve"> </w:t>
      </w:r>
      <w:r w:rsidR="002A334C" w:rsidRPr="000708D6">
        <w:rPr>
          <w:lang w:val="en-GB"/>
        </w:rPr>
        <w:lastRenderedPageBreak/>
        <w:t xml:space="preserve">children, </w:t>
      </w:r>
      <w:r w:rsidR="009B32FF" w:rsidRPr="000708D6">
        <w:rPr>
          <w:lang w:val="en-GB"/>
        </w:rPr>
        <w:t xml:space="preserve">UNDP </w:t>
      </w:r>
      <w:r w:rsidR="00CC63BF">
        <w:rPr>
          <w:lang w:val="en-GB"/>
        </w:rPr>
        <w:t xml:space="preserve">will </w:t>
      </w:r>
      <w:r w:rsidR="009B32FF" w:rsidRPr="000708D6">
        <w:rPr>
          <w:lang w:val="en-GB"/>
        </w:rPr>
        <w:t xml:space="preserve">work </w:t>
      </w:r>
      <w:r w:rsidR="00CC63BF">
        <w:rPr>
          <w:lang w:val="en-GB"/>
        </w:rPr>
        <w:t>in tandem with</w:t>
      </w:r>
      <w:r w:rsidR="00E808A3">
        <w:rPr>
          <w:lang w:val="en-GB"/>
        </w:rPr>
        <w:t xml:space="preserve"> </w:t>
      </w:r>
      <w:r w:rsidR="009B32FF" w:rsidRPr="000708D6">
        <w:rPr>
          <w:lang w:val="en-GB"/>
        </w:rPr>
        <w:t xml:space="preserve">UNICEF </w:t>
      </w:r>
      <w:r w:rsidR="00E808A3">
        <w:rPr>
          <w:lang w:val="en-GB"/>
        </w:rPr>
        <w:t>in</w:t>
      </w:r>
      <w:r w:rsidR="00E808A3" w:rsidRPr="000708D6">
        <w:rPr>
          <w:lang w:val="en-GB"/>
        </w:rPr>
        <w:t xml:space="preserve"> </w:t>
      </w:r>
      <w:r w:rsidR="009B32FF" w:rsidRPr="000708D6">
        <w:rPr>
          <w:lang w:val="en-GB"/>
        </w:rPr>
        <w:t>prevention</w:t>
      </w:r>
      <w:r w:rsidR="00E808A3">
        <w:rPr>
          <w:lang w:val="en-GB"/>
        </w:rPr>
        <w:t xml:space="preserve"> and </w:t>
      </w:r>
      <w:r w:rsidR="009B32FF" w:rsidRPr="000708D6">
        <w:rPr>
          <w:lang w:val="en-GB"/>
        </w:rPr>
        <w:t xml:space="preserve">response actions </w:t>
      </w:r>
      <w:r w:rsidR="00E808A3">
        <w:rPr>
          <w:lang w:val="en-GB"/>
        </w:rPr>
        <w:t>protecting children</w:t>
      </w:r>
      <w:r w:rsidR="009B32FF" w:rsidRPr="000708D6">
        <w:rPr>
          <w:lang w:val="en-GB"/>
        </w:rPr>
        <w:t>.</w:t>
      </w:r>
      <w:r w:rsidR="00263462" w:rsidRPr="000708D6">
        <w:rPr>
          <w:lang w:val="en-GB"/>
        </w:rPr>
        <w:t xml:space="preserve"> </w:t>
      </w:r>
    </w:p>
    <w:p w14:paraId="22670369" w14:textId="30A00799" w:rsidR="002655BE" w:rsidRPr="000708D6" w:rsidRDefault="002655BE" w:rsidP="00440828">
      <w:pPr>
        <w:pStyle w:val="ListParagraph"/>
        <w:numPr>
          <w:ilvl w:val="0"/>
          <w:numId w:val="31"/>
        </w:numPr>
        <w:tabs>
          <w:tab w:val="left" w:pos="1530"/>
          <w:tab w:val="left" w:pos="9000"/>
          <w:tab w:val="left" w:pos="9090"/>
        </w:tabs>
        <w:spacing w:after="120"/>
        <w:ind w:left="1170" w:right="1030" w:firstLine="0"/>
        <w:jc w:val="both"/>
        <w:rPr>
          <w:lang w:val="en-GB"/>
        </w:rPr>
      </w:pPr>
      <w:r w:rsidRPr="000708D6">
        <w:rPr>
          <w:lang w:val="en-GB"/>
        </w:rPr>
        <w:t>UNDP will promote a citizen security approach</w:t>
      </w:r>
      <w:r w:rsidR="00263462" w:rsidRPr="000708D6">
        <w:rPr>
          <w:lang w:val="en-GB"/>
        </w:rPr>
        <w:t xml:space="preserve"> and will support</w:t>
      </w:r>
      <w:r w:rsidRPr="000708D6">
        <w:rPr>
          <w:lang w:val="en-GB"/>
        </w:rPr>
        <w:t xml:space="preserve"> the</w:t>
      </w:r>
      <w:r w:rsidR="00263462" w:rsidRPr="000708D6">
        <w:rPr>
          <w:lang w:val="en-GB"/>
        </w:rPr>
        <w:t xml:space="preserve"> </w:t>
      </w:r>
      <w:r w:rsidR="00E808A3">
        <w:rPr>
          <w:lang w:val="en-GB"/>
        </w:rPr>
        <w:t>G</w:t>
      </w:r>
      <w:r w:rsidRPr="000708D6">
        <w:rPr>
          <w:lang w:val="en-GB"/>
        </w:rPr>
        <w:t>overnment in de</w:t>
      </w:r>
      <w:r w:rsidR="00594A47" w:rsidRPr="000708D6">
        <w:rPr>
          <w:lang w:val="en-GB"/>
        </w:rPr>
        <w:t>velop</w:t>
      </w:r>
      <w:r w:rsidR="00E808A3">
        <w:rPr>
          <w:lang w:val="en-GB"/>
        </w:rPr>
        <w:t>ing</w:t>
      </w:r>
      <w:r w:rsidR="00594A47" w:rsidRPr="000708D6">
        <w:rPr>
          <w:lang w:val="en-GB"/>
        </w:rPr>
        <w:t xml:space="preserve"> a </w:t>
      </w:r>
      <w:r w:rsidR="00E808A3">
        <w:rPr>
          <w:lang w:val="en-GB"/>
        </w:rPr>
        <w:t>n</w:t>
      </w:r>
      <w:r w:rsidR="00594A47" w:rsidRPr="000708D6">
        <w:rPr>
          <w:lang w:val="en-GB"/>
        </w:rPr>
        <w:t xml:space="preserve">ational </w:t>
      </w:r>
      <w:r w:rsidR="00E808A3">
        <w:rPr>
          <w:lang w:val="en-GB"/>
        </w:rPr>
        <w:t>c</w:t>
      </w:r>
      <w:r w:rsidR="00594A47" w:rsidRPr="000708D6">
        <w:rPr>
          <w:lang w:val="en-GB"/>
        </w:rPr>
        <w:t>itizen</w:t>
      </w:r>
      <w:r w:rsidRPr="000708D6">
        <w:rPr>
          <w:lang w:val="en-GB"/>
        </w:rPr>
        <w:t xml:space="preserve"> </w:t>
      </w:r>
      <w:r w:rsidR="00E808A3">
        <w:rPr>
          <w:lang w:val="en-GB"/>
        </w:rPr>
        <w:t>s</w:t>
      </w:r>
      <w:r w:rsidRPr="000708D6">
        <w:rPr>
          <w:lang w:val="en-GB"/>
        </w:rPr>
        <w:t xml:space="preserve">ecurity </w:t>
      </w:r>
      <w:r w:rsidR="00E808A3">
        <w:rPr>
          <w:lang w:val="en-GB"/>
        </w:rPr>
        <w:t>p</w:t>
      </w:r>
      <w:r w:rsidRPr="000708D6">
        <w:rPr>
          <w:lang w:val="en-GB"/>
        </w:rPr>
        <w:t xml:space="preserve">olicy and </w:t>
      </w:r>
      <w:r w:rsidR="00E808A3">
        <w:rPr>
          <w:lang w:val="en-GB"/>
        </w:rPr>
        <w:t>s</w:t>
      </w:r>
      <w:r w:rsidRPr="000708D6">
        <w:rPr>
          <w:lang w:val="en-GB"/>
        </w:rPr>
        <w:t>trategy</w:t>
      </w:r>
      <w:r w:rsidR="00221433" w:rsidRPr="000708D6">
        <w:rPr>
          <w:lang w:val="en-GB"/>
        </w:rPr>
        <w:t xml:space="preserve">. </w:t>
      </w:r>
      <w:r w:rsidRPr="000708D6">
        <w:rPr>
          <w:lang w:val="en-GB"/>
        </w:rPr>
        <w:t>The policy will promote interventions tar</w:t>
      </w:r>
      <w:r w:rsidR="00263462" w:rsidRPr="000708D6">
        <w:rPr>
          <w:lang w:val="en-GB"/>
        </w:rPr>
        <w:t xml:space="preserve">geting at-risk-youth, </w:t>
      </w:r>
      <w:r w:rsidRPr="000708D6">
        <w:rPr>
          <w:lang w:val="en-GB"/>
        </w:rPr>
        <w:t>gender-based violence</w:t>
      </w:r>
      <w:r w:rsidR="00E808A3">
        <w:rPr>
          <w:lang w:val="en-GB"/>
        </w:rPr>
        <w:t>,</w:t>
      </w:r>
      <w:r w:rsidR="00DE095C" w:rsidRPr="000708D6">
        <w:rPr>
          <w:lang w:val="en-GB"/>
        </w:rPr>
        <w:t xml:space="preserve"> and community policing</w:t>
      </w:r>
      <w:r w:rsidR="00221433" w:rsidRPr="000708D6">
        <w:rPr>
          <w:lang w:val="en-GB"/>
        </w:rPr>
        <w:t xml:space="preserve">. </w:t>
      </w:r>
      <w:r w:rsidRPr="000708D6">
        <w:rPr>
          <w:lang w:val="en-GB"/>
        </w:rPr>
        <w:t>UND</w:t>
      </w:r>
      <w:r w:rsidR="00C442F6" w:rsidRPr="000708D6">
        <w:rPr>
          <w:lang w:val="en-GB"/>
        </w:rPr>
        <w:t xml:space="preserve">P will work </w:t>
      </w:r>
      <w:r w:rsidR="00263462" w:rsidRPr="000708D6">
        <w:rPr>
          <w:lang w:val="en-GB"/>
        </w:rPr>
        <w:t xml:space="preserve">with </w:t>
      </w:r>
      <w:r w:rsidR="00C442F6" w:rsidRPr="000708D6">
        <w:rPr>
          <w:lang w:val="en-GB"/>
        </w:rPr>
        <w:t>the j</w:t>
      </w:r>
      <w:r w:rsidR="00BD221B" w:rsidRPr="000708D6">
        <w:rPr>
          <w:lang w:val="en-GB"/>
        </w:rPr>
        <w:t xml:space="preserve">udiciary </w:t>
      </w:r>
      <w:r w:rsidR="00C442F6" w:rsidRPr="000708D6">
        <w:rPr>
          <w:lang w:val="en-GB"/>
        </w:rPr>
        <w:t xml:space="preserve">and </w:t>
      </w:r>
      <w:r w:rsidR="00BD221B" w:rsidRPr="000708D6">
        <w:rPr>
          <w:lang w:val="en-GB"/>
        </w:rPr>
        <w:t xml:space="preserve">police </w:t>
      </w:r>
      <w:r w:rsidRPr="000708D6">
        <w:rPr>
          <w:lang w:val="en-GB"/>
        </w:rPr>
        <w:t>to strengthen criminal information systems</w:t>
      </w:r>
      <w:r w:rsidR="00E808A3">
        <w:rPr>
          <w:lang w:val="en-GB"/>
        </w:rPr>
        <w:t>,</w:t>
      </w:r>
      <w:r w:rsidRPr="000708D6">
        <w:rPr>
          <w:lang w:val="en-GB"/>
        </w:rPr>
        <w:t xml:space="preserve"> </w:t>
      </w:r>
      <w:r w:rsidR="00C442F6" w:rsidRPr="000708D6">
        <w:rPr>
          <w:lang w:val="en-GB"/>
        </w:rPr>
        <w:t>by</w:t>
      </w:r>
      <w:r w:rsidRPr="000708D6">
        <w:rPr>
          <w:lang w:val="en-GB"/>
        </w:rPr>
        <w:t xml:space="preserve"> address</w:t>
      </w:r>
      <w:r w:rsidR="00C442F6" w:rsidRPr="000708D6">
        <w:rPr>
          <w:lang w:val="en-GB"/>
        </w:rPr>
        <w:t>ing</w:t>
      </w:r>
      <w:r w:rsidRPr="000708D6">
        <w:rPr>
          <w:lang w:val="en-GB"/>
        </w:rPr>
        <w:t xml:space="preserve"> data gaps and incompatibilities, as a means of increasing the effectiveness of th</w:t>
      </w:r>
      <w:r w:rsidR="00E808A3">
        <w:rPr>
          <w:lang w:val="en-GB"/>
        </w:rPr>
        <w:t>o</w:t>
      </w:r>
      <w:r w:rsidRPr="000708D6">
        <w:rPr>
          <w:lang w:val="en-GB"/>
        </w:rPr>
        <w:t xml:space="preserve">se </w:t>
      </w:r>
      <w:r w:rsidR="00C442F6" w:rsidRPr="000708D6">
        <w:rPr>
          <w:lang w:val="en-GB"/>
        </w:rPr>
        <w:t>institutions</w:t>
      </w:r>
      <w:r w:rsidR="00221433" w:rsidRPr="000708D6">
        <w:rPr>
          <w:lang w:val="en-GB"/>
        </w:rPr>
        <w:t xml:space="preserve">. </w:t>
      </w:r>
      <w:r w:rsidRPr="000708D6">
        <w:rPr>
          <w:lang w:val="en-GB"/>
        </w:rPr>
        <w:t>This will enhance evidence-based decision-making on crime prevention</w:t>
      </w:r>
      <w:r w:rsidR="00E808A3">
        <w:rPr>
          <w:lang w:val="en-GB"/>
        </w:rPr>
        <w:t xml:space="preserve"> and</w:t>
      </w:r>
      <w:r w:rsidRPr="000708D6">
        <w:rPr>
          <w:lang w:val="en-GB"/>
        </w:rPr>
        <w:t xml:space="preserve"> response</w:t>
      </w:r>
      <w:r w:rsidR="00C442F6" w:rsidRPr="000708D6">
        <w:rPr>
          <w:lang w:val="en-GB"/>
        </w:rPr>
        <w:t xml:space="preserve"> strategies, </w:t>
      </w:r>
      <w:r w:rsidR="00263462" w:rsidRPr="000708D6">
        <w:rPr>
          <w:lang w:val="en-GB"/>
        </w:rPr>
        <w:t>particularly interventions</w:t>
      </w:r>
      <w:r w:rsidR="00E808A3">
        <w:rPr>
          <w:lang w:val="en-GB"/>
        </w:rPr>
        <w:t>-</w:t>
      </w:r>
      <w:r w:rsidR="00D04984" w:rsidRPr="000708D6">
        <w:rPr>
          <w:lang w:val="en-GB"/>
        </w:rPr>
        <w:t>en</w:t>
      </w:r>
      <w:r w:rsidR="00E808A3">
        <w:rPr>
          <w:lang w:val="en-GB"/>
        </w:rPr>
        <w:t>rich</w:t>
      </w:r>
      <w:r w:rsidR="00D04984" w:rsidRPr="000708D6">
        <w:rPr>
          <w:lang w:val="en-GB"/>
        </w:rPr>
        <w:t xml:space="preserve">ed </w:t>
      </w:r>
      <w:r w:rsidR="00D647AD" w:rsidRPr="000708D6">
        <w:rPr>
          <w:lang w:val="en-GB"/>
        </w:rPr>
        <w:t xml:space="preserve">information </w:t>
      </w:r>
      <w:r w:rsidR="00DE095C" w:rsidRPr="000708D6">
        <w:rPr>
          <w:lang w:val="en-GB"/>
        </w:rPr>
        <w:t>disaggregated</w:t>
      </w:r>
      <w:r w:rsidR="00D647AD" w:rsidRPr="000708D6">
        <w:rPr>
          <w:lang w:val="en-GB"/>
        </w:rPr>
        <w:t xml:space="preserve"> by gender and other</w:t>
      </w:r>
      <w:r w:rsidR="00E808A3">
        <w:rPr>
          <w:lang w:val="en-GB"/>
        </w:rPr>
        <w:t xml:space="preserve"> factor</w:t>
      </w:r>
      <w:r w:rsidR="00D647AD" w:rsidRPr="000708D6">
        <w:rPr>
          <w:lang w:val="en-GB"/>
        </w:rPr>
        <w:t>s</w:t>
      </w:r>
      <w:r w:rsidRPr="000708D6">
        <w:rPr>
          <w:lang w:val="en-GB"/>
        </w:rPr>
        <w:t xml:space="preserve"> to address gender-based violence. </w:t>
      </w:r>
    </w:p>
    <w:p w14:paraId="64FA8A37" w14:textId="4BFA6927" w:rsidR="002655BE" w:rsidRPr="000708D6" w:rsidRDefault="002655BE" w:rsidP="00440828">
      <w:pPr>
        <w:pStyle w:val="ListParagraph"/>
        <w:numPr>
          <w:ilvl w:val="0"/>
          <w:numId w:val="31"/>
        </w:numPr>
        <w:tabs>
          <w:tab w:val="left" w:pos="1530"/>
        </w:tabs>
        <w:spacing w:after="120"/>
        <w:ind w:left="1170" w:right="1030" w:firstLine="0"/>
        <w:jc w:val="both"/>
        <w:rPr>
          <w:lang w:val="en-GB"/>
        </w:rPr>
      </w:pPr>
      <w:r w:rsidRPr="000708D6">
        <w:rPr>
          <w:lang w:val="en-GB"/>
        </w:rPr>
        <w:t>UNDP will</w:t>
      </w:r>
      <w:r w:rsidR="00263462" w:rsidRPr="000708D6">
        <w:rPr>
          <w:lang w:val="en-GB"/>
        </w:rPr>
        <w:t xml:space="preserve"> </w:t>
      </w:r>
      <w:r w:rsidRPr="000708D6">
        <w:rPr>
          <w:lang w:val="en-GB"/>
        </w:rPr>
        <w:t>pr</w:t>
      </w:r>
      <w:r w:rsidR="00C442F6" w:rsidRPr="000708D6">
        <w:rPr>
          <w:lang w:val="en-GB"/>
        </w:rPr>
        <w:t>ovide technical support to the j</w:t>
      </w:r>
      <w:r w:rsidRPr="000708D6">
        <w:rPr>
          <w:lang w:val="en-GB"/>
        </w:rPr>
        <w:t xml:space="preserve">udiciary </w:t>
      </w:r>
      <w:r w:rsidR="00E808A3">
        <w:rPr>
          <w:lang w:val="en-GB"/>
        </w:rPr>
        <w:t>in creating</w:t>
      </w:r>
      <w:r w:rsidRPr="000708D6">
        <w:rPr>
          <w:lang w:val="en-GB"/>
        </w:rPr>
        <w:t xml:space="preserve"> a </w:t>
      </w:r>
      <w:r w:rsidR="00C442F6" w:rsidRPr="000708D6">
        <w:rPr>
          <w:lang w:val="en-GB"/>
        </w:rPr>
        <w:t xml:space="preserve">restorative justice policy </w:t>
      </w:r>
      <w:r w:rsidRPr="000708D6">
        <w:rPr>
          <w:lang w:val="en-GB"/>
        </w:rPr>
        <w:t>focus</w:t>
      </w:r>
      <w:r w:rsidR="00CC63BF">
        <w:rPr>
          <w:lang w:val="en-GB"/>
        </w:rPr>
        <w:t>ed</w:t>
      </w:r>
      <w:r w:rsidRPr="000708D6">
        <w:rPr>
          <w:lang w:val="en-GB"/>
        </w:rPr>
        <w:t xml:space="preserve"> on the rehabilitation of offenders</w:t>
      </w:r>
      <w:r w:rsidR="000F3AA9" w:rsidRPr="000708D6">
        <w:rPr>
          <w:lang w:val="en-GB"/>
        </w:rPr>
        <w:t xml:space="preserve"> and </w:t>
      </w:r>
      <w:r w:rsidR="00C442F6" w:rsidRPr="000708D6">
        <w:rPr>
          <w:lang w:val="en-GB"/>
        </w:rPr>
        <w:t>reparations to victims.</w:t>
      </w:r>
      <w:r w:rsidR="00C539A9" w:rsidRPr="000708D6">
        <w:rPr>
          <w:lang w:val="en-GB"/>
        </w:rPr>
        <w:t xml:space="preserve"> </w:t>
      </w:r>
      <w:r w:rsidRPr="000708D6">
        <w:rPr>
          <w:lang w:val="en-GB"/>
        </w:rPr>
        <w:t>These components of criminal justice system</w:t>
      </w:r>
      <w:r w:rsidR="000F3AA9" w:rsidRPr="000708D6">
        <w:rPr>
          <w:lang w:val="en-GB"/>
        </w:rPr>
        <w:t xml:space="preserve"> reform</w:t>
      </w:r>
      <w:r w:rsidRPr="000708D6">
        <w:rPr>
          <w:lang w:val="en-GB"/>
        </w:rPr>
        <w:t xml:space="preserve"> provide an important opportunity for citizen participation </w:t>
      </w:r>
      <w:r w:rsidR="001B1C32" w:rsidRPr="000708D6">
        <w:rPr>
          <w:lang w:val="en-GB"/>
        </w:rPr>
        <w:t>through collaborations</w:t>
      </w:r>
      <w:r w:rsidRPr="000708D6">
        <w:rPr>
          <w:lang w:val="en-GB"/>
        </w:rPr>
        <w:t xml:space="preserve"> with </w:t>
      </w:r>
      <w:r w:rsidR="005E035C" w:rsidRPr="000708D6">
        <w:rPr>
          <w:lang w:val="en-GB"/>
        </w:rPr>
        <w:t>civil society organizations</w:t>
      </w:r>
      <w:r w:rsidRPr="000708D6">
        <w:rPr>
          <w:lang w:val="en-GB"/>
        </w:rPr>
        <w:t xml:space="preserve"> such as </w:t>
      </w:r>
      <w:r w:rsidR="005E035C" w:rsidRPr="000708D6">
        <w:rPr>
          <w:lang w:val="en-GB"/>
        </w:rPr>
        <w:t xml:space="preserve">the </w:t>
      </w:r>
      <w:r w:rsidR="000F3AA9" w:rsidRPr="000708D6">
        <w:rPr>
          <w:lang w:val="en-GB"/>
        </w:rPr>
        <w:t>Young Men’s Christian Association</w:t>
      </w:r>
      <w:r w:rsidR="00C442F6" w:rsidRPr="000708D6">
        <w:rPr>
          <w:lang w:val="en-GB"/>
        </w:rPr>
        <w:t>, youth c</w:t>
      </w:r>
      <w:r w:rsidRPr="000708D6">
        <w:rPr>
          <w:lang w:val="en-GB"/>
        </w:rPr>
        <w:t>ouncil</w:t>
      </w:r>
      <w:r w:rsidR="00C442F6" w:rsidRPr="000708D6">
        <w:rPr>
          <w:lang w:val="en-GB"/>
        </w:rPr>
        <w:t>s</w:t>
      </w:r>
      <w:r w:rsidRPr="000708D6">
        <w:rPr>
          <w:lang w:val="en-GB"/>
        </w:rPr>
        <w:t xml:space="preserve"> and networks</w:t>
      </w:r>
      <w:r w:rsidR="009C46EF" w:rsidRPr="000708D6">
        <w:rPr>
          <w:lang w:val="en-GB"/>
        </w:rPr>
        <w:t xml:space="preserve"> of non-governmental associations</w:t>
      </w:r>
      <w:r w:rsidRPr="000708D6">
        <w:rPr>
          <w:lang w:val="en-GB"/>
        </w:rPr>
        <w:t>; private sector entities like the Digicel Foundatio</w:t>
      </w:r>
      <w:r w:rsidR="004C642D" w:rsidRPr="000708D6">
        <w:rPr>
          <w:lang w:val="en-GB"/>
        </w:rPr>
        <w:t>n</w:t>
      </w:r>
      <w:r w:rsidRPr="000708D6">
        <w:rPr>
          <w:lang w:val="en-GB"/>
        </w:rPr>
        <w:t xml:space="preserve"> and various Chambers of Commerce; the Ministries of National Security, Social Development and Family Services; and state agencies such as the Chil</w:t>
      </w:r>
      <w:r w:rsidR="00C442F6" w:rsidRPr="000708D6">
        <w:rPr>
          <w:lang w:val="en-GB"/>
        </w:rPr>
        <w:t>dren’s Authority</w:t>
      </w:r>
      <w:r w:rsidR="00221433" w:rsidRPr="000708D6">
        <w:rPr>
          <w:lang w:val="en-GB"/>
        </w:rPr>
        <w:t xml:space="preserve">. </w:t>
      </w:r>
      <w:r w:rsidR="00263462" w:rsidRPr="000708D6">
        <w:rPr>
          <w:lang w:val="en-GB"/>
        </w:rPr>
        <w:t xml:space="preserve">This will be </w:t>
      </w:r>
      <w:r w:rsidR="00E808A3">
        <w:rPr>
          <w:lang w:val="en-GB"/>
        </w:rPr>
        <w:t>accomplished</w:t>
      </w:r>
      <w:r w:rsidR="00E808A3" w:rsidRPr="000708D6">
        <w:rPr>
          <w:lang w:val="en-GB"/>
        </w:rPr>
        <w:t xml:space="preserve"> </w:t>
      </w:r>
      <w:r w:rsidR="00C442F6" w:rsidRPr="000708D6">
        <w:rPr>
          <w:lang w:val="en-GB"/>
        </w:rPr>
        <w:t xml:space="preserve">through </w:t>
      </w:r>
      <w:r w:rsidRPr="000708D6">
        <w:rPr>
          <w:lang w:val="en-GB"/>
        </w:rPr>
        <w:t xml:space="preserve">training </w:t>
      </w:r>
      <w:r w:rsidR="00263462" w:rsidRPr="000708D6">
        <w:rPr>
          <w:lang w:val="en-GB"/>
        </w:rPr>
        <w:t xml:space="preserve">workshops </w:t>
      </w:r>
      <w:r w:rsidR="00E808A3">
        <w:rPr>
          <w:lang w:val="en-GB"/>
        </w:rPr>
        <w:t>and</w:t>
      </w:r>
      <w:r w:rsidR="00263462" w:rsidRPr="000708D6">
        <w:rPr>
          <w:lang w:val="en-GB"/>
        </w:rPr>
        <w:t xml:space="preserve"> increased communication</w:t>
      </w:r>
      <w:r w:rsidRPr="000708D6">
        <w:rPr>
          <w:lang w:val="en-GB"/>
        </w:rPr>
        <w:t xml:space="preserve"> across all levels of government and civil society. </w:t>
      </w:r>
    </w:p>
    <w:p w14:paraId="7A954D39" w14:textId="1ABB74F2" w:rsidR="002655BE" w:rsidRPr="005C7E82" w:rsidRDefault="002655BE" w:rsidP="00440828">
      <w:pPr>
        <w:tabs>
          <w:tab w:val="left" w:pos="1530"/>
        </w:tabs>
        <w:spacing w:after="120"/>
        <w:ind w:left="1170" w:right="1030"/>
        <w:jc w:val="both"/>
        <w:rPr>
          <w:b/>
          <w:lang w:val="en-GB"/>
        </w:rPr>
      </w:pPr>
      <w:r w:rsidRPr="005C7E82">
        <w:rPr>
          <w:b/>
          <w:lang w:val="en-GB"/>
        </w:rPr>
        <w:t xml:space="preserve">Area 4. Climate </w:t>
      </w:r>
      <w:r w:rsidR="00E808A3">
        <w:rPr>
          <w:b/>
          <w:lang w:val="en-GB"/>
        </w:rPr>
        <w:t>r</w:t>
      </w:r>
      <w:r w:rsidRPr="005C7E82">
        <w:rPr>
          <w:b/>
          <w:lang w:val="en-GB"/>
        </w:rPr>
        <w:t xml:space="preserve">esilience and </w:t>
      </w:r>
      <w:r w:rsidR="00E808A3">
        <w:rPr>
          <w:b/>
          <w:lang w:val="en-GB"/>
        </w:rPr>
        <w:t>d</w:t>
      </w:r>
      <w:r w:rsidRPr="005C7E82">
        <w:rPr>
          <w:b/>
          <w:lang w:val="en-GB"/>
        </w:rPr>
        <w:t xml:space="preserve">isaster </w:t>
      </w:r>
      <w:r w:rsidR="00E808A3">
        <w:rPr>
          <w:b/>
          <w:lang w:val="en-GB"/>
        </w:rPr>
        <w:t>r</w:t>
      </w:r>
      <w:r w:rsidRPr="005C7E82">
        <w:rPr>
          <w:b/>
          <w:lang w:val="en-GB"/>
        </w:rPr>
        <w:t xml:space="preserve">isk </w:t>
      </w:r>
      <w:r w:rsidR="00E808A3">
        <w:rPr>
          <w:b/>
          <w:lang w:val="en-GB"/>
        </w:rPr>
        <w:t>r</w:t>
      </w:r>
      <w:r w:rsidRPr="005C7E82">
        <w:rPr>
          <w:b/>
          <w:lang w:val="en-GB"/>
        </w:rPr>
        <w:t xml:space="preserve">eduction </w:t>
      </w:r>
    </w:p>
    <w:p w14:paraId="4CC07D77" w14:textId="55B08B41" w:rsidR="00F343C8" w:rsidRPr="002807FF" w:rsidRDefault="00714D57" w:rsidP="00440828">
      <w:pPr>
        <w:pStyle w:val="ListParagraph"/>
        <w:numPr>
          <w:ilvl w:val="0"/>
          <w:numId w:val="31"/>
        </w:numPr>
        <w:tabs>
          <w:tab w:val="left" w:pos="1530"/>
        </w:tabs>
        <w:spacing w:after="120"/>
        <w:ind w:left="1170" w:right="1030" w:firstLine="0"/>
        <w:jc w:val="both"/>
        <w:rPr>
          <w:lang w:val="en-GB"/>
        </w:rPr>
      </w:pPr>
      <w:r>
        <w:rPr>
          <w:lang w:val="en-GB"/>
        </w:rPr>
        <w:t>Following</w:t>
      </w:r>
      <w:r w:rsidR="004A01AA">
        <w:rPr>
          <w:lang w:val="en-GB"/>
        </w:rPr>
        <w:t xml:space="preserve"> </w:t>
      </w:r>
      <w:r w:rsidR="00F343C8" w:rsidRPr="00414E3E">
        <w:rPr>
          <w:lang w:val="en-GB"/>
        </w:rPr>
        <w:t xml:space="preserve">the </w:t>
      </w:r>
      <w:r w:rsidR="004A01AA" w:rsidRPr="00E93CE5">
        <w:rPr>
          <w:lang w:val="en-GB"/>
        </w:rPr>
        <w:t xml:space="preserve">2015 </w:t>
      </w:r>
      <w:r w:rsidR="00F343C8" w:rsidRPr="00E93CE5">
        <w:rPr>
          <w:lang w:val="en-GB"/>
        </w:rPr>
        <w:t xml:space="preserve">Paris </w:t>
      </w:r>
      <w:r w:rsidR="00E93CE5">
        <w:rPr>
          <w:lang w:val="en-GB"/>
        </w:rPr>
        <w:t>c</w:t>
      </w:r>
      <w:r w:rsidR="00F343C8" w:rsidRPr="00E93CE5">
        <w:rPr>
          <w:lang w:val="en-GB"/>
        </w:rPr>
        <w:t xml:space="preserve">limate </w:t>
      </w:r>
      <w:r w:rsidR="00E93CE5">
        <w:rPr>
          <w:lang w:val="en-GB"/>
        </w:rPr>
        <w:t>c</w:t>
      </w:r>
      <w:r w:rsidR="00F343C8" w:rsidRPr="00E93CE5">
        <w:rPr>
          <w:lang w:val="en-GB"/>
        </w:rPr>
        <w:t xml:space="preserve">hange </w:t>
      </w:r>
      <w:r w:rsidR="00E93CE5">
        <w:rPr>
          <w:lang w:val="en-GB"/>
        </w:rPr>
        <w:t>a</w:t>
      </w:r>
      <w:r w:rsidR="00F343C8" w:rsidRPr="00E93CE5">
        <w:rPr>
          <w:lang w:val="en-GB"/>
        </w:rPr>
        <w:t>ccords</w:t>
      </w:r>
      <w:r w:rsidR="00F343C8" w:rsidRPr="00414E3E">
        <w:rPr>
          <w:lang w:val="en-GB"/>
        </w:rPr>
        <w:t xml:space="preserve">, </w:t>
      </w:r>
      <w:r w:rsidR="004A01AA">
        <w:rPr>
          <w:lang w:val="en-GB"/>
        </w:rPr>
        <w:t>t</w:t>
      </w:r>
      <w:r w:rsidR="004A01AA" w:rsidRPr="00A56C57">
        <w:rPr>
          <w:lang w:val="en-GB"/>
        </w:rPr>
        <w:t xml:space="preserve">he </w:t>
      </w:r>
      <w:r w:rsidR="004A01AA">
        <w:rPr>
          <w:lang w:val="en-GB"/>
        </w:rPr>
        <w:t>G</w:t>
      </w:r>
      <w:r w:rsidR="004A01AA" w:rsidRPr="00A56C57">
        <w:rPr>
          <w:lang w:val="en-GB"/>
        </w:rPr>
        <w:t xml:space="preserve">overnment developed new strategies </w:t>
      </w:r>
      <w:r w:rsidR="00F343C8" w:rsidRPr="00414E3E">
        <w:rPr>
          <w:lang w:val="en-GB"/>
        </w:rPr>
        <w:t xml:space="preserve">aimed at reducing the </w:t>
      </w:r>
      <w:r w:rsidR="00F343C8" w:rsidRPr="002807FF">
        <w:rPr>
          <w:lang w:val="en-GB"/>
        </w:rPr>
        <w:t>carbon footprint</w:t>
      </w:r>
      <w:r w:rsidR="00F343C8" w:rsidRPr="005C7E82">
        <w:rPr>
          <w:lang w:val="en-GB"/>
        </w:rPr>
        <w:t xml:space="preserve"> </w:t>
      </w:r>
      <w:r w:rsidR="004A01AA">
        <w:rPr>
          <w:lang w:val="en-GB"/>
        </w:rPr>
        <w:t>of the country</w:t>
      </w:r>
      <w:r w:rsidR="004A01AA" w:rsidRPr="00A56C57">
        <w:rPr>
          <w:lang w:val="en-GB"/>
        </w:rPr>
        <w:t xml:space="preserve"> </w:t>
      </w:r>
      <w:r w:rsidR="00F343C8" w:rsidRPr="00414E3E">
        <w:rPr>
          <w:lang w:val="en-GB"/>
        </w:rPr>
        <w:t xml:space="preserve">(mitigation) and safeguarding those most affected by local </w:t>
      </w:r>
      <w:r w:rsidR="004A01AA">
        <w:rPr>
          <w:lang w:val="en-GB"/>
        </w:rPr>
        <w:t>climate change</w:t>
      </w:r>
      <w:r w:rsidR="004A01AA" w:rsidRPr="00414E3E">
        <w:rPr>
          <w:lang w:val="en-GB"/>
        </w:rPr>
        <w:t xml:space="preserve"> </w:t>
      </w:r>
      <w:r w:rsidR="00F343C8" w:rsidRPr="002807FF">
        <w:rPr>
          <w:lang w:val="en-GB"/>
        </w:rPr>
        <w:t xml:space="preserve">effects (adaptation). At the same time, the uncertain economic situation in </w:t>
      </w:r>
      <w:r w:rsidR="00221433" w:rsidRPr="002807FF">
        <w:rPr>
          <w:lang w:val="en-GB"/>
        </w:rPr>
        <w:t>Trinidad and Tobago</w:t>
      </w:r>
      <w:r w:rsidR="00F343C8" w:rsidRPr="005C7E82">
        <w:rPr>
          <w:lang w:val="en-GB"/>
        </w:rPr>
        <w:t xml:space="preserve"> introduces a risk of reduced investment by government and </w:t>
      </w:r>
      <w:r w:rsidR="004A01AA">
        <w:rPr>
          <w:lang w:val="en-GB"/>
        </w:rPr>
        <w:t xml:space="preserve">the </w:t>
      </w:r>
      <w:r w:rsidR="00F343C8" w:rsidRPr="00414E3E">
        <w:rPr>
          <w:lang w:val="en-GB"/>
        </w:rPr>
        <w:t xml:space="preserve">private sector in renewable energies. To address climate resilience </w:t>
      </w:r>
      <w:r w:rsidR="004A01AA">
        <w:rPr>
          <w:lang w:val="en-GB"/>
        </w:rPr>
        <w:t xml:space="preserve">and reduce </w:t>
      </w:r>
      <w:r w:rsidR="004A01AA" w:rsidRPr="00414E3E">
        <w:rPr>
          <w:lang w:val="en-GB"/>
        </w:rPr>
        <w:t>disaster risk</w:t>
      </w:r>
      <w:r w:rsidR="00F343C8" w:rsidRPr="005C7E82">
        <w:rPr>
          <w:lang w:val="en-GB"/>
        </w:rPr>
        <w:t xml:space="preserve">, UNDP will </w:t>
      </w:r>
      <w:r w:rsidR="004A01AA">
        <w:rPr>
          <w:lang w:val="en-GB"/>
        </w:rPr>
        <w:t>take</w:t>
      </w:r>
      <w:r w:rsidR="004A01AA" w:rsidRPr="005C7E82">
        <w:rPr>
          <w:lang w:val="en-GB"/>
        </w:rPr>
        <w:t xml:space="preserve"> </w:t>
      </w:r>
      <w:r w:rsidR="00F343C8" w:rsidRPr="005C7E82">
        <w:rPr>
          <w:lang w:val="en-GB"/>
        </w:rPr>
        <w:t>a multi-dimensional approach integrating policy, capacity</w:t>
      </w:r>
      <w:r w:rsidR="004A01AA">
        <w:rPr>
          <w:lang w:val="en-GB"/>
        </w:rPr>
        <w:t>-</w:t>
      </w:r>
      <w:r w:rsidR="00F343C8" w:rsidRPr="005C7E82">
        <w:rPr>
          <w:lang w:val="en-GB"/>
        </w:rPr>
        <w:t>building and local</w:t>
      </w:r>
      <w:r w:rsidR="004A01AA">
        <w:rPr>
          <w:lang w:val="en-GB"/>
        </w:rPr>
        <w:t xml:space="preserve"> </w:t>
      </w:r>
      <w:r w:rsidR="00F343C8" w:rsidRPr="005C7E82">
        <w:rPr>
          <w:lang w:val="en-GB"/>
        </w:rPr>
        <w:t>community measures</w:t>
      </w:r>
      <w:r w:rsidR="005330FB" w:rsidRPr="00414E3E">
        <w:rPr>
          <w:lang w:val="en-GB"/>
        </w:rPr>
        <w:t>. The interventions will leverage women’s knowledge, promote their agency</w:t>
      </w:r>
      <w:r w:rsidR="004A01AA">
        <w:rPr>
          <w:lang w:val="en-GB"/>
        </w:rPr>
        <w:t>,</w:t>
      </w:r>
      <w:r w:rsidR="005330FB" w:rsidRPr="00414E3E">
        <w:rPr>
          <w:lang w:val="en-GB"/>
        </w:rPr>
        <w:t xml:space="preserve"> and address particular vulnerabilities</w:t>
      </w:r>
      <w:r w:rsidR="009A4899" w:rsidRPr="002807FF">
        <w:rPr>
          <w:lang w:val="en-GB"/>
        </w:rPr>
        <w:t xml:space="preserve"> for </w:t>
      </w:r>
      <w:r w:rsidR="00221217" w:rsidRPr="002807FF">
        <w:rPr>
          <w:lang w:val="en-GB"/>
        </w:rPr>
        <w:t>increased</w:t>
      </w:r>
      <w:r w:rsidR="009A4899" w:rsidRPr="005C7E82">
        <w:rPr>
          <w:lang w:val="en-GB"/>
        </w:rPr>
        <w:t xml:space="preserve"> resilience</w:t>
      </w:r>
      <w:r w:rsidR="005330FB" w:rsidRPr="005C7E82">
        <w:rPr>
          <w:lang w:val="en-GB"/>
        </w:rPr>
        <w:t xml:space="preserve"> (for female-headed households</w:t>
      </w:r>
      <w:r w:rsidR="004A01AA">
        <w:rPr>
          <w:lang w:val="en-GB"/>
        </w:rPr>
        <w:t>, for example</w:t>
      </w:r>
      <w:r w:rsidR="005330FB" w:rsidRPr="00414E3E">
        <w:rPr>
          <w:lang w:val="en-GB"/>
        </w:rPr>
        <w:t>).</w:t>
      </w:r>
    </w:p>
    <w:p w14:paraId="0F9A1E84" w14:textId="59416296" w:rsidR="002655BE" w:rsidRPr="005C7E82" w:rsidRDefault="002655BE" w:rsidP="00440828">
      <w:pPr>
        <w:pStyle w:val="ListParagraph"/>
        <w:numPr>
          <w:ilvl w:val="0"/>
          <w:numId w:val="31"/>
        </w:numPr>
        <w:tabs>
          <w:tab w:val="left" w:pos="1530"/>
        </w:tabs>
        <w:spacing w:after="120"/>
        <w:ind w:left="1170" w:right="1030" w:firstLine="0"/>
        <w:jc w:val="both"/>
        <w:rPr>
          <w:lang w:val="en-GB"/>
        </w:rPr>
      </w:pPr>
      <w:r w:rsidRPr="002807FF">
        <w:rPr>
          <w:lang w:val="en-GB"/>
        </w:rPr>
        <w:t xml:space="preserve">On the </w:t>
      </w:r>
      <w:r w:rsidRPr="000708D6">
        <w:rPr>
          <w:lang w:val="en-GB"/>
        </w:rPr>
        <w:t>policy</w:t>
      </w:r>
      <w:r w:rsidRPr="00414E3E">
        <w:rPr>
          <w:lang w:val="en-GB"/>
        </w:rPr>
        <w:t xml:space="preserve"> side, UNDP will support the inclusion of </w:t>
      </w:r>
      <w:r w:rsidR="00812EB1" w:rsidRPr="000708D6">
        <w:rPr>
          <w:lang w:val="en-GB"/>
        </w:rPr>
        <w:t>disaster risk reduction</w:t>
      </w:r>
      <w:r w:rsidRPr="005C7E82">
        <w:rPr>
          <w:lang w:val="en-GB"/>
        </w:rPr>
        <w:t xml:space="preserve"> principles in national</w:t>
      </w:r>
      <w:r w:rsidR="004A01AA">
        <w:rPr>
          <w:lang w:val="en-GB"/>
        </w:rPr>
        <w:t xml:space="preserve"> and </w:t>
      </w:r>
      <w:r w:rsidRPr="002807FF">
        <w:rPr>
          <w:lang w:val="en-GB"/>
        </w:rPr>
        <w:t>sectoral development frameworks and planning processes</w:t>
      </w:r>
      <w:r w:rsidR="00221433" w:rsidRPr="005C7E82">
        <w:rPr>
          <w:lang w:val="en-GB"/>
        </w:rPr>
        <w:t xml:space="preserve">. </w:t>
      </w:r>
      <w:r w:rsidRPr="005C7E82">
        <w:rPr>
          <w:lang w:val="en-GB"/>
        </w:rPr>
        <w:t xml:space="preserve">This will reduce </w:t>
      </w:r>
      <w:r w:rsidR="004A01AA">
        <w:rPr>
          <w:lang w:val="en-GB"/>
        </w:rPr>
        <w:t xml:space="preserve">the </w:t>
      </w:r>
      <w:r w:rsidRPr="00414E3E">
        <w:rPr>
          <w:lang w:val="en-GB"/>
        </w:rPr>
        <w:t>vulnerability of communities to the effects of climate change and natural hazards</w:t>
      </w:r>
      <w:r w:rsidR="004A01AA">
        <w:rPr>
          <w:lang w:val="en-GB"/>
        </w:rPr>
        <w:t>,</w:t>
      </w:r>
      <w:r w:rsidRPr="00414E3E">
        <w:rPr>
          <w:lang w:val="en-GB"/>
        </w:rPr>
        <w:t xml:space="preserve"> including se</w:t>
      </w:r>
      <w:r w:rsidRPr="002807FF">
        <w:rPr>
          <w:lang w:val="en-GB"/>
        </w:rPr>
        <w:t>ismic, man-made and hydro-meteorological events</w:t>
      </w:r>
      <w:r w:rsidR="00221433" w:rsidRPr="005C7E82">
        <w:rPr>
          <w:lang w:val="en-GB"/>
        </w:rPr>
        <w:t xml:space="preserve">. </w:t>
      </w:r>
      <w:r w:rsidRPr="005C7E82">
        <w:rPr>
          <w:lang w:val="en-GB"/>
        </w:rPr>
        <w:t>It will be accomplished through evidence-based policy advisory support</w:t>
      </w:r>
      <w:r w:rsidR="005330FB" w:rsidRPr="005C7E82">
        <w:rPr>
          <w:lang w:val="en-GB"/>
        </w:rPr>
        <w:t>, inc</w:t>
      </w:r>
      <w:r w:rsidR="009A4899" w:rsidRPr="005C7E82">
        <w:rPr>
          <w:lang w:val="en-GB"/>
        </w:rPr>
        <w:t xml:space="preserve">orporating </w:t>
      </w:r>
      <w:r w:rsidR="00671FC2" w:rsidRPr="005C7E82">
        <w:rPr>
          <w:lang w:val="en-GB"/>
        </w:rPr>
        <w:t xml:space="preserve">local </w:t>
      </w:r>
      <w:r w:rsidR="005330FB" w:rsidRPr="005C7E82">
        <w:rPr>
          <w:lang w:val="en-GB"/>
        </w:rPr>
        <w:t xml:space="preserve">knowledge provided by women. </w:t>
      </w:r>
      <w:r w:rsidRPr="005C7E82">
        <w:rPr>
          <w:lang w:val="en-GB"/>
        </w:rPr>
        <w:t xml:space="preserve">Given </w:t>
      </w:r>
      <w:r w:rsidR="00CC63BF">
        <w:rPr>
          <w:lang w:val="en-GB"/>
        </w:rPr>
        <w:t xml:space="preserve">the </w:t>
      </w:r>
      <w:r w:rsidRPr="005C7E82">
        <w:rPr>
          <w:lang w:val="en-GB"/>
        </w:rPr>
        <w:t>potential climate change effect o</w:t>
      </w:r>
      <w:r w:rsidR="00CC63BF">
        <w:rPr>
          <w:lang w:val="en-GB"/>
        </w:rPr>
        <w:t>f</w:t>
      </w:r>
      <w:r w:rsidRPr="005C7E82">
        <w:rPr>
          <w:lang w:val="en-GB"/>
        </w:rPr>
        <w:t xml:space="preserve"> increas</w:t>
      </w:r>
      <w:r w:rsidR="00CC63BF">
        <w:rPr>
          <w:lang w:val="en-GB"/>
        </w:rPr>
        <w:t>ed</w:t>
      </w:r>
      <w:r w:rsidRPr="005C7E82">
        <w:rPr>
          <w:lang w:val="en-GB"/>
        </w:rPr>
        <w:t xml:space="preserve"> vector-borne diseases </w:t>
      </w:r>
      <w:r w:rsidR="00CC63BF">
        <w:rPr>
          <w:lang w:val="en-GB"/>
        </w:rPr>
        <w:t>in</w:t>
      </w:r>
      <w:r w:rsidR="00CC63BF" w:rsidRPr="005C7E82">
        <w:rPr>
          <w:lang w:val="en-GB"/>
        </w:rPr>
        <w:t xml:space="preserve"> </w:t>
      </w:r>
      <w:r w:rsidRPr="005C7E82">
        <w:rPr>
          <w:lang w:val="en-GB"/>
        </w:rPr>
        <w:t xml:space="preserve">temperature and precipitation scenarios, </w:t>
      </w:r>
      <w:r w:rsidR="009C0101" w:rsidRPr="005C7E82">
        <w:rPr>
          <w:lang w:val="en-GB"/>
        </w:rPr>
        <w:t>adapt</w:t>
      </w:r>
      <w:r w:rsidR="00AA7A8B" w:rsidRPr="005C7E82">
        <w:rPr>
          <w:lang w:val="en-GB"/>
        </w:rPr>
        <w:t xml:space="preserve">ive actions </w:t>
      </w:r>
      <w:r w:rsidRPr="005C7E82">
        <w:rPr>
          <w:lang w:val="en-GB"/>
        </w:rPr>
        <w:t xml:space="preserve">will </w:t>
      </w:r>
      <w:r w:rsidR="00CC63BF">
        <w:rPr>
          <w:lang w:val="en-GB"/>
        </w:rPr>
        <w:t>include</w:t>
      </w:r>
      <w:r w:rsidRPr="005C7E82">
        <w:rPr>
          <w:lang w:val="en-GB"/>
        </w:rPr>
        <w:t xml:space="preserve"> national interventions to mitigate health risks.</w:t>
      </w:r>
    </w:p>
    <w:p w14:paraId="26917117" w14:textId="64FAD96F" w:rsidR="002655BE" w:rsidRPr="005C7E82" w:rsidRDefault="002655BE" w:rsidP="000708D6">
      <w:pPr>
        <w:pStyle w:val="ListParagraph"/>
        <w:numPr>
          <w:ilvl w:val="0"/>
          <w:numId w:val="31"/>
        </w:numPr>
        <w:tabs>
          <w:tab w:val="left" w:pos="1530"/>
        </w:tabs>
        <w:spacing w:after="120"/>
        <w:ind w:left="1170" w:right="1030" w:firstLine="0"/>
        <w:jc w:val="both"/>
        <w:rPr>
          <w:lang w:val="en-GB"/>
        </w:rPr>
      </w:pPr>
      <w:r w:rsidRPr="005C7E82">
        <w:rPr>
          <w:lang w:val="en-GB"/>
        </w:rPr>
        <w:t>Institutional capacity will be strengthened through assessments and subsequent implementation of capacity</w:t>
      </w:r>
      <w:r w:rsidR="00CC63BF">
        <w:rPr>
          <w:lang w:val="en-GB"/>
        </w:rPr>
        <w:t>-</w:t>
      </w:r>
      <w:r w:rsidRPr="005C7E82">
        <w:rPr>
          <w:lang w:val="en-GB"/>
        </w:rPr>
        <w:t>building program</w:t>
      </w:r>
      <w:r w:rsidR="004A01AA">
        <w:rPr>
          <w:lang w:val="en-GB"/>
        </w:rPr>
        <w:t>me</w:t>
      </w:r>
      <w:r w:rsidRPr="00414E3E">
        <w:rPr>
          <w:lang w:val="en-GB"/>
        </w:rPr>
        <w:t>s</w:t>
      </w:r>
      <w:r w:rsidRPr="002807FF">
        <w:rPr>
          <w:lang w:val="en-GB"/>
        </w:rPr>
        <w:t xml:space="preserve"> to support the sustainability of climate</w:t>
      </w:r>
      <w:r w:rsidR="00CC63BF">
        <w:rPr>
          <w:lang w:val="en-GB"/>
        </w:rPr>
        <w:t>-</w:t>
      </w:r>
      <w:r w:rsidRPr="002807FF">
        <w:rPr>
          <w:lang w:val="en-GB"/>
        </w:rPr>
        <w:t xml:space="preserve">resilience approaches, </w:t>
      </w:r>
      <w:r w:rsidR="00CE2858" w:rsidRPr="005C7E82">
        <w:rPr>
          <w:lang w:val="en-GB"/>
        </w:rPr>
        <w:t>including low</w:t>
      </w:r>
      <w:r w:rsidR="004A01AA">
        <w:rPr>
          <w:lang w:val="en-GB"/>
        </w:rPr>
        <w:t>-</w:t>
      </w:r>
      <w:r w:rsidR="00CE2858" w:rsidRPr="002807FF">
        <w:rPr>
          <w:lang w:val="en-GB"/>
        </w:rPr>
        <w:t>emission develop</w:t>
      </w:r>
      <w:r w:rsidR="001A5CAE" w:rsidRPr="002807FF">
        <w:rPr>
          <w:lang w:val="en-GB"/>
        </w:rPr>
        <w:t>ment</w:t>
      </w:r>
      <w:r w:rsidRPr="005C7E82">
        <w:rPr>
          <w:lang w:val="en-GB"/>
        </w:rPr>
        <w:t xml:space="preserve"> strategies and comprehensive </w:t>
      </w:r>
      <w:r w:rsidR="00812EB1" w:rsidRPr="000708D6">
        <w:rPr>
          <w:lang w:val="en-GB"/>
        </w:rPr>
        <w:t>disaster risk reduction</w:t>
      </w:r>
      <w:r w:rsidRPr="005C7E82">
        <w:rPr>
          <w:lang w:val="en-GB"/>
        </w:rPr>
        <w:t xml:space="preserve"> principles</w:t>
      </w:r>
      <w:r w:rsidR="00BA5112" w:rsidRPr="00414E3E">
        <w:rPr>
          <w:lang w:val="en-GB"/>
        </w:rPr>
        <w:t xml:space="preserve"> that reflect women’s needs</w:t>
      </w:r>
      <w:r w:rsidR="00221433" w:rsidRPr="005C7E82">
        <w:rPr>
          <w:lang w:val="en-GB"/>
        </w:rPr>
        <w:t xml:space="preserve">. </w:t>
      </w:r>
      <w:r w:rsidRPr="005C7E82">
        <w:rPr>
          <w:lang w:val="en-GB"/>
        </w:rPr>
        <w:t xml:space="preserve">This will reflect obligations under relevant global agreements to which </w:t>
      </w:r>
      <w:r w:rsidR="00221433" w:rsidRPr="005C7E82">
        <w:rPr>
          <w:lang w:val="en-GB"/>
        </w:rPr>
        <w:t>Trinidad and Tobago</w:t>
      </w:r>
      <w:r w:rsidRPr="005C7E82">
        <w:rPr>
          <w:lang w:val="en-GB"/>
        </w:rPr>
        <w:t xml:space="preserve"> is party, including (</w:t>
      </w:r>
      <w:r w:rsidR="00EA0615">
        <w:rPr>
          <w:lang w:val="en-GB"/>
        </w:rPr>
        <w:t>a</w:t>
      </w:r>
      <w:r w:rsidRPr="002807FF">
        <w:rPr>
          <w:lang w:val="en-GB"/>
        </w:rPr>
        <w:t>)</w:t>
      </w:r>
      <w:r w:rsidR="00EA0615">
        <w:rPr>
          <w:lang w:val="en-GB"/>
        </w:rPr>
        <w:t xml:space="preserve"> the </w:t>
      </w:r>
      <w:r w:rsidRPr="002807FF">
        <w:rPr>
          <w:lang w:val="en-GB"/>
        </w:rPr>
        <w:t>UNFCCC</w:t>
      </w:r>
      <w:r w:rsidR="00EA0615">
        <w:rPr>
          <w:lang w:val="en-GB"/>
        </w:rPr>
        <w:t>;</w:t>
      </w:r>
      <w:r w:rsidRPr="002807FF">
        <w:rPr>
          <w:lang w:val="en-GB"/>
        </w:rPr>
        <w:t xml:space="preserve"> (</w:t>
      </w:r>
      <w:r w:rsidR="00EA0615">
        <w:rPr>
          <w:lang w:val="en-GB"/>
        </w:rPr>
        <w:t>b</w:t>
      </w:r>
      <w:r w:rsidRPr="002807FF">
        <w:rPr>
          <w:lang w:val="en-GB"/>
        </w:rPr>
        <w:t xml:space="preserve">) </w:t>
      </w:r>
      <w:r w:rsidR="00EA0615">
        <w:rPr>
          <w:lang w:val="en-GB"/>
        </w:rPr>
        <w:t xml:space="preserve">the </w:t>
      </w:r>
      <w:r w:rsidRPr="00414E3E">
        <w:rPr>
          <w:lang w:val="en-GB"/>
        </w:rPr>
        <w:t>Sendai Framework</w:t>
      </w:r>
      <w:r w:rsidR="00EA0615">
        <w:rPr>
          <w:lang w:val="en-GB"/>
        </w:rPr>
        <w:t>;</w:t>
      </w:r>
      <w:r w:rsidRPr="002807FF">
        <w:rPr>
          <w:lang w:val="en-GB"/>
        </w:rPr>
        <w:t xml:space="preserve"> and (</w:t>
      </w:r>
      <w:r w:rsidR="00EA0615">
        <w:rPr>
          <w:lang w:val="en-GB"/>
        </w:rPr>
        <w:t>c</w:t>
      </w:r>
      <w:r w:rsidRPr="002807FF">
        <w:rPr>
          <w:lang w:val="en-GB"/>
        </w:rPr>
        <w:t xml:space="preserve">) </w:t>
      </w:r>
      <w:r w:rsidR="00EA0615">
        <w:rPr>
          <w:lang w:val="en-GB"/>
        </w:rPr>
        <w:t xml:space="preserve">the </w:t>
      </w:r>
      <w:r w:rsidRPr="00414E3E">
        <w:rPr>
          <w:lang w:val="en-GB"/>
        </w:rPr>
        <w:t>Montreal Protocol</w:t>
      </w:r>
      <w:r w:rsidR="00687508" w:rsidRPr="002807FF">
        <w:rPr>
          <w:lang w:val="en-GB"/>
        </w:rPr>
        <w:t xml:space="preserve">. UNDP will continue to support </w:t>
      </w:r>
      <w:r w:rsidR="00687508" w:rsidRPr="005C7E82">
        <w:rPr>
          <w:lang w:val="en-GB"/>
        </w:rPr>
        <w:t xml:space="preserve">institutional strengthening with </w:t>
      </w:r>
      <w:r w:rsidRPr="005C7E82">
        <w:rPr>
          <w:lang w:val="en-GB"/>
        </w:rPr>
        <w:t>partners such as the Environmental Policy and Planning Division (Ministry of Planning and Development), the</w:t>
      </w:r>
      <w:r w:rsidR="00841056" w:rsidRPr="000708D6">
        <w:rPr>
          <w:lang w:val="en-GB"/>
        </w:rPr>
        <w:t xml:space="preserve"> Office of Disaster Preparedness Management</w:t>
      </w:r>
      <w:r w:rsidRPr="005C7E82">
        <w:rPr>
          <w:lang w:val="en-GB"/>
        </w:rPr>
        <w:t xml:space="preserve"> </w:t>
      </w:r>
      <w:r w:rsidRPr="00414E3E">
        <w:rPr>
          <w:lang w:val="en-GB"/>
        </w:rPr>
        <w:t>(Ministry of National Security), the Ministry of Rural Development</w:t>
      </w:r>
      <w:r w:rsidR="00EA0615">
        <w:rPr>
          <w:lang w:val="en-GB"/>
        </w:rPr>
        <w:t>,</w:t>
      </w:r>
      <w:r w:rsidRPr="00414E3E">
        <w:rPr>
          <w:lang w:val="en-GB"/>
        </w:rPr>
        <w:t xml:space="preserve"> </w:t>
      </w:r>
      <w:r w:rsidRPr="002807FF">
        <w:rPr>
          <w:lang w:val="en-GB"/>
        </w:rPr>
        <w:t>and Local Government</w:t>
      </w:r>
      <w:r w:rsidR="00EA0615">
        <w:rPr>
          <w:lang w:val="en-GB"/>
        </w:rPr>
        <w:t>,</w:t>
      </w:r>
      <w:r w:rsidRPr="00414E3E">
        <w:rPr>
          <w:lang w:val="en-GB"/>
        </w:rPr>
        <w:t xml:space="preserve"> and the Ministry of Energy and Energy Industries.</w:t>
      </w:r>
      <w:r w:rsidR="00C655AB" w:rsidRPr="000708D6">
        <w:rPr>
          <w:lang w:val="en-GB"/>
        </w:rPr>
        <w:t xml:space="preserve"> </w:t>
      </w:r>
    </w:p>
    <w:p w14:paraId="5176B564" w14:textId="5BF7A6F4" w:rsidR="002655BE" w:rsidRDefault="002655BE" w:rsidP="00440828">
      <w:pPr>
        <w:pStyle w:val="ListParagraph"/>
        <w:numPr>
          <w:ilvl w:val="0"/>
          <w:numId w:val="31"/>
        </w:numPr>
        <w:tabs>
          <w:tab w:val="left" w:pos="1530"/>
        </w:tabs>
        <w:ind w:left="1170" w:right="1030" w:firstLine="0"/>
        <w:jc w:val="both"/>
        <w:rPr>
          <w:lang w:val="en-GB"/>
        </w:rPr>
      </w:pPr>
      <w:r w:rsidRPr="002807FF">
        <w:rPr>
          <w:lang w:val="en-GB"/>
        </w:rPr>
        <w:t>To advance local initiatives address</w:t>
      </w:r>
      <w:r w:rsidR="00000A00" w:rsidRPr="005C7E82">
        <w:rPr>
          <w:lang w:val="en-GB"/>
        </w:rPr>
        <w:t>ing</w:t>
      </w:r>
      <w:r w:rsidRPr="005C7E82">
        <w:rPr>
          <w:lang w:val="en-GB"/>
        </w:rPr>
        <w:t xml:space="preserve"> climate and disaster resilience</w:t>
      </w:r>
      <w:r w:rsidR="00EA0615">
        <w:rPr>
          <w:lang w:val="en-GB"/>
        </w:rPr>
        <w:t>,</w:t>
      </w:r>
      <w:r w:rsidR="002014C4" w:rsidRPr="00414E3E">
        <w:rPr>
          <w:lang w:val="en-GB"/>
        </w:rPr>
        <w:t xml:space="preserve"> </w:t>
      </w:r>
      <w:r w:rsidR="00687508" w:rsidRPr="002807FF">
        <w:rPr>
          <w:lang w:val="en-GB"/>
        </w:rPr>
        <w:t xml:space="preserve">particularly those with potential for </w:t>
      </w:r>
      <w:r w:rsidR="002014C4" w:rsidRPr="002807FF">
        <w:rPr>
          <w:lang w:val="en-GB"/>
        </w:rPr>
        <w:t>scal</w:t>
      </w:r>
      <w:r w:rsidR="00EA0615">
        <w:rPr>
          <w:lang w:val="en-GB"/>
        </w:rPr>
        <w:t>ing</w:t>
      </w:r>
      <w:r w:rsidR="00687508" w:rsidRPr="002807FF">
        <w:rPr>
          <w:lang w:val="en-GB"/>
        </w:rPr>
        <w:t xml:space="preserve"> </w:t>
      </w:r>
      <w:r w:rsidR="002014C4" w:rsidRPr="002807FF">
        <w:rPr>
          <w:lang w:val="en-GB"/>
        </w:rPr>
        <w:t>up</w:t>
      </w:r>
      <w:r w:rsidRPr="005C7E82">
        <w:rPr>
          <w:lang w:val="en-GB"/>
        </w:rPr>
        <w:t>, UNDP will stimulate public, private and civil society partnerships to leverage the strengths and resources of stakeholder</w:t>
      </w:r>
      <w:r w:rsidR="00687508" w:rsidRPr="005C7E82">
        <w:rPr>
          <w:lang w:val="en-GB"/>
        </w:rPr>
        <w:t>s</w:t>
      </w:r>
      <w:r w:rsidR="00986B6F" w:rsidRPr="005C7E82">
        <w:rPr>
          <w:lang w:val="en-GB"/>
        </w:rPr>
        <w:t>, in</w:t>
      </w:r>
      <w:r w:rsidR="00EA0615">
        <w:rPr>
          <w:lang w:val="en-GB"/>
        </w:rPr>
        <w:t>clud</w:t>
      </w:r>
      <w:r w:rsidR="00986B6F" w:rsidRPr="002807FF">
        <w:rPr>
          <w:lang w:val="en-GB"/>
        </w:rPr>
        <w:t>ing local women’s organiza</w:t>
      </w:r>
      <w:r w:rsidR="00986B6F" w:rsidRPr="005C7E82">
        <w:rPr>
          <w:lang w:val="en-GB"/>
        </w:rPr>
        <w:t>tions,</w:t>
      </w:r>
      <w:r w:rsidR="00687508" w:rsidRPr="005C7E82">
        <w:rPr>
          <w:lang w:val="en-GB"/>
        </w:rPr>
        <w:t xml:space="preserve"> to carry out innovative </w:t>
      </w:r>
      <w:r w:rsidRPr="005C7E82">
        <w:rPr>
          <w:lang w:val="en-GB"/>
        </w:rPr>
        <w:t>actions illustrat</w:t>
      </w:r>
      <w:r w:rsidR="00EA0615">
        <w:rPr>
          <w:lang w:val="en-GB"/>
        </w:rPr>
        <w:t>ing</w:t>
      </w:r>
      <w:r w:rsidRPr="002807FF">
        <w:rPr>
          <w:lang w:val="en-GB"/>
        </w:rPr>
        <w:t xml:space="preserve"> how </w:t>
      </w:r>
      <w:r w:rsidR="002014C4" w:rsidRPr="002807FF">
        <w:rPr>
          <w:lang w:val="en-GB"/>
        </w:rPr>
        <w:t xml:space="preserve">communities can implement </w:t>
      </w:r>
      <w:r w:rsidRPr="005C7E82">
        <w:rPr>
          <w:lang w:val="en-GB"/>
        </w:rPr>
        <w:t>natio</w:t>
      </w:r>
      <w:r w:rsidR="000165E6" w:rsidRPr="005C7E82">
        <w:rPr>
          <w:lang w:val="en-GB"/>
        </w:rPr>
        <w:t>nal carbon</w:t>
      </w:r>
      <w:r w:rsidR="00EA0615">
        <w:rPr>
          <w:lang w:val="en-GB"/>
        </w:rPr>
        <w:t>-</w:t>
      </w:r>
      <w:r w:rsidR="000165E6" w:rsidRPr="002807FF">
        <w:rPr>
          <w:lang w:val="en-GB"/>
        </w:rPr>
        <w:lastRenderedPageBreak/>
        <w:t xml:space="preserve">reduction strategies. </w:t>
      </w:r>
      <w:r w:rsidRPr="002807FF">
        <w:rPr>
          <w:lang w:val="en-GB"/>
        </w:rPr>
        <w:t xml:space="preserve">The </w:t>
      </w:r>
      <w:r w:rsidR="00C25EF7" w:rsidRPr="00C859FC">
        <w:rPr>
          <w:lang w:val="en-GB"/>
        </w:rPr>
        <w:t>Global Environment F</w:t>
      </w:r>
      <w:r w:rsidR="00C859FC" w:rsidRPr="000708D6">
        <w:rPr>
          <w:lang w:val="en-GB"/>
        </w:rPr>
        <w:t>acility</w:t>
      </w:r>
      <w:r w:rsidR="00C25EF7" w:rsidRPr="00C859FC">
        <w:rPr>
          <w:lang w:val="en-GB"/>
        </w:rPr>
        <w:t xml:space="preserve"> </w:t>
      </w:r>
      <w:r w:rsidRPr="00C859FC">
        <w:rPr>
          <w:lang w:val="en-GB"/>
        </w:rPr>
        <w:t>Small Grants Programme</w:t>
      </w:r>
      <w:r w:rsidR="00C25EF7" w:rsidRPr="00C859FC">
        <w:rPr>
          <w:lang w:val="en-GB"/>
        </w:rPr>
        <w:t xml:space="preserve"> (GEF</w:t>
      </w:r>
      <w:r w:rsidR="00C859FC" w:rsidRPr="000708D6">
        <w:rPr>
          <w:lang w:val="en-GB"/>
        </w:rPr>
        <w:t>/</w:t>
      </w:r>
      <w:r w:rsidR="00C25EF7" w:rsidRPr="00C859FC">
        <w:rPr>
          <w:lang w:val="en-GB"/>
        </w:rPr>
        <w:t>SGP)</w:t>
      </w:r>
      <w:r w:rsidRPr="00414E3E">
        <w:rPr>
          <w:lang w:val="en-GB"/>
        </w:rPr>
        <w:t xml:space="preserve"> will </w:t>
      </w:r>
      <w:r w:rsidR="00986B6F" w:rsidRPr="002807FF">
        <w:rPr>
          <w:lang w:val="en-GB"/>
        </w:rPr>
        <w:t xml:space="preserve">play an </w:t>
      </w:r>
      <w:r w:rsidRPr="002807FF">
        <w:rPr>
          <w:lang w:val="en-GB"/>
        </w:rPr>
        <w:t xml:space="preserve">instrumental </w:t>
      </w:r>
      <w:r w:rsidR="00986B6F" w:rsidRPr="005C7E82">
        <w:rPr>
          <w:lang w:val="en-GB"/>
        </w:rPr>
        <w:t>role</w:t>
      </w:r>
      <w:r w:rsidR="00EA0615">
        <w:rPr>
          <w:lang w:val="en-GB"/>
        </w:rPr>
        <w:t>,</w:t>
      </w:r>
      <w:r w:rsidR="00986B6F" w:rsidRPr="00414E3E">
        <w:rPr>
          <w:lang w:val="en-GB"/>
        </w:rPr>
        <w:t xml:space="preserve"> </w:t>
      </w:r>
      <w:r w:rsidRPr="002807FF">
        <w:rPr>
          <w:lang w:val="en-GB"/>
        </w:rPr>
        <w:t xml:space="preserve">given its successful </w:t>
      </w:r>
      <w:r w:rsidRPr="005C7E82">
        <w:rPr>
          <w:lang w:val="en-GB"/>
        </w:rPr>
        <w:t>relationships with local actors</w:t>
      </w:r>
      <w:r w:rsidR="00CE2858" w:rsidRPr="005C7E82">
        <w:rPr>
          <w:lang w:val="en-GB"/>
        </w:rPr>
        <w:t xml:space="preserve">, </w:t>
      </w:r>
      <w:r w:rsidR="00EA0615">
        <w:rPr>
          <w:lang w:val="en-GB"/>
        </w:rPr>
        <w:t>particular</w:t>
      </w:r>
      <w:r w:rsidR="00EA0615" w:rsidRPr="00414E3E">
        <w:rPr>
          <w:lang w:val="en-GB"/>
        </w:rPr>
        <w:t xml:space="preserve">ly </w:t>
      </w:r>
      <w:r w:rsidR="00EA0615">
        <w:rPr>
          <w:lang w:val="en-GB"/>
        </w:rPr>
        <w:t>in</w:t>
      </w:r>
      <w:r w:rsidR="00EA0615" w:rsidRPr="00414E3E">
        <w:rPr>
          <w:lang w:val="en-GB"/>
        </w:rPr>
        <w:t xml:space="preserve"> </w:t>
      </w:r>
      <w:r w:rsidR="00CE2858" w:rsidRPr="002807FF">
        <w:rPr>
          <w:lang w:val="en-GB"/>
        </w:rPr>
        <w:t xml:space="preserve">ongoing pilot projects such as those on renewable energy, climate change resilience, paper recycling, and </w:t>
      </w:r>
      <w:r w:rsidR="00CE2858" w:rsidRPr="005C7E82">
        <w:rPr>
          <w:lang w:val="en-GB"/>
        </w:rPr>
        <w:t xml:space="preserve">emergency evacuation for persons with disabilities. </w:t>
      </w:r>
    </w:p>
    <w:p w14:paraId="1921E526" w14:textId="77777777" w:rsidR="001B0F48" w:rsidRPr="00414E3E" w:rsidRDefault="001B0F48" w:rsidP="001B0F48">
      <w:pPr>
        <w:pStyle w:val="ListParagraph"/>
        <w:tabs>
          <w:tab w:val="left" w:pos="1530"/>
        </w:tabs>
        <w:ind w:left="1170" w:right="1030"/>
        <w:jc w:val="both"/>
        <w:rPr>
          <w:lang w:val="en-GB"/>
        </w:rPr>
      </w:pPr>
    </w:p>
    <w:p w14:paraId="3947EFA0" w14:textId="77777777" w:rsidR="002655BE" w:rsidRPr="000708D6" w:rsidRDefault="004A78AE" w:rsidP="00440828">
      <w:pPr>
        <w:pStyle w:val="Heading2"/>
        <w:tabs>
          <w:tab w:val="left" w:pos="1530"/>
        </w:tabs>
        <w:ind w:left="1170" w:right="1030" w:hanging="637"/>
        <w:jc w:val="both"/>
        <w:rPr>
          <w:rFonts w:ascii="Times New Roman" w:hAnsi="Times New Roman"/>
          <w:bCs/>
          <w:szCs w:val="28"/>
          <w:lang w:val="en-GB"/>
        </w:rPr>
      </w:pPr>
      <w:r w:rsidRPr="000708D6">
        <w:rPr>
          <w:rFonts w:ascii="Times New Roman" w:hAnsi="Times New Roman"/>
          <w:bCs/>
          <w:szCs w:val="28"/>
          <w:lang w:val="en-GB"/>
        </w:rPr>
        <w:t>III.</w:t>
      </w:r>
      <w:r w:rsidRPr="000708D6">
        <w:rPr>
          <w:rFonts w:ascii="Times New Roman" w:hAnsi="Times New Roman"/>
          <w:bCs/>
          <w:szCs w:val="28"/>
          <w:lang w:val="en-GB"/>
        </w:rPr>
        <w:tab/>
        <w:t>Programme and r</w:t>
      </w:r>
      <w:r w:rsidR="002655BE" w:rsidRPr="000708D6">
        <w:rPr>
          <w:rFonts w:ascii="Times New Roman" w:hAnsi="Times New Roman"/>
          <w:bCs/>
          <w:szCs w:val="28"/>
          <w:lang w:val="en-GB"/>
        </w:rPr>
        <w:t xml:space="preserve">isk </w:t>
      </w:r>
      <w:r w:rsidRPr="000708D6">
        <w:rPr>
          <w:rFonts w:ascii="Times New Roman" w:hAnsi="Times New Roman"/>
          <w:bCs/>
          <w:szCs w:val="28"/>
          <w:lang w:val="en-GB"/>
        </w:rPr>
        <w:t>m</w:t>
      </w:r>
      <w:r w:rsidR="002655BE" w:rsidRPr="000708D6">
        <w:rPr>
          <w:rFonts w:ascii="Times New Roman" w:hAnsi="Times New Roman"/>
          <w:bCs/>
          <w:szCs w:val="28"/>
          <w:lang w:val="en-GB"/>
        </w:rPr>
        <w:t xml:space="preserve">anagement </w:t>
      </w:r>
    </w:p>
    <w:p w14:paraId="17C08F4A" w14:textId="77777777" w:rsidR="002655BE" w:rsidRPr="000708D6" w:rsidRDefault="002655BE" w:rsidP="00440828">
      <w:pPr>
        <w:tabs>
          <w:tab w:val="left" w:pos="1530"/>
        </w:tabs>
        <w:ind w:left="1170" w:right="1030"/>
        <w:rPr>
          <w:lang w:val="en-GB" w:eastAsia="x-none"/>
        </w:rPr>
      </w:pPr>
    </w:p>
    <w:p w14:paraId="5145CC45" w14:textId="6B2E36B7" w:rsidR="00EA0615" w:rsidRPr="000708D6" w:rsidRDefault="002A67F5" w:rsidP="00440828">
      <w:pPr>
        <w:pStyle w:val="ListParagraph"/>
        <w:numPr>
          <w:ilvl w:val="0"/>
          <w:numId w:val="31"/>
        </w:numPr>
        <w:tabs>
          <w:tab w:val="left" w:pos="1530"/>
        </w:tabs>
        <w:spacing w:after="120"/>
        <w:ind w:left="1170" w:right="1030" w:firstLine="0"/>
        <w:jc w:val="both"/>
        <w:rPr>
          <w:lang w:val="en-GB"/>
        </w:rPr>
      </w:pPr>
      <w:r w:rsidRPr="000708D6">
        <w:rPr>
          <w:lang w:val="en-GB"/>
        </w:rPr>
        <w:t>The programme will be nationally executed in collaboration with the Ministry of Planning and Development. A coordination mechanism</w:t>
      </w:r>
      <w:r w:rsidR="00EA0615">
        <w:rPr>
          <w:lang w:val="en-GB"/>
        </w:rPr>
        <w:t>,</w:t>
      </w:r>
      <w:r w:rsidRPr="000708D6">
        <w:rPr>
          <w:lang w:val="en-GB"/>
        </w:rPr>
        <w:t xml:space="preserve"> chaired by the Ministry and comprising senior officials across key ministries</w:t>
      </w:r>
      <w:r w:rsidR="00EA0615">
        <w:rPr>
          <w:lang w:val="en-GB"/>
        </w:rPr>
        <w:t>,</w:t>
      </w:r>
      <w:r w:rsidRPr="000708D6">
        <w:rPr>
          <w:lang w:val="en-GB"/>
        </w:rPr>
        <w:t xml:space="preserve"> will be pursued to optimi</w:t>
      </w:r>
      <w:r w:rsidR="00EA0615">
        <w:rPr>
          <w:lang w:val="en-GB"/>
        </w:rPr>
        <w:t>z</w:t>
      </w:r>
      <w:r w:rsidRPr="000708D6">
        <w:rPr>
          <w:lang w:val="en-GB"/>
        </w:rPr>
        <w:t>e synergies associated with cross</w:t>
      </w:r>
      <w:r w:rsidR="00EA0615">
        <w:rPr>
          <w:lang w:val="en-GB"/>
        </w:rPr>
        <w:t>-</w:t>
      </w:r>
      <w:r w:rsidRPr="000708D6">
        <w:rPr>
          <w:lang w:val="en-GB"/>
        </w:rPr>
        <w:t>disciplinary oversight and ensure that UNDP technical support is aligned with national priorities and objectives</w:t>
      </w:r>
      <w:r w:rsidR="00221433" w:rsidRPr="000708D6">
        <w:rPr>
          <w:lang w:val="en-GB"/>
        </w:rPr>
        <w:t xml:space="preserve">. </w:t>
      </w:r>
      <w:r w:rsidR="00413851" w:rsidRPr="000708D6">
        <w:rPr>
          <w:lang w:val="en-GB"/>
        </w:rPr>
        <w:t>T</w:t>
      </w:r>
      <w:r w:rsidR="00596852">
        <w:rPr>
          <w:lang w:val="en-GB"/>
        </w:rPr>
        <w:t>h</w:t>
      </w:r>
      <w:r w:rsidR="008C3B8E" w:rsidRPr="000708D6">
        <w:rPr>
          <w:lang w:val="en-GB"/>
        </w:rPr>
        <w:t xml:space="preserve">is </w:t>
      </w:r>
      <w:r w:rsidR="00CF1355" w:rsidRPr="000708D6">
        <w:rPr>
          <w:lang w:val="en-GB"/>
        </w:rPr>
        <w:t>country programme document</w:t>
      </w:r>
      <w:r w:rsidR="008C3B8E" w:rsidRPr="000708D6">
        <w:rPr>
          <w:lang w:val="en-GB"/>
        </w:rPr>
        <w:t xml:space="preserve"> </w:t>
      </w:r>
      <w:r w:rsidR="005F1E1C">
        <w:rPr>
          <w:lang w:val="en-GB"/>
        </w:rPr>
        <w:t xml:space="preserve">was formulated using </w:t>
      </w:r>
      <w:r w:rsidR="008C3B8E" w:rsidRPr="000708D6">
        <w:rPr>
          <w:lang w:val="en-GB"/>
        </w:rPr>
        <w:t>a consultative process</w:t>
      </w:r>
      <w:r w:rsidR="008A2415" w:rsidRPr="000708D6">
        <w:rPr>
          <w:lang w:val="en-GB"/>
        </w:rPr>
        <w:t xml:space="preserve"> with representatives from government, civil society, academia, the private sector and </w:t>
      </w:r>
      <w:r w:rsidR="00812EB1" w:rsidRPr="000708D6">
        <w:rPr>
          <w:lang w:val="en-GB"/>
        </w:rPr>
        <w:t xml:space="preserve">United Nations </w:t>
      </w:r>
      <w:r w:rsidR="005F1E1C">
        <w:rPr>
          <w:lang w:val="en-GB"/>
        </w:rPr>
        <w:t>organization</w:t>
      </w:r>
      <w:r w:rsidR="00812EB1" w:rsidRPr="000708D6">
        <w:rPr>
          <w:lang w:val="en-GB"/>
        </w:rPr>
        <w:t>s</w:t>
      </w:r>
      <w:r w:rsidR="008A2415" w:rsidRPr="000708D6">
        <w:rPr>
          <w:lang w:val="en-GB"/>
        </w:rPr>
        <w:t xml:space="preserve">. </w:t>
      </w:r>
    </w:p>
    <w:p w14:paraId="6EC37659" w14:textId="7B85500E" w:rsidR="002655BE" w:rsidRPr="000708D6" w:rsidRDefault="002655BE" w:rsidP="00440828">
      <w:pPr>
        <w:pStyle w:val="ListParagraph"/>
        <w:numPr>
          <w:ilvl w:val="0"/>
          <w:numId w:val="31"/>
        </w:numPr>
        <w:tabs>
          <w:tab w:val="left" w:pos="1530"/>
        </w:tabs>
        <w:spacing w:after="120"/>
        <w:ind w:left="1170" w:right="1030" w:firstLine="0"/>
        <w:jc w:val="both"/>
        <w:rPr>
          <w:lang w:val="en-GB"/>
        </w:rPr>
      </w:pPr>
      <w:r w:rsidRPr="000708D6">
        <w:rPr>
          <w:lang w:val="en-GB"/>
        </w:rPr>
        <w:t xml:space="preserve">UNDP will continue to partner with </w:t>
      </w:r>
      <w:r w:rsidR="00596852">
        <w:rPr>
          <w:lang w:val="en-GB"/>
        </w:rPr>
        <w:t xml:space="preserve">the </w:t>
      </w:r>
      <w:r w:rsidRPr="000708D6">
        <w:rPr>
          <w:lang w:val="en-GB"/>
        </w:rPr>
        <w:t xml:space="preserve">government </w:t>
      </w:r>
      <w:r w:rsidR="005F1E1C">
        <w:rPr>
          <w:lang w:val="en-GB"/>
        </w:rPr>
        <w:t>m</w:t>
      </w:r>
      <w:r w:rsidRPr="000708D6">
        <w:rPr>
          <w:lang w:val="en-GB"/>
        </w:rPr>
        <w:t>inistries coordinati</w:t>
      </w:r>
      <w:r w:rsidR="00596852">
        <w:rPr>
          <w:lang w:val="en-GB"/>
        </w:rPr>
        <w:t>ng</w:t>
      </w:r>
      <w:r w:rsidRPr="000708D6">
        <w:rPr>
          <w:lang w:val="en-GB"/>
        </w:rPr>
        <w:t xml:space="preserve"> and executin</w:t>
      </w:r>
      <w:r w:rsidR="00596852">
        <w:rPr>
          <w:lang w:val="en-GB"/>
        </w:rPr>
        <w:t>g</w:t>
      </w:r>
      <w:r w:rsidR="00687508" w:rsidRPr="000708D6">
        <w:rPr>
          <w:lang w:val="en-GB"/>
        </w:rPr>
        <w:t xml:space="preserve"> </w:t>
      </w:r>
      <w:r w:rsidRPr="000708D6">
        <w:rPr>
          <w:lang w:val="en-GB"/>
        </w:rPr>
        <w:t>national development strategies</w:t>
      </w:r>
      <w:r w:rsidR="00221433" w:rsidRPr="000708D6">
        <w:rPr>
          <w:lang w:val="en-GB"/>
        </w:rPr>
        <w:t xml:space="preserve">. </w:t>
      </w:r>
      <w:r w:rsidRPr="000708D6">
        <w:rPr>
          <w:lang w:val="en-GB"/>
        </w:rPr>
        <w:t>UNDP will support national</w:t>
      </w:r>
      <w:r w:rsidR="009A3EAE" w:rsidRPr="000708D6">
        <w:rPr>
          <w:lang w:val="en-GB"/>
        </w:rPr>
        <w:t xml:space="preserve"> </w:t>
      </w:r>
      <w:r w:rsidR="001A5CAE" w:rsidRPr="000708D6">
        <w:rPr>
          <w:lang w:val="en-GB"/>
        </w:rPr>
        <w:t>implementation by</w:t>
      </w:r>
      <w:r w:rsidRPr="000708D6">
        <w:rPr>
          <w:lang w:val="en-GB"/>
        </w:rPr>
        <w:t xml:space="preserve"> incorporating capacity</w:t>
      </w:r>
      <w:r w:rsidR="005F1E1C">
        <w:rPr>
          <w:lang w:val="en-GB"/>
        </w:rPr>
        <w:t>-</w:t>
      </w:r>
      <w:r w:rsidRPr="000708D6">
        <w:rPr>
          <w:lang w:val="en-GB"/>
        </w:rPr>
        <w:t>building of government institutions</w:t>
      </w:r>
      <w:r w:rsidR="005F1E1C">
        <w:rPr>
          <w:lang w:val="en-GB"/>
        </w:rPr>
        <w:t>,</w:t>
      </w:r>
      <w:r w:rsidR="0067484C" w:rsidRPr="000708D6">
        <w:rPr>
          <w:lang w:val="en-GB"/>
        </w:rPr>
        <w:t xml:space="preserve"> </w:t>
      </w:r>
      <w:r w:rsidR="00596852">
        <w:rPr>
          <w:lang w:val="en-GB"/>
        </w:rPr>
        <w:t xml:space="preserve">using </w:t>
      </w:r>
      <w:r w:rsidR="0067484C" w:rsidRPr="000708D6">
        <w:rPr>
          <w:lang w:val="en-GB"/>
        </w:rPr>
        <w:t xml:space="preserve">direct implementation where relevant. </w:t>
      </w:r>
      <w:r w:rsidRPr="000708D6">
        <w:rPr>
          <w:lang w:val="en-GB"/>
        </w:rPr>
        <w:t>Results</w:t>
      </w:r>
      <w:r w:rsidR="005F1E1C">
        <w:rPr>
          <w:lang w:val="en-GB"/>
        </w:rPr>
        <w:t>-</w:t>
      </w:r>
      <w:r w:rsidRPr="000708D6">
        <w:rPr>
          <w:lang w:val="en-GB"/>
        </w:rPr>
        <w:t>based management techniques underpin</w:t>
      </w:r>
      <w:r w:rsidR="003F2058">
        <w:rPr>
          <w:lang w:val="en-GB"/>
        </w:rPr>
        <w:t>ning</w:t>
      </w:r>
      <w:r w:rsidRPr="000708D6">
        <w:rPr>
          <w:lang w:val="en-GB"/>
        </w:rPr>
        <w:t xml:space="preserve"> programme implementation will be utilized by proje</w:t>
      </w:r>
      <w:r w:rsidR="0093714F">
        <w:rPr>
          <w:lang w:val="en-GB"/>
        </w:rPr>
        <w:t>ct management boards</w:t>
      </w:r>
      <w:r w:rsidRPr="000708D6">
        <w:rPr>
          <w:lang w:val="en-GB"/>
        </w:rPr>
        <w:t xml:space="preserve"> established for each project.</w:t>
      </w:r>
    </w:p>
    <w:p w14:paraId="5BA026BF" w14:textId="0AFC62D9" w:rsidR="00F343C8" w:rsidRPr="000708D6" w:rsidRDefault="00F343C8" w:rsidP="00440828">
      <w:pPr>
        <w:pStyle w:val="ListParagraph"/>
        <w:numPr>
          <w:ilvl w:val="0"/>
          <w:numId w:val="31"/>
        </w:numPr>
        <w:tabs>
          <w:tab w:val="left" w:pos="1530"/>
        </w:tabs>
        <w:spacing w:after="120"/>
        <w:ind w:left="1170" w:right="1030" w:firstLine="0"/>
        <w:jc w:val="both"/>
        <w:rPr>
          <w:strike/>
          <w:lang w:val="en-GB"/>
        </w:rPr>
      </w:pPr>
      <w:r w:rsidRPr="000708D6">
        <w:rPr>
          <w:lang w:val="en-GB"/>
        </w:rPr>
        <w:t>An issues-based</w:t>
      </w:r>
      <w:r w:rsidR="005055C6" w:rsidRPr="000708D6">
        <w:rPr>
          <w:lang w:val="en-GB"/>
        </w:rPr>
        <w:t xml:space="preserve">, multidimensional </w:t>
      </w:r>
      <w:r w:rsidRPr="000708D6">
        <w:rPr>
          <w:lang w:val="en-GB"/>
        </w:rPr>
        <w:t xml:space="preserve">approach </w:t>
      </w:r>
      <w:r w:rsidR="005055C6" w:rsidRPr="000708D6">
        <w:rPr>
          <w:lang w:val="en-GB"/>
        </w:rPr>
        <w:t xml:space="preserve">guided the design of the </w:t>
      </w:r>
      <w:r w:rsidR="00CF1355" w:rsidRPr="000708D6">
        <w:rPr>
          <w:lang w:val="en-GB"/>
        </w:rPr>
        <w:t>country programme</w:t>
      </w:r>
      <w:r w:rsidR="005055C6" w:rsidRPr="000708D6">
        <w:rPr>
          <w:lang w:val="en-GB"/>
        </w:rPr>
        <w:t>. First, interventions</w:t>
      </w:r>
      <w:r w:rsidR="005F1E1C">
        <w:rPr>
          <w:lang w:val="en-GB"/>
        </w:rPr>
        <w:t xml:space="preserve"> and </w:t>
      </w:r>
      <w:r w:rsidR="005055C6" w:rsidRPr="000708D6">
        <w:rPr>
          <w:lang w:val="en-GB"/>
        </w:rPr>
        <w:t>outputs</w:t>
      </w:r>
      <w:r w:rsidR="007575CD" w:rsidRPr="000708D6">
        <w:rPr>
          <w:lang w:val="en-GB"/>
        </w:rPr>
        <w:t xml:space="preserve"> </w:t>
      </w:r>
      <w:r w:rsidR="005F1E1C" w:rsidRPr="00A56C57">
        <w:rPr>
          <w:lang w:val="en-GB"/>
        </w:rPr>
        <w:t xml:space="preserve">in </w:t>
      </w:r>
      <w:r w:rsidR="006E64AB">
        <w:rPr>
          <w:lang w:val="en-GB"/>
        </w:rPr>
        <w:t>one</w:t>
      </w:r>
      <w:r w:rsidR="005F1E1C" w:rsidRPr="00A56C57">
        <w:rPr>
          <w:lang w:val="en-GB"/>
        </w:rPr>
        <w:t xml:space="preserve"> work area </w:t>
      </w:r>
      <w:r w:rsidR="005F1E1C">
        <w:rPr>
          <w:lang w:val="en-GB"/>
        </w:rPr>
        <w:t xml:space="preserve">contribute </w:t>
      </w:r>
      <w:r w:rsidR="007575CD" w:rsidRPr="000708D6">
        <w:rPr>
          <w:lang w:val="en-GB"/>
        </w:rPr>
        <w:t>to another</w:t>
      </w:r>
      <w:r w:rsidR="002D372D" w:rsidRPr="000708D6">
        <w:rPr>
          <w:rStyle w:val="FootnoteReference"/>
          <w:lang w:val="en-GB"/>
        </w:rPr>
        <w:footnoteReference w:id="16"/>
      </w:r>
      <w:r w:rsidR="002D372D" w:rsidRPr="000708D6">
        <w:rPr>
          <w:lang w:val="en-GB"/>
        </w:rPr>
        <w:t>.</w:t>
      </w:r>
      <w:r w:rsidR="00FD0C41" w:rsidRPr="000708D6">
        <w:rPr>
          <w:lang w:val="en-GB"/>
        </w:rPr>
        <w:t xml:space="preserve"> </w:t>
      </w:r>
      <w:r w:rsidR="005F1E1C">
        <w:rPr>
          <w:lang w:val="en-GB"/>
        </w:rPr>
        <w:t>In area 2, f</w:t>
      </w:r>
      <w:r w:rsidR="00FD0C41" w:rsidRPr="000708D6">
        <w:rPr>
          <w:lang w:val="en-GB"/>
        </w:rPr>
        <w:t>or example,</w:t>
      </w:r>
      <w:r w:rsidR="007575CD" w:rsidRPr="000708D6">
        <w:rPr>
          <w:lang w:val="en-GB"/>
        </w:rPr>
        <w:t xml:space="preserve"> </w:t>
      </w:r>
      <w:r w:rsidR="00FD0C41" w:rsidRPr="000708D6">
        <w:rPr>
          <w:lang w:val="en-GB"/>
        </w:rPr>
        <w:t>promoting civic participation</w:t>
      </w:r>
      <w:r w:rsidR="005F1E1C">
        <w:rPr>
          <w:lang w:val="en-GB"/>
        </w:rPr>
        <w:t xml:space="preserve"> </w:t>
      </w:r>
      <w:r w:rsidR="00FD0C41" w:rsidRPr="000708D6">
        <w:rPr>
          <w:lang w:val="en-GB"/>
        </w:rPr>
        <w:t>w</w:t>
      </w:r>
      <w:r w:rsidR="007575CD" w:rsidRPr="000708D6">
        <w:rPr>
          <w:lang w:val="en-GB"/>
        </w:rPr>
        <w:t xml:space="preserve">ould help </w:t>
      </w:r>
      <w:r w:rsidR="00FD0C41" w:rsidRPr="000708D6">
        <w:rPr>
          <w:lang w:val="en-GB"/>
        </w:rPr>
        <w:t>strengthen</w:t>
      </w:r>
      <w:r w:rsidR="007575CD" w:rsidRPr="000708D6">
        <w:rPr>
          <w:lang w:val="en-GB"/>
        </w:rPr>
        <w:t xml:space="preserve"> citizen security policies (</w:t>
      </w:r>
      <w:r w:rsidR="00FD0C41" w:rsidRPr="000708D6">
        <w:rPr>
          <w:lang w:val="en-GB"/>
        </w:rPr>
        <w:t>area</w:t>
      </w:r>
      <w:r w:rsidR="005F1E1C">
        <w:rPr>
          <w:lang w:val="en-GB"/>
        </w:rPr>
        <w:t> </w:t>
      </w:r>
      <w:r w:rsidR="00FD0C41" w:rsidRPr="000708D6">
        <w:rPr>
          <w:lang w:val="en-GB"/>
        </w:rPr>
        <w:t>3), while improved transparency and</w:t>
      </w:r>
      <w:r w:rsidR="007575CD" w:rsidRPr="000708D6">
        <w:rPr>
          <w:lang w:val="en-GB"/>
        </w:rPr>
        <w:t xml:space="preserve"> accountability conditions are deemed necessary to achieve national </w:t>
      </w:r>
      <w:r w:rsidR="005F1E1C">
        <w:rPr>
          <w:lang w:val="en-GB"/>
        </w:rPr>
        <w:t>c</w:t>
      </w:r>
      <w:r w:rsidR="007575CD" w:rsidRPr="000708D6">
        <w:rPr>
          <w:lang w:val="en-GB"/>
        </w:rPr>
        <w:t xml:space="preserve">limate </w:t>
      </w:r>
      <w:r w:rsidR="005F1E1C">
        <w:rPr>
          <w:lang w:val="en-GB"/>
        </w:rPr>
        <w:t>c</w:t>
      </w:r>
      <w:r w:rsidR="007575CD" w:rsidRPr="000708D6">
        <w:rPr>
          <w:lang w:val="en-GB"/>
        </w:rPr>
        <w:t xml:space="preserve">hange targets (area 4). </w:t>
      </w:r>
      <w:r w:rsidR="002D372D" w:rsidRPr="000708D6">
        <w:rPr>
          <w:lang w:val="en-GB"/>
        </w:rPr>
        <w:t>S</w:t>
      </w:r>
      <w:r w:rsidR="005055C6" w:rsidRPr="000708D6">
        <w:rPr>
          <w:lang w:val="en-GB"/>
        </w:rPr>
        <w:t xml:space="preserve">econd, </w:t>
      </w:r>
      <w:r w:rsidR="005F1E1C">
        <w:rPr>
          <w:lang w:val="en-GB"/>
        </w:rPr>
        <w:t>certain</w:t>
      </w:r>
      <w:r w:rsidR="002D372D" w:rsidRPr="000708D6">
        <w:rPr>
          <w:lang w:val="en-GB"/>
        </w:rPr>
        <w:t xml:space="preserve"> </w:t>
      </w:r>
      <w:r w:rsidR="005055C6" w:rsidRPr="000708D6">
        <w:rPr>
          <w:lang w:val="en-GB"/>
        </w:rPr>
        <w:t xml:space="preserve">interventions </w:t>
      </w:r>
      <w:r w:rsidR="005F1E1C" w:rsidRPr="00A56C57">
        <w:rPr>
          <w:lang w:val="en-GB"/>
        </w:rPr>
        <w:t xml:space="preserve">(strengthening data capacities, </w:t>
      </w:r>
      <w:r w:rsidR="005F1E1C">
        <w:rPr>
          <w:lang w:val="en-GB"/>
        </w:rPr>
        <w:t xml:space="preserve">or </w:t>
      </w:r>
      <w:r w:rsidR="005F1E1C" w:rsidRPr="00A56C57">
        <w:rPr>
          <w:lang w:val="en-GB"/>
        </w:rPr>
        <w:t>enhancing public participation)</w:t>
      </w:r>
      <w:r w:rsidR="005F1E1C">
        <w:rPr>
          <w:lang w:val="en-GB"/>
        </w:rPr>
        <w:t xml:space="preserve"> </w:t>
      </w:r>
      <w:r w:rsidR="002D372D" w:rsidRPr="000708D6">
        <w:rPr>
          <w:lang w:val="en-GB"/>
        </w:rPr>
        <w:t>are relevant</w:t>
      </w:r>
      <w:r w:rsidR="005055C6" w:rsidRPr="000708D6">
        <w:rPr>
          <w:lang w:val="en-GB"/>
        </w:rPr>
        <w:t xml:space="preserve"> across </w:t>
      </w:r>
      <w:r w:rsidR="005F1E1C">
        <w:rPr>
          <w:lang w:val="en-GB"/>
        </w:rPr>
        <w:t>several</w:t>
      </w:r>
      <w:r w:rsidR="005F1E1C" w:rsidRPr="000708D6">
        <w:rPr>
          <w:lang w:val="en-GB"/>
        </w:rPr>
        <w:t xml:space="preserve"> </w:t>
      </w:r>
      <w:r w:rsidR="005055C6" w:rsidRPr="000708D6">
        <w:rPr>
          <w:lang w:val="en-GB"/>
        </w:rPr>
        <w:t xml:space="preserve">work areas. </w:t>
      </w:r>
      <w:r w:rsidR="002D372D" w:rsidRPr="000708D6">
        <w:rPr>
          <w:lang w:val="en-GB"/>
        </w:rPr>
        <w:t xml:space="preserve">Third, within a given work area the </w:t>
      </w:r>
      <w:r w:rsidR="00CF1355" w:rsidRPr="000708D6">
        <w:rPr>
          <w:lang w:val="en-GB"/>
        </w:rPr>
        <w:t>country programme</w:t>
      </w:r>
      <w:r w:rsidR="002D372D" w:rsidRPr="000708D6">
        <w:rPr>
          <w:lang w:val="en-GB"/>
        </w:rPr>
        <w:t xml:space="preserve"> </w:t>
      </w:r>
      <w:r w:rsidRPr="000708D6">
        <w:rPr>
          <w:lang w:val="en-GB"/>
        </w:rPr>
        <w:t>seek</w:t>
      </w:r>
      <w:r w:rsidR="002D372D" w:rsidRPr="000708D6">
        <w:rPr>
          <w:lang w:val="en-GB"/>
        </w:rPr>
        <w:t xml:space="preserve">s </w:t>
      </w:r>
      <w:r w:rsidRPr="000708D6">
        <w:rPr>
          <w:lang w:val="en-GB"/>
        </w:rPr>
        <w:t>complementarity a</w:t>
      </w:r>
      <w:r w:rsidR="0010329A" w:rsidRPr="000708D6">
        <w:rPr>
          <w:lang w:val="en-GB"/>
        </w:rPr>
        <w:t>mong programming mechanisms (</w:t>
      </w:r>
      <w:r w:rsidR="00596852">
        <w:rPr>
          <w:lang w:val="en-GB"/>
        </w:rPr>
        <w:t>combining</w:t>
      </w:r>
      <w:r w:rsidRPr="000708D6">
        <w:rPr>
          <w:lang w:val="en-GB"/>
        </w:rPr>
        <w:t xml:space="preserve"> research findings</w:t>
      </w:r>
      <w:r w:rsidR="00596852">
        <w:rPr>
          <w:lang w:val="en-GB"/>
        </w:rPr>
        <w:t xml:space="preserve"> with</w:t>
      </w:r>
      <w:r w:rsidR="002D372D" w:rsidRPr="000708D6">
        <w:rPr>
          <w:lang w:val="en-GB"/>
        </w:rPr>
        <w:t xml:space="preserve"> </w:t>
      </w:r>
      <w:r w:rsidRPr="000708D6">
        <w:rPr>
          <w:lang w:val="en-GB"/>
        </w:rPr>
        <w:t>technical support</w:t>
      </w:r>
      <w:r w:rsidR="00596852">
        <w:rPr>
          <w:lang w:val="en-GB"/>
        </w:rPr>
        <w:t>,</w:t>
      </w:r>
      <w:r w:rsidR="002D372D" w:rsidRPr="000708D6">
        <w:rPr>
          <w:lang w:val="en-GB"/>
        </w:rPr>
        <w:t xml:space="preserve"> </w:t>
      </w:r>
      <w:r w:rsidRPr="000708D6">
        <w:rPr>
          <w:lang w:val="en-GB"/>
        </w:rPr>
        <w:t>policy</w:t>
      </w:r>
      <w:r w:rsidR="006E64AB">
        <w:rPr>
          <w:lang w:val="en-GB"/>
        </w:rPr>
        <w:t>,</w:t>
      </w:r>
      <w:r w:rsidR="00596852">
        <w:rPr>
          <w:lang w:val="en-GB"/>
        </w:rPr>
        <w:t xml:space="preserve"> </w:t>
      </w:r>
      <w:r w:rsidRPr="000708D6">
        <w:rPr>
          <w:lang w:val="en-GB"/>
        </w:rPr>
        <w:t>advocacy</w:t>
      </w:r>
      <w:r w:rsidR="00596852">
        <w:rPr>
          <w:lang w:val="en-GB"/>
        </w:rPr>
        <w:t>,</w:t>
      </w:r>
      <w:r w:rsidR="002D372D" w:rsidRPr="000708D6">
        <w:rPr>
          <w:lang w:val="en-GB"/>
        </w:rPr>
        <w:t xml:space="preserve"> </w:t>
      </w:r>
      <w:r w:rsidR="00596852">
        <w:rPr>
          <w:lang w:val="en-GB"/>
        </w:rPr>
        <w:t>and</w:t>
      </w:r>
      <w:r w:rsidR="00596852" w:rsidRPr="000708D6">
        <w:rPr>
          <w:lang w:val="en-GB"/>
        </w:rPr>
        <w:t xml:space="preserve"> </w:t>
      </w:r>
      <w:r w:rsidRPr="000708D6">
        <w:rPr>
          <w:lang w:val="en-GB"/>
        </w:rPr>
        <w:t>community action</w:t>
      </w:r>
      <w:r w:rsidR="00596852">
        <w:rPr>
          <w:lang w:val="en-GB"/>
        </w:rPr>
        <w:t>, for example</w:t>
      </w:r>
      <w:r w:rsidRPr="000708D6">
        <w:rPr>
          <w:lang w:val="en-GB"/>
        </w:rPr>
        <w:t xml:space="preserve">). </w:t>
      </w:r>
      <w:r w:rsidR="002D372D" w:rsidRPr="000708D6">
        <w:rPr>
          <w:lang w:val="en-GB"/>
        </w:rPr>
        <w:t xml:space="preserve">In addition, </w:t>
      </w:r>
      <w:r w:rsidRPr="000708D6">
        <w:rPr>
          <w:lang w:val="en-GB"/>
        </w:rPr>
        <w:t xml:space="preserve">a networked implementation style </w:t>
      </w:r>
      <w:r w:rsidR="003F2058">
        <w:rPr>
          <w:lang w:val="en-GB"/>
        </w:rPr>
        <w:t>targeting</w:t>
      </w:r>
      <w:r w:rsidRPr="000708D6">
        <w:rPr>
          <w:lang w:val="en-GB"/>
        </w:rPr>
        <w:t xml:space="preserve"> greater coordination among UNDP projects</w:t>
      </w:r>
      <w:r w:rsidR="003F2058">
        <w:rPr>
          <w:lang w:val="en-GB"/>
        </w:rPr>
        <w:t>,</w:t>
      </w:r>
      <w:r w:rsidR="002D372D" w:rsidRPr="000708D6">
        <w:rPr>
          <w:lang w:val="en-GB"/>
        </w:rPr>
        <w:t xml:space="preserve"> </w:t>
      </w:r>
      <w:r w:rsidRPr="000708D6">
        <w:rPr>
          <w:lang w:val="en-GB"/>
        </w:rPr>
        <w:t xml:space="preserve">as well as increased collaboration with </w:t>
      </w:r>
      <w:r w:rsidR="006E64AB">
        <w:rPr>
          <w:lang w:val="en-GB"/>
        </w:rPr>
        <w:t xml:space="preserve">national </w:t>
      </w:r>
      <w:r w:rsidRPr="000708D6">
        <w:rPr>
          <w:lang w:val="en-GB"/>
        </w:rPr>
        <w:t>development actors</w:t>
      </w:r>
      <w:r w:rsidR="003F2058">
        <w:rPr>
          <w:lang w:val="en-GB"/>
        </w:rPr>
        <w:t>,</w:t>
      </w:r>
      <w:r w:rsidR="002D372D" w:rsidRPr="000708D6">
        <w:rPr>
          <w:lang w:val="en-GB"/>
        </w:rPr>
        <w:t xml:space="preserve"> </w:t>
      </w:r>
      <w:r w:rsidR="0022673A" w:rsidRPr="000708D6">
        <w:rPr>
          <w:lang w:val="en-GB"/>
        </w:rPr>
        <w:t xml:space="preserve">should </w:t>
      </w:r>
      <w:r w:rsidR="002D372D" w:rsidRPr="000708D6">
        <w:rPr>
          <w:lang w:val="en-GB"/>
        </w:rPr>
        <w:t xml:space="preserve">help </w:t>
      </w:r>
      <w:r w:rsidR="0010329A" w:rsidRPr="000708D6">
        <w:rPr>
          <w:lang w:val="en-GB"/>
        </w:rPr>
        <w:t>eliminate</w:t>
      </w:r>
      <w:r w:rsidR="002D372D" w:rsidRPr="000708D6">
        <w:rPr>
          <w:lang w:val="en-GB"/>
        </w:rPr>
        <w:t xml:space="preserve"> programming ‘silos’</w:t>
      </w:r>
      <w:r w:rsidR="0010329A" w:rsidRPr="000708D6">
        <w:rPr>
          <w:lang w:val="en-GB"/>
        </w:rPr>
        <w:t xml:space="preserve"> and strengthen vertical and horizontal policy coherence.</w:t>
      </w:r>
    </w:p>
    <w:p w14:paraId="29FB5550" w14:textId="4170A9E4" w:rsidR="00E06C95" w:rsidRPr="000708D6" w:rsidRDefault="003F2058" w:rsidP="00440828">
      <w:pPr>
        <w:pStyle w:val="ListParagraph"/>
        <w:numPr>
          <w:ilvl w:val="0"/>
          <w:numId w:val="31"/>
        </w:numPr>
        <w:tabs>
          <w:tab w:val="left" w:pos="1530"/>
        </w:tabs>
        <w:spacing w:after="120"/>
        <w:ind w:left="1170" w:right="1030" w:firstLine="0"/>
        <w:jc w:val="both"/>
        <w:rPr>
          <w:lang w:val="en-GB"/>
        </w:rPr>
      </w:pPr>
      <w:r>
        <w:rPr>
          <w:lang w:val="en-GB"/>
        </w:rPr>
        <w:t>F</w:t>
      </w:r>
      <w:r w:rsidRPr="00A56C57">
        <w:rPr>
          <w:lang w:val="en-GB"/>
        </w:rPr>
        <w:t>or the successful implementation of the programme</w:t>
      </w:r>
      <w:r>
        <w:rPr>
          <w:lang w:val="en-GB"/>
        </w:rPr>
        <w:t>,</w:t>
      </w:r>
      <w:r w:rsidRPr="00A56C57">
        <w:rPr>
          <w:lang w:val="en-GB"/>
        </w:rPr>
        <w:t xml:space="preserve"> </w:t>
      </w:r>
      <w:r>
        <w:rPr>
          <w:lang w:val="en-GB"/>
        </w:rPr>
        <w:t>d</w:t>
      </w:r>
      <w:r w:rsidR="002655BE" w:rsidRPr="000708D6">
        <w:rPr>
          <w:lang w:val="en-GB"/>
        </w:rPr>
        <w:t>ifferent types of risks</w:t>
      </w:r>
      <w:r w:rsidR="004E057D" w:rsidRPr="000708D6">
        <w:rPr>
          <w:lang w:val="en-GB"/>
        </w:rPr>
        <w:t xml:space="preserve"> </w:t>
      </w:r>
      <w:r>
        <w:rPr>
          <w:lang w:val="en-GB"/>
        </w:rPr>
        <w:t xml:space="preserve">– </w:t>
      </w:r>
      <w:r w:rsidR="004E057D" w:rsidRPr="000708D6">
        <w:rPr>
          <w:lang w:val="en-GB"/>
        </w:rPr>
        <w:t xml:space="preserve">programming, </w:t>
      </w:r>
      <w:r w:rsidR="00D968CC" w:rsidRPr="000708D6">
        <w:rPr>
          <w:lang w:val="en-GB"/>
        </w:rPr>
        <w:t xml:space="preserve">social and environmental safeguards, </w:t>
      </w:r>
      <w:r w:rsidR="004E057D" w:rsidRPr="000708D6">
        <w:rPr>
          <w:lang w:val="en-GB"/>
        </w:rPr>
        <w:t>physical,</w:t>
      </w:r>
      <w:r>
        <w:rPr>
          <w:lang w:val="en-GB"/>
        </w:rPr>
        <w:t xml:space="preserve"> and</w:t>
      </w:r>
      <w:r w:rsidR="004E057D" w:rsidRPr="000708D6">
        <w:rPr>
          <w:lang w:val="en-GB"/>
        </w:rPr>
        <w:t xml:space="preserve"> operational</w:t>
      </w:r>
      <w:r>
        <w:rPr>
          <w:lang w:val="en-GB"/>
        </w:rPr>
        <w:t xml:space="preserve"> –</w:t>
      </w:r>
      <w:r w:rsidR="002655BE" w:rsidRPr="000708D6">
        <w:rPr>
          <w:lang w:val="en-GB"/>
        </w:rPr>
        <w:t xml:space="preserve"> need to be considered. </w:t>
      </w:r>
    </w:p>
    <w:p w14:paraId="2A04B56E" w14:textId="6E30B857" w:rsidR="00802A82" w:rsidRPr="000708D6" w:rsidRDefault="007207B3" w:rsidP="00440828">
      <w:pPr>
        <w:pStyle w:val="ListParagraph"/>
        <w:numPr>
          <w:ilvl w:val="0"/>
          <w:numId w:val="31"/>
        </w:numPr>
        <w:tabs>
          <w:tab w:val="left" w:pos="1530"/>
        </w:tabs>
        <w:spacing w:after="120"/>
        <w:ind w:left="1170" w:right="1030" w:firstLine="0"/>
        <w:jc w:val="both"/>
        <w:rPr>
          <w:lang w:val="en-GB"/>
        </w:rPr>
      </w:pPr>
      <w:r w:rsidRPr="000708D6">
        <w:rPr>
          <w:lang w:val="en-GB"/>
        </w:rPr>
        <w:t>A</w:t>
      </w:r>
      <w:r w:rsidR="002655BE" w:rsidRPr="000708D6">
        <w:rPr>
          <w:lang w:val="en-GB"/>
        </w:rPr>
        <w:t xml:space="preserve"> significant </w:t>
      </w:r>
      <w:r w:rsidR="002655BE" w:rsidRPr="000708D6">
        <w:rPr>
          <w:i/>
          <w:lang w:val="en-GB"/>
        </w:rPr>
        <w:t>programming risk</w:t>
      </w:r>
      <w:r w:rsidR="002655BE" w:rsidRPr="000708D6">
        <w:rPr>
          <w:lang w:val="en-GB"/>
        </w:rPr>
        <w:t xml:space="preserve"> derives from the difficulty </w:t>
      </w:r>
      <w:r w:rsidR="003F2058">
        <w:rPr>
          <w:lang w:val="en-GB"/>
        </w:rPr>
        <w:t>of</w:t>
      </w:r>
      <w:r w:rsidR="003F2058" w:rsidRPr="000708D6">
        <w:rPr>
          <w:lang w:val="en-GB"/>
        </w:rPr>
        <w:t xml:space="preserve"> </w:t>
      </w:r>
      <w:r w:rsidR="002655BE" w:rsidRPr="000708D6">
        <w:rPr>
          <w:lang w:val="en-GB"/>
        </w:rPr>
        <w:t xml:space="preserve">mobilizing resources in a </w:t>
      </w:r>
      <w:r w:rsidR="00CF1355" w:rsidRPr="000708D6">
        <w:rPr>
          <w:lang w:val="en-GB"/>
        </w:rPr>
        <w:t>net contributor country</w:t>
      </w:r>
      <w:r w:rsidR="002655BE" w:rsidRPr="000708D6">
        <w:rPr>
          <w:lang w:val="en-GB"/>
        </w:rPr>
        <w:t xml:space="preserve"> context </w:t>
      </w:r>
      <w:r w:rsidR="001D50AD" w:rsidRPr="000708D6">
        <w:rPr>
          <w:lang w:val="en-GB"/>
        </w:rPr>
        <w:t>(w</w:t>
      </w:r>
      <w:r w:rsidR="003F2058">
        <w:rPr>
          <w:lang w:val="en-GB"/>
        </w:rPr>
        <w:t>here</w:t>
      </w:r>
      <w:r w:rsidR="001D50AD" w:rsidRPr="000708D6">
        <w:rPr>
          <w:lang w:val="en-GB"/>
        </w:rPr>
        <w:t xml:space="preserve"> g</w:t>
      </w:r>
      <w:r w:rsidR="00D10B8A" w:rsidRPr="000708D6">
        <w:rPr>
          <w:lang w:val="en-GB"/>
        </w:rPr>
        <w:t>overnment already contribut</w:t>
      </w:r>
      <w:r w:rsidR="003F2058">
        <w:rPr>
          <w:lang w:val="en-GB"/>
        </w:rPr>
        <w:t>es</w:t>
      </w:r>
      <w:r w:rsidR="00D10B8A" w:rsidRPr="000708D6">
        <w:rPr>
          <w:lang w:val="en-GB"/>
        </w:rPr>
        <w:t xml:space="preserve"> to the </w:t>
      </w:r>
      <w:r w:rsidR="00CF1355" w:rsidRPr="000708D6">
        <w:rPr>
          <w:lang w:val="en-GB"/>
        </w:rPr>
        <w:t xml:space="preserve">country office </w:t>
      </w:r>
      <w:r w:rsidR="00D10B8A" w:rsidRPr="000708D6">
        <w:rPr>
          <w:lang w:val="en-GB"/>
        </w:rPr>
        <w:t>presence)</w:t>
      </w:r>
      <w:r w:rsidR="003F2058">
        <w:rPr>
          <w:lang w:val="en-GB"/>
        </w:rPr>
        <w:t>,</w:t>
      </w:r>
      <w:r w:rsidR="00D10B8A" w:rsidRPr="000708D6">
        <w:rPr>
          <w:lang w:val="en-GB"/>
        </w:rPr>
        <w:t xml:space="preserve"> compounded by </w:t>
      </w:r>
      <w:r w:rsidR="002655BE" w:rsidRPr="000708D6">
        <w:rPr>
          <w:lang w:val="en-GB"/>
        </w:rPr>
        <w:t>an economic downturn</w:t>
      </w:r>
      <w:r w:rsidR="00000A00" w:rsidRPr="000708D6">
        <w:rPr>
          <w:lang w:val="en-GB"/>
        </w:rPr>
        <w:t xml:space="preserve"> </w:t>
      </w:r>
      <w:r w:rsidR="003F2058">
        <w:rPr>
          <w:lang w:val="en-GB"/>
        </w:rPr>
        <w:t xml:space="preserve">leading to </w:t>
      </w:r>
      <w:r w:rsidR="00000A00" w:rsidRPr="000708D6">
        <w:rPr>
          <w:lang w:val="en-GB"/>
        </w:rPr>
        <w:t>reduced fiscal space</w:t>
      </w:r>
      <w:r w:rsidR="003F2058">
        <w:rPr>
          <w:lang w:val="en-GB"/>
        </w:rPr>
        <w:t xml:space="preserve"> and</w:t>
      </w:r>
      <w:r w:rsidR="00000A00" w:rsidRPr="000708D6">
        <w:rPr>
          <w:lang w:val="en-GB"/>
        </w:rPr>
        <w:t xml:space="preserve"> risk of lower development investments </w:t>
      </w:r>
      <w:r w:rsidR="003F2058">
        <w:rPr>
          <w:lang w:val="en-GB"/>
        </w:rPr>
        <w:t>such as</w:t>
      </w:r>
      <w:r w:rsidR="003F2058" w:rsidRPr="000708D6">
        <w:rPr>
          <w:lang w:val="en-GB"/>
        </w:rPr>
        <w:t xml:space="preserve"> </w:t>
      </w:r>
      <w:r w:rsidR="00000A00" w:rsidRPr="000708D6">
        <w:rPr>
          <w:lang w:val="en-GB"/>
        </w:rPr>
        <w:t>renewable energy)</w:t>
      </w:r>
      <w:r w:rsidR="00221433" w:rsidRPr="000708D6">
        <w:rPr>
          <w:lang w:val="en-GB"/>
        </w:rPr>
        <w:t xml:space="preserve">. </w:t>
      </w:r>
      <w:r w:rsidR="00DA497D">
        <w:rPr>
          <w:lang w:val="en-GB"/>
        </w:rPr>
        <w:t xml:space="preserve">The </w:t>
      </w:r>
      <w:r w:rsidR="00A21CB2" w:rsidRPr="000708D6">
        <w:rPr>
          <w:lang w:val="en-GB"/>
        </w:rPr>
        <w:t>UNDP strategy will include</w:t>
      </w:r>
      <w:r w:rsidR="00953118" w:rsidRPr="000708D6">
        <w:rPr>
          <w:lang w:val="en-GB"/>
        </w:rPr>
        <w:t xml:space="preserve"> working towards national ownership</w:t>
      </w:r>
      <w:r w:rsidR="00030B44" w:rsidRPr="000708D6">
        <w:rPr>
          <w:lang w:val="en-GB"/>
        </w:rPr>
        <w:t>;</w:t>
      </w:r>
      <w:r w:rsidR="00953118" w:rsidRPr="000708D6">
        <w:rPr>
          <w:lang w:val="en-GB"/>
        </w:rPr>
        <w:t xml:space="preserve"> the</w:t>
      </w:r>
      <w:r w:rsidR="00A21CB2" w:rsidRPr="000708D6">
        <w:rPr>
          <w:lang w:val="en-GB"/>
        </w:rPr>
        <w:t xml:space="preserve"> implementation of govern</w:t>
      </w:r>
      <w:r w:rsidR="00F737A4" w:rsidRPr="000708D6">
        <w:rPr>
          <w:lang w:val="en-GB"/>
        </w:rPr>
        <w:t>ment cost-</w:t>
      </w:r>
      <w:r w:rsidR="00A21CB2" w:rsidRPr="000708D6">
        <w:rPr>
          <w:lang w:val="en-GB"/>
        </w:rPr>
        <w:t>shar</w:t>
      </w:r>
      <w:r w:rsidR="00DA497D">
        <w:rPr>
          <w:lang w:val="en-GB"/>
        </w:rPr>
        <w:t>ing</w:t>
      </w:r>
      <w:r w:rsidR="00030B44" w:rsidRPr="000708D6">
        <w:rPr>
          <w:lang w:val="en-GB"/>
        </w:rPr>
        <w:t>;</w:t>
      </w:r>
      <w:r w:rsidR="00A21CB2" w:rsidRPr="000708D6">
        <w:rPr>
          <w:lang w:val="en-GB"/>
        </w:rPr>
        <w:t xml:space="preserve"> </w:t>
      </w:r>
      <w:r w:rsidR="002655BE" w:rsidRPr="000708D6">
        <w:rPr>
          <w:lang w:val="en-GB"/>
        </w:rPr>
        <w:t xml:space="preserve">resource mobilization </w:t>
      </w:r>
      <w:r w:rsidR="00A21CB2" w:rsidRPr="000708D6">
        <w:rPr>
          <w:lang w:val="en-GB"/>
        </w:rPr>
        <w:t>with</w:t>
      </w:r>
      <w:r w:rsidRPr="000708D6">
        <w:rPr>
          <w:lang w:val="en-GB"/>
        </w:rPr>
        <w:t xml:space="preserve"> private sector and international donors</w:t>
      </w:r>
      <w:r w:rsidR="00BB68D5" w:rsidRPr="000708D6">
        <w:rPr>
          <w:lang w:val="en-GB"/>
        </w:rPr>
        <w:t>; increasing</w:t>
      </w:r>
      <w:r w:rsidR="002655BE" w:rsidRPr="000708D6">
        <w:rPr>
          <w:lang w:val="en-GB"/>
        </w:rPr>
        <w:t xml:space="preserve"> triangular cooperation</w:t>
      </w:r>
      <w:r w:rsidR="00030B44" w:rsidRPr="000708D6">
        <w:rPr>
          <w:lang w:val="en-GB"/>
        </w:rPr>
        <w:t xml:space="preserve">; </w:t>
      </w:r>
      <w:r w:rsidR="000A2935" w:rsidRPr="000708D6">
        <w:rPr>
          <w:lang w:val="en-GB"/>
        </w:rPr>
        <w:t>and participation</w:t>
      </w:r>
      <w:r w:rsidR="00EE1618" w:rsidRPr="000708D6">
        <w:rPr>
          <w:lang w:val="en-GB"/>
        </w:rPr>
        <w:t xml:space="preserve"> in regional projects</w:t>
      </w:r>
      <w:r w:rsidR="002655BE" w:rsidRPr="000708D6">
        <w:rPr>
          <w:rStyle w:val="FootnoteReference"/>
          <w:sz w:val="16"/>
          <w:szCs w:val="16"/>
          <w:lang w:val="en-GB"/>
        </w:rPr>
        <w:footnoteReference w:id="17"/>
      </w:r>
      <w:r w:rsidR="00DA497D" w:rsidRPr="00A56C57">
        <w:rPr>
          <w:lang w:val="en-GB"/>
        </w:rPr>
        <w:t>.</w:t>
      </w:r>
    </w:p>
    <w:p w14:paraId="11B10EDC" w14:textId="235CD9E0" w:rsidR="00F737A4" w:rsidRPr="000708D6" w:rsidRDefault="00303B4A" w:rsidP="00440828">
      <w:pPr>
        <w:pStyle w:val="ListParagraph"/>
        <w:numPr>
          <w:ilvl w:val="0"/>
          <w:numId w:val="31"/>
        </w:numPr>
        <w:tabs>
          <w:tab w:val="left" w:pos="1530"/>
        </w:tabs>
        <w:spacing w:after="120"/>
        <w:ind w:left="1170" w:right="1030" w:firstLine="0"/>
        <w:jc w:val="both"/>
        <w:rPr>
          <w:lang w:val="en-GB"/>
        </w:rPr>
      </w:pPr>
      <w:r w:rsidRPr="000708D6">
        <w:rPr>
          <w:lang w:val="en-GB"/>
        </w:rPr>
        <w:t xml:space="preserve">Hydro-meteorological and seismic events </w:t>
      </w:r>
      <w:r w:rsidR="00BB68D5" w:rsidRPr="000708D6">
        <w:rPr>
          <w:lang w:val="en-GB"/>
        </w:rPr>
        <w:t xml:space="preserve">pose </w:t>
      </w:r>
      <w:r w:rsidR="00DA497D">
        <w:rPr>
          <w:lang w:val="en-GB"/>
        </w:rPr>
        <w:t xml:space="preserve">a </w:t>
      </w:r>
      <w:r w:rsidR="00BB68D5" w:rsidRPr="000708D6">
        <w:rPr>
          <w:lang w:val="en-GB"/>
        </w:rPr>
        <w:t>physical</w:t>
      </w:r>
      <w:r w:rsidR="002655BE" w:rsidRPr="000708D6">
        <w:rPr>
          <w:lang w:val="en-GB"/>
        </w:rPr>
        <w:t xml:space="preserve"> </w:t>
      </w:r>
      <w:r w:rsidR="00BB68D5" w:rsidRPr="000708D6">
        <w:rPr>
          <w:lang w:val="en-GB"/>
        </w:rPr>
        <w:t>risk in</w:t>
      </w:r>
      <w:r w:rsidR="00C53D6A" w:rsidRPr="000708D6">
        <w:rPr>
          <w:lang w:val="en-GB"/>
        </w:rPr>
        <w:t xml:space="preserve"> </w:t>
      </w:r>
      <w:r w:rsidR="00221433" w:rsidRPr="000708D6">
        <w:rPr>
          <w:lang w:val="en-GB"/>
        </w:rPr>
        <w:t>Trinidad and Tobago</w:t>
      </w:r>
      <w:r w:rsidR="00C53D6A" w:rsidRPr="000708D6">
        <w:rPr>
          <w:lang w:val="en-GB"/>
        </w:rPr>
        <w:t xml:space="preserve">. </w:t>
      </w:r>
      <w:r w:rsidR="0067484C" w:rsidRPr="000708D6">
        <w:rPr>
          <w:lang w:val="en-GB"/>
        </w:rPr>
        <w:t xml:space="preserve">UNDP implements </w:t>
      </w:r>
      <w:r w:rsidR="000708D6">
        <w:rPr>
          <w:lang w:val="en-GB"/>
        </w:rPr>
        <w:t xml:space="preserve">business continuity </w:t>
      </w:r>
      <w:r w:rsidR="0067484C" w:rsidRPr="000708D6">
        <w:rPr>
          <w:lang w:val="en-GB"/>
        </w:rPr>
        <w:t>testing to strengthen risk resilience, both internally</w:t>
      </w:r>
      <w:r w:rsidR="00DA497D">
        <w:rPr>
          <w:lang w:val="en-GB"/>
        </w:rPr>
        <w:t>,</w:t>
      </w:r>
      <w:r w:rsidR="0067484C" w:rsidRPr="000708D6">
        <w:rPr>
          <w:lang w:val="en-GB"/>
        </w:rPr>
        <w:t xml:space="preserve"> for its operations</w:t>
      </w:r>
      <w:r w:rsidR="00DA497D">
        <w:rPr>
          <w:lang w:val="en-GB"/>
        </w:rPr>
        <w:t>,</w:t>
      </w:r>
      <w:r w:rsidR="0067484C" w:rsidRPr="000708D6">
        <w:rPr>
          <w:lang w:val="en-GB"/>
        </w:rPr>
        <w:t xml:space="preserve"> and externally, for programme execution (</w:t>
      </w:r>
      <w:r w:rsidRPr="000708D6">
        <w:rPr>
          <w:lang w:val="en-GB"/>
        </w:rPr>
        <w:t xml:space="preserve">response </w:t>
      </w:r>
      <w:r w:rsidR="00732EE0" w:rsidRPr="000708D6">
        <w:rPr>
          <w:lang w:val="en-GB"/>
        </w:rPr>
        <w:t xml:space="preserve">capacity </w:t>
      </w:r>
      <w:r w:rsidRPr="000708D6">
        <w:rPr>
          <w:lang w:val="en-GB"/>
        </w:rPr>
        <w:t xml:space="preserve">from </w:t>
      </w:r>
      <w:r w:rsidR="0067484C" w:rsidRPr="000708D6">
        <w:rPr>
          <w:lang w:val="en-GB"/>
        </w:rPr>
        <w:t xml:space="preserve">UNV </w:t>
      </w:r>
      <w:r w:rsidR="00BB68D5" w:rsidRPr="000708D6">
        <w:rPr>
          <w:lang w:val="en-GB"/>
        </w:rPr>
        <w:t>doctors in</w:t>
      </w:r>
      <w:r w:rsidR="00732EE0" w:rsidRPr="000708D6">
        <w:rPr>
          <w:lang w:val="en-GB"/>
        </w:rPr>
        <w:t xml:space="preserve"> health centres </w:t>
      </w:r>
      <w:r w:rsidR="00305189" w:rsidRPr="000708D6">
        <w:rPr>
          <w:lang w:val="en-GB"/>
        </w:rPr>
        <w:t xml:space="preserve">across </w:t>
      </w:r>
      <w:r w:rsidR="00221433" w:rsidRPr="000708D6">
        <w:rPr>
          <w:lang w:val="en-GB"/>
        </w:rPr>
        <w:t>Trinidad and Tobago</w:t>
      </w:r>
      <w:r w:rsidR="00DA497D">
        <w:rPr>
          <w:lang w:val="en-GB"/>
        </w:rPr>
        <w:t>, for example</w:t>
      </w:r>
      <w:r w:rsidR="0067484C" w:rsidRPr="000708D6">
        <w:rPr>
          <w:lang w:val="en-GB"/>
        </w:rPr>
        <w:t xml:space="preserve">). </w:t>
      </w:r>
      <w:r w:rsidR="002655BE" w:rsidRPr="000708D6">
        <w:rPr>
          <w:lang w:val="en-GB"/>
        </w:rPr>
        <w:t xml:space="preserve">UNDP chairs the </w:t>
      </w:r>
      <w:r w:rsidR="00732EE0" w:rsidRPr="000708D6">
        <w:rPr>
          <w:lang w:val="en-GB"/>
        </w:rPr>
        <w:t>United Nations Emergency Technical Team</w:t>
      </w:r>
      <w:r w:rsidR="00812EB1" w:rsidRPr="000708D6">
        <w:rPr>
          <w:lang w:val="en-GB"/>
        </w:rPr>
        <w:t>,</w:t>
      </w:r>
      <w:r w:rsidR="00732EE0" w:rsidRPr="000708D6">
        <w:rPr>
          <w:lang w:val="en-GB"/>
        </w:rPr>
        <w:t xml:space="preserve"> </w:t>
      </w:r>
      <w:r w:rsidR="002655BE" w:rsidRPr="000708D6">
        <w:rPr>
          <w:lang w:val="en-GB"/>
        </w:rPr>
        <w:t xml:space="preserve">which works with the </w:t>
      </w:r>
      <w:r w:rsidR="00EA0615" w:rsidRPr="00A56C57">
        <w:rPr>
          <w:lang w:val="en-GB"/>
        </w:rPr>
        <w:t>Office of Disaster Preparedness Management</w:t>
      </w:r>
      <w:r w:rsidR="006E64AB">
        <w:rPr>
          <w:lang w:val="en-GB"/>
        </w:rPr>
        <w:t>,</w:t>
      </w:r>
      <w:r w:rsidR="002655BE" w:rsidRPr="000708D6">
        <w:rPr>
          <w:lang w:val="en-GB"/>
        </w:rPr>
        <w:t xml:space="preserve"> monitor</w:t>
      </w:r>
      <w:r w:rsidR="006E64AB">
        <w:rPr>
          <w:lang w:val="en-GB"/>
        </w:rPr>
        <w:t>ing</w:t>
      </w:r>
      <w:r w:rsidR="002655BE" w:rsidRPr="000708D6">
        <w:rPr>
          <w:lang w:val="en-GB"/>
        </w:rPr>
        <w:t xml:space="preserve"> responses to early warning mechanisms and stand</w:t>
      </w:r>
      <w:r w:rsidR="006E64AB">
        <w:rPr>
          <w:lang w:val="en-GB"/>
        </w:rPr>
        <w:t>ing</w:t>
      </w:r>
      <w:r w:rsidR="002655BE" w:rsidRPr="000708D6">
        <w:rPr>
          <w:lang w:val="en-GB"/>
        </w:rPr>
        <w:t xml:space="preserve"> ready to mobilize </w:t>
      </w:r>
      <w:r w:rsidR="002655BE" w:rsidRPr="000708D6">
        <w:rPr>
          <w:lang w:val="en-GB"/>
        </w:rPr>
        <w:lastRenderedPageBreak/>
        <w:t>technical assistance and resources in the event of a national emergency</w:t>
      </w:r>
      <w:r w:rsidR="00F737A4" w:rsidRPr="000708D6">
        <w:rPr>
          <w:lang w:val="en-GB"/>
        </w:rPr>
        <w:t xml:space="preserve"> (including as part of programmatic </w:t>
      </w:r>
      <w:r w:rsidR="00812EB1" w:rsidRPr="000708D6">
        <w:rPr>
          <w:lang w:val="en-GB"/>
        </w:rPr>
        <w:t>disaster risk reduction</w:t>
      </w:r>
      <w:r w:rsidR="00F737A4" w:rsidRPr="000708D6">
        <w:rPr>
          <w:lang w:val="en-GB"/>
        </w:rPr>
        <w:t xml:space="preserve"> interventions</w:t>
      </w:r>
      <w:r w:rsidR="00802A82" w:rsidRPr="000708D6">
        <w:rPr>
          <w:lang w:val="en-GB"/>
        </w:rPr>
        <w:t xml:space="preserve">). </w:t>
      </w:r>
    </w:p>
    <w:p w14:paraId="5093D5DA" w14:textId="1073AF4E" w:rsidR="002655BE" w:rsidRPr="000708D6" w:rsidRDefault="002655BE" w:rsidP="00440828">
      <w:pPr>
        <w:numPr>
          <w:ilvl w:val="0"/>
          <w:numId w:val="31"/>
        </w:numPr>
        <w:tabs>
          <w:tab w:val="left" w:pos="1530"/>
        </w:tabs>
        <w:spacing w:after="120"/>
        <w:ind w:left="1170" w:right="1030" w:firstLine="0"/>
        <w:jc w:val="both"/>
        <w:rPr>
          <w:lang w:val="en-GB"/>
        </w:rPr>
      </w:pPr>
      <w:r w:rsidRPr="000708D6">
        <w:rPr>
          <w:lang w:val="en-GB"/>
        </w:rPr>
        <w:t xml:space="preserve">With regard to </w:t>
      </w:r>
      <w:r w:rsidRPr="000708D6">
        <w:rPr>
          <w:i/>
          <w:lang w:val="en-GB"/>
        </w:rPr>
        <w:t>operational risks</w:t>
      </w:r>
      <w:r w:rsidRPr="000708D6">
        <w:rPr>
          <w:lang w:val="en-GB"/>
        </w:rPr>
        <w:t xml:space="preserve">, UNDP draws </w:t>
      </w:r>
      <w:r w:rsidR="00DA497D">
        <w:rPr>
          <w:lang w:val="en-GB"/>
        </w:rPr>
        <w:t>on</w:t>
      </w:r>
      <w:r w:rsidR="00DA497D" w:rsidRPr="000708D6">
        <w:rPr>
          <w:lang w:val="en-GB"/>
        </w:rPr>
        <w:t xml:space="preserve"> </w:t>
      </w:r>
      <w:r w:rsidRPr="000708D6">
        <w:rPr>
          <w:lang w:val="en-GB"/>
        </w:rPr>
        <w:t>lessons learn</w:t>
      </w:r>
      <w:r w:rsidR="005448A1" w:rsidRPr="000708D6">
        <w:rPr>
          <w:lang w:val="en-GB"/>
        </w:rPr>
        <w:t>ed</w:t>
      </w:r>
      <w:r w:rsidRPr="000708D6">
        <w:rPr>
          <w:lang w:val="en-GB"/>
        </w:rPr>
        <w:t xml:space="preserve"> in the previous cycle</w:t>
      </w:r>
      <w:r w:rsidR="00E54A54" w:rsidRPr="000708D6">
        <w:rPr>
          <w:lang w:val="en-GB"/>
        </w:rPr>
        <w:t>. It will: (</w:t>
      </w:r>
      <w:r w:rsidR="00DA497D">
        <w:rPr>
          <w:lang w:val="en-GB"/>
        </w:rPr>
        <w:t>a</w:t>
      </w:r>
      <w:r w:rsidR="00E54A54" w:rsidRPr="000708D6">
        <w:rPr>
          <w:lang w:val="en-GB"/>
        </w:rPr>
        <w:t xml:space="preserve">) </w:t>
      </w:r>
      <w:r w:rsidR="006E64AB">
        <w:rPr>
          <w:lang w:val="en-GB"/>
        </w:rPr>
        <w:t xml:space="preserve">appropriately </w:t>
      </w:r>
      <w:r w:rsidRPr="000708D6">
        <w:rPr>
          <w:lang w:val="en-GB"/>
        </w:rPr>
        <w:t>streamline its programmatic focus (</w:t>
      </w:r>
      <w:r w:rsidR="006E64AB">
        <w:rPr>
          <w:lang w:val="en-GB"/>
        </w:rPr>
        <w:t xml:space="preserve">such as </w:t>
      </w:r>
      <w:r w:rsidRPr="000708D6">
        <w:rPr>
          <w:lang w:val="en-GB"/>
        </w:rPr>
        <w:t xml:space="preserve">working </w:t>
      </w:r>
      <w:r w:rsidR="00E54A54" w:rsidRPr="000708D6">
        <w:rPr>
          <w:lang w:val="en-GB"/>
        </w:rPr>
        <w:t xml:space="preserve">only </w:t>
      </w:r>
      <w:r w:rsidRPr="000708D6">
        <w:rPr>
          <w:lang w:val="en-GB"/>
        </w:rPr>
        <w:t xml:space="preserve">on </w:t>
      </w:r>
      <w:r w:rsidR="006E64AB">
        <w:rPr>
          <w:lang w:val="en-GB"/>
        </w:rPr>
        <w:t>selected</w:t>
      </w:r>
      <w:r w:rsidR="006E64AB" w:rsidRPr="000708D6">
        <w:rPr>
          <w:lang w:val="en-GB"/>
        </w:rPr>
        <w:t xml:space="preserve"> </w:t>
      </w:r>
      <w:r w:rsidRPr="000708D6">
        <w:rPr>
          <w:lang w:val="en-GB"/>
        </w:rPr>
        <w:t xml:space="preserve">areas of </w:t>
      </w:r>
      <w:r w:rsidR="00363917" w:rsidRPr="000708D6">
        <w:rPr>
          <w:lang w:val="en-GB"/>
        </w:rPr>
        <w:t>e</w:t>
      </w:r>
      <w:r w:rsidRPr="000708D6">
        <w:rPr>
          <w:lang w:val="en-GB"/>
        </w:rPr>
        <w:t xml:space="preserve">nvironment) </w:t>
      </w:r>
      <w:r w:rsidR="00DA497D">
        <w:rPr>
          <w:lang w:val="en-GB"/>
        </w:rPr>
        <w:t>to</w:t>
      </w:r>
      <w:r w:rsidRPr="000708D6">
        <w:rPr>
          <w:lang w:val="en-GB"/>
        </w:rPr>
        <w:t xml:space="preserve"> its financial</w:t>
      </w:r>
      <w:r w:rsidR="00DA497D">
        <w:rPr>
          <w:lang w:val="en-GB"/>
        </w:rPr>
        <w:t xml:space="preserve"> and </w:t>
      </w:r>
      <w:r w:rsidRPr="000708D6">
        <w:rPr>
          <w:lang w:val="en-GB"/>
        </w:rPr>
        <w:t>human resource capacit</w:t>
      </w:r>
      <w:r w:rsidR="00303B4A" w:rsidRPr="000708D6">
        <w:rPr>
          <w:lang w:val="en-GB"/>
        </w:rPr>
        <w:t>ies</w:t>
      </w:r>
      <w:r w:rsidR="00E54A54" w:rsidRPr="000708D6">
        <w:rPr>
          <w:lang w:val="en-GB"/>
        </w:rPr>
        <w:t>; (</w:t>
      </w:r>
      <w:r w:rsidR="00DA497D">
        <w:rPr>
          <w:lang w:val="en-GB"/>
        </w:rPr>
        <w:t>b</w:t>
      </w:r>
      <w:r w:rsidR="00E54A54" w:rsidRPr="000708D6">
        <w:rPr>
          <w:lang w:val="en-GB"/>
        </w:rPr>
        <w:t xml:space="preserve">) </w:t>
      </w:r>
      <w:r w:rsidR="00455306" w:rsidRPr="000708D6">
        <w:rPr>
          <w:lang w:val="en-GB"/>
        </w:rPr>
        <w:t xml:space="preserve">strengthen </w:t>
      </w:r>
      <w:r w:rsidRPr="000708D6">
        <w:rPr>
          <w:lang w:val="en-GB"/>
        </w:rPr>
        <w:t xml:space="preserve">its </w:t>
      </w:r>
      <w:r w:rsidR="007F7111" w:rsidRPr="000708D6">
        <w:rPr>
          <w:lang w:val="en-GB"/>
        </w:rPr>
        <w:t>implementation</w:t>
      </w:r>
      <w:r w:rsidR="00455306" w:rsidRPr="000708D6">
        <w:rPr>
          <w:lang w:val="en-GB"/>
        </w:rPr>
        <w:t xml:space="preserve"> </w:t>
      </w:r>
      <w:r w:rsidRPr="000708D6">
        <w:rPr>
          <w:lang w:val="en-GB"/>
        </w:rPr>
        <w:t xml:space="preserve">capacity </w:t>
      </w:r>
      <w:r w:rsidR="00455306" w:rsidRPr="000708D6">
        <w:rPr>
          <w:lang w:val="en-GB"/>
        </w:rPr>
        <w:t xml:space="preserve">in Tobago </w:t>
      </w:r>
      <w:r w:rsidR="00303B4A" w:rsidRPr="000708D6">
        <w:rPr>
          <w:lang w:val="en-GB"/>
        </w:rPr>
        <w:t xml:space="preserve">through </w:t>
      </w:r>
      <w:r w:rsidRPr="000708D6">
        <w:rPr>
          <w:lang w:val="en-GB"/>
        </w:rPr>
        <w:t xml:space="preserve">a dedicated UNDP liaison officer in the </w:t>
      </w:r>
      <w:r w:rsidR="009C46EF" w:rsidRPr="000708D6">
        <w:rPr>
          <w:lang w:val="en-GB"/>
        </w:rPr>
        <w:t>Tobago House of Assembly</w:t>
      </w:r>
      <w:r w:rsidRPr="000708D6">
        <w:rPr>
          <w:lang w:val="en-GB"/>
        </w:rPr>
        <w:t xml:space="preserve"> working with</w:t>
      </w:r>
      <w:r w:rsidR="00455306" w:rsidRPr="000708D6">
        <w:rPr>
          <w:lang w:val="en-GB"/>
        </w:rPr>
        <w:t xml:space="preserve"> the U</w:t>
      </w:r>
      <w:r w:rsidR="00812EB1" w:rsidRPr="000708D6">
        <w:rPr>
          <w:lang w:val="en-GB"/>
        </w:rPr>
        <w:t>nited Nations</w:t>
      </w:r>
      <w:r w:rsidR="00455306" w:rsidRPr="000708D6">
        <w:rPr>
          <w:lang w:val="en-GB"/>
        </w:rPr>
        <w:t xml:space="preserve"> Focal Point for Tobago</w:t>
      </w:r>
      <w:r w:rsidR="000165E6" w:rsidRPr="000708D6">
        <w:rPr>
          <w:lang w:val="en-GB"/>
        </w:rPr>
        <w:t xml:space="preserve">; </w:t>
      </w:r>
      <w:r w:rsidR="00E54A54" w:rsidRPr="000708D6">
        <w:rPr>
          <w:lang w:val="en-GB"/>
        </w:rPr>
        <w:t>(</w:t>
      </w:r>
      <w:r w:rsidR="00DA497D">
        <w:rPr>
          <w:lang w:val="en-GB"/>
        </w:rPr>
        <w:t>c</w:t>
      </w:r>
      <w:r w:rsidR="00E54A54" w:rsidRPr="000708D6">
        <w:rPr>
          <w:lang w:val="en-GB"/>
        </w:rPr>
        <w:t>)</w:t>
      </w:r>
      <w:r w:rsidR="00303B4A" w:rsidRPr="000708D6">
        <w:rPr>
          <w:lang w:val="en-GB"/>
        </w:rPr>
        <w:t xml:space="preserve"> </w:t>
      </w:r>
      <w:r w:rsidRPr="000708D6">
        <w:rPr>
          <w:lang w:val="en-GB"/>
        </w:rPr>
        <w:t xml:space="preserve">deepen partnerships </w:t>
      </w:r>
      <w:r w:rsidR="00DA497D" w:rsidRPr="00A56C57">
        <w:rPr>
          <w:lang w:val="en-GB"/>
        </w:rPr>
        <w:t>(</w:t>
      </w:r>
      <w:r w:rsidR="00DA497D">
        <w:rPr>
          <w:lang w:val="en-GB"/>
        </w:rPr>
        <w:t>including with a</w:t>
      </w:r>
      <w:r w:rsidR="00DA497D" w:rsidRPr="00A56C57">
        <w:rPr>
          <w:lang w:val="en-GB"/>
        </w:rPr>
        <w:t>cademia)</w:t>
      </w:r>
      <w:r w:rsidR="00DA497D">
        <w:rPr>
          <w:lang w:val="en-GB"/>
        </w:rPr>
        <w:t xml:space="preserve"> </w:t>
      </w:r>
      <w:r w:rsidRPr="000708D6">
        <w:rPr>
          <w:lang w:val="en-GB"/>
        </w:rPr>
        <w:t>on technical issues</w:t>
      </w:r>
      <w:r w:rsidR="00E54A54" w:rsidRPr="000708D6">
        <w:rPr>
          <w:lang w:val="en-GB"/>
        </w:rPr>
        <w:t>; and (</w:t>
      </w:r>
      <w:r w:rsidR="00DA497D">
        <w:rPr>
          <w:lang w:val="en-GB"/>
        </w:rPr>
        <w:t>d</w:t>
      </w:r>
      <w:r w:rsidR="00E54A54" w:rsidRPr="000708D6">
        <w:rPr>
          <w:lang w:val="en-GB"/>
        </w:rPr>
        <w:t>)</w:t>
      </w:r>
      <w:r w:rsidRPr="000708D6">
        <w:rPr>
          <w:lang w:val="en-GB"/>
        </w:rPr>
        <w:t xml:space="preserve"> build internal capacity on </w:t>
      </w:r>
      <w:r w:rsidR="005E035C" w:rsidRPr="000708D6">
        <w:rPr>
          <w:lang w:val="en-GB"/>
        </w:rPr>
        <w:t>information and communications technology</w:t>
      </w:r>
      <w:r w:rsidR="005E035C" w:rsidRPr="000708D6" w:rsidDel="005E035C">
        <w:rPr>
          <w:lang w:val="en-GB"/>
        </w:rPr>
        <w:t xml:space="preserve"> </w:t>
      </w:r>
      <w:r w:rsidR="001D50AD" w:rsidRPr="000708D6">
        <w:rPr>
          <w:lang w:val="en-GB"/>
        </w:rPr>
        <w:t xml:space="preserve">for development </w:t>
      </w:r>
      <w:r w:rsidR="00455306" w:rsidRPr="000708D6">
        <w:rPr>
          <w:lang w:val="en-GB"/>
        </w:rPr>
        <w:t xml:space="preserve">and gender mainstreaming </w:t>
      </w:r>
      <w:r w:rsidR="00E54A54" w:rsidRPr="000708D6">
        <w:rPr>
          <w:lang w:val="en-GB"/>
        </w:rPr>
        <w:t>(</w:t>
      </w:r>
      <w:r w:rsidRPr="000708D6">
        <w:rPr>
          <w:lang w:val="en-GB"/>
        </w:rPr>
        <w:t xml:space="preserve">through </w:t>
      </w:r>
      <w:r w:rsidR="00414E3E">
        <w:rPr>
          <w:lang w:val="en-GB"/>
        </w:rPr>
        <w:t>the</w:t>
      </w:r>
      <w:r w:rsidR="00414E3E" w:rsidRPr="000708D6">
        <w:rPr>
          <w:lang w:val="en-GB"/>
        </w:rPr>
        <w:t xml:space="preserve"> </w:t>
      </w:r>
      <w:r w:rsidR="00414E3E">
        <w:rPr>
          <w:lang w:val="en-GB"/>
        </w:rPr>
        <w:t>g</w:t>
      </w:r>
      <w:r w:rsidRPr="000708D6">
        <w:rPr>
          <w:lang w:val="en-GB"/>
        </w:rPr>
        <w:t xml:space="preserve">ender </w:t>
      </w:r>
      <w:r w:rsidR="00414E3E">
        <w:rPr>
          <w:lang w:val="en-GB"/>
        </w:rPr>
        <w:t>s</w:t>
      </w:r>
      <w:r w:rsidRPr="000708D6">
        <w:rPr>
          <w:lang w:val="en-GB"/>
        </w:rPr>
        <w:t>eal process</w:t>
      </w:r>
      <w:r w:rsidR="006E64AB">
        <w:rPr>
          <w:lang w:val="en-GB"/>
        </w:rPr>
        <w:t>, for example</w:t>
      </w:r>
      <w:r w:rsidR="00E54A54" w:rsidRPr="000708D6">
        <w:rPr>
          <w:lang w:val="en-GB"/>
        </w:rPr>
        <w:t>)</w:t>
      </w:r>
      <w:r w:rsidRPr="000708D6">
        <w:rPr>
          <w:lang w:val="en-GB"/>
        </w:rPr>
        <w:t xml:space="preserve">. </w:t>
      </w:r>
    </w:p>
    <w:p w14:paraId="527FF46B" w14:textId="76361F63" w:rsidR="002655BE" w:rsidRPr="000708D6" w:rsidRDefault="002655BE" w:rsidP="00440828">
      <w:pPr>
        <w:pStyle w:val="ListParagraph"/>
        <w:numPr>
          <w:ilvl w:val="0"/>
          <w:numId w:val="31"/>
        </w:numPr>
        <w:tabs>
          <w:tab w:val="left" w:pos="1530"/>
        </w:tabs>
        <w:ind w:left="1170" w:right="1030" w:firstLine="0"/>
        <w:jc w:val="both"/>
        <w:rPr>
          <w:lang w:val="en-GB"/>
        </w:rPr>
      </w:pPr>
      <w:r w:rsidRPr="000708D6">
        <w:rPr>
          <w:lang w:val="en-GB"/>
        </w:rPr>
        <w:t xml:space="preserve">This </w:t>
      </w:r>
      <w:r w:rsidR="00CF1355" w:rsidRPr="000708D6">
        <w:rPr>
          <w:lang w:val="en-GB"/>
        </w:rPr>
        <w:t>country programme document</w:t>
      </w:r>
      <w:r w:rsidRPr="000708D6">
        <w:rPr>
          <w:lang w:val="en-GB"/>
        </w:rPr>
        <w:t xml:space="preserve"> outlines UNDP contributions to national results and serves as the primary unit of accountability to the Executive Board for results alignment and resources assigned to the programme at </w:t>
      </w:r>
      <w:r w:rsidR="00414E3E">
        <w:rPr>
          <w:lang w:val="en-GB"/>
        </w:rPr>
        <w:t xml:space="preserve">the </w:t>
      </w:r>
      <w:r w:rsidRPr="000708D6">
        <w:rPr>
          <w:lang w:val="en-GB"/>
        </w:rPr>
        <w:t>country level</w:t>
      </w:r>
      <w:r w:rsidR="00221433" w:rsidRPr="000708D6">
        <w:rPr>
          <w:lang w:val="en-GB"/>
        </w:rPr>
        <w:t xml:space="preserve">. </w:t>
      </w:r>
      <w:r w:rsidRPr="000708D6">
        <w:rPr>
          <w:lang w:val="en-GB"/>
        </w:rPr>
        <w:t>Accountabilities of managers at the country, regional and headquarter</w:t>
      </w:r>
      <w:r w:rsidR="00414E3E">
        <w:rPr>
          <w:lang w:val="en-GB"/>
        </w:rPr>
        <w:t>s</w:t>
      </w:r>
      <w:r w:rsidR="00802A82" w:rsidRPr="000708D6">
        <w:rPr>
          <w:lang w:val="en-GB"/>
        </w:rPr>
        <w:t xml:space="preserve"> levels</w:t>
      </w:r>
      <w:r w:rsidRPr="000708D6">
        <w:rPr>
          <w:lang w:val="en-GB"/>
        </w:rPr>
        <w:t xml:space="preserve"> </w:t>
      </w:r>
      <w:r w:rsidR="00802A82" w:rsidRPr="000708D6">
        <w:rPr>
          <w:lang w:val="en-GB"/>
        </w:rPr>
        <w:t>are</w:t>
      </w:r>
      <w:r w:rsidRPr="000708D6">
        <w:rPr>
          <w:lang w:val="en-GB"/>
        </w:rPr>
        <w:t xml:space="preserve"> prescribed in the </w:t>
      </w:r>
      <w:r w:rsidR="00414E3E">
        <w:rPr>
          <w:lang w:val="en-GB"/>
        </w:rPr>
        <w:t>UNDP</w:t>
      </w:r>
      <w:r w:rsidR="00414E3E" w:rsidRPr="000708D6">
        <w:rPr>
          <w:lang w:val="en-GB"/>
        </w:rPr>
        <w:t xml:space="preserve"> </w:t>
      </w:r>
      <w:hyperlink r:id="rId17" w:history="1">
        <w:r w:rsidRPr="000708D6">
          <w:rPr>
            <w:rStyle w:val="Hyperlink"/>
            <w:color w:val="auto"/>
            <w:lang w:val="en-GB"/>
          </w:rPr>
          <w:t>programme and operations policies and procedures</w:t>
        </w:r>
      </w:hyperlink>
      <w:r w:rsidRPr="000708D6">
        <w:rPr>
          <w:lang w:val="en-GB"/>
        </w:rPr>
        <w:t xml:space="preserve"> and the </w:t>
      </w:r>
      <w:hyperlink r:id="rId18" w:history="1">
        <w:r w:rsidRPr="000708D6">
          <w:rPr>
            <w:rStyle w:val="Hyperlink"/>
            <w:color w:val="auto"/>
            <w:lang w:val="en-GB"/>
          </w:rPr>
          <w:t>internal controls framework</w:t>
        </w:r>
      </w:hyperlink>
      <w:r w:rsidRPr="000708D6">
        <w:rPr>
          <w:lang w:val="en-GB"/>
        </w:rPr>
        <w:t>.</w:t>
      </w:r>
    </w:p>
    <w:p w14:paraId="11D0A01D" w14:textId="77777777" w:rsidR="004665D3" w:rsidRPr="001B0F48" w:rsidRDefault="004665D3" w:rsidP="00440828">
      <w:pPr>
        <w:pStyle w:val="ListParagraph"/>
        <w:tabs>
          <w:tab w:val="left" w:pos="1530"/>
        </w:tabs>
        <w:ind w:left="1170" w:right="1030"/>
        <w:jc w:val="both"/>
        <w:rPr>
          <w:lang w:val="en-GB"/>
        </w:rPr>
      </w:pPr>
    </w:p>
    <w:p w14:paraId="0B9B39F3" w14:textId="155F0E15" w:rsidR="002655BE" w:rsidRPr="000708D6" w:rsidRDefault="00684427" w:rsidP="00440828">
      <w:pPr>
        <w:pStyle w:val="Heading2"/>
        <w:tabs>
          <w:tab w:val="left" w:pos="1530"/>
        </w:tabs>
        <w:ind w:left="1170" w:right="1030" w:hanging="547"/>
        <w:jc w:val="both"/>
        <w:rPr>
          <w:rFonts w:ascii="Times New Roman" w:hAnsi="Times New Roman"/>
          <w:bCs/>
          <w:szCs w:val="28"/>
          <w:lang w:val="en-GB"/>
        </w:rPr>
      </w:pPr>
      <w:r w:rsidRPr="000708D6">
        <w:rPr>
          <w:rFonts w:ascii="Times New Roman" w:hAnsi="Times New Roman"/>
          <w:bCs/>
          <w:szCs w:val="28"/>
          <w:lang w:val="en-GB"/>
        </w:rPr>
        <w:t>IV.</w:t>
      </w:r>
      <w:r w:rsidRPr="000708D6">
        <w:rPr>
          <w:rFonts w:ascii="Times New Roman" w:hAnsi="Times New Roman"/>
          <w:bCs/>
          <w:szCs w:val="28"/>
          <w:lang w:val="en-GB"/>
        </w:rPr>
        <w:tab/>
        <w:t>Monitoring and e</w:t>
      </w:r>
      <w:r w:rsidR="002655BE" w:rsidRPr="000708D6">
        <w:rPr>
          <w:rFonts w:ascii="Times New Roman" w:hAnsi="Times New Roman"/>
          <w:bCs/>
          <w:szCs w:val="28"/>
          <w:lang w:val="en-GB"/>
        </w:rPr>
        <w:t>valuation</w:t>
      </w:r>
    </w:p>
    <w:p w14:paraId="5D0AE8B5" w14:textId="77777777" w:rsidR="002655BE" w:rsidRPr="000708D6" w:rsidRDefault="002655BE" w:rsidP="00440828">
      <w:pPr>
        <w:tabs>
          <w:tab w:val="left" w:pos="1530"/>
        </w:tabs>
        <w:ind w:left="1170" w:right="1030"/>
        <w:rPr>
          <w:lang w:val="en-GB" w:eastAsia="x-none"/>
        </w:rPr>
      </w:pPr>
    </w:p>
    <w:p w14:paraId="068E41E5" w14:textId="31160D5A" w:rsidR="002655BE" w:rsidRPr="000708D6" w:rsidRDefault="002655BE" w:rsidP="00440828">
      <w:pPr>
        <w:pStyle w:val="ListParagraph"/>
        <w:numPr>
          <w:ilvl w:val="0"/>
          <w:numId w:val="31"/>
        </w:numPr>
        <w:tabs>
          <w:tab w:val="left" w:pos="1530"/>
          <w:tab w:val="left" w:pos="9090"/>
        </w:tabs>
        <w:spacing w:after="120"/>
        <w:ind w:left="1170" w:right="1030" w:firstLine="0"/>
        <w:jc w:val="both"/>
        <w:rPr>
          <w:lang w:val="en-GB"/>
        </w:rPr>
      </w:pPr>
      <w:r w:rsidRPr="000708D6">
        <w:rPr>
          <w:lang w:val="en-GB"/>
        </w:rPr>
        <w:t>M</w:t>
      </w:r>
      <w:r w:rsidR="00CF1355" w:rsidRPr="000708D6">
        <w:rPr>
          <w:lang w:val="en-GB"/>
        </w:rPr>
        <w:t>onitoring and evaluation</w:t>
      </w:r>
      <w:r w:rsidRPr="000708D6">
        <w:rPr>
          <w:lang w:val="en-GB"/>
        </w:rPr>
        <w:t xml:space="preserve"> </w:t>
      </w:r>
      <w:r w:rsidR="00414E3E">
        <w:rPr>
          <w:lang w:val="en-GB"/>
        </w:rPr>
        <w:t>are</w:t>
      </w:r>
      <w:r w:rsidRPr="000708D6">
        <w:rPr>
          <w:lang w:val="en-GB"/>
        </w:rPr>
        <w:t xml:space="preserve"> essential element</w:t>
      </w:r>
      <w:r w:rsidR="00414E3E">
        <w:rPr>
          <w:lang w:val="en-GB"/>
        </w:rPr>
        <w:t>s</w:t>
      </w:r>
      <w:r w:rsidRPr="000708D6">
        <w:rPr>
          <w:lang w:val="en-GB"/>
        </w:rPr>
        <w:t xml:space="preserve"> of good programme management. UNDP will ensure that </w:t>
      </w:r>
      <w:r w:rsidR="00414E3E">
        <w:rPr>
          <w:lang w:val="en-GB"/>
        </w:rPr>
        <w:t>they are</w:t>
      </w:r>
      <w:r w:rsidRPr="000708D6">
        <w:rPr>
          <w:lang w:val="en-GB"/>
        </w:rPr>
        <w:t xml:space="preserve"> integrated into its portfolio, including the use of the UNDP </w:t>
      </w:r>
      <w:r w:rsidR="00414E3E">
        <w:rPr>
          <w:lang w:val="en-GB"/>
        </w:rPr>
        <w:t>g</w:t>
      </w:r>
      <w:r w:rsidRPr="000708D6">
        <w:rPr>
          <w:lang w:val="en-GB"/>
        </w:rPr>
        <w:t xml:space="preserve">ender </w:t>
      </w:r>
      <w:r w:rsidR="00414E3E">
        <w:rPr>
          <w:lang w:val="en-GB"/>
        </w:rPr>
        <w:t>m</w:t>
      </w:r>
      <w:r w:rsidRPr="000708D6">
        <w:rPr>
          <w:lang w:val="en-GB"/>
        </w:rPr>
        <w:t xml:space="preserve">arker to monitor </w:t>
      </w:r>
      <w:r w:rsidR="00CF1355" w:rsidRPr="000708D6">
        <w:rPr>
          <w:lang w:val="en-GB"/>
        </w:rPr>
        <w:t>country programme</w:t>
      </w:r>
      <w:r w:rsidRPr="000708D6">
        <w:rPr>
          <w:lang w:val="en-GB"/>
        </w:rPr>
        <w:t xml:space="preserve"> expenditures and improve planning and decision-making</w:t>
      </w:r>
      <w:r w:rsidR="00221433" w:rsidRPr="000708D6">
        <w:rPr>
          <w:lang w:val="en-GB"/>
        </w:rPr>
        <w:t xml:space="preserve">. </w:t>
      </w:r>
      <w:r w:rsidR="00414E3E">
        <w:rPr>
          <w:lang w:val="en-GB"/>
        </w:rPr>
        <w:t>T</w:t>
      </w:r>
      <w:r w:rsidR="00CC368B" w:rsidRPr="000708D6">
        <w:rPr>
          <w:lang w:val="en-GB"/>
        </w:rPr>
        <w:t xml:space="preserve">he </w:t>
      </w:r>
      <w:r w:rsidR="00CF1355" w:rsidRPr="000708D6">
        <w:rPr>
          <w:lang w:val="en-GB"/>
        </w:rPr>
        <w:t xml:space="preserve">country office </w:t>
      </w:r>
      <w:r w:rsidR="00CC368B" w:rsidRPr="000708D6">
        <w:rPr>
          <w:lang w:val="en-GB"/>
        </w:rPr>
        <w:t xml:space="preserve">will continue to strengthen its </w:t>
      </w:r>
      <w:r w:rsidR="00CF1355" w:rsidRPr="000708D6">
        <w:rPr>
          <w:lang w:val="en-GB"/>
        </w:rPr>
        <w:t>monitoring and evaluation</w:t>
      </w:r>
      <w:r w:rsidRPr="000708D6">
        <w:rPr>
          <w:lang w:val="en-GB"/>
        </w:rPr>
        <w:t xml:space="preserve"> </w:t>
      </w:r>
      <w:r w:rsidR="00CC368B" w:rsidRPr="000708D6">
        <w:rPr>
          <w:lang w:val="en-GB"/>
        </w:rPr>
        <w:t xml:space="preserve">capacity and build the </w:t>
      </w:r>
      <w:r w:rsidRPr="000708D6">
        <w:rPr>
          <w:lang w:val="en-GB"/>
        </w:rPr>
        <w:t>capaci</w:t>
      </w:r>
      <w:r w:rsidR="00CC368B" w:rsidRPr="000708D6">
        <w:rPr>
          <w:lang w:val="en-GB"/>
        </w:rPr>
        <w:t>ty of national institutions to</w:t>
      </w:r>
      <w:r w:rsidR="00455306" w:rsidRPr="000708D6">
        <w:rPr>
          <w:lang w:val="en-GB"/>
        </w:rPr>
        <w:t xml:space="preserve"> </w:t>
      </w:r>
      <w:r w:rsidRPr="000708D6">
        <w:rPr>
          <w:lang w:val="en-GB"/>
        </w:rPr>
        <w:t>generat</w:t>
      </w:r>
      <w:r w:rsidR="00CC368B" w:rsidRPr="000708D6">
        <w:rPr>
          <w:lang w:val="en-GB"/>
        </w:rPr>
        <w:t>e</w:t>
      </w:r>
      <w:r w:rsidRPr="000708D6">
        <w:rPr>
          <w:lang w:val="en-GB"/>
        </w:rPr>
        <w:t xml:space="preserve"> data</w:t>
      </w:r>
      <w:r w:rsidR="00414E3E">
        <w:rPr>
          <w:lang w:val="en-GB"/>
        </w:rPr>
        <w:t xml:space="preserve"> and </w:t>
      </w:r>
      <w:r w:rsidRPr="000708D6">
        <w:rPr>
          <w:lang w:val="en-GB"/>
        </w:rPr>
        <w:t xml:space="preserve">information </w:t>
      </w:r>
      <w:r w:rsidR="00414E3E">
        <w:rPr>
          <w:lang w:val="en-GB"/>
        </w:rPr>
        <w:t>that</w:t>
      </w:r>
      <w:r w:rsidR="00414E3E" w:rsidRPr="000708D6">
        <w:rPr>
          <w:lang w:val="en-GB"/>
        </w:rPr>
        <w:t xml:space="preserve"> </w:t>
      </w:r>
      <w:r w:rsidR="00414E3E">
        <w:rPr>
          <w:lang w:val="en-GB"/>
        </w:rPr>
        <w:t>improv</w:t>
      </w:r>
      <w:r w:rsidR="00414E3E" w:rsidRPr="000708D6">
        <w:rPr>
          <w:lang w:val="en-GB"/>
        </w:rPr>
        <w:t xml:space="preserve">e </w:t>
      </w:r>
      <w:r w:rsidR="00455306" w:rsidRPr="000708D6">
        <w:rPr>
          <w:lang w:val="en-GB"/>
        </w:rPr>
        <w:t xml:space="preserve">development effectiveness and </w:t>
      </w:r>
      <w:r w:rsidRPr="000708D6">
        <w:rPr>
          <w:lang w:val="en-GB"/>
        </w:rPr>
        <w:t>programming opportunities</w:t>
      </w:r>
      <w:r w:rsidR="00221433" w:rsidRPr="000708D6">
        <w:rPr>
          <w:lang w:val="en-GB"/>
        </w:rPr>
        <w:t xml:space="preserve">. </w:t>
      </w:r>
      <w:r w:rsidRPr="000708D6">
        <w:rPr>
          <w:lang w:val="en-GB"/>
        </w:rPr>
        <w:t xml:space="preserve">In a </w:t>
      </w:r>
      <w:r w:rsidR="00CF1355" w:rsidRPr="000708D6">
        <w:rPr>
          <w:lang w:val="en-GB"/>
        </w:rPr>
        <w:t>net contributor country</w:t>
      </w:r>
      <w:r w:rsidRPr="000708D6">
        <w:rPr>
          <w:lang w:val="en-GB"/>
        </w:rPr>
        <w:t xml:space="preserve"> context, th</w:t>
      </w:r>
      <w:r w:rsidR="00414E3E">
        <w:rPr>
          <w:lang w:val="en-GB"/>
        </w:rPr>
        <w:t>e</w:t>
      </w:r>
      <w:r w:rsidRPr="000708D6">
        <w:rPr>
          <w:lang w:val="en-GB"/>
        </w:rPr>
        <w:t xml:space="preserve"> expanded function of </w:t>
      </w:r>
      <w:r w:rsidR="00CF1355" w:rsidRPr="000708D6">
        <w:rPr>
          <w:lang w:val="en-GB"/>
        </w:rPr>
        <w:t>monitoring and evaluation</w:t>
      </w:r>
      <w:r w:rsidRPr="000708D6">
        <w:rPr>
          <w:lang w:val="en-GB"/>
        </w:rPr>
        <w:t xml:space="preserve"> as a developmental </w:t>
      </w:r>
      <w:r w:rsidR="00414E3E">
        <w:rPr>
          <w:lang w:val="en-GB"/>
        </w:rPr>
        <w:t>tool</w:t>
      </w:r>
      <w:r w:rsidR="00414E3E" w:rsidRPr="000708D6">
        <w:rPr>
          <w:lang w:val="en-GB"/>
        </w:rPr>
        <w:t xml:space="preserve"> </w:t>
      </w:r>
      <w:r w:rsidR="00455306" w:rsidRPr="000708D6">
        <w:rPr>
          <w:lang w:val="en-GB"/>
        </w:rPr>
        <w:t xml:space="preserve">in its own right </w:t>
      </w:r>
      <w:r w:rsidR="00414E3E">
        <w:rPr>
          <w:lang w:val="en-GB"/>
        </w:rPr>
        <w:t>add</w:t>
      </w:r>
      <w:r w:rsidR="00414E3E" w:rsidRPr="000708D6">
        <w:rPr>
          <w:lang w:val="en-GB"/>
        </w:rPr>
        <w:t xml:space="preserve">s </w:t>
      </w:r>
      <w:r w:rsidRPr="000708D6">
        <w:rPr>
          <w:lang w:val="en-GB"/>
        </w:rPr>
        <w:t xml:space="preserve">significant value </w:t>
      </w:r>
      <w:r w:rsidRPr="00414E3E">
        <w:rPr>
          <w:lang w:val="en-TT"/>
        </w:rPr>
        <w:t xml:space="preserve">for </w:t>
      </w:r>
      <w:r w:rsidRPr="000708D6">
        <w:rPr>
          <w:lang w:val="en-GB"/>
        </w:rPr>
        <w:t>UNDP</w:t>
      </w:r>
      <w:r w:rsidR="000947DE" w:rsidRPr="000708D6">
        <w:rPr>
          <w:lang w:val="en-GB"/>
        </w:rPr>
        <w:t>.</w:t>
      </w:r>
      <w:r w:rsidRPr="000708D6">
        <w:rPr>
          <w:lang w:val="en-GB"/>
        </w:rPr>
        <w:t xml:space="preserve"> </w:t>
      </w:r>
    </w:p>
    <w:p w14:paraId="1A82B560" w14:textId="28B0A6CD" w:rsidR="002655BE" w:rsidRPr="000708D6" w:rsidRDefault="002D4F61" w:rsidP="00440828">
      <w:pPr>
        <w:pStyle w:val="ListParagraph"/>
        <w:numPr>
          <w:ilvl w:val="0"/>
          <w:numId w:val="31"/>
        </w:numPr>
        <w:tabs>
          <w:tab w:val="left" w:pos="1530"/>
          <w:tab w:val="left" w:pos="8460"/>
          <w:tab w:val="left" w:pos="8550"/>
        </w:tabs>
        <w:spacing w:after="120"/>
        <w:ind w:left="1170" w:right="1030" w:firstLine="0"/>
        <w:jc w:val="both"/>
        <w:rPr>
          <w:lang w:val="en-GB"/>
        </w:rPr>
      </w:pPr>
      <w:r w:rsidRPr="000708D6">
        <w:rPr>
          <w:lang w:val="en-GB"/>
        </w:rPr>
        <w:t>Government</w:t>
      </w:r>
      <w:r w:rsidR="002655BE" w:rsidRPr="000708D6">
        <w:rPr>
          <w:lang w:val="en-GB"/>
        </w:rPr>
        <w:t xml:space="preserve"> recognition of the need to strengthen </w:t>
      </w:r>
      <w:r w:rsidRPr="000708D6">
        <w:rPr>
          <w:lang w:val="en-GB"/>
        </w:rPr>
        <w:t>its</w:t>
      </w:r>
      <w:r w:rsidR="002655BE" w:rsidRPr="000708D6">
        <w:rPr>
          <w:lang w:val="en-GB"/>
        </w:rPr>
        <w:t xml:space="preserve"> results-based approach to planning</w:t>
      </w:r>
      <w:r w:rsidR="006E64AB">
        <w:rPr>
          <w:lang w:val="en-GB"/>
        </w:rPr>
        <w:t>,</w:t>
      </w:r>
      <w:r w:rsidR="00414E3E">
        <w:rPr>
          <w:lang w:val="en-GB"/>
        </w:rPr>
        <w:t xml:space="preserve"> </w:t>
      </w:r>
      <w:r w:rsidR="00CF1355" w:rsidRPr="000708D6">
        <w:rPr>
          <w:lang w:val="en-GB"/>
        </w:rPr>
        <w:t>monitoring and evaluation</w:t>
      </w:r>
      <w:r w:rsidR="00414E3E">
        <w:rPr>
          <w:lang w:val="en-GB"/>
        </w:rPr>
        <w:t xml:space="preserve"> </w:t>
      </w:r>
      <w:r w:rsidR="002655BE" w:rsidRPr="000708D6">
        <w:rPr>
          <w:lang w:val="en-GB"/>
        </w:rPr>
        <w:t xml:space="preserve">has led to the development of the first </w:t>
      </w:r>
      <w:r w:rsidR="00414E3E">
        <w:rPr>
          <w:lang w:val="en-GB"/>
        </w:rPr>
        <w:t>n</w:t>
      </w:r>
      <w:r w:rsidR="002655BE" w:rsidRPr="000708D6">
        <w:rPr>
          <w:lang w:val="en-GB"/>
        </w:rPr>
        <w:t xml:space="preserve">ational </w:t>
      </w:r>
      <w:r w:rsidR="00414E3E">
        <w:rPr>
          <w:lang w:val="en-GB"/>
        </w:rPr>
        <w:t>m</w:t>
      </w:r>
      <w:r w:rsidR="002655BE" w:rsidRPr="000708D6">
        <w:rPr>
          <w:lang w:val="en-GB"/>
        </w:rPr>
        <w:t xml:space="preserve">onitoring and </w:t>
      </w:r>
      <w:r w:rsidR="00414E3E">
        <w:rPr>
          <w:lang w:val="en-GB"/>
        </w:rPr>
        <w:t>e</w:t>
      </w:r>
      <w:r w:rsidR="002655BE" w:rsidRPr="000708D6">
        <w:rPr>
          <w:lang w:val="en-GB"/>
        </w:rPr>
        <w:t xml:space="preserve">valuation </w:t>
      </w:r>
      <w:r w:rsidR="00414E3E">
        <w:rPr>
          <w:lang w:val="en-GB"/>
        </w:rPr>
        <w:t>p</w:t>
      </w:r>
      <w:r w:rsidR="002655BE" w:rsidRPr="000708D6">
        <w:rPr>
          <w:lang w:val="en-GB"/>
        </w:rPr>
        <w:t>olicy</w:t>
      </w:r>
      <w:r w:rsidR="00C35A40" w:rsidRPr="000708D6">
        <w:rPr>
          <w:rStyle w:val="FootnoteReference"/>
          <w:lang w:val="en-GB"/>
        </w:rPr>
        <w:footnoteReference w:id="18"/>
      </w:r>
      <w:r w:rsidR="002655BE" w:rsidRPr="000708D6">
        <w:rPr>
          <w:lang w:val="en-GB"/>
        </w:rPr>
        <w:t xml:space="preserve"> in the Caribbean</w:t>
      </w:r>
      <w:r w:rsidR="00221433" w:rsidRPr="000708D6">
        <w:rPr>
          <w:lang w:val="en-GB"/>
        </w:rPr>
        <w:t xml:space="preserve">. </w:t>
      </w:r>
      <w:r w:rsidR="002655BE" w:rsidRPr="000708D6">
        <w:rPr>
          <w:lang w:val="en-GB"/>
        </w:rPr>
        <w:t xml:space="preserve">This provides UNDP with </w:t>
      </w:r>
      <w:r w:rsidR="00414E3E">
        <w:rPr>
          <w:lang w:val="en-GB"/>
        </w:rPr>
        <w:t xml:space="preserve">an </w:t>
      </w:r>
      <w:r w:rsidR="002655BE" w:rsidRPr="000708D6">
        <w:rPr>
          <w:lang w:val="en-GB"/>
        </w:rPr>
        <w:t xml:space="preserve">opportunity for </w:t>
      </w:r>
      <w:r w:rsidR="001D50AD" w:rsidRPr="000708D6">
        <w:rPr>
          <w:lang w:val="en-GB"/>
        </w:rPr>
        <w:t>expand</w:t>
      </w:r>
      <w:r w:rsidR="006E64AB">
        <w:rPr>
          <w:lang w:val="en-GB"/>
        </w:rPr>
        <w:t>ing</w:t>
      </w:r>
      <w:r w:rsidR="001D50AD" w:rsidRPr="000708D6">
        <w:rPr>
          <w:lang w:val="en-GB"/>
        </w:rPr>
        <w:t xml:space="preserve"> involvement with the </w:t>
      </w:r>
      <w:r w:rsidR="00414E3E">
        <w:rPr>
          <w:lang w:val="en-GB"/>
        </w:rPr>
        <w:t>G</w:t>
      </w:r>
      <w:r w:rsidR="00C53D6A" w:rsidRPr="000708D6">
        <w:rPr>
          <w:lang w:val="en-GB"/>
        </w:rPr>
        <w:t>overnment</w:t>
      </w:r>
      <w:r w:rsidR="002655BE" w:rsidRPr="000708D6">
        <w:rPr>
          <w:lang w:val="en-GB"/>
        </w:rPr>
        <w:t xml:space="preserve">, </w:t>
      </w:r>
      <w:r w:rsidR="00414E3E">
        <w:rPr>
          <w:lang w:val="en-GB"/>
        </w:rPr>
        <w:t>refin</w:t>
      </w:r>
      <w:r w:rsidR="00414E3E" w:rsidRPr="000708D6">
        <w:rPr>
          <w:lang w:val="en-GB"/>
        </w:rPr>
        <w:t xml:space="preserve">ing </w:t>
      </w:r>
      <w:r w:rsidR="002655BE" w:rsidRPr="000708D6">
        <w:rPr>
          <w:lang w:val="en-GB"/>
        </w:rPr>
        <w:t>the necessary evaluating culture</w:t>
      </w:r>
      <w:r w:rsidR="006E64AB">
        <w:rPr>
          <w:lang w:val="en-GB"/>
        </w:rPr>
        <w:t>,</w:t>
      </w:r>
      <w:r w:rsidR="002655BE" w:rsidRPr="000708D6">
        <w:rPr>
          <w:lang w:val="en-GB"/>
        </w:rPr>
        <w:t xml:space="preserve"> and incorporating new tools and processes t</w:t>
      </w:r>
      <w:r w:rsidR="006E64AB">
        <w:rPr>
          <w:lang w:val="en-GB"/>
        </w:rPr>
        <w:t>o</w:t>
      </w:r>
      <w:r w:rsidR="002655BE" w:rsidRPr="000708D6">
        <w:rPr>
          <w:lang w:val="en-GB"/>
        </w:rPr>
        <w:t xml:space="preserve"> improve national ca</w:t>
      </w:r>
      <w:r w:rsidR="00455306" w:rsidRPr="000708D6">
        <w:rPr>
          <w:lang w:val="en-GB"/>
        </w:rPr>
        <w:t>pacit</w:t>
      </w:r>
      <w:r w:rsidR="00414E3E">
        <w:rPr>
          <w:lang w:val="en-GB"/>
        </w:rPr>
        <w:t>ies</w:t>
      </w:r>
      <w:r w:rsidR="00455306" w:rsidRPr="000708D6">
        <w:rPr>
          <w:lang w:val="en-GB"/>
        </w:rPr>
        <w:t xml:space="preserve"> for assessing programmatic</w:t>
      </w:r>
      <w:r w:rsidR="002655BE" w:rsidRPr="000708D6">
        <w:rPr>
          <w:lang w:val="en-GB"/>
        </w:rPr>
        <w:t xml:space="preserve"> achievements</w:t>
      </w:r>
      <w:r w:rsidR="00221433" w:rsidRPr="000708D6">
        <w:rPr>
          <w:lang w:val="en-GB"/>
        </w:rPr>
        <w:t xml:space="preserve">. </w:t>
      </w:r>
      <w:r w:rsidR="00414E3E">
        <w:rPr>
          <w:lang w:val="en-GB"/>
        </w:rPr>
        <w:t>I</w:t>
      </w:r>
      <w:r w:rsidR="002655BE" w:rsidRPr="000708D6">
        <w:rPr>
          <w:lang w:val="en-GB"/>
        </w:rPr>
        <w:t xml:space="preserve">t </w:t>
      </w:r>
      <w:r w:rsidR="00414E3E">
        <w:rPr>
          <w:lang w:val="en-GB"/>
        </w:rPr>
        <w:t xml:space="preserve">also </w:t>
      </w:r>
      <w:r w:rsidR="002655BE" w:rsidRPr="000708D6">
        <w:rPr>
          <w:lang w:val="en-GB"/>
        </w:rPr>
        <w:t>re</w:t>
      </w:r>
      <w:r w:rsidR="001D50AD" w:rsidRPr="000708D6">
        <w:rPr>
          <w:lang w:val="en-GB"/>
        </w:rPr>
        <w:t>inforces g</w:t>
      </w:r>
      <w:r w:rsidR="002655BE" w:rsidRPr="000708D6">
        <w:rPr>
          <w:lang w:val="en-GB"/>
        </w:rPr>
        <w:t xml:space="preserve">overnment ownership </w:t>
      </w:r>
      <w:r w:rsidR="00455306" w:rsidRPr="000708D6">
        <w:rPr>
          <w:lang w:val="en-GB"/>
        </w:rPr>
        <w:t>of</w:t>
      </w:r>
      <w:r w:rsidR="002655BE" w:rsidRPr="000708D6">
        <w:rPr>
          <w:lang w:val="en-GB"/>
        </w:rPr>
        <w:t xml:space="preserve"> the </w:t>
      </w:r>
      <w:r w:rsidR="00CF1355" w:rsidRPr="000708D6">
        <w:rPr>
          <w:lang w:val="en-GB"/>
        </w:rPr>
        <w:t>country programme</w:t>
      </w:r>
      <w:r w:rsidR="002655BE" w:rsidRPr="000708D6">
        <w:rPr>
          <w:lang w:val="en-GB"/>
        </w:rPr>
        <w:t xml:space="preserve">, providing a mechanism for ongoing engagement with UNDP. </w:t>
      </w:r>
    </w:p>
    <w:p w14:paraId="2374ECC8" w14:textId="6DF581E2" w:rsidR="002655BE" w:rsidRPr="000708D6" w:rsidRDefault="002655BE" w:rsidP="00440828">
      <w:pPr>
        <w:pStyle w:val="ListParagraph"/>
        <w:numPr>
          <w:ilvl w:val="0"/>
          <w:numId w:val="31"/>
        </w:numPr>
        <w:tabs>
          <w:tab w:val="left" w:pos="1530"/>
        </w:tabs>
        <w:spacing w:after="120"/>
        <w:ind w:left="1170" w:right="1030" w:firstLine="0"/>
        <w:jc w:val="both"/>
        <w:rPr>
          <w:lang w:val="en-GB"/>
        </w:rPr>
      </w:pPr>
      <w:r w:rsidRPr="000708D6">
        <w:rPr>
          <w:lang w:val="en-GB"/>
        </w:rPr>
        <w:t xml:space="preserve">Given the data gaps across sectors, UNDP will focus on strengthening data capacity </w:t>
      </w:r>
      <w:r w:rsidR="009567B5" w:rsidRPr="00A56C57">
        <w:rPr>
          <w:lang w:val="en-GB"/>
        </w:rPr>
        <w:t>in Trinidad and Tobago</w:t>
      </w:r>
      <w:r w:rsidR="009567B5">
        <w:rPr>
          <w:lang w:val="en-GB"/>
        </w:rPr>
        <w:t xml:space="preserve"> </w:t>
      </w:r>
      <w:r w:rsidRPr="000708D6">
        <w:rPr>
          <w:lang w:val="en-GB"/>
        </w:rPr>
        <w:t xml:space="preserve">by working with national institutions, </w:t>
      </w:r>
      <w:r w:rsidR="00363917" w:rsidRPr="000708D6">
        <w:rPr>
          <w:lang w:val="en-GB"/>
        </w:rPr>
        <w:t>a</w:t>
      </w:r>
      <w:r w:rsidRPr="000708D6">
        <w:rPr>
          <w:lang w:val="en-GB"/>
        </w:rPr>
        <w:t>cademia, U</w:t>
      </w:r>
      <w:r w:rsidR="005E035C" w:rsidRPr="000708D6">
        <w:rPr>
          <w:lang w:val="en-GB"/>
        </w:rPr>
        <w:t>nited Nations partners</w:t>
      </w:r>
      <w:r w:rsidRPr="000708D6">
        <w:rPr>
          <w:lang w:val="en-GB"/>
        </w:rPr>
        <w:t xml:space="preserve"> and </w:t>
      </w:r>
      <w:r w:rsidR="005E035C" w:rsidRPr="000708D6">
        <w:rPr>
          <w:lang w:val="en-GB"/>
        </w:rPr>
        <w:t>civil society organizations</w:t>
      </w:r>
      <w:r w:rsidR="00221433" w:rsidRPr="000708D6">
        <w:rPr>
          <w:lang w:val="en-GB"/>
        </w:rPr>
        <w:t xml:space="preserve">. </w:t>
      </w:r>
      <w:r w:rsidRPr="000708D6">
        <w:rPr>
          <w:lang w:val="en-GB"/>
        </w:rPr>
        <w:t>Based on the Arima Poverty Profile</w:t>
      </w:r>
      <w:r w:rsidR="00D42004" w:rsidRPr="000708D6">
        <w:rPr>
          <w:lang w:val="en-GB"/>
        </w:rPr>
        <w:t xml:space="preserve"> experience</w:t>
      </w:r>
      <w:r w:rsidRPr="000708D6">
        <w:rPr>
          <w:lang w:val="en-GB"/>
        </w:rPr>
        <w:t>, UNDP will continue to support the generation of disaggregated data (</w:t>
      </w:r>
      <w:r w:rsidR="009567B5">
        <w:rPr>
          <w:lang w:val="en-GB"/>
        </w:rPr>
        <w:t xml:space="preserve">by </w:t>
      </w:r>
      <w:r w:rsidRPr="000708D6">
        <w:rPr>
          <w:lang w:val="en-GB"/>
        </w:rPr>
        <w:t xml:space="preserve">gender, ethnicity, age, disability, rural/urban, </w:t>
      </w:r>
      <w:r w:rsidR="0098236F">
        <w:rPr>
          <w:lang w:val="en-GB"/>
        </w:rPr>
        <w:t xml:space="preserve">and </w:t>
      </w:r>
      <w:r w:rsidRPr="000708D6">
        <w:rPr>
          <w:lang w:val="en-GB"/>
        </w:rPr>
        <w:t>Tobago) to address issues related to multidimensional poverty and well</w:t>
      </w:r>
      <w:r w:rsidR="00D42004" w:rsidRPr="000708D6">
        <w:rPr>
          <w:lang w:val="en-GB"/>
        </w:rPr>
        <w:t>-</w:t>
      </w:r>
      <w:r w:rsidRPr="000708D6">
        <w:rPr>
          <w:lang w:val="en-GB"/>
        </w:rPr>
        <w:t xml:space="preserve">being. </w:t>
      </w:r>
    </w:p>
    <w:p w14:paraId="105F6145" w14:textId="6816192A" w:rsidR="00632D7F" w:rsidRPr="000708D6" w:rsidRDefault="002655BE" w:rsidP="000708D6">
      <w:pPr>
        <w:pStyle w:val="ListParagraph"/>
        <w:numPr>
          <w:ilvl w:val="0"/>
          <w:numId w:val="31"/>
        </w:numPr>
        <w:tabs>
          <w:tab w:val="left" w:pos="1530"/>
          <w:tab w:val="left" w:pos="8010"/>
        </w:tabs>
        <w:ind w:left="1170" w:right="1030" w:firstLine="0"/>
        <w:jc w:val="both"/>
        <w:rPr>
          <w:lang w:val="en-GB"/>
        </w:rPr>
      </w:pPr>
      <w:r w:rsidRPr="000708D6">
        <w:rPr>
          <w:lang w:val="en-GB"/>
        </w:rPr>
        <w:t>Knowledge management (including research) is an integral component of UNDP work</w:t>
      </w:r>
      <w:r w:rsidR="00221433" w:rsidRPr="000708D6">
        <w:rPr>
          <w:lang w:val="en-GB"/>
        </w:rPr>
        <w:t xml:space="preserve">. </w:t>
      </w:r>
      <w:r w:rsidRPr="000708D6">
        <w:rPr>
          <w:lang w:val="en-GB"/>
        </w:rPr>
        <w:t>A knowledge management strategy will leverage</w:t>
      </w:r>
      <w:r w:rsidR="00455306" w:rsidRPr="000708D6">
        <w:rPr>
          <w:lang w:val="en-GB"/>
        </w:rPr>
        <w:t xml:space="preserve"> </w:t>
      </w:r>
      <w:r w:rsidR="00D42004" w:rsidRPr="000708D6">
        <w:rPr>
          <w:lang w:val="en-GB"/>
        </w:rPr>
        <w:t xml:space="preserve">its </w:t>
      </w:r>
      <w:r w:rsidRPr="000708D6">
        <w:rPr>
          <w:lang w:val="en-GB"/>
        </w:rPr>
        <w:t>knowledge assets and capacities. UNDP will harness the knowledge generated through research and technical support into new electronic</w:t>
      </w:r>
      <w:r w:rsidR="0098236F" w:rsidRPr="00E1212E">
        <w:rPr>
          <w:lang w:val="en-GB"/>
        </w:rPr>
        <w:t xml:space="preserve"> and </w:t>
      </w:r>
      <w:r w:rsidRPr="000708D6">
        <w:rPr>
          <w:lang w:val="en-GB"/>
        </w:rPr>
        <w:t>print products</w:t>
      </w:r>
      <w:r w:rsidR="006E64AB" w:rsidRPr="00E1212E">
        <w:rPr>
          <w:lang w:val="en-GB"/>
        </w:rPr>
        <w:t>,</w:t>
      </w:r>
      <w:r w:rsidRPr="000708D6">
        <w:rPr>
          <w:lang w:val="en-GB"/>
        </w:rPr>
        <w:t xml:space="preserve"> in collaborati</w:t>
      </w:r>
      <w:r w:rsidR="00455306" w:rsidRPr="000708D6">
        <w:rPr>
          <w:lang w:val="en-GB"/>
        </w:rPr>
        <w:t xml:space="preserve">on with academic partners </w:t>
      </w:r>
      <w:r w:rsidR="0098236F" w:rsidRPr="00E1212E">
        <w:rPr>
          <w:lang w:val="en-GB"/>
        </w:rPr>
        <w:t>such as the University of the West Indies</w:t>
      </w:r>
      <w:r w:rsidR="00221433" w:rsidRPr="000708D6">
        <w:rPr>
          <w:lang w:val="en-GB"/>
        </w:rPr>
        <w:t xml:space="preserve">. </w:t>
      </w:r>
      <w:r w:rsidRPr="000708D6">
        <w:rPr>
          <w:lang w:val="en-GB"/>
        </w:rPr>
        <w:t>Programming opportunities may e</w:t>
      </w:r>
      <w:r w:rsidR="00015425" w:rsidRPr="000708D6">
        <w:rPr>
          <w:lang w:val="en-GB"/>
        </w:rPr>
        <w:t xml:space="preserve">merge from outcome evaluations </w:t>
      </w:r>
      <w:r w:rsidRPr="000708D6">
        <w:rPr>
          <w:lang w:val="en-GB"/>
        </w:rPr>
        <w:t xml:space="preserve">or extended </w:t>
      </w:r>
      <w:r w:rsidR="00CF1355" w:rsidRPr="000708D6">
        <w:rPr>
          <w:lang w:val="en-GB"/>
        </w:rPr>
        <w:t>monitoring and evaluation</w:t>
      </w:r>
      <w:r w:rsidR="0098236F" w:rsidRPr="00E1212E">
        <w:rPr>
          <w:lang w:val="en-GB"/>
        </w:rPr>
        <w:t xml:space="preserve"> </w:t>
      </w:r>
      <w:r w:rsidRPr="000708D6">
        <w:rPr>
          <w:lang w:val="en-GB"/>
        </w:rPr>
        <w:t xml:space="preserve">services, </w:t>
      </w:r>
      <w:r w:rsidR="006E64AB" w:rsidRPr="00E1212E">
        <w:rPr>
          <w:lang w:val="en-GB"/>
        </w:rPr>
        <w:t>as was the case with</w:t>
      </w:r>
      <w:r w:rsidRPr="000708D6">
        <w:rPr>
          <w:lang w:val="en-GB"/>
        </w:rPr>
        <w:t xml:space="preserve"> UNDP</w:t>
      </w:r>
      <w:r w:rsidR="00015425" w:rsidRPr="000708D6">
        <w:rPr>
          <w:lang w:val="en-GB"/>
        </w:rPr>
        <w:t xml:space="preserve"> review of the methodology for the </w:t>
      </w:r>
      <w:r w:rsidR="00812EB1" w:rsidRPr="000708D6">
        <w:rPr>
          <w:lang w:val="en-GB"/>
        </w:rPr>
        <w:t>International Development Bank</w:t>
      </w:r>
      <w:r w:rsidRPr="000708D6">
        <w:rPr>
          <w:lang w:val="en-GB"/>
        </w:rPr>
        <w:t xml:space="preserve">-financed project on </w:t>
      </w:r>
      <w:r w:rsidR="0098236F" w:rsidRPr="00E1212E">
        <w:rPr>
          <w:lang w:val="en-GB"/>
        </w:rPr>
        <w:t>c</w:t>
      </w:r>
      <w:r w:rsidRPr="000708D6">
        <w:rPr>
          <w:lang w:val="en-GB"/>
        </w:rPr>
        <w:t xml:space="preserve">itizen </w:t>
      </w:r>
      <w:r w:rsidR="0098236F" w:rsidRPr="00E1212E">
        <w:rPr>
          <w:lang w:val="en-GB"/>
        </w:rPr>
        <w:t>s</w:t>
      </w:r>
      <w:r w:rsidRPr="000708D6">
        <w:rPr>
          <w:lang w:val="en-GB"/>
        </w:rPr>
        <w:t>ecurity</w:t>
      </w:r>
      <w:r w:rsidR="00015425" w:rsidRPr="000708D6">
        <w:rPr>
          <w:lang w:val="en-GB"/>
        </w:rPr>
        <w:t xml:space="preserve"> in 2015,</w:t>
      </w:r>
      <w:r w:rsidRPr="000708D6">
        <w:rPr>
          <w:lang w:val="en-GB"/>
        </w:rPr>
        <w:t xml:space="preserve"> which </w:t>
      </w:r>
      <w:r w:rsidR="006E64AB" w:rsidRPr="00E1212E">
        <w:rPr>
          <w:lang w:val="en-GB"/>
        </w:rPr>
        <w:t>became</w:t>
      </w:r>
      <w:r w:rsidR="006E64AB" w:rsidRPr="000708D6">
        <w:rPr>
          <w:lang w:val="en-GB"/>
        </w:rPr>
        <w:t xml:space="preserve"> </w:t>
      </w:r>
      <w:r w:rsidRPr="000708D6">
        <w:rPr>
          <w:lang w:val="en-GB"/>
        </w:rPr>
        <w:t>a springboard for further work on the topic</w:t>
      </w:r>
      <w:r w:rsidR="00221433" w:rsidRPr="000708D6">
        <w:rPr>
          <w:lang w:val="en-GB"/>
        </w:rPr>
        <w:t xml:space="preserve">. </w:t>
      </w:r>
      <w:r w:rsidRPr="000708D6">
        <w:rPr>
          <w:lang w:val="en-GB"/>
        </w:rPr>
        <w:t xml:space="preserve">The </w:t>
      </w:r>
      <w:r w:rsidR="00C859FC" w:rsidRPr="000708D6">
        <w:rPr>
          <w:lang w:val="en-GB"/>
        </w:rPr>
        <w:t>d</w:t>
      </w:r>
      <w:r w:rsidRPr="000708D6">
        <w:rPr>
          <w:lang w:val="en-GB"/>
        </w:rPr>
        <w:t xml:space="preserve">evelopment </w:t>
      </w:r>
      <w:r w:rsidR="00C859FC" w:rsidRPr="000708D6">
        <w:rPr>
          <w:lang w:val="en-GB"/>
        </w:rPr>
        <w:t>d</w:t>
      </w:r>
      <w:r w:rsidRPr="000708D6">
        <w:rPr>
          <w:lang w:val="en-GB"/>
        </w:rPr>
        <w:t>ialogues</w:t>
      </w:r>
      <w:r w:rsidR="00015425" w:rsidRPr="000708D6">
        <w:rPr>
          <w:lang w:val="en-GB"/>
        </w:rPr>
        <w:t xml:space="preserve"> will be</w:t>
      </w:r>
      <w:r w:rsidRPr="000708D6">
        <w:rPr>
          <w:lang w:val="en-GB"/>
        </w:rPr>
        <w:t xml:space="preserve"> an effective mechanism for knowledge dissemination</w:t>
      </w:r>
      <w:r w:rsidR="006E64AB" w:rsidRPr="00E1212E">
        <w:rPr>
          <w:lang w:val="en-GB"/>
        </w:rPr>
        <w:t>,</w:t>
      </w:r>
      <w:r w:rsidRPr="000708D6">
        <w:rPr>
          <w:lang w:val="en-GB"/>
        </w:rPr>
        <w:t xml:space="preserve"> exchange </w:t>
      </w:r>
      <w:r w:rsidR="006E64AB" w:rsidRPr="00E1212E">
        <w:rPr>
          <w:lang w:val="en-GB"/>
        </w:rPr>
        <w:t>and</w:t>
      </w:r>
      <w:r w:rsidR="00015425" w:rsidRPr="000708D6">
        <w:rPr>
          <w:lang w:val="en-GB"/>
        </w:rPr>
        <w:t xml:space="preserve"> stakeholder engagement</w:t>
      </w:r>
      <w:r w:rsidR="00221433" w:rsidRPr="000708D6">
        <w:rPr>
          <w:lang w:val="en-GB"/>
        </w:rPr>
        <w:t xml:space="preserve">. </w:t>
      </w:r>
      <w:r w:rsidR="000947DE" w:rsidRPr="000708D6">
        <w:rPr>
          <w:lang w:val="en-GB"/>
        </w:rPr>
        <w:t>Moreover, g</w:t>
      </w:r>
      <w:r w:rsidRPr="000708D6">
        <w:rPr>
          <w:lang w:val="en-GB"/>
        </w:rPr>
        <w:t xml:space="preserve">overnment counterparts recognize the value </w:t>
      </w:r>
      <w:r w:rsidR="0098236F" w:rsidRPr="00E1212E">
        <w:rPr>
          <w:lang w:val="en-GB"/>
        </w:rPr>
        <w:t>added</w:t>
      </w:r>
      <w:r w:rsidR="0098236F" w:rsidRPr="000708D6">
        <w:rPr>
          <w:lang w:val="en-GB"/>
        </w:rPr>
        <w:t xml:space="preserve"> </w:t>
      </w:r>
      <w:r w:rsidRPr="000708D6">
        <w:rPr>
          <w:lang w:val="en-GB"/>
        </w:rPr>
        <w:t xml:space="preserve">by accessing the experiences of other </w:t>
      </w:r>
      <w:r w:rsidR="0098236F" w:rsidRPr="00E1212E">
        <w:rPr>
          <w:lang w:val="en-GB"/>
        </w:rPr>
        <w:t>country office</w:t>
      </w:r>
      <w:r w:rsidR="0098236F" w:rsidRPr="000708D6">
        <w:rPr>
          <w:lang w:val="en-GB"/>
        </w:rPr>
        <w:t xml:space="preserve">s </w:t>
      </w:r>
      <w:r w:rsidR="0098236F" w:rsidRPr="00E1212E">
        <w:rPr>
          <w:lang w:val="en-GB"/>
        </w:rPr>
        <w:t>and</w:t>
      </w:r>
      <w:r w:rsidRPr="000708D6">
        <w:rPr>
          <w:lang w:val="en-GB"/>
        </w:rPr>
        <w:t xml:space="preserve"> technical experts through </w:t>
      </w:r>
      <w:r w:rsidR="0098236F" w:rsidRPr="00E1212E">
        <w:rPr>
          <w:lang w:val="en-GB"/>
        </w:rPr>
        <w:t xml:space="preserve">the </w:t>
      </w:r>
      <w:r w:rsidRPr="000708D6">
        <w:rPr>
          <w:lang w:val="en-GB"/>
        </w:rPr>
        <w:t>UNDP regional</w:t>
      </w:r>
      <w:r w:rsidR="00632D7F" w:rsidRPr="000708D6">
        <w:rPr>
          <w:lang w:val="en-GB"/>
        </w:rPr>
        <w:t xml:space="preserve"> Panama </w:t>
      </w:r>
      <w:r w:rsidR="00C859FC" w:rsidRPr="000708D6">
        <w:rPr>
          <w:lang w:val="en-GB"/>
        </w:rPr>
        <w:t>h</w:t>
      </w:r>
      <w:r w:rsidR="00632D7F" w:rsidRPr="000708D6">
        <w:rPr>
          <w:lang w:val="en-GB"/>
        </w:rPr>
        <w:t>ub</w:t>
      </w:r>
      <w:r w:rsidRPr="000708D6">
        <w:rPr>
          <w:lang w:val="en-GB"/>
        </w:rPr>
        <w:t xml:space="preserve"> and global</w:t>
      </w:r>
      <w:r w:rsidR="00632D7F" w:rsidRPr="000708D6">
        <w:rPr>
          <w:lang w:val="en-GB"/>
        </w:rPr>
        <w:t xml:space="preserve"> </w:t>
      </w:r>
      <w:r w:rsidRPr="000708D6">
        <w:rPr>
          <w:lang w:val="en-GB"/>
        </w:rPr>
        <w:t>rosters</w:t>
      </w:r>
      <w:r w:rsidR="00C35A40" w:rsidRPr="000708D6">
        <w:rPr>
          <w:lang w:val="en-GB"/>
        </w:rPr>
        <w:t>.</w:t>
      </w:r>
    </w:p>
    <w:p w14:paraId="36235A5A" w14:textId="77777777" w:rsidR="00632D7F" w:rsidRPr="000708D6" w:rsidRDefault="00632D7F" w:rsidP="00C35A40">
      <w:pPr>
        <w:ind w:left="1440" w:right="240"/>
        <w:jc w:val="both"/>
        <w:rPr>
          <w:i/>
          <w:lang w:val="en-GB"/>
        </w:rPr>
        <w:sectPr w:rsidR="00632D7F" w:rsidRPr="000708D6" w:rsidSect="00025617">
          <w:type w:val="continuous"/>
          <w:pgSz w:w="12240" w:h="15840"/>
          <w:pgMar w:top="1166" w:right="1195" w:bottom="1440" w:left="1195" w:header="720" w:footer="720" w:gutter="0"/>
          <w:cols w:space="720"/>
          <w:docGrid w:linePitch="272"/>
        </w:sectPr>
      </w:pPr>
    </w:p>
    <w:p w14:paraId="054DF0B6" w14:textId="0DFE0CF1" w:rsidR="006D3BD0" w:rsidRPr="002807FF" w:rsidRDefault="006D3BD0" w:rsidP="006D3BD0">
      <w:pPr>
        <w:tabs>
          <w:tab w:val="left" w:pos="5610"/>
        </w:tabs>
        <w:spacing w:after="240"/>
        <w:contextualSpacing/>
        <w:rPr>
          <w:b/>
          <w:bCs/>
          <w:sz w:val="24"/>
          <w:szCs w:val="24"/>
          <w:lang w:val="en-GB"/>
        </w:rPr>
      </w:pPr>
      <w:r w:rsidRPr="005C7E82">
        <w:rPr>
          <w:b/>
          <w:bCs/>
          <w:sz w:val="24"/>
          <w:szCs w:val="24"/>
          <w:lang w:val="en-GB"/>
        </w:rPr>
        <w:lastRenderedPageBreak/>
        <w:t xml:space="preserve">Annex. Results and resources framework for </w:t>
      </w:r>
      <w:r w:rsidR="008A6F38" w:rsidRPr="005C7E82">
        <w:rPr>
          <w:b/>
          <w:bCs/>
          <w:sz w:val="24"/>
          <w:szCs w:val="24"/>
          <w:lang w:val="en-GB"/>
        </w:rPr>
        <w:t>Trinidad and Tobago</w:t>
      </w:r>
      <w:r w:rsidR="008A6F38" w:rsidRPr="00414E3E">
        <w:rPr>
          <w:b/>
          <w:bCs/>
          <w:sz w:val="24"/>
          <w:szCs w:val="24"/>
          <w:lang w:val="en-GB"/>
        </w:rPr>
        <w:t xml:space="preserve"> </w:t>
      </w:r>
      <w:r w:rsidR="0049035D">
        <w:rPr>
          <w:b/>
          <w:bCs/>
          <w:sz w:val="24"/>
          <w:szCs w:val="24"/>
          <w:lang w:val="en-GB"/>
        </w:rPr>
        <w:t>(</w:t>
      </w:r>
      <w:r w:rsidRPr="002807FF">
        <w:rPr>
          <w:b/>
          <w:bCs/>
          <w:sz w:val="24"/>
          <w:szCs w:val="24"/>
          <w:lang w:val="en-GB"/>
        </w:rPr>
        <w:t>2017-2021</w:t>
      </w:r>
      <w:r w:rsidR="0049035D">
        <w:rPr>
          <w:b/>
          <w:bCs/>
          <w:sz w:val="24"/>
          <w:szCs w:val="24"/>
          <w:lang w:val="en-GB"/>
        </w:rPr>
        <w:t>)</w:t>
      </w:r>
    </w:p>
    <w:p w14:paraId="1A182A92" w14:textId="78B5C6CF" w:rsidR="00F55103" w:rsidRPr="000708D6" w:rsidRDefault="00E0132E" w:rsidP="001E6DF4">
      <w:pPr>
        <w:pStyle w:val="Heading4"/>
        <w:rPr>
          <w:rFonts w:ascii="Times New Roman" w:hAnsi="Times New Roman"/>
          <w:lang w:val="en-GB"/>
        </w:rPr>
      </w:pPr>
      <w:r w:rsidRPr="000708D6">
        <w:rPr>
          <w:rFonts w:ascii="Times New Roman" w:hAnsi="Times New Roman"/>
          <w:lang w:val="en-GB"/>
        </w:rPr>
        <w:t>Area 1</w:t>
      </w:r>
      <w:r w:rsidR="00D10C19">
        <w:rPr>
          <w:rFonts w:ascii="Times New Roman" w:hAnsi="Times New Roman"/>
          <w:lang w:val="en-GB"/>
        </w:rPr>
        <w:t>.</w:t>
      </w:r>
      <w:r w:rsidR="00F92021" w:rsidRPr="000708D6">
        <w:rPr>
          <w:rFonts w:ascii="Times New Roman" w:hAnsi="Times New Roman"/>
          <w:lang w:val="en-GB"/>
        </w:rPr>
        <w:t xml:space="preserve"> </w:t>
      </w:r>
      <w:r w:rsidR="00F55103" w:rsidRPr="000708D6">
        <w:rPr>
          <w:rFonts w:ascii="Times New Roman" w:hAnsi="Times New Roman"/>
          <w:lang w:val="en-GB"/>
        </w:rPr>
        <w:t>P</w:t>
      </w:r>
      <w:r w:rsidR="00F92021" w:rsidRPr="000708D6">
        <w:rPr>
          <w:rFonts w:ascii="Times New Roman" w:hAnsi="Times New Roman"/>
          <w:lang w:val="en-GB"/>
        </w:rPr>
        <w:t xml:space="preserve">overty </w:t>
      </w:r>
      <w:r w:rsidR="00D10C19">
        <w:rPr>
          <w:rFonts w:ascii="Times New Roman" w:hAnsi="Times New Roman"/>
          <w:lang w:val="en-GB"/>
        </w:rPr>
        <w:t>p</w:t>
      </w:r>
      <w:r w:rsidR="00F92021" w:rsidRPr="000708D6">
        <w:rPr>
          <w:rFonts w:ascii="Times New Roman" w:hAnsi="Times New Roman"/>
          <w:lang w:val="en-GB"/>
        </w:rPr>
        <w:t xml:space="preserve">olicy and </w:t>
      </w:r>
      <w:r w:rsidR="00D10C19">
        <w:rPr>
          <w:rFonts w:ascii="Times New Roman" w:hAnsi="Times New Roman"/>
          <w:lang w:val="en-GB"/>
        </w:rPr>
        <w:t>s</w:t>
      </w:r>
      <w:r w:rsidR="00F92021" w:rsidRPr="000708D6">
        <w:rPr>
          <w:rFonts w:ascii="Times New Roman" w:hAnsi="Times New Roman"/>
          <w:lang w:val="en-GB"/>
        </w:rPr>
        <w:t>trategy</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752"/>
        <w:gridCol w:w="32"/>
        <w:gridCol w:w="1586"/>
        <w:gridCol w:w="5018"/>
        <w:gridCol w:w="2111"/>
        <w:gridCol w:w="1897"/>
      </w:tblGrid>
      <w:tr w:rsidR="007C460A" w:rsidRPr="005C7E82" w14:paraId="437DCDCC" w14:textId="77777777" w:rsidTr="000708D6">
        <w:trPr>
          <w:trHeight w:val="18"/>
        </w:trPr>
        <w:tc>
          <w:tcPr>
            <w:tcW w:w="5000" w:type="pct"/>
            <w:gridSpan w:val="6"/>
            <w:shd w:val="clear" w:color="auto" w:fill="auto"/>
            <w:tcMar>
              <w:top w:w="72" w:type="dxa"/>
              <w:left w:w="144" w:type="dxa"/>
              <w:bottom w:w="72" w:type="dxa"/>
              <w:right w:w="144" w:type="dxa"/>
            </w:tcMar>
          </w:tcPr>
          <w:p w14:paraId="2C25DC36" w14:textId="4EB51DE5" w:rsidR="00FC7D7F" w:rsidRPr="000708D6" w:rsidRDefault="00D10C19" w:rsidP="00A86AC2">
            <w:pPr>
              <w:rPr>
                <w:b/>
                <w:bCs/>
                <w:iCs/>
                <w:sz w:val="16"/>
                <w:szCs w:val="16"/>
                <w:lang w:val="en-GB"/>
              </w:rPr>
            </w:pPr>
            <w:r w:rsidRPr="002807FF">
              <w:rPr>
                <w:b/>
                <w:bCs/>
                <w:sz w:val="16"/>
                <w:szCs w:val="16"/>
                <w:lang w:val="en-GB"/>
              </w:rPr>
              <w:t xml:space="preserve">National priority or goal: </w:t>
            </w:r>
            <w:r w:rsidR="00FC7D7F" w:rsidRPr="000708D6">
              <w:rPr>
                <w:b/>
                <w:bCs/>
                <w:iCs/>
                <w:sz w:val="16"/>
                <w:szCs w:val="16"/>
                <w:lang w:val="en-GB"/>
              </w:rPr>
              <w:t>Development of a national policy/strategy on poverty reduction; consistent measurement of poverty utili</w:t>
            </w:r>
            <w:r w:rsidRPr="000708D6">
              <w:rPr>
                <w:b/>
                <w:bCs/>
                <w:iCs/>
                <w:sz w:val="16"/>
                <w:szCs w:val="16"/>
                <w:lang w:val="en-GB"/>
              </w:rPr>
              <w:t>z</w:t>
            </w:r>
            <w:r w:rsidR="00FC7D7F" w:rsidRPr="000708D6">
              <w:rPr>
                <w:b/>
                <w:bCs/>
                <w:iCs/>
                <w:sz w:val="16"/>
                <w:szCs w:val="16"/>
                <w:lang w:val="en-GB"/>
              </w:rPr>
              <w:t>ing an agreed methodology; and restructuring safety-net programmes</w:t>
            </w:r>
            <w:r w:rsidR="00FC7D7F" w:rsidRPr="002807FF">
              <w:rPr>
                <w:b/>
                <w:bCs/>
                <w:iCs/>
                <w:sz w:val="16"/>
                <w:szCs w:val="16"/>
                <w:lang w:val="en-GB"/>
              </w:rPr>
              <w:t xml:space="preserve"> </w:t>
            </w:r>
            <w:r w:rsidR="00FC7D7F" w:rsidRPr="000708D6">
              <w:rPr>
                <w:b/>
                <w:bCs/>
                <w:iCs/>
                <w:sz w:val="16"/>
                <w:szCs w:val="16"/>
                <w:lang w:val="en-GB"/>
              </w:rPr>
              <w:t>(</w:t>
            </w:r>
            <w:r w:rsidR="006870EF">
              <w:rPr>
                <w:b/>
                <w:bCs/>
                <w:iCs/>
                <w:sz w:val="16"/>
                <w:szCs w:val="16"/>
                <w:lang w:val="en-GB"/>
              </w:rPr>
              <w:t>G</w:t>
            </w:r>
            <w:r w:rsidR="00FC7D7F" w:rsidRPr="000708D6">
              <w:rPr>
                <w:b/>
                <w:bCs/>
                <w:iCs/>
                <w:sz w:val="16"/>
                <w:szCs w:val="16"/>
                <w:lang w:val="en-GB"/>
              </w:rPr>
              <w:t xml:space="preserve">overnment </w:t>
            </w:r>
            <w:r w:rsidRPr="000708D6">
              <w:rPr>
                <w:b/>
                <w:bCs/>
                <w:iCs/>
                <w:sz w:val="16"/>
                <w:szCs w:val="16"/>
                <w:lang w:val="en-GB"/>
              </w:rPr>
              <w:t>n</w:t>
            </w:r>
            <w:r w:rsidR="00FC7D7F" w:rsidRPr="000708D6">
              <w:rPr>
                <w:b/>
                <w:bCs/>
                <w:iCs/>
                <w:sz w:val="16"/>
                <w:szCs w:val="16"/>
                <w:lang w:val="en-GB"/>
              </w:rPr>
              <w:t xml:space="preserve">ational </w:t>
            </w:r>
            <w:r w:rsidRPr="000708D6">
              <w:rPr>
                <w:b/>
                <w:bCs/>
                <w:iCs/>
                <w:sz w:val="16"/>
                <w:szCs w:val="16"/>
                <w:lang w:val="en-GB"/>
              </w:rPr>
              <w:t>p</w:t>
            </w:r>
            <w:r w:rsidR="00FC7D7F" w:rsidRPr="000708D6">
              <w:rPr>
                <w:b/>
                <w:bCs/>
                <w:iCs/>
                <w:sz w:val="16"/>
                <w:szCs w:val="16"/>
                <w:lang w:val="en-GB"/>
              </w:rPr>
              <w:t>olicy</w:t>
            </w:r>
            <w:r w:rsidRPr="000708D6">
              <w:rPr>
                <w:b/>
                <w:bCs/>
                <w:iCs/>
                <w:sz w:val="16"/>
                <w:szCs w:val="16"/>
                <w:lang w:val="en-GB"/>
              </w:rPr>
              <w:t>,</w:t>
            </w:r>
            <w:r w:rsidR="00FC7D7F" w:rsidRPr="000708D6">
              <w:rPr>
                <w:b/>
                <w:bCs/>
                <w:iCs/>
                <w:sz w:val="16"/>
                <w:szCs w:val="16"/>
                <w:lang w:val="en-GB"/>
              </w:rPr>
              <w:t xml:space="preserve"> 2015)</w:t>
            </w:r>
            <w:r w:rsidR="007A05B6" w:rsidRPr="000708D6">
              <w:rPr>
                <w:b/>
                <w:bCs/>
                <w:sz w:val="16"/>
                <w:szCs w:val="16"/>
                <w:lang w:val="en-GB"/>
              </w:rPr>
              <w:t xml:space="preserve"> </w:t>
            </w:r>
          </w:p>
        </w:tc>
      </w:tr>
      <w:tr w:rsidR="007C460A" w:rsidRPr="005C7E82" w14:paraId="4EC77C82" w14:textId="77777777" w:rsidTr="00241DC1">
        <w:trPr>
          <w:trHeight w:val="124"/>
        </w:trPr>
        <w:tc>
          <w:tcPr>
            <w:tcW w:w="5000" w:type="pct"/>
            <w:gridSpan w:val="6"/>
            <w:shd w:val="clear" w:color="auto" w:fill="auto"/>
            <w:tcMar>
              <w:top w:w="72" w:type="dxa"/>
              <w:left w:w="144" w:type="dxa"/>
              <w:bottom w:w="72" w:type="dxa"/>
              <w:right w:w="144" w:type="dxa"/>
            </w:tcMar>
          </w:tcPr>
          <w:p w14:paraId="4C4CDE34" w14:textId="59E6DF78" w:rsidR="0046101D" w:rsidRPr="000708D6" w:rsidRDefault="00FA3A94" w:rsidP="0046101D">
            <w:pPr>
              <w:rPr>
                <w:b/>
                <w:sz w:val="16"/>
                <w:szCs w:val="16"/>
                <w:lang w:val="en-GB"/>
              </w:rPr>
            </w:pPr>
            <w:r w:rsidRPr="002807FF">
              <w:rPr>
                <w:b/>
                <w:bCs/>
                <w:sz w:val="16"/>
                <w:szCs w:val="16"/>
                <w:lang w:val="en-GB"/>
              </w:rPr>
              <w:t>UNDAF</w:t>
            </w:r>
            <w:r w:rsidR="0046101D" w:rsidRPr="002807FF">
              <w:rPr>
                <w:b/>
                <w:bCs/>
                <w:sz w:val="16"/>
                <w:szCs w:val="16"/>
                <w:lang w:val="en-GB"/>
              </w:rPr>
              <w:t>/</w:t>
            </w:r>
            <w:r w:rsidR="00C11E83" w:rsidRPr="002807FF">
              <w:rPr>
                <w:b/>
                <w:bCs/>
                <w:sz w:val="16"/>
                <w:szCs w:val="16"/>
                <w:lang w:val="en-GB"/>
              </w:rPr>
              <w:t xml:space="preserve">United Nations Multi-Country Sustainable Development Framework </w:t>
            </w:r>
            <w:r w:rsidR="00C11E83" w:rsidRPr="00C11E83">
              <w:rPr>
                <w:b/>
                <w:bCs/>
                <w:sz w:val="16"/>
                <w:szCs w:val="16"/>
                <w:lang w:val="en-GB"/>
              </w:rPr>
              <w:t>(</w:t>
            </w:r>
            <w:r w:rsidR="0046101D" w:rsidRPr="00C11E83">
              <w:rPr>
                <w:b/>
                <w:bCs/>
                <w:sz w:val="16"/>
                <w:szCs w:val="16"/>
                <w:lang w:val="en-GB"/>
              </w:rPr>
              <w:t>MSDF</w:t>
            </w:r>
            <w:r w:rsidR="00C11E83" w:rsidRPr="00C11E83">
              <w:rPr>
                <w:b/>
                <w:bCs/>
                <w:sz w:val="16"/>
                <w:szCs w:val="16"/>
                <w:lang w:val="en-GB"/>
              </w:rPr>
              <w:t>)</w:t>
            </w:r>
            <w:r w:rsidR="0046101D" w:rsidRPr="00C11E83">
              <w:rPr>
                <w:b/>
                <w:bCs/>
                <w:sz w:val="16"/>
                <w:szCs w:val="16"/>
                <w:lang w:val="en-GB"/>
              </w:rPr>
              <w:t xml:space="preserve"> </w:t>
            </w:r>
            <w:r w:rsidR="00C11E83" w:rsidRPr="00C11E83">
              <w:rPr>
                <w:b/>
                <w:bCs/>
                <w:sz w:val="16"/>
                <w:szCs w:val="16"/>
                <w:lang w:val="en-GB"/>
              </w:rPr>
              <w:t xml:space="preserve">outcome involving </w:t>
            </w:r>
            <w:r w:rsidR="007A05B6" w:rsidRPr="00C11E83">
              <w:rPr>
                <w:b/>
                <w:bCs/>
                <w:sz w:val="16"/>
                <w:szCs w:val="16"/>
                <w:lang w:val="en-GB"/>
              </w:rPr>
              <w:t>UNDP:</w:t>
            </w:r>
            <w:r w:rsidR="00F35002" w:rsidRPr="000708D6">
              <w:rPr>
                <w:b/>
                <w:sz w:val="16"/>
                <w:szCs w:val="16"/>
                <w:lang w:val="en-GB"/>
              </w:rPr>
              <w:t xml:space="preserve"> </w:t>
            </w:r>
            <w:r w:rsidR="00A84846" w:rsidRPr="000708D6">
              <w:rPr>
                <w:b/>
                <w:sz w:val="16"/>
                <w:szCs w:val="16"/>
                <w:lang w:val="en-GB"/>
              </w:rPr>
              <w:t>A</w:t>
            </w:r>
            <w:r w:rsidR="00F35002" w:rsidRPr="000708D6">
              <w:rPr>
                <w:b/>
                <w:sz w:val="16"/>
                <w:szCs w:val="16"/>
                <w:lang w:val="en-GB"/>
              </w:rPr>
              <w:t>ccess to equitable</w:t>
            </w:r>
            <w:r w:rsidR="00A84846" w:rsidRPr="000708D6">
              <w:rPr>
                <w:b/>
                <w:sz w:val="16"/>
                <w:szCs w:val="16"/>
                <w:lang w:val="en-GB"/>
              </w:rPr>
              <w:t xml:space="preserve"> </w:t>
            </w:r>
            <w:r w:rsidR="00204E3F">
              <w:rPr>
                <w:b/>
                <w:sz w:val="16"/>
                <w:szCs w:val="16"/>
                <w:lang w:val="en-GB"/>
              </w:rPr>
              <w:t>s</w:t>
            </w:r>
            <w:r w:rsidR="00A84846" w:rsidRPr="000708D6">
              <w:rPr>
                <w:b/>
                <w:sz w:val="16"/>
                <w:szCs w:val="16"/>
                <w:lang w:val="en-GB"/>
              </w:rPr>
              <w:t>ocial protection systems,</w:t>
            </w:r>
            <w:r w:rsidR="00F35002" w:rsidRPr="000708D6">
              <w:rPr>
                <w:b/>
                <w:sz w:val="16"/>
                <w:szCs w:val="16"/>
                <w:lang w:val="en-GB"/>
              </w:rPr>
              <w:t xml:space="preserve"> quality services</w:t>
            </w:r>
            <w:r w:rsidR="00A84846" w:rsidRPr="000708D6">
              <w:rPr>
                <w:b/>
                <w:sz w:val="16"/>
                <w:szCs w:val="16"/>
                <w:lang w:val="en-GB"/>
              </w:rPr>
              <w:t xml:space="preserve"> and sustainable economic opportunities </w:t>
            </w:r>
            <w:r w:rsidR="00F35002" w:rsidRPr="000708D6">
              <w:rPr>
                <w:b/>
                <w:sz w:val="16"/>
                <w:szCs w:val="16"/>
                <w:lang w:val="en-GB"/>
              </w:rPr>
              <w:t xml:space="preserve">improved  </w:t>
            </w:r>
          </w:p>
          <w:p w14:paraId="3BF55B97" w14:textId="1F9CFAB0" w:rsidR="00C657CD" w:rsidRPr="000708D6" w:rsidRDefault="00C11E83" w:rsidP="002807FF">
            <w:pPr>
              <w:rPr>
                <w:b/>
                <w:iCs/>
                <w:sz w:val="16"/>
                <w:szCs w:val="16"/>
                <w:lang w:val="en-GB"/>
              </w:rPr>
            </w:pPr>
            <w:r w:rsidRPr="002807FF">
              <w:rPr>
                <w:b/>
                <w:bCs/>
                <w:iCs/>
                <w:sz w:val="16"/>
                <w:szCs w:val="16"/>
                <w:lang w:val="en-GB"/>
              </w:rPr>
              <w:t>Sustainable development goals:</w:t>
            </w:r>
            <w:r w:rsidR="00C657CD" w:rsidRPr="002807FF">
              <w:rPr>
                <w:b/>
                <w:bCs/>
                <w:iCs/>
                <w:sz w:val="16"/>
                <w:szCs w:val="16"/>
                <w:lang w:val="en-GB"/>
              </w:rPr>
              <w:t xml:space="preserve"> </w:t>
            </w:r>
            <w:r w:rsidR="00C657CD" w:rsidRPr="000708D6">
              <w:rPr>
                <w:b/>
                <w:bCs/>
                <w:iCs/>
                <w:sz w:val="16"/>
                <w:szCs w:val="16"/>
                <w:lang w:val="en-GB"/>
              </w:rPr>
              <w:t>1, 5, 10</w:t>
            </w:r>
            <w:r w:rsidRPr="000708D6">
              <w:rPr>
                <w:b/>
                <w:bCs/>
                <w:iCs/>
                <w:sz w:val="16"/>
                <w:szCs w:val="16"/>
                <w:lang w:val="en-GB"/>
              </w:rPr>
              <w:t xml:space="preserve"> and </w:t>
            </w:r>
            <w:r w:rsidR="00C657CD" w:rsidRPr="000708D6">
              <w:rPr>
                <w:b/>
                <w:bCs/>
                <w:iCs/>
                <w:sz w:val="16"/>
                <w:szCs w:val="16"/>
                <w:lang w:val="en-GB"/>
              </w:rPr>
              <w:t>17</w:t>
            </w:r>
          </w:p>
        </w:tc>
      </w:tr>
      <w:tr w:rsidR="007C460A" w:rsidRPr="005C7E82" w14:paraId="668D46DF" w14:textId="77777777" w:rsidTr="00241DC1">
        <w:trPr>
          <w:trHeight w:val="124"/>
        </w:trPr>
        <w:tc>
          <w:tcPr>
            <w:tcW w:w="5000" w:type="pct"/>
            <w:gridSpan w:val="6"/>
            <w:shd w:val="clear" w:color="auto" w:fill="auto"/>
            <w:tcMar>
              <w:top w:w="72" w:type="dxa"/>
              <w:left w:w="144" w:type="dxa"/>
              <w:bottom w:w="72" w:type="dxa"/>
              <w:right w:w="144" w:type="dxa"/>
            </w:tcMar>
          </w:tcPr>
          <w:p w14:paraId="56005A19" w14:textId="4363E983" w:rsidR="00772802" w:rsidRPr="000708D6" w:rsidRDefault="00C11E83" w:rsidP="002807FF">
            <w:pPr>
              <w:rPr>
                <w:b/>
                <w:bCs/>
                <w:iCs/>
                <w:sz w:val="16"/>
                <w:szCs w:val="16"/>
                <w:lang w:val="en-GB"/>
              </w:rPr>
            </w:pPr>
            <w:r w:rsidRPr="002807FF">
              <w:rPr>
                <w:b/>
                <w:bCs/>
                <w:sz w:val="16"/>
                <w:szCs w:val="16"/>
                <w:lang w:val="en-GB"/>
              </w:rPr>
              <w:t xml:space="preserve">Related strategic plan, </w:t>
            </w:r>
            <w:r w:rsidR="00827534" w:rsidRPr="002807FF">
              <w:rPr>
                <w:b/>
                <w:bCs/>
                <w:sz w:val="16"/>
                <w:szCs w:val="16"/>
                <w:lang w:val="en-GB"/>
              </w:rPr>
              <w:t>2014-2017</w:t>
            </w:r>
            <w:r w:rsidRPr="00C11E83">
              <w:rPr>
                <w:b/>
                <w:bCs/>
                <w:sz w:val="16"/>
                <w:szCs w:val="16"/>
                <w:lang w:val="en-GB"/>
              </w:rPr>
              <w:t>, outcome:</w:t>
            </w:r>
            <w:r w:rsidR="00923F17" w:rsidRPr="00C11E83">
              <w:rPr>
                <w:b/>
                <w:bCs/>
                <w:sz w:val="16"/>
                <w:szCs w:val="16"/>
                <w:lang w:val="en-GB"/>
              </w:rPr>
              <w:t xml:space="preserve"> </w:t>
            </w:r>
            <w:r w:rsidR="00FC7D7F" w:rsidRPr="000708D6">
              <w:rPr>
                <w:b/>
                <w:bCs/>
                <w:iCs/>
                <w:sz w:val="16"/>
                <w:szCs w:val="16"/>
                <w:lang w:val="en-GB"/>
              </w:rPr>
              <w:t>7</w:t>
            </w:r>
            <w:r w:rsidRPr="000708D6">
              <w:rPr>
                <w:b/>
                <w:bCs/>
                <w:iCs/>
                <w:sz w:val="16"/>
                <w:szCs w:val="16"/>
                <w:lang w:val="en-GB"/>
              </w:rPr>
              <w:t>.</w:t>
            </w:r>
            <w:r w:rsidR="00FC7D7F" w:rsidRPr="000708D6">
              <w:rPr>
                <w:b/>
                <w:bCs/>
                <w:iCs/>
                <w:sz w:val="16"/>
                <w:szCs w:val="16"/>
                <w:lang w:val="en-GB"/>
              </w:rPr>
              <w:t xml:space="preserve"> Development debates and actions at all levels prioritize poverty, inequality and exclusion, consistent with our engagement principles</w:t>
            </w:r>
          </w:p>
        </w:tc>
      </w:tr>
      <w:tr w:rsidR="007C460A" w:rsidRPr="005C7E82" w14:paraId="7972BB98" w14:textId="77777777" w:rsidTr="004033D3">
        <w:trPr>
          <w:trHeight w:val="322"/>
        </w:trPr>
        <w:tc>
          <w:tcPr>
            <w:tcW w:w="1039" w:type="pct"/>
            <w:gridSpan w:val="2"/>
            <w:shd w:val="clear" w:color="auto" w:fill="auto"/>
            <w:tcMar>
              <w:top w:w="72" w:type="dxa"/>
              <w:left w:w="144" w:type="dxa"/>
              <w:bottom w:w="72" w:type="dxa"/>
              <w:right w:w="144" w:type="dxa"/>
            </w:tcMar>
            <w:vAlign w:val="center"/>
          </w:tcPr>
          <w:p w14:paraId="54E4D864" w14:textId="576C0491" w:rsidR="007A05B6" w:rsidRPr="000708D6" w:rsidRDefault="00FA3A94" w:rsidP="002807FF">
            <w:pPr>
              <w:jc w:val="center"/>
              <w:rPr>
                <w:sz w:val="16"/>
                <w:szCs w:val="16"/>
                <w:lang w:val="en-GB"/>
              </w:rPr>
            </w:pPr>
            <w:r w:rsidRPr="005C7E82">
              <w:rPr>
                <w:b/>
                <w:bCs/>
                <w:sz w:val="16"/>
                <w:szCs w:val="16"/>
                <w:lang w:val="en-GB"/>
              </w:rPr>
              <w:t xml:space="preserve">MSDF </w:t>
            </w:r>
            <w:r w:rsidR="00A94A38" w:rsidRPr="005C7E82">
              <w:rPr>
                <w:b/>
                <w:bCs/>
                <w:sz w:val="16"/>
                <w:szCs w:val="16"/>
                <w:lang w:val="en-GB"/>
              </w:rPr>
              <w:t>outcome indicators, baselines, targets</w:t>
            </w:r>
          </w:p>
        </w:tc>
        <w:tc>
          <w:tcPr>
            <w:tcW w:w="592" w:type="pct"/>
            <w:shd w:val="clear" w:color="auto" w:fill="auto"/>
            <w:vAlign w:val="center"/>
          </w:tcPr>
          <w:p w14:paraId="6A4E4613" w14:textId="7BDDCE69" w:rsidR="007A05B6" w:rsidRPr="000708D6" w:rsidRDefault="007A05B6" w:rsidP="00125266">
            <w:pPr>
              <w:jc w:val="center"/>
              <w:rPr>
                <w:b/>
                <w:sz w:val="16"/>
                <w:szCs w:val="16"/>
                <w:lang w:val="en-GB"/>
              </w:rPr>
            </w:pPr>
            <w:r w:rsidRPr="000708D6">
              <w:rPr>
                <w:b/>
                <w:sz w:val="16"/>
                <w:szCs w:val="16"/>
                <w:lang w:val="en-GB"/>
              </w:rPr>
              <w:t>D</w:t>
            </w:r>
            <w:r w:rsidR="00C11E83" w:rsidRPr="002807FF">
              <w:rPr>
                <w:b/>
                <w:sz w:val="16"/>
                <w:szCs w:val="16"/>
                <w:lang w:val="en-GB"/>
              </w:rPr>
              <w:t xml:space="preserve">ata source and frequency of data collection, and </w:t>
            </w:r>
            <w:r w:rsidR="0051291E" w:rsidRPr="00A56C57">
              <w:rPr>
                <w:b/>
                <w:sz w:val="16"/>
                <w:szCs w:val="16"/>
                <w:lang w:val="en-GB"/>
              </w:rPr>
              <w:t xml:space="preserve">frequency </w:t>
            </w:r>
          </w:p>
        </w:tc>
        <w:tc>
          <w:tcPr>
            <w:tcW w:w="1873" w:type="pct"/>
            <w:shd w:val="clear" w:color="auto" w:fill="auto"/>
            <w:tcMar>
              <w:top w:w="72" w:type="dxa"/>
              <w:left w:w="144" w:type="dxa"/>
              <w:bottom w:w="72" w:type="dxa"/>
              <w:right w:w="144" w:type="dxa"/>
            </w:tcMar>
            <w:vAlign w:val="center"/>
          </w:tcPr>
          <w:p w14:paraId="57E32742" w14:textId="77777777" w:rsidR="007A05B6" w:rsidRPr="000708D6" w:rsidRDefault="00C11E83" w:rsidP="00025617">
            <w:pPr>
              <w:jc w:val="center"/>
              <w:rPr>
                <w:sz w:val="16"/>
                <w:szCs w:val="16"/>
                <w:lang w:val="en-GB"/>
              </w:rPr>
            </w:pPr>
            <w:r w:rsidRPr="005C7E82">
              <w:rPr>
                <w:b/>
                <w:bCs/>
                <w:sz w:val="16"/>
                <w:szCs w:val="16"/>
                <w:lang w:val="en-GB"/>
              </w:rPr>
              <w:t>Indicative country programme outputs</w:t>
            </w:r>
            <w:r w:rsidR="007A05B6" w:rsidRPr="005C7E82">
              <w:rPr>
                <w:b/>
                <w:bCs/>
                <w:sz w:val="16"/>
                <w:szCs w:val="16"/>
                <w:lang w:val="en-GB"/>
              </w:rPr>
              <w:t xml:space="preserve"> </w:t>
            </w:r>
          </w:p>
        </w:tc>
        <w:tc>
          <w:tcPr>
            <w:tcW w:w="788" w:type="pct"/>
            <w:shd w:val="clear" w:color="auto" w:fill="auto"/>
            <w:vAlign w:val="center"/>
          </w:tcPr>
          <w:p w14:paraId="4065FF72" w14:textId="1E906475" w:rsidR="007A05B6" w:rsidRPr="002807FF" w:rsidRDefault="00C11E83" w:rsidP="00125266">
            <w:pPr>
              <w:jc w:val="center"/>
              <w:rPr>
                <w:b/>
                <w:bCs/>
                <w:sz w:val="16"/>
                <w:szCs w:val="16"/>
                <w:lang w:val="en-GB"/>
              </w:rPr>
            </w:pPr>
            <w:r w:rsidRPr="005C7E82">
              <w:rPr>
                <w:b/>
                <w:bCs/>
                <w:sz w:val="16"/>
                <w:szCs w:val="16"/>
                <w:lang w:val="en-GB"/>
              </w:rPr>
              <w:t>Major partners</w:t>
            </w:r>
            <w:r>
              <w:rPr>
                <w:b/>
                <w:bCs/>
                <w:sz w:val="16"/>
                <w:szCs w:val="16"/>
                <w:lang w:val="en-GB"/>
              </w:rPr>
              <w:t xml:space="preserve">, </w:t>
            </w:r>
            <w:r w:rsidRPr="002807FF">
              <w:rPr>
                <w:b/>
                <w:bCs/>
                <w:sz w:val="16"/>
                <w:szCs w:val="16"/>
                <w:lang w:val="en-GB"/>
              </w:rPr>
              <w:t>partnerships</w:t>
            </w:r>
          </w:p>
          <w:p w14:paraId="2405848B" w14:textId="246AB00D" w:rsidR="007A05B6" w:rsidRPr="002807FF" w:rsidRDefault="00C11E83" w:rsidP="00125266">
            <w:pPr>
              <w:jc w:val="center"/>
              <w:rPr>
                <w:b/>
                <w:bCs/>
                <w:sz w:val="16"/>
                <w:szCs w:val="16"/>
                <w:lang w:val="en-GB"/>
              </w:rPr>
            </w:pPr>
            <w:r>
              <w:rPr>
                <w:b/>
                <w:bCs/>
                <w:sz w:val="16"/>
                <w:szCs w:val="16"/>
                <w:lang w:val="en-GB"/>
              </w:rPr>
              <w:t>and f</w:t>
            </w:r>
            <w:r w:rsidRPr="002807FF">
              <w:rPr>
                <w:b/>
                <w:bCs/>
                <w:sz w:val="16"/>
                <w:szCs w:val="16"/>
                <w:lang w:val="en-GB"/>
              </w:rPr>
              <w:t>rameworks</w:t>
            </w:r>
          </w:p>
        </w:tc>
        <w:tc>
          <w:tcPr>
            <w:tcW w:w="708" w:type="pct"/>
            <w:tcBorders>
              <w:bottom w:val="single" w:sz="4" w:space="0" w:color="auto"/>
            </w:tcBorders>
            <w:shd w:val="clear" w:color="auto" w:fill="auto"/>
            <w:tcMar>
              <w:top w:w="15" w:type="dxa"/>
              <w:left w:w="108" w:type="dxa"/>
              <w:bottom w:w="0" w:type="dxa"/>
              <w:right w:w="108" w:type="dxa"/>
            </w:tcMar>
            <w:vAlign w:val="center"/>
          </w:tcPr>
          <w:p w14:paraId="02BA90F5" w14:textId="77777777" w:rsidR="00C11E83" w:rsidRDefault="00C11E83" w:rsidP="00125266">
            <w:pPr>
              <w:jc w:val="center"/>
              <w:rPr>
                <w:b/>
                <w:bCs/>
                <w:sz w:val="16"/>
                <w:szCs w:val="16"/>
                <w:lang w:val="en-GB"/>
              </w:rPr>
            </w:pPr>
            <w:r w:rsidRPr="005C7E82">
              <w:rPr>
                <w:b/>
                <w:bCs/>
                <w:sz w:val="16"/>
                <w:szCs w:val="16"/>
                <w:lang w:val="en-GB"/>
              </w:rPr>
              <w:t xml:space="preserve">Indicative resources </w:t>
            </w:r>
          </w:p>
          <w:p w14:paraId="4A57ACEB" w14:textId="77777777" w:rsidR="00C11E83" w:rsidRDefault="00C11E83" w:rsidP="00125266">
            <w:pPr>
              <w:jc w:val="center"/>
              <w:rPr>
                <w:b/>
                <w:bCs/>
                <w:sz w:val="16"/>
                <w:szCs w:val="16"/>
                <w:lang w:val="en-GB"/>
              </w:rPr>
            </w:pPr>
            <w:r w:rsidRPr="002807FF">
              <w:rPr>
                <w:b/>
                <w:bCs/>
                <w:sz w:val="16"/>
                <w:szCs w:val="16"/>
                <w:lang w:val="en-GB"/>
              </w:rPr>
              <w:t xml:space="preserve">by outcome </w:t>
            </w:r>
          </w:p>
          <w:p w14:paraId="209189C5" w14:textId="77777777" w:rsidR="007A05B6" w:rsidRPr="002807FF" w:rsidRDefault="00C11E83" w:rsidP="00125266">
            <w:pPr>
              <w:jc w:val="center"/>
              <w:rPr>
                <w:b/>
                <w:bCs/>
                <w:sz w:val="16"/>
                <w:szCs w:val="16"/>
                <w:lang w:val="en-GB"/>
              </w:rPr>
            </w:pPr>
            <w:r w:rsidRPr="002807FF">
              <w:rPr>
                <w:b/>
                <w:bCs/>
                <w:sz w:val="16"/>
                <w:szCs w:val="16"/>
                <w:lang w:val="en-GB"/>
              </w:rPr>
              <w:t>(</w:t>
            </w:r>
            <w:r>
              <w:rPr>
                <w:b/>
                <w:bCs/>
                <w:sz w:val="16"/>
                <w:szCs w:val="16"/>
                <w:lang w:val="en-GB"/>
              </w:rPr>
              <w:t xml:space="preserve">in </w:t>
            </w:r>
            <w:r w:rsidR="007A05B6" w:rsidRPr="002807FF">
              <w:rPr>
                <w:b/>
                <w:bCs/>
                <w:sz w:val="16"/>
                <w:szCs w:val="16"/>
                <w:lang w:val="en-GB"/>
              </w:rPr>
              <w:t>$</w:t>
            </w:r>
            <w:r>
              <w:rPr>
                <w:b/>
                <w:bCs/>
                <w:sz w:val="16"/>
                <w:szCs w:val="16"/>
                <w:lang w:val="en-GB"/>
              </w:rPr>
              <w:t xml:space="preserve"> thousands</w:t>
            </w:r>
            <w:r w:rsidR="007A05B6" w:rsidRPr="002807FF">
              <w:rPr>
                <w:b/>
                <w:bCs/>
                <w:sz w:val="16"/>
                <w:szCs w:val="16"/>
                <w:lang w:val="en-GB"/>
              </w:rPr>
              <w:t>)</w:t>
            </w:r>
          </w:p>
          <w:p w14:paraId="0A5EFF3F" w14:textId="77777777" w:rsidR="007A05B6" w:rsidRPr="000708D6" w:rsidRDefault="007A05B6" w:rsidP="00125266">
            <w:pPr>
              <w:jc w:val="center"/>
              <w:rPr>
                <w:sz w:val="16"/>
                <w:szCs w:val="16"/>
                <w:lang w:val="en-GB"/>
              </w:rPr>
            </w:pPr>
          </w:p>
        </w:tc>
      </w:tr>
      <w:tr w:rsidR="007C460A" w:rsidRPr="005C7E82" w14:paraId="4E18875B" w14:textId="77777777" w:rsidTr="004033D3">
        <w:trPr>
          <w:trHeight w:val="133"/>
        </w:trPr>
        <w:tc>
          <w:tcPr>
            <w:tcW w:w="1027" w:type="pct"/>
            <w:tcMar>
              <w:top w:w="72" w:type="dxa"/>
              <w:left w:w="144" w:type="dxa"/>
              <w:bottom w:w="72" w:type="dxa"/>
              <w:right w:w="144" w:type="dxa"/>
            </w:tcMar>
          </w:tcPr>
          <w:p w14:paraId="4193C0C3" w14:textId="6A30B8B1" w:rsidR="006124BB" w:rsidRPr="005C7E82" w:rsidRDefault="006124BB" w:rsidP="002872B2">
            <w:pPr>
              <w:jc w:val="both"/>
              <w:rPr>
                <w:bCs/>
                <w:iCs/>
                <w:sz w:val="16"/>
                <w:szCs w:val="16"/>
                <w:lang w:val="en-GB"/>
              </w:rPr>
            </w:pPr>
            <w:r w:rsidRPr="005C7E82">
              <w:rPr>
                <w:b/>
                <w:bCs/>
                <w:iCs/>
                <w:sz w:val="16"/>
                <w:szCs w:val="16"/>
                <w:lang w:val="en-GB"/>
              </w:rPr>
              <w:t>Indicator</w:t>
            </w:r>
            <w:r w:rsidR="00C11E83">
              <w:rPr>
                <w:b/>
                <w:bCs/>
                <w:iCs/>
                <w:sz w:val="16"/>
                <w:szCs w:val="16"/>
                <w:lang w:val="en-GB"/>
              </w:rPr>
              <w:t>:</w:t>
            </w:r>
            <w:r w:rsidRPr="005C7E82">
              <w:rPr>
                <w:bCs/>
                <w:iCs/>
                <w:sz w:val="16"/>
                <w:szCs w:val="16"/>
                <w:lang w:val="en-GB"/>
              </w:rPr>
              <w:t xml:space="preserve"> </w:t>
            </w:r>
            <w:r w:rsidR="00C11E83">
              <w:rPr>
                <w:bCs/>
                <w:iCs/>
                <w:sz w:val="16"/>
                <w:szCs w:val="16"/>
                <w:lang w:val="en-GB"/>
              </w:rPr>
              <w:t>Percentage</w:t>
            </w:r>
            <w:r w:rsidR="00C11E83" w:rsidRPr="005C7E82">
              <w:rPr>
                <w:bCs/>
                <w:iCs/>
                <w:sz w:val="16"/>
                <w:szCs w:val="16"/>
                <w:lang w:val="en-GB"/>
              </w:rPr>
              <w:t xml:space="preserve"> </w:t>
            </w:r>
            <w:r w:rsidRPr="005C7E82">
              <w:rPr>
                <w:bCs/>
                <w:iCs/>
                <w:sz w:val="16"/>
                <w:szCs w:val="16"/>
                <w:lang w:val="en-GB"/>
              </w:rPr>
              <w:t xml:space="preserve">of </w:t>
            </w:r>
            <w:r w:rsidRPr="002807FF">
              <w:rPr>
                <w:bCs/>
                <w:iCs/>
                <w:sz w:val="16"/>
                <w:szCs w:val="16"/>
                <w:lang w:val="en-GB"/>
              </w:rPr>
              <w:t>populati</w:t>
            </w:r>
            <w:r w:rsidR="002872B2" w:rsidRPr="002807FF">
              <w:rPr>
                <w:bCs/>
                <w:iCs/>
                <w:sz w:val="16"/>
                <w:szCs w:val="16"/>
                <w:lang w:val="en-GB"/>
              </w:rPr>
              <w:t xml:space="preserve">on covered by social protection </w:t>
            </w:r>
            <w:r w:rsidRPr="005C7E82">
              <w:rPr>
                <w:bCs/>
                <w:iCs/>
                <w:sz w:val="16"/>
                <w:szCs w:val="16"/>
                <w:lang w:val="en-GB"/>
              </w:rPr>
              <w:t>floors/</w:t>
            </w:r>
            <w:r w:rsidR="00C859FC">
              <w:rPr>
                <w:bCs/>
                <w:iCs/>
                <w:sz w:val="16"/>
                <w:szCs w:val="16"/>
                <w:lang w:val="en-GB"/>
              </w:rPr>
              <w:t xml:space="preserve"> </w:t>
            </w:r>
            <w:r w:rsidRPr="005C7E82">
              <w:rPr>
                <w:bCs/>
                <w:iCs/>
                <w:sz w:val="16"/>
                <w:szCs w:val="16"/>
                <w:lang w:val="en-GB"/>
              </w:rPr>
              <w:t>systems</w:t>
            </w:r>
            <w:r w:rsidR="00C11E83">
              <w:rPr>
                <w:bCs/>
                <w:iCs/>
                <w:sz w:val="16"/>
                <w:szCs w:val="16"/>
                <w:lang w:val="en-GB"/>
              </w:rPr>
              <w:t>,</w:t>
            </w:r>
            <w:r w:rsidRPr="002807FF">
              <w:rPr>
                <w:bCs/>
                <w:iCs/>
                <w:sz w:val="16"/>
                <w:szCs w:val="16"/>
                <w:lang w:val="en-GB"/>
              </w:rPr>
              <w:t xml:space="preserve"> disaggregated by sex, children, unemployed, old age, people with disabilities, pregnant women</w:t>
            </w:r>
            <w:r w:rsidR="00C11E83">
              <w:rPr>
                <w:bCs/>
                <w:iCs/>
                <w:sz w:val="16"/>
                <w:szCs w:val="16"/>
                <w:lang w:val="en-GB"/>
              </w:rPr>
              <w:t xml:space="preserve">, </w:t>
            </w:r>
            <w:r w:rsidRPr="002807FF">
              <w:rPr>
                <w:bCs/>
                <w:iCs/>
                <w:sz w:val="16"/>
                <w:szCs w:val="16"/>
                <w:lang w:val="en-GB"/>
              </w:rPr>
              <w:t>new</w:t>
            </w:r>
            <w:r w:rsidR="00C859FC">
              <w:rPr>
                <w:bCs/>
                <w:iCs/>
                <w:sz w:val="16"/>
                <w:szCs w:val="16"/>
                <w:lang w:val="en-GB"/>
              </w:rPr>
              <w:t>-</w:t>
            </w:r>
            <w:r w:rsidRPr="002807FF">
              <w:rPr>
                <w:bCs/>
                <w:iCs/>
                <w:sz w:val="16"/>
                <w:szCs w:val="16"/>
                <w:lang w:val="en-GB"/>
              </w:rPr>
              <w:t>borns, work injury victims, poor and vulnerable</w:t>
            </w:r>
            <w:r w:rsidR="00221433" w:rsidRPr="005C7E82">
              <w:rPr>
                <w:bCs/>
                <w:iCs/>
                <w:sz w:val="16"/>
                <w:szCs w:val="16"/>
                <w:lang w:val="en-GB"/>
              </w:rPr>
              <w:t xml:space="preserve">. </w:t>
            </w:r>
          </w:p>
          <w:p w14:paraId="5C56CD22" w14:textId="77777777" w:rsidR="006124BB" w:rsidRPr="005C7E82" w:rsidRDefault="006124BB" w:rsidP="00D42004">
            <w:pPr>
              <w:rPr>
                <w:bCs/>
                <w:iCs/>
                <w:sz w:val="16"/>
                <w:szCs w:val="16"/>
                <w:lang w:val="en-GB"/>
              </w:rPr>
            </w:pPr>
            <w:r w:rsidRPr="005C7E82">
              <w:rPr>
                <w:b/>
                <w:bCs/>
                <w:iCs/>
                <w:sz w:val="16"/>
                <w:szCs w:val="16"/>
                <w:lang w:val="en-GB"/>
              </w:rPr>
              <w:t>Baseline</w:t>
            </w:r>
            <w:r w:rsidRPr="005C7E82">
              <w:rPr>
                <w:bCs/>
                <w:iCs/>
                <w:sz w:val="16"/>
                <w:szCs w:val="16"/>
                <w:lang w:val="en-GB"/>
              </w:rPr>
              <w:t>:</w:t>
            </w:r>
            <w:r w:rsidR="00E16C3A" w:rsidRPr="005C7E82">
              <w:rPr>
                <w:bCs/>
                <w:iCs/>
                <w:sz w:val="16"/>
                <w:szCs w:val="16"/>
                <w:lang w:val="en-GB"/>
              </w:rPr>
              <w:t xml:space="preserve"> </w:t>
            </w:r>
            <w:r w:rsidR="005A4EA0" w:rsidRPr="005C7E82">
              <w:rPr>
                <w:bCs/>
                <w:iCs/>
                <w:sz w:val="16"/>
                <w:szCs w:val="16"/>
                <w:lang w:val="en-GB"/>
              </w:rPr>
              <w:t>11.5%</w:t>
            </w:r>
            <w:r w:rsidR="005A4EA0" w:rsidRPr="005C7E82">
              <w:rPr>
                <w:rStyle w:val="FootnoteReference"/>
                <w:bCs/>
                <w:iCs/>
                <w:sz w:val="16"/>
                <w:szCs w:val="16"/>
                <w:lang w:val="en-GB"/>
              </w:rPr>
              <w:footnoteReference w:id="19"/>
            </w:r>
          </w:p>
          <w:p w14:paraId="09087875" w14:textId="77777777" w:rsidR="006124BB" w:rsidRPr="002807FF" w:rsidRDefault="006124BB" w:rsidP="00D42004">
            <w:pPr>
              <w:rPr>
                <w:bCs/>
                <w:iCs/>
                <w:sz w:val="16"/>
                <w:szCs w:val="16"/>
                <w:lang w:val="en-GB"/>
              </w:rPr>
            </w:pPr>
            <w:r w:rsidRPr="00414E3E">
              <w:rPr>
                <w:b/>
                <w:bCs/>
                <w:iCs/>
                <w:sz w:val="16"/>
                <w:szCs w:val="16"/>
                <w:lang w:val="en-GB"/>
              </w:rPr>
              <w:t>Target:</w:t>
            </w:r>
            <w:r w:rsidRPr="002807FF">
              <w:rPr>
                <w:bCs/>
                <w:iCs/>
                <w:sz w:val="16"/>
                <w:szCs w:val="16"/>
                <w:lang w:val="en-GB"/>
              </w:rPr>
              <w:t xml:space="preserve"> </w:t>
            </w:r>
            <w:r w:rsidR="00A015A8" w:rsidRPr="002807FF">
              <w:rPr>
                <w:bCs/>
                <w:iCs/>
                <w:sz w:val="16"/>
                <w:szCs w:val="16"/>
                <w:lang w:val="en-GB"/>
              </w:rPr>
              <w:t>16.5%</w:t>
            </w:r>
            <w:r w:rsidR="00144FFB" w:rsidRPr="002807FF">
              <w:rPr>
                <w:bCs/>
                <w:iCs/>
                <w:sz w:val="16"/>
                <w:szCs w:val="16"/>
                <w:lang w:val="en-GB"/>
              </w:rPr>
              <w:t xml:space="preserve"> </w:t>
            </w:r>
          </w:p>
          <w:p w14:paraId="2501D195" w14:textId="77777777" w:rsidR="005C15DC" w:rsidRPr="005C7E82" w:rsidRDefault="005C15DC" w:rsidP="00AB4ABF">
            <w:pPr>
              <w:jc w:val="center"/>
              <w:rPr>
                <w:bCs/>
                <w:sz w:val="16"/>
                <w:szCs w:val="16"/>
                <w:lang w:val="en-GB"/>
              </w:rPr>
            </w:pPr>
          </w:p>
          <w:p w14:paraId="51D219FE" w14:textId="71B2A37F" w:rsidR="00AB4ABF" w:rsidRPr="000708D6" w:rsidRDefault="00AB4ABF" w:rsidP="00F64E20">
            <w:pPr>
              <w:jc w:val="both"/>
              <w:rPr>
                <w:bCs/>
                <w:sz w:val="16"/>
                <w:szCs w:val="16"/>
                <w:lang w:val="en-GB"/>
              </w:rPr>
            </w:pPr>
            <w:r w:rsidRPr="005C7E82">
              <w:rPr>
                <w:b/>
                <w:bCs/>
                <w:sz w:val="16"/>
                <w:szCs w:val="16"/>
                <w:lang w:val="en-GB"/>
              </w:rPr>
              <w:t xml:space="preserve">Indicator: </w:t>
            </w:r>
            <w:r w:rsidR="0038738A" w:rsidRPr="005C7E82">
              <w:rPr>
                <w:bCs/>
                <w:sz w:val="16"/>
                <w:szCs w:val="16"/>
                <w:lang w:val="en-GB"/>
              </w:rPr>
              <w:t>N</w:t>
            </w:r>
            <w:r w:rsidRPr="000708D6">
              <w:rPr>
                <w:bCs/>
                <w:sz w:val="16"/>
                <w:szCs w:val="16"/>
                <w:lang w:val="en-GB"/>
              </w:rPr>
              <w:t xml:space="preserve">umber of </w:t>
            </w:r>
            <w:r w:rsidR="00CF1355" w:rsidRPr="000708D6">
              <w:rPr>
                <w:bCs/>
                <w:sz w:val="16"/>
                <w:szCs w:val="16"/>
                <w:lang w:val="en-GB"/>
              </w:rPr>
              <w:t xml:space="preserve">monitoring and evaluation </w:t>
            </w:r>
            <w:r w:rsidRPr="000708D6">
              <w:rPr>
                <w:bCs/>
                <w:sz w:val="16"/>
                <w:szCs w:val="16"/>
                <w:lang w:val="en-GB"/>
              </w:rPr>
              <w:t>framework</w:t>
            </w:r>
            <w:r w:rsidR="00CF1355" w:rsidRPr="000708D6">
              <w:rPr>
                <w:bCs/>
                <w:sz w:val="16"/>
                <w:szCs w:val="16"/>
                <w:lang w:val="en-GB"/>
              </w:rPr>
              <w:t>s</w:t>
            </w:r>
            <w:r w:rsidRPr="000708D6">
              <w:rPr>
                <w:bCs/>
                <w:sz w:val="16"/>
                <w:szCs w:val="16"/>
                <w:lang w:val="en-GB"/>
              </w:rPr>
              <w:t xml:space="preserve"> for social protection program</w:t>
            </w:r>
            <w:r w:rsidR="00F91908" w:rsidRPr="000708D6">
              <w:rPr>
                <w:bCs/>
                <w:sz w:val="16"/>
                <w:szCs w:val="16"/>
                <w:lang w:val="en-GB"/>
              </w:rPr>
              <w:t>me</w:t>
            </w:r>
            <w:r w:rsidRPr="000708D6">
              <w:rPr>
                <w:bCs/>
                <w:sz w:val="16"/>
                <w:szCs w:val="16"/>
                <w:lang w:val="en-GB"/>
              </w:rPr>
              <w:t>s</w:t>
            </w:r>
            <w:r w:rsidR="00EE1618" w:rsidRPr="000708D6">
              <w:rPr>
                <w:bCs/>
                <w:sz w:val="16"/>
                <w:szCs w:val="16"/>
                <w:lang w:val="en-GB"/>
              </w:rPr>
              <w:t xml:space="preserve"> in </w:t>
            </w:r>
            <w:r w:rsidR="00221433" w:rsidRPr="000708D6">
              <w:rPr>
                <w:bCs/>
                <w:sz w:val="16"/>
                <w:szCs w:val="16"/>
                <w:lang w:val="en-GB"/>
              </w:rPr>
              <w:t>Trinidad and Tobago</w:t>
            </w:r>
            <w:r w:rsidR="00EE1618" w:rsidRPr="000708D6">
              <w:rPr>
                <w:bCs/>
                <w:sz w:val="16"/>
                <w:szCs w:val="16"/>
                <w:lang w:val="en-GB"/>
              </w:rPr>
              <w:t>.</w:t>
            </w:r>
          </w:p>
          <w:p w14:paraId="043C0F73" w14:textId="77777777" w:rsidR="00AB4ABF" w:rsidRPr="000708D6" w:rsidRDefault="00AB4ABF" w:rsidP="00F64E20">
            <w:pPr>
              <w:jc w:val="both"/>
              <w:rPr>
                <w:bCs/>
                <w:sz w:val="16"/>
                <w:szCs w:val="16"/>
                <w:lang w:val="en-GB"/>
              </w:rPr>
            </w:pPr>
            <w:r w:rsidRPr="000708D6">
              <w:rPr>
                <w:b/>
                <w:bCs/>
                <w:sz w:val="16"/>
                <w:szCs w:val="16"/>
                <w:lang w:val="en-GB"/>
              </w:rPr>
              <w:t xml:space="preserve">Baseline: </w:t>
            </w:r>
            <w:r w:rsidR="00F91908" w:rsidRPr="000708D6">
              <w:rPr>
                <w:bCs/>
                <w:sz w:val="16"/>
                <w:szCs w:val="16"/>
                <w:lang w:val="en-GB"/>
              </w:rPr>
              <w:t>0</w:t>
            </w:r>
          </w:p>
          <w:p w14:paraId="0F297104" w14:textId="77777777" w:rsidR="00AB4ABF" w:rsidRPr="005C7E82" w:rsidRDefault="00AB4ABF" w:rsidP="00F91908">
            <w:pPr>
              <w:jc w:val="both"/>
              <w:rPr>
                <w:b/>
                <w:bCs/>
                <w:sz w:val="16"/>
                <w:szCs w:val="16"/>
                <w:lang w:val="en-GB"/>
              </w:rPr>
            </w:pPr>
            <w:r w:rsidRPr="000708D6">
              <w:rPr>
                <w:b/>
                <w:bCs/>
                <w:sz w:val="16"/>
                <w:szCs w:val="16"/>
                <w:lang w:val="en-GB"/>
              </w:rPr>
              <w:t>Target:</w:t>
            </w:r>
            <w:r w:rsidR="007D13E1" w:rsidRPr="000708D6">
              <w:rPr>
                <w:bCs/>
                <w:sz w:val="16"/>
                <w:szCs w:val="16"/>
                <w:lang w:val="en-GB"/>
              </w:rPr>
              <w:t xml:space="preserve"> </w:t>
            </w:r>
            <w:r w:rsidR="00F91908" w:rsidRPr="000708D6">
              <w:rPr>
                <w:bCs/>
                <w:sz w:val="16"/>
                <w:szCs w:val="16"/>
                <w:lang w:val="en-GB"/>
              </w:rPr>
              <w:t>2</w:t>
            </w:r>
          </w:p>
        </w:tc>
        <w:tc>
          <w:tcPr>
            <w:tcW w:w="604" w:type="pct"/>
            <w:gridSpan w:val="2"/>
          </w:tcPr>
          <w:p w14:paraId="43E16FCF" w14:textId="7977B5F1" w:rsidR="0051291E" w:rsidRDefault="0051291E" w:rsidP="004E0AD5">
            <w:pPr>
              <w:rPr>
                <w:bCs/>
                <w:sz w:val="16"/>
                <w:szCs w:val="16"/>
                <w:lang w:val="en-GB"/>
              </w:rPr>
            </w:pPr>
            <w:r>
              <w:rPr>
                <w:b/>
                <w:bCs/>
                <w:sz w:val="16"/>
                <w:szCs w:val="16"/>
                <w:lang w:val="en-GB"/>
              </w:rPr>
              <w:t>Source:</w:t>
            </w:r>
            <w:r w:rsidR="00AC2957" w:rsidRPr="002807FF">
              <w:rPr>
                <w:bCs/>
                <w:sz w:val="16"/>
                <w:szCs w:val="16"/>
                <w:lang w:val="en-GB"/>
              </w:rPr>
              <w:t xml:space="preserve"> </w:t>
            </w:r>
            <w:r w:rsidR="007D13E1" w:rsidRPr="002807FF">
              <w:rPr>
                <w:bCs/>
                <w:sz w:val="16"/>
                <w:szCs w:val="16"/>
                <w:lang w:val="en-GB"/>
              </w:rPr>
              <w:t>MSDFS</w:t>
            </w:r>
          </w:p>
          <w:p w14:paraId="080BA6D2" w14:textId="60A06E43" w:rsidR="00AC2957" w:rsidRPr="005C7E82" w:rsidRDefault="0051291E" w:rsidP="004E0AD5">
            <w:pPr>
              <w:rPr>
                <w:bCs/>
                <w:sz w:val="16"/>
                <w:szCs w:val="16"/>
                <w:lang w:val="en-GB"/>
              </w:rPr>
            </w:pPr>
            <w:r>
              <w:rPr>
                <w:b/>
                <w:sz w:val="16"/>
                <w:szCs w:val="16"/>
                <w:lang w:val="en-GB"/>
              </w:rPr>
              <w:t>F</w:t>
            </w:r>
            <w:r w:rsidRPr="00A56C57">
              <w:rPr>
                <w:b/>
                <w:sz w:val="16"/>
                <w:szCs w:val="16"/>
                <w:lang w:val="en-GB"/>
              </w:rPr>
              <w:t>requency</w:t>
            </w:r>
            <w:r>
              <w:rPr>
                <w:b/>
                <w:sz w:val="16"/>
                <w:szCs w:val="16"/>
                <w:lang w:val="en-GB"/>
              </w:rPr>
              <w:t>:</w:t>
            </w:r>
            <w:r>
              <w:rPr>
                <w:bCs/>
                <w:sz w:val="16"/>
                <w:szCs w:val="16"/>
                <w:lang w:val="en-GB"/>
              </w:rPr>
              <w:t xml:space="preserve"> a</w:t>
            </w:r>
            <w:r w:rsidR="00AC2957" w:rsidRPr="002807FF">
              <w:rPr>
                <w:bCs/>
                <w:sz w:val="16"/>
                <w:szCs w:val="16"/>
                <w:lang w:val="en-GB"/>
              </w:rPr>
              <w:t>nnual</w:t>
            </w:r>
          </w:p>
          <w:p w14:paraId="420B6875" w14:textId="05B2EF50" w:rsidR="00AC2957" w:rsidRPr="005C7E82" w:rsidRDefault="0051291E" w:rsidP="004E0AD5">
            <w:pPr>
              <w:rPr>
                <w:bCs/>
                <w:sz w:val="16"/>
                <w:szCs w:val="16"/>
                <w:lang w:val="en-GB"/>
              </w:rPr>
            </w:pPr>
            <w:r>
              <w:rPr>
                <w:b/>
                <w:sz w:val="16"/>
                <w:szCs w:val="16"/>
                <w:lang w:val="en-GB"/>
              </w:rPr>
              <w:t>R</w:t>
            </w:r>
            <w:r w:rsidRPr="00A56C57">
              <w:rPr>
                <w:b/>
                <w:sz w:val="16"/>
                <w:szCs w:val="16"/>
                <w:lang w:val="en-GB"/>
              </w:rPr>
              <w:t>esponsibiliti</w:t>
            </w:r>
            <w:r>
              <w:rPr>
                <w:b/>
                <w:sz w:val="16"/>
                <w:szCs w:val="16"/>
                <w:lang w:val="en-GB"/>
              </w:rPr>
              <w:t>es:</w:t>
            </w:r>
            <w:r w:rsidR="00AC2957" w:rsidRPr="002807FF">
              <w:rPr>
                <w:bCs/>
                <w:sz w:val="16"/>
                <w:szCs w:val="16"/>
                <w:lang w:val="en-GB"/>
              </w:rPr>
              <w:t xml:space="preserve"> </w:t>
            </w:r>
            <w:r w:rsidR="00AC2957" w:rsidRPr="005C7E82">
              <w:rPr>
                <w:bCs/>
                <w:sz w:val="16"/>
                <w:szCs w:val="16"/>
                <w:lang w:val="en-GB"/>
              </w:rPr>
              <w:t>M</w:t>
            </w:r>
            <w:r w:rsidR="007D13E1" w:rsidRPr="005C7E82">
              <w:rPr>
                <w:bCs/>
                <w:sz w:val="16"/>
                <w:szCs w:val="16"/>
                <w:lang w:val="en-GB"/>
              </w:rPr>
              <w:t xml:space="preserve">SDFS </w:t>
            </w:r>
          </w:p>
          <w:p w14:paraId="4AB323C0" w14:textId="77777777" w:rsidR="00AC2957" w:rsidRPr="005C7E82" w:rsidRDefault="00AC2957" w:rsidP="004E0AD5">
            <w:pPr>
              <w:rPr>
                <w:bCs/>
                <w:sz w:val="16"/>
                <w:szCs w:val="16"/>
                <w:lang w:val="en-GB"/>
              </w:rPr>
            </w:pPr>
          </w:p>
          <w:p w14:paraId="556F4F05" w14:textId="77777777" w:rsidR="006124BB" w:rsidRPr="005C7E82" w:rsidRDefault="006124BB" w:rsidP="006124BB">
            <w:pPr>
              <w:jc w:val="both"/>
              <w:rPr>
                <w:bCs/>
                <w:sz w:val="16"/>
                <w:szCs w:val="16"/>
                <w:lang w:val="en-GB"/>
              </w:rPr>
            </w:pPr>
          </w:p>
          <w:p w14:paraId="2A375D97" w14:textId="77777777" w:rsidR="00654430" w:rsidRPr="005C7E82" w:rsidRDefault="00654430" w:rsidP="006124BB">
            <w:pPr>
              <w:jc w:val="both"/>
              <w:rPr>
                <w:bCs/>
                <w:sz w:val="16"/>
                <w:szCs w:val="16"/>
                <w:lang w:val="en-GB"/>
              </w:rPr>
            </w:pPr>
          </w:p>
          <w:p w14:paraId="290E3D7A" w14:textId="77777777" w:rsidR="00654430" w:rsidRPr="005C7E82" w:rsidRDefault="00654430" w:rsidP="006124BB">
            <w:pPr>
              <w:jc w:val="both"/>
              <w:rPr>
                <w:bCs/>
                <w:sz w:val="16"/>
                <w:szCs w:val="16"/>
                <w:lang w:val="en-GB"/>
              </w:rPr>
            </w:pPr>
          </w:p>
          <w:p w14:paraId="22594012" w14:textId="77777777" w:rsidR="00654430" w:rsidRPr="005C7E82" w:rsidRDefault="00654430" w:rsidP="006124BB">
            <w:pPr>
              <w:jc w:val="both"/>
              <w:rPr>
                <w:bCs/>
                <w:sz w:val="16"/>
                <w:szCs w:val="16"/>
                <w:lang w:val="en-GB"/>
              </w:rPr>
            </w:pPr>
          </w:p>
          <w:p w14:paraId="54FBC8B5" w14:textId="77777777" w:rsidR="00654430" w:rsidRPr="005C7E82" w:rsidRDefault="00654430" w:rsidP="006124BB">
            <w:pPr>
              <w:jc w:val="both"/>
              <w:rPr>
                <w:bCs/>
                <w:sz w:val="16"/>
                <w:szCs w:val="16"/>
                <w:lang w:val="en-GB"/>
              </w:rPr>
            </w:pPr>
          </w:p>
          <w:p w14:paraId="5A4F9D3F" w14:textId="77777777" w:rsidR="00654430" w:rsidRPr="005C7E82" w:rsidRDefault="00654430" w:rsidP="006124BB">
            <w:pPr>
              <w:jc w:val="both"/>
              <w:rPr>
                <w:bCs/>
                <w:sz w:val="16"/>
                <w:szCs w:val="16"/>
                <w:lang w:val="en-GB"/>
              </w:rPr>
            </w:pPr>
          </w:p>
          <w:p w14:paraId="3B505D64" w14:textId="77777777" w:rsidR="00654430" w:rsidRPr="005C7E82" w:rsidRDefault="00654430" w:rsidP="006124BB">
            <w:pPr>
              <w:jc w:val="both"/>
              <w:rPr>
                <w:bCs/>
                <w:sz w:val="16"/>
                <w:szCs w:val="16"/>
                <w:lang w:val="en-GB"/>
              </w:rPr>
            </w:pPr>
          </w:p>
          <w:p w14:paraId="151BA790" w14:textId="77777777" w:rsidR="0051291E" w:rsidRDefault="0051291E" w:rsidP="0051291E">
            <w:pPr>
              <w:rPr>
                <w:bCs/>
                <w:sz w:val="16"/>
                <w:szCs w:val="16"/>
                <w:lang w:val="en-GB"/>
              </w:rPr>
            </w:pPr>
            <w:r>
              <w:rPr>
                <w:b/>
                <w:bCs/>
                <w:sz w:val="16"/>
                <w:szCs w:val="16"/>
                <w:lang w:val="en-GB"/>
              </w:rPr>
              <w:t>Source:</w:t>
            </w:r>
            <w:r w:rsidRPr="00A56C57">
              <w:rPr>
                <w:bCs/>
                <w:sz w:val="16"/>
                <w:szCs w:val="16"/>
                <w:lang w:val="en-GB"/>
              </w:rPr>
              <w:t xml:space="preserve"> MSDFS</w:t>
            </w:r>
          </w:p>
          <w:p w14:paraId="60F7F7CF" w14:textId="77777777" w:rsidR="0051291E" w:rsidRPr="00A56C57" w:rsidRDefault="0051291E" w:rsidP="0051291E">
            <w:pPr>
              <w:rPr>
                <w:bCs/>
                <w:sz w:val="16"/>
                <w:szCs w:val="16"/>
                <w:lang w:val="en-GB"/>
              </w:rPr>
            </w:pPr>
            <w:r>
              <w:rPr>
                <w:b/>
                <w:sz w:val="16"/>
                <w:szCs w:val="16"/>
                <w:lang w:val="en-GB"/>
              </w:rPr>
              <w:t>F</w:t>
            </w:r>
            <w:r w:rsidRPr="00A56C57">
              <w:rPr>
                <w:b/>
                <w:sz w:val="16"/>
                <w:szCs w:val="16"/>
                <w:lang w:val="en-GB"/>
              </w:rPr>
              <w:t>requency</w:t>
            </w:r>
            <w:r>
              <w:rPr>
                <w:b/>
                <w:sz w:val="16"/>
                <w:szCs w:val="16"/>
                <w:lang w:val="en-GB"/>
              </w:rPr>
              <w:t>:</w:t>
            </w:r>
            <w:r>
              <w:rPr>
                <w:bCs/>
                <w:sz w:val="16"/>
                <w:szCs w:val="16"/>
                <w:lang w:val="en-GB"/>
              </w:rPr>
              <w:t xml:space="preserve"> a</w:t>
            </w:r>
            <w:r w:rsidRPr="00A56C57">
              <w:rPr>
                <w:bCs/>
                <w:sz w:val="16"/>
                <w:szCs w:val="16"/>
                <w:lang w:val="en-GB"/>
              </w:rPr>
              <w:t>nnual</w:t>
            </w:r>
          </w:p>
          <w:p w14:paraId="23EA9864" w14:textId="77777777" w:rsidR="0051291E" w:rsidRPr="00A56C57" w:rsidRDefault="0051291E" w:rsidP="0051291E">
            <w:pPr>
              <w:rPr>
                <w:bCs/>
                <w:sz w:val="16"/>
                <w:szCs w:val="16"/>
                <w:lang w:val="en-GB"/>
              </w:rPr>
            </w:pPr>
            <w:r>
              <w:rPr>
                <w:b/>
                <w:sz w:val="16"/>
                <w:szCs w:val="16"/>
                <w:lang w:val="en-GB"/>
              </w:rPr>
              <w:t>R</w:t>
            </w:r>
            <w:r w:rsidRPr="00A56C57">
              <w:rPr>
                <w:b/>
                <w:sz w:val="16"/>
                <w:szCs w:val="16"/>
                <w:lang w:val="en-GB"/>
              </w:rPr>
              <w:t>esponsibiliti</w:t>
            </w:r>
            <w:r>
              <w:rPr>
                <w:b/>
                <w:sz w:val="16"/>
                <w:szCs w:val="16"/>
                <w:lang w:val="en-GB"/>
              </w:rPr>
              <w:t>es:</w:t>
            </w:r>
            <w:r w:rsidRPr="00A56C57">
              <w:rPr>
                <w:bCs/>
                <w:sz w:val="16"/>
                <w:szCs w:val="16"/>
                <w:lang w:val="en-GB"/>
              </w:rPr>
              <w:t xml:space="preserve"> MSDFS </w:t>
            </w:r>
          </w:p>
          <w:p w14:paraId="79E50626" w14:textId="0238762A" w:rsidR="007D13E1" w:rsidRPr="002807FF" w:rsidRDefault="00D42004" w:rsidP="00AB4ABF">
            <w:pPr>
              <w:rPr>
                <w:b/>
                <w:bCs/>
                <w:sz w:val="16"/>
                <w:szCs w:val="16"/>
                <w:lang w:val="en-GB"/>
              </w:rPr>
            </w:pPr>
            <w:r w:rsidRPr="002807FF">
              <w:rPr>
                <w:bCs/>
                <w:sz w:val="16"/>
                <w:szCs w:val="16"/>
                <w:lang w:val="en-GB"/>
              </w:rPr>
              <w:t xml:space="preserve"> </w:t>
            </w:r>
          </w:p>
        </w:tc>
        <w:tc>
          <w:tcPr>
            <w:tcW w:w="1873" w:type="pct"/>
            <w:tcMar>
              <w:top w:w="72" w:type="dxa"/>
              <w:left w:w="144" w:type="dxa"/>
              <w:bottom w:w="72" w:type="dxa"/>
              <w:right w:w="144" w:type="dxa"/>
            </w:tcMar>
          </w:tcPr>
          <w:p w14:paraId="6229C721" w14:textId="77777777" w:rsidR="007D020C" w:rsidRPr="005C7E82" w:rsidRDefault="00997C0E" w:rsidP="000708D6">
            <w:pPr>
              <w:pStyle w:val="ListParagraph"/>
              <w:tabs>
                <w:tab w:val="left" w:pos="431"/>
              </w:tabs>
              <w:spacing w:after="60" w:line="259" w:lineRule="auto"/>
              <w:ind w:left="0"/>
              <w:jc w:val="both"/>
              <w:rPr>
                <w:b/>
                <w:iCs/>
                <w:sz w:val="16"/>
                <w:szCs w:val="16"/>
                <w:lang w:val="en-GB"/>
              </w:rPr>
            </w:pPr>
            <w:r>
              <w:rPr>
                <w:b/>
                <w:iCs/>
                <w:sz w:val="16"/>
                <w:szCs w:val="16"/>
                <w:lang w:val="en-GB"/>
              </w:rPr>
              <w:t xml:space="preserve">1.1. </w:t>
            </w:r>
            <w:r w:rsidR="00BE4E0C" w:rsidRPr="005C7E82">
              <w:rPr>
                <w:b/>
                <w:iCs/>
                <w:sz w:val="16"/>
                <w:szCs w:val="16"/>
                <w:lang w:val="en-GB"/>
              </w:rPr>
              <w:t xml:space="preserve">Capacity of </w:t>
            </w:r>
            <w:r w:rsidR="005C15DC" w:rsidRPr="005C7E82">
              <w:rPr>
                <w:b/>
                <w:iCs/>
                <w:sz w:val="16"/>
                <w:szCs w:val="16"/>
                <w:lang w:val="en-GB"/>
              </w:rPr>
              <w:t>s</w:t>
            </w:r>
            <w:r w:rsidR="00B90AC4" w:rsidRPr="005C7E82">
              <w:rPr>
                <w:b/>
                <w:iCs/>
                <w:sz w:val="16"/>
                <w:szCs w:val="16"/>
                <w:lang w:val="en-GB"/>
              </w:rPr>
              <w:t>tate agencies</w:t>
            </w:r>
            <w:r w:rsidR="00BE4E0C" w:rsidRPr="005C7E82">
              <w:rPr>
                <w:b/>
                <w:iCs/>
                <w:sz w:val="16"/>
                <w:szCs w:val="16"/>
                <w:lang w:val="en-GB"/>
              </w:rPr>
              <w:t xml:space="preserve"> to reliably collect, analyse and disseminate </w:t>
            </w:r>
            <w:r w:rsidR="007D020C" w:rsidRPr="005C7E82">
              <w:rPr>
                <w:b/>
                <w:iCs/>
                <w:sz w:val="16"/>
                <w:szCs w:val="16"/>
                <w:lang w:val="en-GB"/>
              </w:rPr>
              <w:t>p</w:t>
            </w:r>
            <w:r w:rsidR="00BE4E0C" w:rsidRPr="005C7E82">
              <w:rPr>
                <w:b/>
                <w:iCs/>
                <w:sz w:val="16"/>
                <w:szCs w:val="16"/>
                <w:lang w:val="en-GB"/>
              </w:rPr>
              <w:t>overty data independently increased.</w:t>
            </w:r>
          </w:p>
          <w:p w14:paraId="77C92968" w14:textId="77777777" w:rsidR="005448A1" w:rsidRPr="005C7E82" w:rsidRDefault="0051291E" w:rsidP="000708D6">
            <w:pPr>
              <w:pStyle w:val="ListParagraph"/>
              <w:tabs>
                <w:tab w:val="left" w:pos="431"/>
              </w:tabs>
              <w:spacing w:line="259" w:lineRule="auto"/>
              <w:ind w:left="0"/>
              <w:jc w:val="both"/>
              <w:rPr>
                <w:iCs/>
                <w:sz w:val="16"/>
                <w:szCs w:val="16"/>
                <w:lang w:val="en-GB"/>
              </w:rPr>
            </w:pPr>
            <w:r>
              <w:rPr>
                <w:iCs/>
                <w:sz w:val="16"/>
                <w:szCs w:val="16"/>
                <w:lang w:val="en-GB"/>
              </w:rPr>
              <w:t xml:space="preserve">Indicator: </w:t>
            </w:r>
            <w:r w:rsidR="00C35A40" w:rsidRPr="002807FF">
              <w:rPr>
                <w:iCs/>
                <w:sz w:val="16"/>
                <w:szCs w:val="16"/>
                <w:lang w:val="en-GB"/>
              </w:rPr>
              <w:t>Number</w:t>
            </w:r>
            <w:r w:rsidR="00836BF2" w:rsidRPr="002807FF">
              <w:rPr>
                <w:iCs/>
                <w:sz w:val="16"/>
                <w:szCs w:val="16"/>
                <w:lang w:val="en-GB"/>
              </w:rPr>
              <w:t xml:space="preserve"> of </w:t>
            </w:r>
            <w:r w:rsidR="00C35A40" w:rsidRPr="002807FF">
              <w:rPr>
                <w:iCs/>
                <w:sz w:val="16"/>
                <w:szCs w:val="16"/>
                <w:lang w:val="en-GB"/>
              </w:rPr>
              <w:t>e</w:t>
            </w:r>
            <w:r w:rsidR="00BE4E0C" w:rsidRPr="002807FF">
              <w:rPr>
                <w:iCs/>
                <w:sz w:val="16"/>
                <w:szCs w:val="16"/>
                <w:lang w:val="en-GB"/>
              </w:rPr>
              <w:t>ffective and updated strategies/</w:t>
            </w:r>
            <w:r w:rsidR="00F64E20" w:rsidRPr="005C7E82">
              <w:rPr>
                <w:iCs/>
                <w:sz w:val="16"/>
                <w:szCs w:val="16"/>
                <w:lang w:val="en-GB"/>
              </w:rPr>
              <w:t xml:space="preserve">policy </w:t>
            </w:r>
            <w:r w:rsidR="00561B63" w:rsidRPr="005C7E82">
              <w:rPr>
                <w:iCs/>
                <w:sz w:val="16"/>
                <w:szCs w:val="16"/>
                <w:lang w:val="en-GB"/>
              </w:rPr>
              <w:t>i</w:t>
            </w:r>
            <w:r w:rsidR="00BE4E0C" w:rsidRPr="005C7E82">
              <w:rPr>
                <w:iCs/>
                <w:sz w:val="16"/>
                <w:szCs w:val="16"/>
                <w:lang w:val="en-GB"/>
              </w:rPr>
              <w:t>nstruments</w:t>
            </w:r>
            <w:r w:rsidR="00E25CD2" w:rsidRPr="005C7E82">
              <w:rPr>
                <w:iCs/>
                <w:sz w:val="16"/>
                <w:szCs w:val="16"/>
                <w:lang w:val="en-GB"/>
              </w:rPr>
              <w:t xml:space="preserve"> </w:t>
            </w:r>
            <w:r w:rsidR="00BE4E0C" w:rsidRPr="005C7E82">
              <w:rPr>
                <w:iCs/>
                <w:sz w:val="16"/>
                <w:szCs w:val="16"/>
                <w:lang w:val="en-GB"/>
              </w:rPr>
              <w:t>in place to collect and disseminate povert</w:t>
            </w:r>
            <w:r w:rsidR="00C35A40" w:rsidRPr="005C7E82">
              <w:rPr>
                <w:iCs/>
                <w:sz w:val="16"/>
                <w:szCs w:val="16"/>
                <w:lang w:val="en-GB"/>
              </w:rPr>
              <w:t>y data, disaggregated by gender</w:t>
            </w:r>
            <w:r w:rsidR="00F64E20" w:rsidRPr="005C7E82">
              <w:rPr>
                <w:iCs/>
                <w:sz w:val="16"/>
                <w:szCs w:val="16"/>
                <w:lang w:val="en-GB"/>
              </w:rPr>
              <w:t xml:space="preserve"> and vulnerable groups.</w:t>
            </w:r>
          </w:p>
          <w:p w14:paraId="7B46749D" w14:textId="77777777" w:rsidR="00BE4E0C" w:rsidRPr="002807FF" w:rsidRDefault="00BE4E0C" w:rsidP="00645AE2">
            <w:pPr>
              <w:tabs>
                <w:tab w:val="left" w:pos="431"/>
              </w:tabs>
              <w:spacing w:line="259" w:lineRule="auto"/>
              <w:jc w:val="both"/>
              <w:rPr>
                <w:iCs/>
                <w:sz w:val="16"/>
                <w:szCs w:val="16"/>
                <w:lang w:val="en-GB"/>
              </w:rPr>
            </w:pPr>
            <w:r w:rsidRPr="005C7E82">
              <w:rPr>
                <w:iCs/>
                <w:sz w:val="16"/>
                <w:szCs w:val="16"/>
                <w:lang w:val="en-GB"/>
              </w:rPr>
              <w:t>B</w:t>
            </w:r>
            <w:r w:rsidR="0051291E">
              <w:rPr>
                <w:iCs/>
                <w:sz w:val="16"/>
                <w:szCs w:val="16"/>
                <w:lang w:val="en-GB"/>
              </w:rPr>
              <w:t>aseline</w:t>
            </w:r>
            <w:r w:rsidRPr="002807FF">
              <w:rPr>
                <w:iCs/>
                <w:sz w:val="16"/>
                <w:szCs w:val="16"/>
                <w:lang w:val="en-GB"/>
              </w:rPr>
              <w:t xml:space="preserve">: 2 </w:t>
            </w:r>
          </w:p>
          <w:p w14:paraId="58F4925C" w14:textId="77777777" w:rsidR="00BE4E0C" w:rsidRPr="002807FF" w:rsidRDefault="00BE4E0C" w:rsidP="00645AE2">
            <w:pPr>
              <w:tabs>
                <w:tab w:val="left" w:pos="431"/>
                <w:tab w:val="left" w:pos="1008"/>
              </w:tabs>
              <w:rPr>
                <w:iCs/>
                <w:sz w:val="16"/>
                <w:szCs w:val="16"/>
                <w:lang w:val="en-GB"/>
              </w:rPr>
            </w:pPr>
            <w:r w:rsidRPr="002807FF">
              <w:rPr>
                <w:iCs/>
                <w:sz w:val="16"/>
                <w:szCs w:val="16"/>
                <w:lang w:val="en-GB"/>
              </w:rPr>
              <w:t>T</w:t>
            </w:r>
            <w:r w:rsidR="0051291E">
              <w:rPr>
                <w:iCs/>
                <w:sz w:val="16"/>
                <w:szCs w:val="16"/>
                <w:lang w:val="en-GB"/>
              </w:rPr>
              <w:t>arget</w:t>
            </w:r>
            <w:r w:rsidRPr="002807FF">
              <w:rPr>
                <w:iCs/>
                <w:sz w:val="16"/>
                <w:szCs w:val="16"/>
                <w:lang w:val="en-GB"/>
              </w:rPr>
              <w:t xml:space="preserve">: 3 </w:t>
            </w:r>
            <w:r w:rsidR="007D020C" w:rsidRPr="002807FF">
              <w:rPr>
                <w:iCs/>
                <w:sz w:val="16"/>
                <w:szCs w:val="16"/>
                <w:lang w:val="en-GB"/>
              </w:rPr>
              <w:tab/>
            </w:r>
          </w:p>
          <w:p w14:paraId="399FBFD8" w14:textId="25C3DA98" w:rsidR="00BE4E0C" w:rsidRPr="002807FF" w:rsidRDefault="0051291E" w:rsidP="000708D6">
            <w:pPr>
              <w:tabs>
                <w:tab w:val="left" w:pos="431"/>
              </w:tabs>
              <w:spacing w:after="60"/>
              <w:rPr>
                <w:iCs/>
                <w:sz w:val="16"/>
                <w:szCs w:val="16"/>
                <w:lang w:val="en-GB"/>
              </w:rPr>
            </w:pPr>
            <w:r>
              <w:rPr>
                <w:iCs/>
                <w:sz w:val="16"/>
                <w:szCs w:val="16"/>
                <w:lang w:val="en-GB"/>
              </w:rPr>
              <w:t>C</w:t>
            </w:r>
            <w:r w:rsidR="00BE4E0C" w:rsidRPr="005C7E82">
              <w:rPr>
                <w:iCs/>
                <w:sz w:val="16"/>
                <w:szCs w:val="16"/>
                <w:lang w:val="en-GB"/>
              </w:rPr>
              <w:t>SO</w:t>
            </w:r>
            <w:r w:rsidR="00D660BD" w:rsidRPr="002807FF">
              <w:rPr>
                <w:iCs/>
                <w:sz w:val="16"/>
                <w:szCs w:val="16"/>
                <w:lang w:val="en-GB"/>
              </w:rPr>
              <w:t>, biennial.</w:t>
            </w:r>
          </w:p>
          <w:p w14:paraId="5F51A25D" w14:textId="77777777" w:rsidR="00BE4E0C" w:rsidRPr="005C7E82" w:rsidRDefault="0051291E" w:rsidP="000708D6">
            <w:pPr>
              <w:pStyle w:val="ListParagraph"/>
              <w:tabs>
                <w:tab w:val="left" w:pos="431"/>
              </w:tabs>
              <w:ind w:left="0"/>
              <w:contextualSpacing/>
              <w:jc w:val="both"/>
              <w:rPr>
                <w:iCs/>
                <w:sz w:val="16"/>
                <w:szCs w:val="16"/>
                <w:lang w:val="en-GB"/>
              </w:rPr>
            </w:pPr>
            <w:r>
              <w:rPr>
                <w:iCs/>
                <w:sz w:val="16"/>
                <w:szCs w:val="16"/>
                <w:lang w:val="en-GB"/>
              </w:rPr>
              <w:t xml:space="preserve">Indicator: </w:t>
            </w:r>
            <w:r w:rsidR="00C35A40" w:rsidRPr="002807FF">
              <w:rPr>
                <w:iCs/>
                <w:sz w:val="16"/>
                <w:szCs w:val="16"/>
                <w:lang w:val="en-GB"/>
              </w:rPr>
              <w:t>Number</w:t>
            </w:r>
            <w:r w:rsidR="00537C6C" w:rsidRPr="002807FF">
              <w:rPr>
                <w:iCs/>
                <w:sz w:val="16"/>
                <w:szCs w:val="16"/>
                <w:lang w:val="en-GB"/>
              </w:rPr>
              <w:t xml:space="preserve"> of m</w:t>
            </w:r>
            <w:r w:rsidR="00BE4E0C" w:rsidRPr="002807FF">
              <w:rPr>
                <w:iCs/>
                <w:sz w:val="16"/>
                <w:szCs w:val="16"/>
                <w:lang w:val="en-GB"/>
              </w:rPr>
              <w:t>echanisms in place to disseminate sex-disaggregated data and gender statistics and apply gender analysis</w:t>
            </w:r>
            <w:r w:rsidR="00FA3A94" w:rsidRPr="005C7E82">
              <w:rPr>
                <w:iCs/>
                <w:sz w:val="16"/>
                <w:szCs w:val="16"/>
                <w:lang w:val="en-GB"/>
              </w:rPr>
              <w:t>.</w:t>
            </w:r>
          </w:p>
          <w:p w14:paraId="59CEA832" w14:textId="22741C98" w:rsidR="00BE4E0C" w:rsidRPr="005C7E82" w:rsidRDefault="002807FF" w:rsidP="00645AE2">
            <w:pPr>
              <w:tabs>
                <w:tab w:val="left" w:pos="431"/>
              </w:tabs>
              <w:contextualSpacing/>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sidR="00BE4E0C" w:rsidRPr="005C7E82">
              <w:rPr>
                <w:iCs/>
                <w:sz w:val="16"/>
                <w:szCs w:val="16"/>
                <w:lang w:val="en-GB"/>
              </w:rPr>
              <w:t>1</w:t>
            </w:r>
            <w:r w:rsidR="00BE4E0C" w:rsidRPr="005C7E82">
              <w:rPr>
                <w:rStyle w:val="FootnoteReference"/>
                <w:iCs/>
                <w:sz w:val="16"/>
                <w:szCs w:val="16"/>
                <w:lang w:val="en-GB"/>
              </w:rPr>
              <w:footnoteReference w:id="20"/>
            </w:r>
            <w:r w:rsidR="00BE4E0C" w:rsidRPr="005C7E82">
              <w:rPr>
                <w:iCs/>
                <w:sz w:val="16"/>
                <w:szCs w:val="16"/>
                <w:lang w:val="en-GB"/>
              </w:rPr>
              <w:t xml:space="preserve"> </w:t>
            </w:r>
          </w:p>
          <w:p w14:paraId="68175AE8" w14:textId="669AB9B6" w:rsidR="00BE4E0C" w:rsidRPr="002807FF" w:rsidRDefault="002807FF" w:rsidP="00645AE2">
            <w:pPr>
              <w:tabs>
                <w:tab w:val="left" w:pos="431"/>
              </w:tabs>
              <w:contextualSpacing/>
              <w:rPr>
                <w:iCs/>
                <w:sz w:val="16"/>
                <w:szCs w:val="16"/>
                <w:lang w:val="en-GB"/>
              </w:rPr>
            </w:pPr>
            <w:r w:rsidRPr="00A56C57">
              <w:rPr>
                <w:iCs/>
                <w:sz w:val="16"/>
                <w:szCs w:val="16"/>
                <w:lang w:val="en-GB"/>
              </w:rPr>
              <w:t>T</w:t>
            </w:r>
            <w:r>
              <w:rPr>
                <w:iCs/>
                <w:sz w:val="16"/>
                <w:szCs w:val="16"/>
                <w:lang w:val="en-GB"/>
              </w:rPr>
              <w:t>arget</w:t>
            </w:r>
            <w:r w:rsidRPr="00A56C57">
              <w:rPr>
                <w:iCs/>
                <w:sz w:val="16"/>
                <w:szCs w:val="16"/>
                <w:lang w:val="en-GB"/>
              </w:rPr>
              <w:t>:</w:t>
            </w:r>
            <w:r>
              <w:rPr>
                <w:iCs/>
                <w:sz w:val="16"/>
                <w:szCs w:val="16"/>
                <w:lang w:val="en-GB"/>
              </w:rPr>
              <w:t xml:space="preserve"> </w:t>
            </w:r>
            <w:r w:rsidR="00BE4E0C" w:rsidRPr="002807FF">
              <w:rPr>
                <w:iCs/>
                <w:sz w:val="16"/>
                <w:szCs w:val="16"/>
                <w:lang w:val="en-GB"/>
              </w:rPr>
              <w:t>2</w:t>
            </w:r>
          </w:p>
          <w:p w14:paraId="630760D4" w14:textId="5A702927" w:rsidR="002807FF" w:rsidRPr="00A56C57" w:rsidRDefault="00BE4E0C" w:rsidP="002807FF">
            <w:pPr>
              <w:tabs>
                <w:tab w:val="left" w:pos="431"/>
              </w:tabs>
              <w:spacing w:after="60"/>
              <w:rPr>
                <w:iCs/>
                <w:sz w:val="16"/>
                <w:szCs w:val="16"/>
                <w:lang w:val="en-GB"/>
              </w:rPr>
            </w:pPr>
            <w:r w:rsidRPr="002807FF">
              <w:rPr>
                <w:iCs/>
                <w:sz w:val="16"/>
                <w:szCs w:val="16"/>
                <w:lang w:val="en-GB"/>
              </w:rPr>
              <w:t>CSO</w:t>
            </w:r>
            <w:r w:rsidR="0051291E" w:rsidRPr="005C7E82">
              <w:rPr>
                <w:iCs/>
                <w:sz w:val="16"/>
                <w:szCs w:val="16"/>
                <w:lang w:val="en-GB"/>
              </w:rPr>
              <w:t>,</w:t>
            </w:r>
            <w:r w:rsidR="0051291E">
              <w:rPr>
                <w:iCs/>
                <w:sz w:val="16"/>
                <w:szCs w:val="16"/>
                <w:lang w:val="en-GB"/>
              </w:rPr>
              <w:t xml:space="preserve"> every </w:t>
            </w:r>
            <w:r w:rsidRPr="002807FF">
              <w:rPr>
                <w:iCs/>
                <w:sz w:val="16"/>
                <w:szCs w:val="16"/>
                <w:lang w:val="en-GB"/>
              </w:rPr>
              <w:t>3-5 years</w:t>
            </w:r>
          </w:p>
          <w:p w14:paraId="58F0E16C" w14:textId="792D0CEE" w:rsidR="00D51DA5" w:rsidRPr="002807FF" w:rsidRDefault="0051291E" w:rsidP="000708D6">
            <w:pPr>
              <w:pStyle w:val="ListParagraph"/>
              <w:tabs>
                <w:tab w:val="left" w:pos="431"/>
              </w:tabs>
              <w:ind w:left="0"/>
              <w:contextualSpacing/>
              <w:jc w:val="both"/>
              <w:rPr>
                <w:iCs/>
                <w:sz w:val="16"/>
                <w:szCs w:val="16"/>
              </w:rPr>
            </w:pPr>
            <w:r>
              <w:rPr>
                <w:iCs/>
                <w:sz w:val="16"/>
                <w:szCs w:val="16"/>
                <w:lang w:val="en-GB"/>
              </w:rPr>
              <w:t xml:space="preserve">Indicator: </w:t>
            </w:r>
            <w:r w:rsidR="00C35A40" w:rsidRPr="002807FF">
              <w:rPr>
                <w:iCs/>
                <w:sz w:val="16"/>
                <w:szCs w:val="16"/>
                <w:lang w:val="en-GB"/>
              </w:rPr>
              <w:t>Number</w:t>
            </w:r>
            <w:r w:rsidR="00537C6C" w:rsidRPr="002807FF">
              <w:rPr>
                <w:iCs/>
                <w:sz w:val="16"/>
                <w:szCs w:val="16"/>
                <w:lang w:val="en-GB"/>
              </w:rPr>
              <w:t xml:space="preserve"> o</w:t>
            </w:r>
            <w:r w:rsidR="00836BF2" w:rsidRPr="002807FF">
              <w:rPr>
                <w:iCs/>
                <w:sz w:val="16"/>
                <w:szCs w:val="16"/>
                <w:lang w:val="en-GB"/>
              </w:rPr>
              <w:t>f</w:t>
            </w:r>
            <w:r w:rsidR="00537C6C" w:rsidRPr="002807FF">
              <w:rPr>
                <w:iCs/>
                <w:sz w:val="16"/>
                <w:szCs w:val="16"/>
                <w:lang w:val="en-GB"/>
              </w:rPr>
              <w:t xml:space="preserve"> p</w:t>
            </w:r>
            <w:r w:rsidR="003F0995" w:rsidRPr="005C7E82">
              <w:rPr>
                <w:iCs/>
                <w:sz w:val="16"/>
                <w:szCs w:val="16"/>
                <w:lang w:val="en-GB"/>
              </w:rPr>
              <w:t xml:space="preserve">olicies, regulations and standards being implemented at national and subnational levels in response to the </w:t>
            </w:r>
            <w:r w:rsidR="00421D09" w:rsidRPr="005C7E82">
              <w:rPr>
                <w:iCs/>
                <w:sz w:val="16"/>
                <w:szCs w:val="16"/>
                <w:lang w:val="en-GB"/>
              </w:rPr>
              <w:t>SDGs</w:t>
            </w:r>
            <w:r w:rsidR="003F0995" w:rsidRPr="005C7E82">
              <w:rPr>
                <w:iCs/>
                <w:sz w:val="16"/>
                <w:szCs w:val="16"/>
                <w:lang w:val="en-GB"/>
              </w:rPr>
              <w:t xml:space="preserve"> </w:t>
            </w:r>
            <w:r w:rsidR="008814B0" w:rsidRPr="005C7E82">
              <w:rPr>
                <w:iCs/>
                <w:sz w:val="16"/>
                <w:szCs w:val="16"/>
                <w:lang w:val="en-GB"/>
              </w:rPr>
              <w:t>(</w:t>
            </w:r>
            <w:r w:rsidR="008814B0" w:rsidRPr="002807FF">
              <w:rPr>
                <w:iCs/>
                <w:sz w:val="16"/>
                <w:szCs w:val="16"/>
                <w:lang w:val="en-GB"/>
              </w:rPr>
              <w:t>S</w:t>
            </w:r>
            <w:r w:rsidR="009B7CD8">
              <w:rPr>
                <w:iCs/>
                <w:sz w:val="16"/>
                <w:szCs w:val="16"/>
                <w:lang w:val="en-GB"/>
              </w:rPr>
              <w:t>trategic plan indicator – SPI</w:t>
            </w:r>
            <w:r w:rsidR="008814B0" w:rsidRPr="002807FF">
              <w:rPr>
                <w:iCs/>
                <w:sz w:val="16"/>
                <w:szCs w:val="16"/>
                <w:lang w:val="en-GB"/>
              </w:rPr>
              <w:t xml:space="preserve"> 7.3.2)</w:t>
            </w:r>
            <w:r w:rsidR="002872B2" w:rsidRPr="002807FF">
              <w:rPr>
                <w:iCs/>
                <w:sz w:val="16"/>
                <w:szCs w:val="16"/>
                <w:lang w:val="en-GB"/>
              </w:rPr>
              <w:t>.</w:t>
            </w:r>
            <w:r w:rsidR="00D51DA5" w:rsidRPr="002807FF">
              <w:rPr>
                <w:iCs/>
                <w:sz w:val="16"/>
                <w:szCs w:val="16"/>
                <w:lang w:val="en-GB"/>
              </w:rPr>
              <w:t xml:space="preserve"> </w:t>
            </w:r>
          </w:p>
          <w:p w14:paraId="2C04CC5E" w14:textId="1F58909A" w:rsidR="003F0995" w:rsidRPr="005C7E82" w:rsidRDefault="009B7CD8" w:rsidP="00645AE2">
            <w:pPr>
              <w:tabs>
                <w:tab w:val="left" w:pos="431"/>
              </w:tabs>
              <w:contextualSpacing/>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sidR="00D660BD" w:rsidRPr="005C7E82">
              <w:rPr>
                <w:iCs/>
                <w:sz w:val="16"/>
                <w:szCs w:val="16"/>
                <w:lang w:val="en-GB"/>
              </w:rPr>
              <w:t xml:space="preserve"> </w:t>
            </w:r>
            <w:r w:rsidR="003F0995" w:rsidRPr="005C7E82">
              <w:rPr>
                <w:iCs/>
                <w:sz w:val="16"/>
                <w:szCs w:val="16"/>
                <w:lang w:val="en-GB"/>
              </w:rPr>
              <w:t>0 (</w:t>
            </w:r>
            <w:r>
              <w:rPr>
                <w:iCs/>
                <w:sz w:val="16"/>
                <w:szCs w:val="16"/>
                <w:lang w:val="en-GB"/>
              </w:rPr>
              <w:t>p</w:t>
            </w:r>
            <w:r w:rsidR="003F0995" w:rsidRPr="005C7E82">
              <w:rPr>
                <w:iCs/>
                <w:sz w:val="16"/>
                <w:szCs w:val="16"/>
                <w:lang w:val="en-GB"/>
              </w:rPr>
              <w:t>olicies, regulations and standards)</w:t>
            </w:r>
          </w:p>
          <w:p w14:paraId="4F210DB6" w14:textId="77777777" w:rsidR="003F0995" w:rsidRPr="00414E3E" w:rsidRDefault="003F0995" w:rsidP="00645AE2">
            <w:pPr>
              <w:tabs>
                <w:tab w:val="left" w:pos="431"/>
              </w:tabs>
              <w:contextualSpacing/>
              <w:rPr>
                <w:iCs/>
                <w:sz w:val="16"/>
                <w:szCs w:val="16"/>
                <w:lang w:val="en-GB"/>
              </w:rPr>
            </w:pPr>
            <w:r w:rsidRPr="00414E3E">
              <w:rPr>
                <w:iCs/>
                <w:sz w:val="16"/>
                <w:szCs w:val="16"/>
                <w:lang w:val="en-GB"/>
              </w:rPr>
              <w:t>Target: 4</w:t>
            </w:r>
          </w:p>
          <w:p w14:paraId="4217D79C" w14:textId="0538CF87" w:rsidR="002807FF" w:rsidRPr="002807FF" w:rsidRDefault="00D660BD" w:rsidP="000708D6">
            <w:pPr>
              <w:tabs>
                <w:tab w:val="left" w:pos="431"/>
              </w:tabs>
              <w:spacing w:after="60"/>
              <w:rPr>
                <w:iCs/>
                <w:sz w:val="16"/>
                <w:szCs w:val="16"/>
                <w:lang w:val="en-GB"/>
              </w:rPr>
            </w:pPr>
            <w:r w:rsidRPr="002807FF">
              <w:rPr>
                <w:iCs/>
                <w:sz w:val="16"/>
                <w:szCs w:val="16"/>
                <w:lang w:val="en-GB"/>
              </w:rPr>
              <w:t xml:space="preserve">MPD; </w:t>
            </w:r>
            <w:r w:rsidR="002807FF">
              <w:rPr>
                <w:iCs/>
                <w:sz w:val="16"/>
                <w:szCs w:val="16"/>
                <w:lang w:val="en-GB"/>
              </w:rPr>
              <w:t>b</w:t>
            </w:r>
            <w:r w:rsidRPr="002807FF">
              <w:rPr>
                <w:iCs/>
                <w:sz w:val="16"/>
                <w:szCs w:val="16"/>
                <w:lang w:val="en-GB"/>
              </w:rPr>
              <w:t>iennial</w:t>
            </w:r>
          </w:p>
          <w:p w14:paraId="27B74301" w14:textId="548560BD" w:rsidR="00BE4E0C" w:rsidRPr="005C7E82" w:rsidRDefault="00997C0E" w:rsidP="000708D6">
            <w:pPr>
              <w:pStyle w:val="ListParagraph"/>
              <w:tabs>
                <w:tab w:val="left" w:pos="431"/>
              </w:tabs>
              <w:spacing w:after="60" w:line="259" w:lineRule="auto"/>
              <w:ind w:left="0"/>
              <w:jc w:val="both"/>
              <w:rPr>
                <w:b/>
                <w:iCs/>
                <w:sz w:val="16"/>
                <w:szCs w:val="16"/>
                <w:lang w:val="en-GB"/>
              </w:rPr>
            </w:pPr>
            <w:r>
              <w:rPr>
                <w:b/>
                <w:iCs/>
                <w:sz w:val="16"/>
                <w:szCs w:val="16"/>
                <w:lang w:val="en-GB"/>
              </w:rPr>
              <w:t xml:space="preserve">1.2. </w:t>
            </w:r>
            <w:r w:rsidR="00AC495E" w:rsidRPr="002807FF">
              <w:rPr>
                <w:b/>
                <w:iCs/>
                <w:sz w:val="16"/>
                <w:szCs w:val="16"/>
                <w:lang w:val="en-GB"/>
              </w:rPr>
              <w:t>M</w:t>
            </w:r>
            <w:r w:rsidR="00BE4E0C" w:rsidRPr="002807FF">
              <w:rPr>
                <w:b/>
                <w:iCs/>
                <w:sz w:val="16"/>
                <w:szCs w:val="16"/>
                <w:lang w:val="en-GB"/>
              </w:rPr>
              <w:t>echanisms</w:t>
            </w:r>
            <w:r w:rsidR="002807FF">
              <w:rPr>
                <w:b/>
                <w:iCs/>
                <w:sz w:val="16"/>
                <w:szCs w:val="16"/>
                <w:lang w:val="en-GB"/>
              </w:rPr>
              <w:t xml:space="preserve"> and </w:t>
            </w:r>
            <w:r w:rsidR="00BE4E0C" w:rsidRPr="002807FF">
              <w:rPr>
                <w:b/>
                <w:iCs/>
                <w:sz w:val="16"/>
                <w:szCs w:val="16"/>
                <w:lang w:val="en-GB"/>
              </w:rPr>
              <w:t xml:space="preserve">systems to move people out of poverty and make </w:t>
            </w:r>
            <w:r w:rsidR="002807FF">
              <w:rPr>
                <w:b/>
                <w:iCs/>
                <w:sz w:val="16"/>
                <w:szCs w:val="16"/>
                <w:lang w:val="en-GB"/>
              </w:rPr>
              <w:t>them</w:t>
            </w:r>
            <w:r w:rsidR="002807FF" w:rsidRPr="002807FF">
              <w:rPr>
                <w:b/>
                <w:iCs/>
                <w:sz w:val="16"/>
                <w:szCs w:val="16"/>
                <w:lang w:val="en-GB"/>
              </w:rPr>
              <w:t xml:space="preserve"> </w:t>
            </w:r>
            <w:r w:rsidR="00BE4E0C" w:rsidRPr="002807FF">
              <w:rPr>
                <w:b/>
                <w:iCs/>
                <w:sz w:val="16"/>
                <w:szCs w:val="16"/>
                <w:lang w:val="en-GB"/>
              </w:rPr>
              <w:t>less vulnerable to transitional poverty</w:t>
            </w:r>
            <w:r w:rsidR="00AC495E" w:rsidRPr="005C7E82">
              <w:rPr>
                <w:b/>
                <w:iCs/>
                <w:sz w:val="16"/>
                <w:szCs w:val="16"/>
                <w:lang w:val="en-GB"/>
              </w:rPr>
              <w:t xml:space="preserve"> improved</w:t>
            </w:r>
            <w:r w:rsidR="00480C84" w:rsidRPr="005C7E82">
              <w:rPr>
                <w:b/>
                <w:iCs/>
                <w:sz w:val="16"/>
                <w:szCs w:val="16"/>
                <w:lang w:val="en-GB"/>
              </w:rPr>
              <w:t xml:space="preserve">. </w:t>
            </w:r>
          </w:p>
          <w:p w14:paraId="3C925435" w14:textId="132316BD" w:rsidR="00480C84" w:rsidRPr="000708D6" w:rsidRDefault="002807FF" w:rsidP="000708D6">
            <w:pPr>
              <w:pStyle w:val="ListParagraph"/>
              <w:tabs>
                <w:tab w:val="left" w:pos="431"/>
                <w:tab w:val="left" w:pos="665"/>
              </w:tabs>
              <w:spacing w:line="259" w:lineRule="auto"/>
              <w:ind w:left="0"/>
              <w:jc w:val="both"/>
              <w:rPr>
                <w:iCs/>
                <w:sz w:val="16"/>
                <w:szCs w:val="16"/>
                <w:lang w:val="en-GB"/>
              </w:rPr>
            </w:pPr>
            <w:r>
              <w:rPr>
                <w:iCs/>
                <w:sz w:val="16"/>
                <w:szCs w:val="16"/>
                <w:lang w:val="en-GB"/>
              </w:rPr>
              <w:t xml:space="preserve">Indicator: </w:t>
            </w:r>
            <w:r w:rsidR="00480C84" w:rsidRPr="000708D6">
              <w:rPr>
                <w:iCs/>
                <w:sz w:val="16"/>
                <w:szCs w:val="16"/>
                <w:lang w:val="en-GB"/>
              </w:rPr>
              <w:t xml:space="preserve">Capacity </w:t>
            </w:r>
            <w:r w:rsidR="0038738A" w:rsidRPr="000708D6">
              <w:rPr>
                <w:iCs/>
                <w:sz w:val="16"/>
                <w:szCs w:val="16"/>
                <w:lang w:val="en-GB"/>
              </w:rPr>
              <w:t xml:space="preserve">level </w:t>
            </w:r>
            <w:r w:rsidR="00480C84" w:rsidRPr="000708D6">
              <w:rPr>
                <w:iCs/>
                <w:sz w:val="16"/>
                <w:szCs w:val="16"/>
                <w:lang w:val="en-GB"/>
              </w:rPr>
              <w:t>of social service providers</w:t>
            </w:r>
            <w:r w:rsidR="007C697A" w:rsidRPr="000708D6">
              <w:rPr>
                <w:iCs/>
                <w:sz w:val="16"/>
                <w:szCs w:val="16"/>
                <w:lang w:val="en-GB"/>
              </w:rPr>
              <w:t xml:space="preserve"> (UNV doctors</w:t>
            </w:r>
            <w:r w:rsidR="00F64E20" w:rsidRPr="000708D6">
              <w:rPr>
                <w:iCs/>
                <w:sz w:val="16"/>
                <w:szCs w:val="16"/>
                <w:lang w:val="en-GB"/>
              </w:rPr>
              <w:t>) strengthened</w:t>
            </w:r>
            <w:r w:rsidR="007C697A" w:rsidRPr="000708D6">
              <w:rPr>
                <w:iCs/>
                <w:sz w:val="16"/>
                <w:szCs w:val="16"/>
                <w:lang w:val="en-GB"/>
              </w:rPr>
              <w:t xml:space="preserve"> with skills</w:t>
            </w:r>
            <w:r>
              <w:rPr>
                <w:iCs/>
                <w:sz w:val="16"/>
                <w:szCs w:val="16"/>
                <w:lang w:val="en-GB"/>
              </w:rPr>
              <w:t xml:space="preserve"> and </w:t>
            </w:r>
            <w:r w:rsidR="007C697A" w:rsidRPr="000708D6">
              <w:rPr>
                <w:iCs/>
                <w:sz w:val="16"/>
                <w:szCs w:val="16"/>
                <w:lang w:val="en-GB"/>
              </w:rPr>
              <w:t xml:space="preserve">expertise </w:t>
            </w:r>
            <w:r w:rsidR="00480C84" w:rsidRPr="000708D6">
              <w:rPr>
                <w:iCs/>
                <w:sz w:val="16"/>
                <w:szCs w:val="16"/>
                <w:lang w:val="en-GB"/>
              </w:rPr>
              <w:t>to target policies and programmes to the most vulnerable</w:t>
            </w:r>
            <w:r w:rsidR="00477BDA" w:rsidRPr="000708D6">
              <w:rPr>
                <w:iCs/>
                <w:sz w:val="16"/>
                <w:szCs w:val="16"/>
                <w:lang w:val="en-GB"/>
              </w:rPr>
              <w:t xml:space="preserve"> (female-headed households, rural poor)</w:t>
            </w:r>
            <w:r w:rsidR="00480C84" w:rsidRPr="000708D6">
              <w:rPr>
                <w:iCs/>
                <w:sz w:val="16"/>
                <w:szCs w:val="16"/>
                <w:lang w:val="en-GB"/>
              </w:rPr>
              <w:t>.</w:t>
            </w:r>
          </w:p>
          <w:p w14:paraId="54B53CBC" w14:textId="77777777" w:rsidR="00480C84" w:rsidRPr="000708D6" w:rsidRDefault="00480C84" w:rsidP="00645AE2">
            <w:pPr>
              <w:tabs>
                <w:tab w:val="left" w:pos="431"/>
              </w:tabs>
              <w:spacing w:line="259" w:lineRule="auto"/>
              <w:jc w:val="both"/>
              <w:rPr>
                <w:iCs/>
                <w:sz w:val="16"/>
                <w:szCs w:val="16"/>
                <w:lang w:val="en-GB"/>
              </w:rPr>
            </w:pPr>
            <w:r w:rsidRPr="000708D6">
              <w:rPr>
                <w:iCs/>
                <w:sz w:val="16"/>
                <w:szCs w:val="16"/>
                <w:lang w:val="en-GB"/>
              </w:rPr>
              <w:lastRenderedPageBreak/>
              <w:t>B</w:t>
            </w:r>
            <w:r w:rsidR="009B7CD8">
              <w:rPr>
                <w:iCs/>
                <w:sz w:val="16"/>
                <w:szCs w:val="16"/>
                <w:lang w:val="en-GB"/>
              </w:rPr>
              <w:t>aseline</w:t>
            </w:r>
            <w:r w:rsidRPr="000708D6">
              <w:rPr>
                <w:iCs/>
                <w:sz w:val="16"/>
                <w:szCs w:val="16"/>
                <w:lang w:val="en-GB"/>
              </w:rPr>
              <w:t>: Low</w:t>
            </w:r>
            <w:r w:rsidR="00117486" w:rsidRPr="000708D6">
              <w:rPr>
                <w:iCs/>
                <w:sz w:val="16"/>
                <w:szCs w:val="16"/>
                <w:lang w:val="en-GB"/>
              </w:rPr>
              <w:t xml:space="preserve"> (0-25%)</w:t>
            </w:r>
          </w:p>
          <w:p w14:paraId="47E7DD13" w14:textId="632ABF3C" w:rsidR="00480C84" w:rsidRPr="000708D6" w:rsidRDefault="009B7CD8" w:rsidP="00645AE2">
            <w:pPr>
              <w:tabs>
                <w:tab w:val="left" w:pos="431"/>
              </w:tabs>
              <w:spacing w:line="259" w:lineRule="auto"/>
              <w:jc w:val="both"/>
              <w:rPr>
                <w:iCs/>
                <w:sz w:val="16"/>
                <w:szCs w:val="16"/>
                <w:lang w:val="en-GB"/>
              </w:rPr>
            </w:pPr>
            <w:r w:rsidRPr="00A56C57">
              <w:rPr>
                <w:iCs/>
                <w:sz w:val="16"/>
                <w:szCs w:val="16"/>
                <w:lang w:val="en-GB"/>
              </w:rPr>
              <w:t>T</w:t>
            </w:r>
            <w:r>
              <w:rPr>
                <w:iCs/>
                <w:sz w:val="16"/>
                <w:szCs w:val="16"/>
                <w:lang w:val="en-GB"/>
              </w:rPr>
              <w:t>arget</w:t>
            </w:r>
            <w:r w:rsidRPr="00A56C57">
              <w:rPr>
                <w:iCs/>
                <w:sz w:val="16"/>
                <w:szCs w:val="16"/>
                <w:lang w:val="en-GB"/>
              </w:rPr>
              <w:t>:</w:t>
            </w:r>
            <w:r>
              <w:rPr>
                <w:iCs/>
                <w:sz w:val="16"/>
                <w:szCs w:val="16"/>
                <w:lang w:val="en-GB"/>
              </w:rPr>
              <w:t xml:space="preserve"> </w:t>
            </w:r>
            <w:r w:rsidR="004D0BB5" w:rsidRPr="000708D6">
              <w:rPr>
                <w:iCs/>
                <w:sz w:val="16"/>
                <w:szCs w:val="16"/>
                <w:lang w:val="en-GB"/>
              </w:rPr>
              <w:t>Low</w:t>
            </w:r>
            <w:r w:rsidR="0057613E" w:rsidRPr="000708D6">
              <w:rPr>
                <w:iCs/>
                <w:sz w:val="16"/>
                <w:szCs w:val="16"/>
                <w:lang w:val="en-GB"/>
              </w:rPr>
              <w:t>-</w:t>
            </w:r>
            <w:r>
              <w:rPr>
                <w:iCs/>
                <w:sz w:val="16"/>
                <w:szCs w:val="16"/>
                <w:lang w:val="en-GB"/>
              </w:rPr>
              <w:t>m</w:t>
            </w:r>
            <w:r w:rsidR="00117486" w:rsidRPr="000708D6">
              <w:rPr>
                <w:iCs/>
                <w:sz w:val="16"/>
                <w:szCs w:val="16"/>
                <w:lang w:val="en-GB"/>
              </w:rPr>
              <w:t>edium</w:t>
            </w:r>
            <w:r w:rsidR="00480C84" w:rsidRPr="000708D6">
              <w:rPr>
                <w:iCs/>
                <w:sz w:val="16"/>
                <w:szCs w:val="16"/>
                <w:lang w:val="en-GB"/>
              </w:rPr>
              <w:t xml:space="preserve"> </w:t>
            </w:r>
            <w:r w:rsidR="00117486" w:rsidRPr="000708D6">
              <w:rPr>
                <w:iCs/>
                <w:sz w:val="16"/>
                <w:szCs w:val="16"/>
                <w:lang w:val="en-GB"/>
              </w:rPr>
              <w:t>(26-50%)</w:t>
            </w:r>
          </w:p>
          <w:p w14:paraId="25190782" w14:textId="1F68902B" w:rsidR="00480C84" w:rsidRPr="000708D6" w:rsidRDefault="00480C84" w:rsidP="000708D6">
            <w:pPr>
              <w:tabs>
                <w:tab w:val="left" w:pos="431"/>
              </w:tabs>
              <w:spacing w:after="60" w:line="259" w:lineRule="auto"/>
              <w:jc w:val="both"/>
              <w:rPr>
                <w:iCs/>
                <w:sz w:val="16"/>
                <w:szCs w:val="16"/>
                <w:lang w:val="en-GB"/>
              </w:rPr>
            </w:pPr>
            <w:r w:rsidRPr="000708D6">
              <w:rPr>
                <w:iCs/>
                <w:sz w:val="16"/>
                <w:szCs w:val="16"/>
                <w:lang w:val="en-GB"/>
              </w:rPr>
              <w:t>MPD, MSDFS</w:t>
            </w:r>
            <w:r w:rsidR="004D0BB5" w:rsidRPr="000708D6">
              <w:rPr>
                <w:iCs/>
                <w:sz w:val="16"/>
                <w:szCs w:val="16"/>
                <w:lang w:val="en-GB"/>
              </w:rPr>
              <w:t xml:space="preserve">, MOH, </w:t>
            </w:r>
            <w:r w:rsidR="009B7CD8">
              <w:rPr>
                <w:iCs/>
                <w:sz w:val="16"/>
                <w:szCs w:val="16"/>
                <w:lang w:val="en-GB"/>
              </w:rPr>
              <w:t>b</w:t>
            </w:r>
            <w:r w:rsidR="004D0BB5" w:rsidRPr="000708D6">
              <w:rPr>
                <w:iCs/>
                <w:sz w:val="16"/>
                <w:szCs w:val="16"/>
                <w:lang w:val="en-GB"/>
              </w:rPr>
              <w:t>iennial</w:t>
            </w:r>
          </w:p>
          <w:p w14:paraId="123E6BE4" w14:textId="24736171" w:rsidR="00BE4E0C" w:rsidRPr="005C7E82" w:rsidRDefault="009B7CD8" w:rsidP="000708D6">
            <w:pPr>
              <w:pStyle w:val="ListParagraph"/>
              <w:tabs>
                <w:tab w:val="left" w:pos="431"/>
              </w:tabs>
              <w:ind w:left="0"/>
              <w:jc w:val="both"/>
              <w:rPr>
                <w:iCs/>
                <w:sz w:val="16"/>
                <w:szCs w:val="16"/>
                <w:lang w:val="en-GB"/>
              </w:rPr>
            </w:pPr>
            <w:r>
              <w:rPr>
                <w:iCs/>
                <w:sz w:val="16"/>
                <w:szCs w:val="16"/>
                <w:lang w:val="en-GB"/>
              </w:rPr>
              <w:t xml:space="preserve">Indicator: </w:t>
            </w:r>
            <w:r w:rsidR="00A324A4" w:rsidRPr="00414E3E">
              <w:rPr>
                <w:iCs/>
                <w:sz w:val="16"/>
                <w:szCs w:val="16"/>
                <w:lang w:val="en-GB"/>
              </w:rPr>
              <w:t>Number</w:t>
            </w:r>
            <w:r w:rsidR="00292C88" w:rsidRPr="002807FF">
              <w:rPr>
                <w:iCs/>
                <w:sz w:val="16"/>
                <w:szCs w:val="16"/>
                <w:lang w:val="en-GB"/>
              </w:rPr>
              <w:t xml:space="preserve"> of t</w:t>
            </w:r>
            <w:r w:rsidR="00BE4E0C" w:rsidRPr="002807FF">
              <w:rPr>
                <w:iCs/>
                <w:sz w:val="16"/>
                <w:szCs w:val="16"/>
                <w:lang w:val="en-GB"/>
              </w:rPr>
              <w:t>ools and policies that measure poverty (MPI) and</w:t>
            </w:r>
            <w:r w:rsidR="005448A1" w:rsidRPr="002807FF">
              <w:rPr>
                <w:iCs/>
                <w:sz w:val="16"/>
                <w:szCs w:val="16"/>
                <w:lang w:val="en-GB"/>
              </w:rPr>
              <w:t xml:space="preserve"> </w:t>
            </w:r>
            <w:r w:rsidR="00BE4E0C" w:rsidRPr="005C7E82">
              <w:rPr>
                <w:iCs/>
                <w:sz w:val="16"/>
                <w:szCs w:val="16"/>
                <w:lang w:val="en-GB"/>
              </w:rPr>
              <w:t xml:space="preserve">inequality developed and adopted to strengthen targeting of programme </w:t>
            </w:r>
            <w:r w:rsidR="004D0BB5" w:rsidRPr="009B7CD8">
              <w:rPr>
                <w:iCs/>
                <w:sz w:val="16"/>
                <w:szCs w:val="16"/>
                <w:lang w:val="en-GB"/>
              </w:rPr>
              <w:t>beneficiaries</w:t>
            </w:r>
            <w:r w:rsidR="004D0BB5" w:rsidRPr="000708D6">
              <w:rPr>
                <w:iCs/>
                <w:sz w:val="16"/>
                <w:szCs w:val="16"/>
                <w:lang w:val="en-GB"/>
              </w:rPr>
              <w:t xml:space="preserve"> (</w:t>
            </w:r>
            <w:r w:rsidR="00BE4E0C" w:rsidRPr="000708D6">
              <w:rPr>
                <w:iCs/>
                <w:sz w:val="16"/>
                <w:szCs w:val="16"/>
                <w:lang w:val="en-GB"/>
              </w:rPr>
              <w:t>SP</w:t>
            </w:r>
            <w:r w:rsidR="000007D1" w:rsidRPr="000708D6">
              <w:rPr>
                <w:iCs/>
                <w:sz w:val="16"/>
                <w:szCs w:val="16"/>
                <w:lang w:val="en-GB"/>
              </w:rPr>
              <w:t>I</w:t>
            </w:r>
            <w:r w:rsidR="00BE4E0C" w:rsidRPr="000708D6">
              <w:rPr>
                <w:iCs/>
                <w:sz w:val="16"/>
                <w:szCs w:val="16"/>
                <w:lang w:val="en-GB"/>
              </w:rPr>
              <w:t xml:space="preserve"> 7.3.1)</w:t>
            </w:r>
            <w:r w:rsidR="004D0BB5" w:rsidRPr="000708D6">
              <w:rPr>
                <w:iCs/>
                <w:sz w:val="16"/>
                <w:szCs w:val="16"/>
                <w:lang w:val="en-GB"/>
              </w:rPr>
              <w:t>.</w:t>
            </w:r>
            <w:r w:rsidR="005B726F" w:rsidRPr="000708D6">
              <w:rPr>
                <w:iCs/>
                <w:sz w:val="16"/>
                <w:szCs w:val="16"/>
                <w:u w:val="single"/>
                <w:lang w:val="en-GB"/>
              </w:rPr>
              <w:t xml:space="preserve"> </w:t>
            </w:r>
          </w:p>
          <w:p w14:paraId="7FBDC624" w14:textId="796DF09B" w:rsidR="00BE4E0C" w:rsidRPr="00414E3E" w:rsidRDefault="009B7CD8" w:rsidP="00645AE2">
            <w:pPr>
              <w:tabs>
                <w:tab w:val="left" w:pos="431"/>
              </w:tabs>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sidR="00BE4E0C" w:rsidRPr="00414E3E">
              <w:rPr>
                <w:iCs/>
                <w:sz w:val="16"/>
                <w:szCs w:val="16"/>
                <w:lang w:val="en-GB"/>
              </w:rPr>
              <w:t>1</w:t>
            </w:r>
          </w:p>
          <w:p w14:paraId="2E675BC0" w14:textId="09B4723B" w:rsidR="00BE4E0C" w:rsidRPr="002807FF" w:rsidRDefault="009B7CD8" w:rsidP="00645AE2">
            <w:pPr>
              <w:tabs>
                <w:tab w:val="left" w:pos="431"/>
              </w:tabs>
              <w:rPr>
                <w:iCs/>
                <w:strike/>
                <w:sz w:val="16"/>
                <w:szCs w:val="16"/>
                <w:lang w:val="en-GB"/>
              </w:rPr>
            </w:pPr>
            <w:r w:rsidRPr="00A56C57">
              <w:rPr>
                <w:iCs/>
                <w:sz w:val="16"/>
                <w:szCs w:val="16"/>
                <w:lang w:val="en-GB"/>
              </w:rPr>
              <w:t>T</w:t>
            </w:r>
            <w:r>
              <w:rPr>
                <w:iCs/>
                <w:sz w:val="16"/>
                <w:szCs w:val="16"/>
                <w:lang w:val="en-GB"/>
              </w:rPr>
              <w:t>arget</w:t>
            </w:r>
            <w:r w:rsidRPr="00A56C57">
              <w:rPr>
                <w:iCs/>
                <w:sz w:val="16"/>
                <w:szCs w:val="16"/>
                <w:lang w:val="en-GB"/>
              </w:rPr>
              <w:t>:</w:t>
            </w:r>
            <w:r w:rsidR="00BE4E0C" w:rsidRPr="002807FF">
              <w:rPr>
                <w:iCs/>
                <w:sz w:val="16"/>
                <w:szCs w:val="16"/>
                <w:lang w:val="en-GB"/>
              </w:rPr>
              <w:t xml:space="preserve"> 3 </w:t>
            </w:r>
          </w:p>
          <w:p w14:paraId="4E379437" w14:textId="0530B4C4" w:rsidR="00BE4E0C" w:rsidRPr="005C7E82" w:rsidRDefault="002872B2" w:rsidP="000708D6">
            <w:pPr>
              <w:tabs>
                <w:tab w:val="left" w:pos="431"/>
              </w:tabs>
              <w:spacing w:after="60"/>
              <w:rPr>
                <w:iCs/>
                <w:sz w:val="16"/>
                <w:szCs w:val="16"/>
                <w:lang w:val="en-GB"/>
              </w:rPr>
            </w:pPr>
            <w:r w:rsidRPr="000708D6">
              <w:rPr>
                <w:iCs/>
                <w:sz w:val="16"/>
                <w:szCs w:val="16"/>
                <w:lang w:val="en-GB"/>
              </w:rPr>
              <w:t xml:space="preserve">Social Sector Investment Programme </w:t>
            </w:r>
            <w:r w:rsidR="009B7CD8">
              <w:rPr>
                <w:iCs/>
                <w:sz w:val="16"/>
                <w:szCs w:val="16"/>
                <w:lang w:val="en-GB"/>
              </w:rPr>
              <w:t>r</w:t>
            </w:r>
            <w:r w:rsidRPr="000708D6">
              <w:rPr>
                <w:iCs/>
                <w:sz w:val="16"/>
                <w:szCs w:val="16"/>
                <w:lang w:val="en-GB"/>
              </w:rPr>
              <w:t>eport,</w:t>
            </w:r>
            <w:r w:rsidR="004D0BB5" w:rsidRPr="005C7E82">
              <w:rPr>
                <w:iCs/>
                <w:sz w:val="16"/>
                <w:szCs w:val="16"/>
                <w:lang w:val="en-GB"/>
              </w:rPr>
              <w:t xml:space="preserve"> </w:t>
            </w:r>
            <w:r w:rsidR="009B7CD8">
              <w:rPr>
                <w:iCs/>
                <w:sz w:val="16"/>
                <w:szCs w:val="16"/>
                <w:lang w:val="en-GB"/>
              </w:rPr>
              <w:t>a</w:t>
            </w:r>
            <w:r w:rsidR="00BE4E0C" w:rsidRPr="005C7E82">
              <w:rPr>
                <w:iCs/>
                <w:sz w:val="16"/>
                <w:szCs w:val="16"/>
                <w:lang w:val="en-GB"/>
              </w:rPr>
              <w:t>nnual</w:t>
            </w:r>
          </w:p>
          <w:p w14:paraId="704982EB" w14:textId="38936A8B" w:rsidR="00EB59C1" w:rsidRPr="00997C0E" w:rsidRDefault="00997C0E" w:rsidP="000708D6">
            <w:pPr>
              <w:pStyle w:val="ListParagraph"/>
              <w:tabs>
                <w:tab w:val="left" w:pos="431"/>
              </w:tabs>
              <w:spacing w:after="60" w:line="259" w:lineRule="auto"/>
              <w:ind w:left="0"/>
              <w:jc w:val="both"/>
              <w:rPr>
                <w:b/>
                <w:iCs/>
                <w:sz w:val="16"/>
                <w:szCs w:val="16"/>
                <w:lang w:val="en-GB"/>
              </w:rPr>
            </w:pPr>
            <w:r w:rsidRPr="000708D6">
              <w:rPr>
                <w:b/>
                <w:iCs/>
                <w:sz w:val="16"/>
                <w:szCs w:val="16"/>
                <w:lang w:val="en-GB"/>
              </w:rPr>
              <w:t xml:space="preserve">1.3. </w:t>
            </w:r>
            <w:r w:rsidR="0049401F" w:rsidRPr="00997C0E">
              <w:rPr>
                <w:b/>
                <w:iCs/>
                <w:sz w:val="16"/>
                <w:szCs w:val="16"/>
                <w:lang w:val="en-GB"/>
              </w:rPr>
              <w:t>Mechanisms created to facilitate</w:t>
            </w:r>
            <w:r w:rsidR="00EB59C1" w:rsidRPr="00997C0E">
              <w:rPr>
                <w:b/>
                <w:iCs/>
                <w:sz w:val="16"/>
                <w:szCs w:val="16"/>
                <w:lang w:val="en-GB"/>
              </w:rPr>
              <w:t xml:space="preserve"> </w:t>
            </w:r>
            <w:r w:rsidR="0049401F" w:rsidRPr="00997C0E">
              <w:rPr>
                <w:b/>
                <w:iCs/>
                <w:sz w:val="16"/>
                <w:szCs w:val="16"/>
                <w:lang w:val="en-GB"/>
              </w:rPr>
              <w:t xml:space="preserve">public participation </w:t>
            </w:r>
            <w:r w:rsidR="00EB59C1" w:rsidRPr="00997C0E">
              <w:rPr>
                <w:b/>
                <w:iCs/>
                <w:sz w:val="16"/>
                <w:szCs w:val="16"/>
                <w:lang w:val="en-GB"/>
              </w:rPr>
              <w:t>in poverty policies</w:t>
            </w:r>
            <w:r w:rsidR="0049401F" w:rsidRPr="00997C0E">
              <w:rPr>
                <w:b/>
                <w:iCs/>
                <w:sz w:val="16"/>
                <w:szCs w:val="16"/>
                <w:lang w:val="en-GB"/>
              </w:rPr>
              <w:t xml:space="preserve"> development</w:t>
            </w:r>
            <w:r w:rsidR="00EB59C1" w:rsidRPr="00997C0E">
              <w:rPr>
                <w:b/>
                <w:iCs/>
                <w:sz w:val="16"/>
                <w:szCs w:val="16"/>
                <w:lang w:val="en-GB"/>
              </w:rPr>
              <w:t xml:space="preserve"> and programming</w:t>
            </w:r>
            <w:r w:rsidR="002872B2" w:rsidRPr="00997C0E">
              <w:rPr>
                <w:b/>
                <w:iCs/>
                <w:sz w:val="16"/>
                <w:szCs w:val="16"/>
                <w:lang w:val="en-GB"/>
              </w:rPr>
              <w:t>.</w:t>
            </w:r>
            <w:r w:rsidR="00EB59C1" w:rsidRPr="00997C0E">
              <w:rPr>
                <w:b/>
                <w:iCs/>
                <w:sz w:val="16"/>
                <w:szCs w:val="16"/>
                <w:lang w:val="en-GB"/>
              </w:rPr>
              <w:t xml:space="preserve"> </w:t>
            </w:r>
          </w:p>
          <w:p w14:paraId="4F30552D" w14:textId="0A6B17D6" w:rsidR="00EB59C1" w:rsidRPr="005C7E82" w:rsidRDefault="009B7CD8" w:rsidP="000708D6">
            <w:pPr>
              <w:pStyle w:val="ListParagraph"/>
              <w:tabs>
                <w:tab w:val="left" w:pos="431"/>
              </w:tabs>
              <w:spacing w:line="256" w:lineRule="auto"/>
              <w:ind w:left="0"/>
              <w:contextualSpacing/>
              <w:jc w:val="both"/>
              <w:rPr>
                <w:iCs/>
                <w:sz w:val="16"/>
                <w:szCs w:val="16"/>
                <w:lang w:val="en-GB"/>
              </w:rPr>
            </w:pPr>
            <w:r>
              <w:rPr>
                <w:iCs/>
                <w:sz w:val="16"/>
                <w:szCs w:val="16"/>
                <w:lang w:val="en-GB"/>
              </w:rPr>
              <w:t xml:space="preserve">Indicator: </w:t>
            </w:r>
            <w:r w:rsidR="00EB59C1" w:rsidRPr="005C7E82">
              <w:rPr>
                <w:iCs/>
                <w:sz w:val="16"/>
                <w:szCs w:val="16"/>
                <w:lang w:val="en-GB"/>
              </w:rPr>
              <w:t xml:space="preserve">Number of initiatives by government ministries and other institutions that increase the capacity of </w:t>
            </w:r>
            <w:r w:rsidR="005E035C" w:rsidRPr="000708D6">
              <w:rPr>
                <w:iCs/>
                <w:sz w:val="16"/>
                <w:szCs w:val="16"/>
                <w:lang w:val="en-GB"/>
              </w:rPr>
              <w:t>civil society organizations</w:t>
            </w:r>
            <w:r w:rsidR="005E035C" w:rsidRPr="005C7E82">
              <w:rPr>
                <w:iCs/>
                <w:sz w:val="16"/>
                <w:szCs w:val="16"/>
                <w:lang w:val="en-GB"/>
              </w:rPr>
              <w:t xml:space="preserve"> (</w:t>
            </w:r>
            <w:r w:rsidR="00EB59C1" w:rsidRPr="00414E3E">
              <w:rPr>
                <w:iCs/>
                <w:sz w:val="16"/>
                <w:szCs w:val="16"/>
                <w:lang w:val="en-GB"/>
              </w:rPr>
              <w:t>CSOs</w:t>
            </w:r>
            <w:r w:rsidR="005E035C" w:rsidRPr="002807FF">
              <w:rPr>
                <w:iCs/>
                <w:sz w:val="16"/>
                <w:szCs w:val="16"/>
                <w:lang w:val="en-GB"/>
              </w:rPr>
              <w:t>)</w:t>
            </w:r>
            <w:r w:rsidR="00EB59C1" w:rsidRPr="002807FF">
              <w:rPr>
                <w:iCs/>
                <w:sz w:val="16"/>
                <w:szCs w:val="16"/>
                <w:lang w:val="en-GB"/>
              </w:rPr>
              <w:t xml:space="preserve"> to effectively participate in national poverty policy development and programming</w:t>
            </w:r>
            <w:r w:rsidR="00221433" w:rsidRPr="005C7E82">
              <w:rPr>
                <w:iCs/>
                <w:sz w:val="16"/>
                <w:szCs w:val="16"/>
                <w:lang w:val="en-GB"/>
              </w:rPr>
              <w:t xml:space="preserve">. </w:t>
            </w:r>
          </w:p>
          <w:p w14:paraId="0C407718" w14:textId="497E2F34" w:rsidR="00EB59C1" w:rsidRPr="005C7E82" w:rsidRDefault="009B7CD8" w:rsidP="00645AE2">
            <w:pPr>
              <w:tabs>
                <w:tab w:val="left" w:pos="431"/>
              </w:tabs>
              <w:spacing w:line="256" w:lineRule="auto"/>
              <w:contextualSpacing/>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sidR="00EB59C1" w:rsidRPr="005C7E82">
              <w:rPr>
                <w:iCs/>
                <w:sz w:val="16"/>
                <w:szCs w:val="16"/>
                <w:lang w:val="en-GB"/>
              </w:rPr>
              <w:t xml:space="preserve"> 0 </w:t>
            </w:r>
          </w:p>
          <w:p w14:paraId="20257BBC" w14:textId="08E5BC27" w:rsidR="00EB59C1" w:rsidRPr="005C7E82" w:rsidRDefault="009B7CD8" w:rsidP="00645AE2">
            <w:pPr>
              <w:tabs>
                <w:tab w:val="left" w:pos="431"/>
              </w:tabs>
              <w:spacing w:line="256" w:lineRule="auto"/>
              <w:contextualSpacing/>
              <w:rPr>
                <w:iCs/>
                <w:sz w:val="16"/>
                <w:szCs w:val="16"/>
                <w:lang w:val="en-GB"/>
              </w:rPr>
            </w:pPr>
            <w:r w:rsidRPr="00A56C57">
              <w:rPr>
                <w:iCs/>
                <w:sz w:val="16"/>
                <w:szCs w:val="16"/>
                <w:lang w:val="en-GB"/>
              </w:rPr>
              <w:t>T</w:t>
            </w:r>
            <w:r>
              <w:rPr>
                <w:iCs/>
                <w:sz w:val="16"/>
                <w:szCs w:val="16"/>
                <w:lang w:val="en-GB"/>
              </w:rPr>
              <w:t>arget</w:t>
            </w:r>
            <w:r w:rsidRPr="00A56C57">
              <w:rPr>
                <w:iCs/>
                <w:sz w:val="16"/>
                <w:szCs w:val="16"/>
                <w:lang w:val="en-GB"/>
              </w:rPr>
              <w:t>:</w:t>
            </w:r>
            <w:r>
              <w:rPr>
                <w:iCs/>
                <w:sz w:val="16"/>
                <w:szCs w:val="16"/>
                <w:lang w:val="en-GB"/>
              </w:rPr>
              <w:t xml:space="preserve"> </w:t>
            </w:r>
            <w:r w:rsidR="00EB59C1" w:rsidRPr="005C7E82">
              <w:rPr>
                <w:iCs/>
                <w:sz w:val="16"/>
                <w:szCs w:val="16"/>
                <w:lang w:val="en-GB"/>
              </w:rPr>
              <w:t>3</w:t>
            </w:r>
          </w:p>
          <w:p w14:paraId="59088E9F" w14:textId="7224A2FD" w:rsidR="00EB59C1" w:rsidRPr="005C7E82" w:rsidRDefault="00EB59C1" w:rsidP="000708D6">
            <w:pPr>
              <w:tabs>
                <w:tab w:val="left" w:pos="431"/>
              </w:tabs>
              <w:spacing w:after="60" w:line="257" w:lineRule="auto"/>
              <w:rPr>
                <w:iCs/>
                <w:sz w:val="16"/>
                <w:szCs w:val="16"/>
                <w:lang w:val="en-GB"/>
              </w:rPr>
            </w:pPr>
            <w:r w:rsidRPr="005C7E82">
              <w:rPr>
                <w:iCs/>
                <w:sz w:val="16"/>
                <w:szCs w:val="16"/>
                <w:lang w:val="en-GB"/>
              </w:rPr>
              <w:t>MSDFS</w:t>
            </w:r>
            <w:r w:rsidR="009B7CD8">
              <w:rPr>
                <w:iCs/>
                <w:sz w:val="16"/>
                <w:szCs w:val="16"/>
                <w:lang w:val="en-GB"/>
              </w:rPr>
              <w:t>,</w:t>
            </w:r>
            <w:r w:rsidRPr="005C7E82">
              <w:rPr>
                <w:iCs/>
                <w:sz w:val="16"/>
                <w:szCs w:val="16"/>
                <w:lang w:val="en-GB"/>
              </w:rPr>
              <w:t xml:space="preserve"> MPD</w:t>
            </w:r>
            <w:r w:rsidR="009B7CD8">
              <w:rPr>
                <w:iCs/>
                <w:sz w:val="16"/>
                <w:szCs w:val="16"/>
                <w:lang w:val="en-GB"/>
              </w:rPr>
              <w:t>,</w:t>
            </w:r>
            <w:r w:rsidR="00C53D6A" w:rsidRPr="005C7E82">
              <w:rPr>
                <w:iCs/>
                <w:sz w:val="16"/>
                <w:szCs w:val="16"/>
                <w:lang w:val="en-GB"/>
              </w:rPr>
              <w:t xml:space="preserve"> </w:t>
            </w:r>
            <w:r w:rsidR="009B7CD8">
              <w:rPr>
                <w:iCs/>
                <w:sz w:val="16"/>
                <w:szCs w:val="16"/>
                <w:lang w:val="en-GB"/>
              </w:rPr>
              <w:t>a</w:t>
            </w:r>
            <w:r w:rsidR="0054690D" w:rsidRPr="005C7E82">
              <w:rPr>
                <w:iCs/>
                <w:sz w:val="16"/>
                <w:szCs w:val="16"/>
                <w:lang w:val="en-GB"/>
              </w:rPr>
              <w:t xml:space="preserve">nnual </w:t>
            </w:r>
          </w:p>
          <w:p w14:paraId="385453DC" w14:textId="028DAF83" w:rsidR="00EB59C1" w:rsidRPr="005C7E82" w:rsidRDefault="009B7CD8" w:rsidP="000708D6">
            <w:pPr>
              <w:pStyle w:val="ListParagraph"/>
              <w:tabs>
                <w:tab w:val="left" w:pos="431"/>
              </w:tabs>
              <w:spacing w:line="256" w:lineRule="auto"/>
              <w:ind w:left="0"/>
              <w:contextualSpacing/>
              <w:jc w:val="both"/>
              <w:rPr>
                <w:iCs/>
                <w:sz w:val="16"/>
                <w:szCs w:val="16"/>
                <w:lang w:val="en-GB"/>
              </w:rPr>
            </w:pPr>
            <w:r>
              <w:rPr>
                <w:iCs/>
                <w:sz w:val="16"/>
                <w:szCs w:val="16"/>
                <w:lang w:val="en-GB"/>
              </w:rPr>
              <w:t xml:space="preserve">Indicator: </w:t>
            </w:r>
            <w:r w:rsidR="00EB59C1" w:rsidRPr="005C7E82">
              <w:rPr>
                <w:iCs/>
                <w:sz w:val="16"/>
                <w:szCs w:val="16"/>
                <w:lang w:val="en-GB"/>
              </w:rPr>
              <w:t>Number of communities of practice on poverty</w:t>
            </w:r>
            <w:r w:rsidR="00E90F9A">
              <w:rPr>
                <w:iCs/>
                <w:sz w:val="16"/>
                <w:szCs w:val="16"/>
                <w:lang w:val="en-GB"/>
              </w:rPr>
              <w:t>-</w:t>
            </w:r>
            <w:r w:rsidR="00EB59C1" w:rsidRPr="005C7E82">
              <w:rPr>
                <w:iCs/>
                <w:sz w:val="16"/>
                <w:szCs w:val="16"/>
                <w:lang w:val="en-GB"/>
              </w:rPr>
              <w:t>related issues established or engaged</w:t>
            </w:r>
            <w:r w:rsidR="005C15DC" w:rsidRPr="005C7E82">
              <w:rPr>
                <w:iCs/>
                <w:sz w:val="16"/>
                <w:szCs w:val="16"/>
                <w:lang w:val="en-GB"/>
              </w:rPr>
              <w:t>.</w:t>
            </w:r>
          </w:p>
          <w:p w14:paraId="1622008E" w14:textId="1092E1C6" w:rsidR="00EB59C1" w:rsidRPr="005C7E82" w:rsidRDefault="009B7CD8" w:rsidP="00645AE2">
            <w:pPr>
              <w:tabs>
                <w:tab w:val="left" w:pos="431"/>
              </w:tabs>
              <w:spacing w:line="256" w:lineRule="auto"/>
              <w:contextualSpacing/>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sidR="00EC379E">
              <w:rPr>
                <w:iCs/>
                <w:sz w:val="16"/>
                <w:szCs w:val="16"/>
                <w:lang w:val="en-GB"/>
              </w:rPr>
              <w:t xml:space="preserve"> </w:t>
            </w:r>
            <w:r w:rsidR="00EB59C1" w:rsidRPr="005C7E82">
              <w:rPr>
                <w:iCs/>
                <w:sz w:val="16"/>
                <w:szCs w:val="16"/>
                <w:lang w:val="en-GB"/>
              </w:rPr>
              <w:t>0</w:t>
            </w:r>
          </w:p>
          <w:p w14:paraId="317C1510" w14:textId="6DEC30B6" w:rsidR="00EB59C1" w:rsidRPr="005C7E82" w:rsidRDefault="009B7CD8" w:rsidP="00645AE2">
            <w:pPr>
              <w:tabs>
                <w:tab w:val="left" w:pos="431"/>
              </w:tabs>
              <w:spacing w:line="256" w:lineRule="auto"/>
              <w:contextualSpacing/>
              <w:rPr>
                <w:iCs/>
                <w:sz w:val="16"/>
                <w:szCs w:val="16"/>
                <w:lang w:val="en-GB"/>
              </w:rPr>
            </w:pPr>
            <w:r w:rsidRPr="00A56C57">
              <w:rPr>
                <w:iCs/>
                <w:sz w:val="16"/>
                <w:szCs w:val="16"/>
                <w:lang w:val="en-GB"/>
              </w:rPr>
              <w:t>T</w:t>
            </w:r>
            <w:r>
              <w:rPr>
                <w:iCs/>
                <w:sz w:val="16"/>
                <w:szCs w:val="16"/>
                <w:lang w:val="en-GB"/>
              </w:rPr>
              <w:t>arget</w:t>
            </w:r>
            <w:r w:rsidRPr="00A56C57">
              <w:rPr>
                <w:iCs/>
                <w:sz w:val="16"/>
                <w:szCs w:val="16"/>
                <w:lang w:val="en-GB"/>
              </w:rPr>
              <w:t>:</w:t>
            </w:r>
            <w:r w:rsidR="00EB59C1" w:rsidRPr="005C7E82">
              <w:rPr>
                <w:iCs/>
                <w:sz w:val="16"/>
                <w:szCs w:val="16"/>
                <w:lang w:val="en-GB"/>
              </w:rPr>
              <w:t xml:space="preserve"> 2</w:t>
            </w:r>
          </w:p>
          <w:p w14:paraId="0040D99D" w14:textId="574D8300" w:rsidR="00FC7D7F" w:rsidRPr="005C7E82" w:rsidRDefault="00EB59C1" w:rsidP="00645AE2">
            <w:pPr>
              <w:tabs>
                <w:tab w:val="left" w:pos="431"/>
              </w:tabs>
              <w:spacing w:line="256" w:lineRule="auto"/>
              <w:contextualSpacing/>
              <w:rPr>
                <w:b/>
                <w:bCs/>
                <w:sz w:val="16"/>
                <w:szCs w:val="16"/>
                <w:lang w:val="en-GB"/>
              </w:rPr>
            </w:pPr>
            <w:r w:rsidRPr="005C7E82">
              <w:rPr>
                <w:iCs/>
                <w:sz w:val="16"/>
                <w:szCs w:val="16"/>
                <w:lang w:val="en-GB"/>
              </w:rPr>
              <w:t xml:space="preserve">UNDP </w:t>
            </w:r>
            <w:r w:rsidR="00EC379E">
              <w:rPr>
                <w:iCs/>
                <w:sz w:val="16"/>
                <w:szCs w:val="16"/>
                <w:lang w:val="en-GB"/>
              </w:rPr>
              <w:t>n</w:t>
            </w:r>
            <w:r w:rsidRPr="005C7E82">
              <w:rPr>
                <w:iCs/>
                <w:sz w:val="16"/>
                <w:szCs w:val="16"/>
                <w:lang w:val="en-GB"/>
              </w:rPr>
              <w:t xml:space="preserve">ewsletter, </w:t>
            </w:r>
            <w:r w:rsidR="00EC379E">
              <w:rPr>
                <w:iCs/>
                <w:sz w:val="16"/>
                <w:szCs w:val="16"/>
                <w:lang w:val="en-GB"/>
              </w:rPr>
              <w:t>q</w:t>
            </w:r>
            <w:r w:rsidRPr="005C7E82">
              <w:rPr>
                <w:iCs/>
                <w:sz w:val="16"/>
                <w:szCs w:val="16"/>
                <w:lang w:val="en-GB"/>
              </w:rPr>
              <w:t>uarterly; Programme Officer monthly status reports.</w:t>
            </w:r>
          </w:p>
        </w:tc>
        <w:tc>
          <w:tcPr>
            <w:tcW w:w="788" w:type="pct"/>
          </w:tcPr>
          <w:p w14:paraId="52E9047F" w14:textId="53A77B07" w:rsidR="00EA5E90" w:rsidRPr="000708D6" w:rsidRDefault="00EA5E90" w:rsidP="00F94B13">
            <w:pPr>
              <w:spacing w:after="60"/>
              <w:rPr>
                <w:b/>
                <w:i/>
                <w:iCs/>
                <w:sz w:val="16"/>
                <w:szCs w:val="16"/>
                <w:lang w:val="en-GB"/>
              </w:rPr>
            </w:pPr>
            <w:r w:rsidRPr="000708D6">
              <w:rPr>
                <w:b/>
                <w:i/>
                <w:iCs/>
                <w:sz w:val="16"/>
                <w:szCs w:val="16"/>
                <w:lang w:val="en-GB"/>
              </w:rPr>
              <w:lastRenderedPageBreak/>
              <w:t xml:space="preserve">Government ministries </w:t>
            </w:r>
          </w:p>
          <w:p w14:paraId="505E5946" w14:textId="77777777" w:rsidR="00FC7D7F" w:rsidRPr="005C7E82" w:rsidRDefault="00FC7D7F" w:rsidP="000708D6">
            <w:pPr>
              <w:pStyle w:val="ListParagraph"/>
              <w:spacing w:after="60"/>
              <w:ind w:left="241"/>
              <w:rPr>
                <w:iCs/>
                <w:sz w:val="16"/>
                <w:szCs w:val="16"/>
                <w:lang w:val="en-GB"/>
              </w:rPr>
            </w:pPr>
            <w:r w:rsidRPr="005C7E82">
              <w:rPr>
                <w:iCs/>
                <w:sz w:val="16"/>
                <w:szCs w:val="16"/>
                <w:lang w:val="en-GB"/>
              </w:rPr>
              <w:t xml:space="preserve">Ministry of Planning and Development </w:t>
            </w:r>
            <w:r w:rsidR="00B00583" w:rsidRPr="005C7E82">
              <w:rPr>
                <w:iCs/>
                <w:sz w:val="16"/>
                <w:szCs w:val="16"/>
                <w:lang w:val="en-GB"/>
              </w:rPr>
              <w:t>(MPD)</w:t>
            </w:r>
          </w:p>
          <w:p w14:paraId="4E93B230" w14:textId="77777777" w:rsidR="00FC7D7F" w:rsidRPr="005C7E82" w:rsidRDefault="00FC7D7F" w:rsidP="000708D6">
            <w:pPr>
              <w:pStyle w:val="ListParagraph"/>
              <w:spacing w:after="60"/>
              <w:ind w:left="241"/>
              <w:rPr>
                <w:iCs/>
                <w:sz w:val="16"/>
                <w:szCs w:val="16"/>
                <w:lang w:val="en-GB"/>
              </w:rPr>
            </w:pPr>
            <w:r w:rsidRPr="005C7E82">
              <w:rPr>
                <w:iCs/>
                <w:sz w:val="16"/>
                <w:szCs w:val="16"/>
                <w:lang w:val="en-GB"/>
              </w:rPr>
              <w:t xml:space="preserve">Ministry of Social Development and Family Services </w:t>
            </w:r>
            <w:r w:rsidR="00B00583" w:rsidRPr="005C7E82">
              <w:rPr>
                <w:iCs/>
                <w:sz w:val="16"/>
                <w:szCs w:val="16"/>
                <w:lang w:val="en-GB"/>
              </w:rPr>
              <w:t>(MSDFS)</w:t>
            </w:r>
          </w:p>
          <w:p w14:paraId="1327BA86" w14:textId="77777777" w:rsidR="00FC7D7F" w:rsidRPr="005C7E82" w:rsidRDefault="00FC7D7F" w:rsidP="000708D6">
            <w:pPr>
              <w:pStyle w:val="ListParagraph"/>
              <w:spacing w:after="60"/>
              <w:ind w:left="241"/>
              <w:rPr>
                <w:iCs/>
                <w:sz w:val="16"/>
                <w:szCs w:val="16"/>
                <w:lang w:val="en-GB"/>
              </w:rPr>
            </w:pPr>
            <w:r w:rsidRPr="005C7E82">
              <w:rPr>
                <w:iCs/>
                <w:sz w:val="16"/>
                <w:szCs w:val="16"/>
                <w:lang w:val="en-GB"/>
              </w:rPr>
              <w:t>Ministry of Finance</w:t>
            </w:r>
            <w:r w:rsidR="00B00583" w:rsidRPr="005C7E82">
              <w:rPr>
                <w:iCs/>
                <w:sz w:val="16"/>
                <w:szCs w:val="16"/>
                <w:lang w:val="en-GB"/>
              </w:rPr>
              <w:t xml:space="preserve"> </w:t>
            </w:r>
          </w:p>
          <w:p w14:paraId="762B6D69" w14:textId="77777777" w:rsidR="004D0BB5" w:rsidRPr="005C7E82" w:rsidRDefault="004D0BB5" w:rsidP="000708D6">
            <w:pPr>
              <w:pStyle w:val="ListParagraph"/>
              <w:spacing w:after="60"/>
              <w:ind w:left="241"/>
              <w:rPr>
                <w:iCs/>
                <w:sz w:val="16"/>
                <w:szCs w:val="16"/>
                <w:lang w:val="en-GB"/>
              </w:rPr>
            </w:pPr>
            <w:r w:rsidRPr="005C7E82">
              <w:rPr>
                <w:iCs/>
                <w:sz w:val="16"/>
                <w:szCs w:val="16"/>
                <w:lang w:val="en-GB"/>
              </w:rPr>
              <w:t>Ministry of Health(MOH)</w:t>
            </w:r>
          </w:p>
          <w:p w14:paraId="7B1140F7" w14:textId="1B6C21D1" w:rsidR="00EA5E90" w:rsidRPr="000708D6" w:rsidRDefault="00EA5E90" w:rsidP="00F94B13">
            <w:pPr>
              <w:spacing w:after="60"/>
              <w:rPr>
                <w:b/>
                <w:i/>
                <w:iCs/>
                <w:sz w:val="16"/>
                <w:szCs w:val="16"/>
                <w:lang w:val="en-GB"/>
              </w:rPr>
            </w:pPr>
            <w:r w:rsidRPr="000708D6">
              <w:rPr>
                <w:b/>
                <w:i/>
                <w:iCs/>
                <w:sz w:val="16"/>
                <w:szCs w:val="16"/>
                <w:lang w:val="en-GB"/>
              </w:rPr>
              <w:t>Government organi</w:t>
            </w:r>
            <w:r w:rsidR="002807FF" w:rsidRPr="000708D6">
              <w:rPr>
                <w:b/>
                <w:i/>
                <w:iCs/>
                <w:sz w:val="16"/>
                <w:szCs w:val="16"/>
                <w:lang w:val="en-GB"/>
              </w:rPr>
              <w:t>z</w:t>
            </w:r>
            <w:r w:rsidRPr="000708D6">
              <w:rPr>
                <w:b/>
                <w:i/>
                <w:iCs/>
                <w:sz w:val="16"/>
                <w:szCs w:val="16"/>
                <w:lang w:val="en-GB"/>
              </w:rPr>
              <w:t>ations</w:t>
            </w:r>
          </w:p>
          <w:p w14:paraId="5FF62C41" w14:textId="1E5A0361" w:rsidR="00EA5E90" w:rsidRPr="005C7E82" w:rsidRDefault="00EA5E90" w:rsidP="000708D6">
            <w:pPr>
              <w:pStyle w:val="ListParagraph"/>
              <w:spacing w:after="60"/>
              <w:ind w:left="241"/>
              <w:rPr>
                <w:iCs/>
                <w:sz w:val="16"/>
                <w:szCs w:val="16"/>
                <w:lang w:val="en-GB"/>
              </w:rPr>
            </w:pPr>
            <w:r w:rsidRPr="005C7E82">
              <w:rPr>
                <w:iCs/>
                <w:sz w:val="16"/>
                <w:szCs w:val="16"/>
                <w:lang w:val="en-GB"/>
              </w:rPr>
              <w:t xml:space="preserve">Local </w:t>
            </w:r>
            <w:r w:rsidR="009B7CD8">
              <w:rPr>
                <w:iCs/>
                <w:sz w:val="16"/>
                <w:szCs w:val="16"/>
                <w:lang w:val="en-GB"/>
              </w:rPr>
              <w:t>g</w:t>
            </w:r>
            <w:r w:rsidRPr="005C7E82">
              <w:rPr>
                <w:iCs/>
                <w:sz w:val="16"/>
                <w:szCs w:val="16"/>
                <w:lang w:val="en-GB"/>
              </w:rPr>
              <w:t>ov</w:t>
            </w:r>
            <w:r w:rsidR="008A2415" w:rsidRPr="005C7E82">
              <w:rPr>
                <w:iCs/>
                <w:sz w:val="16"/>
                <w:szCs w:val="16"/>
                <w:lang w:val="en-GB"/>
              </w:rPr>
              <w:t>ernments Corporations</w:t>
            </w:r>
          </w:p>
          <w:p w14:paraId="020CA271" w14:textId="77777777" w:rsidR="00EA5E90" w:rsidRPr="005C7E82" w:rsidRDefault="00EA5E90" w:rsidP="000708D6">
            <w:pPr>
              <w:pStyle w:val="ListParagraph"/>
              <w:spacing w:after="60"/>
              <w:ind w:left="241"/>
              <w:rPr>
                <w:iCs/>
                <w:sz w:val="16"/>
                <w:szCs w:val="16"/>
                <w:lang w:val="en-GB"/>
              </w:rPr>
            </w:pPr>
            <w:r w:rsidRPr="005C7E82">
              <w:rPr>
                <w:iCs/>
                <w:sz w:val="16"/>
                <w:szCs w:val="16"/>
                <w:lang w:val="en-GB"/>
              </w:rPr>
              <w:t>Central Statistical Office (CSO)</w:t>
            </w:r>
          </w:p>
          <w:p w14:paraId="39C080F3" w14:textId="7E405968" w:rsidR="00EA5E90" w:rsidRPr="000708D6" w:rsidRDefault="00EA5E90" w:rsidP="00F94B13">
            <w:pPr>
              <w:spacing w:after="60"/>
              <w:rPr>
                <w:b/>
                <w:i/>
                <w:iCs/>
                <w:sz w:val="16"/>
                <w:szCs w:val="16"/>
                <w:lang w:val="en-GB"/>
              </w:rPr>
            </w:pPr>
            <w:r w:rsidRPr="000708D6">
              <w:rPr>
                <w:b/>
                <w:i/>
                <w:iCs/>
                <w:sz w:val="16"/>
                <w:szCs w:val="16"/>
                <w:lang w:val="en-GB"/>
              </w:rPr>
              <w:t>Academia</w:t>
            </w:r>
          </w:p>
          <w:p w14:paraId="291FB117" w14:textId="77777777" w:rsidR="00B00583" w:rsidRPr="005C7E82" w:rsidRDefault="00FC7D7F" w:rsidP="000708D6">
            <w:pPr>
              <w:pStyle w:val="ListParagraph"/>
              <w:spacing w:after="60"/>
              <w:ind w:left="241"/>
              <w:rPr>
                <w:iCs/>
                <w:sz w:val="16"/>
                <w:szCs w:val="16"/>
                <w:lang w:val="en-GB"/>
              </w:rPr>
            </w:pPr>
            <w:r w:rsidRPr="005C7E82">
              <w:rPr>
                <w:iCs/>
                <w:sz w:val="16"/>
                <w:szCs w:val="16"/>
                <w:lang w:val="en-GB"/>
              </w:rPr>
              <w:t>U</w:t>
            </w:r>
            <w:r w:rsidR="00B00583" w:rsidRPr="005C7E82">
              <w:rPr>
                <w:iCs/>
                <w:sz w:val="16"/>
                <w:szCs w:val="16"/>
                <w:lang w:val="en-GB"/>
              </w:rPr>
              <w:t>niversity of the West Indies (UWI)</w:t>
            </w:r>
          </w:p>
          <w:p w14:paraId="3FD97C6C" w14:textId="05B2DB54" w:rsidR="00FC7D7F" w:rsidRPr="005C7E82" w:rsidRDefault="00B00583" w:rsidP="000708D6">
            <w:pPr>
              <w:pStyle w:val="ListParagraph"/>
              <w:spacing w:after="60"/>
              <w:ind w:left="241"/>
              <w:rPr>
                <w:iCs/>
                <w:sz w:val="16"/>
                <w:szCs w:val="16"/>
                <w:lang w:val="en-GB"/>
              </w:rPr>
            </w:pPr>
            <w:r w:rsidRPr="005C7E82">
              <w:rPr>
                <w:iCs/>
                <w:sz w:val="16"/>
                <w:szCs w:val="16"/>
                <w:lang w:val="en-GB"/>
              </w:rPr>
              <w:t>University of T</w:t>
            </w:r>
            <w:r w:rsidR="00221433" w:rsidRPr="005C7E82">
              <w:rPr>
                <w:iCs/>
                <w:sz w:val="16"/>
                <w:szCs w:val="16"/>
                <w:lang w:val="en-GB"/>
              </w:rPr>
              <w:t>rinidad and Tobago</w:t>
            </w:r>
            <w:r w:rsidRPr="005C7E82">
              <w:rPr>
                <w:iCs/>
                <w:sz w:val="16"/>
                <w:szCs w:val="16"/>
                <w:lang w:val="en-GB"/>
              </w:rPr>
              <w:t xml:space="preserve"> (</w:t>
            </w:r>
            <w:r w:rsidR="00FC7D7F" w:rsidRPr="005C7E82">
              <w:rPr>
                <w:iCs/>
                <w:sz w:val="16"/>
                <w:szCs w:val="16"/>
                <w:lang w:val="en-GB"/>
              </w:rPr>
              <w:t>UTT</w:t>
            </w:r>
            <w:r w:rsidRPr="005C7E82">
              <w:rPr>
                <w:iCs/>
                <w:sz w:val="16"/>
                <w:szCs w:val="16"/>
                <w:lang w:val="en-GB"/>
              </w:rPr>
              <w:t>)</w:t>
            </w:r>
            <w:r w:rsidR="00FC7D7F" w:rsidRPr="005C7E82">
              <w:rPr>
                <w:iCs/>
                <w:sz w:val="16"/>
                <w:szCs w:val="16"/>
                <w:lang w:val="en-GB"/>
              </w:rPr>
              <w:t>, Arthur Lok Ja</w:t>
            </w:r>
            <w:r w:rsidR="006E4F2C" w:rsidRPr="005C7E82">
              <w:rPr>
                <w:iCs/>
                <w:sz w:val="16"/>
                <w:szCs w:val="16"/>
                <w:lang w:val="en-GB"/>
              </w:rPr>
              <w:t>c</w:t>
            </w:r>
            <w:r w:rsidR="00FC7D7F" w:rsidRPr="005C7E82">
              <w:rPr>
                <w:iCs/>
                <w:sz w:val="16"/>
                <w:szCs w:val="16"/>
                <w:lang w:val="en-GB"/>
              </w:rPr>
              <w:t>k School of Graduate Business</w:t>
            </w:r>
          </w:p>
          <w:p w14:paraId="15871680" w14:textId="1D586554" w:rsidR="00EA5E90" w:rsidRPr="000708D6" w:rsidRDefault="002807FF" w:rsidP="00F94B13">
            <w:pPr>
              <w:spacing w:after="60"/>
              <w:rPr>
                <w:b/>
                <w:i/>
                <w:iCs/>
                <w:sz w:val="16"/>
                <w:szCs w:val="16"/>
                <w:lang w:val="en-GB"/>
              </w:rPr>
            </w:pPr>
            <w:r w:rsidRPr="000708D6">
              <w:rPr>
                <w:b/>
                <w:i/>
                <w:iCs/>
                <w:sz w:val="16"/>
                <w:szCs w:val="16"/>
                <w:lang w:val="en-GB"/>
              </w:rPr>
              <w:t>United Nations organizations</w:t>
            </w:r>
            <w:r w:rsidR="00EA5E90" w:rsidRPr="000708D6">
              <w:rPr>
                <w:b/>
                <w:i/>
                <w:iCs/>
                <w:sz w:val="16"/>
                <w:szCs w:val="16"/>
                <w:lang w:val="en-GB"/>
              </w:rPr>
              <w:t xml:space="preserve"> </w:t>
            </w:r>
          </w:p>
          <w:p w14:paraId="7A76E91D" w14:textId="77777777" w:rsidR="00FC7D7F" w:rsidRPr="005C7E82" w:rsidRDefault="00FC7D7F" w:rsidP="000708D6">
            <w:pPr>
              <w:pStyle w:val="ListParagraph"/>
              <w:spacing w:after="60"/>
              <w:ind w:left="241"/>
              <w:rPr>
                <w:iCs/>
                <w:sz w:val="16"/>
                <w:szCs w:val="16"/>
                <w:lang w:val="en-GB"/>
              </w:rPr>
            </w:pPr>
            <w:r w:rsidRPr="005C7E82">
              <w:rPr>
                <w:iCs/>
                <w:sz w:val="16"/>
                <w:szCs w:val="16"/>
                <w:lang w:val="en-GB"/>
              </w:rPr>
              <w:t>UNICEF</w:t>
            </w:r>
          </w:p>
          <w:p w14:paraId="3ED9FBB7" w14:textId="63340BEC" w:rsidR="00FC7D7F" w:rsidRPr="005C7E82" w:rsidRDefault="009B7CD8" w:rsidP="000708D6">
            <w:pPr>
              <w:pStyle w:val="ListParagraph"/>
              <w:spacing w:after="60"/>
              <w:ind w:left="241"/>
              <w:rPr>
                <w:iCs/>
                <w:sz w:val="16"/>
                <w:szCs w:val="16"/>
                <w:lang w:val="en-GB"/>
              </w:rPr>
            </w:pPr>
            <w:r>
              <w:rPr>
                <w:iCs/>
                <w:sz w:val="16"/>
                <w:szCs w:val="16"/>
                <w:lang w:val="en-GB"/>
              </w:rPr>
              <w:t xml:space="preserve">World Health Organization </w:t>
            </w:r>
          </w:p>
          <w:p w14:paraId="4B9A70D3" w14:textId="77777777" w:rsidR="00FC7D7F" w:rsidRPr="005C7E82" w:rsidRDefault="00FC7D7F" w:rsidP="000708D6">
            <w:pPr>
              <w:pStyle w:val="ListParagraph"/>
              <w:spacing w:after="60"/>
              <w:ind w:left="241"/>
              <w:rPr>
                <w:iCs/>
                <w:sz w:val="16"/>
                <w:szCs w:val="16"/>
                <w:lang w:val="en-GB"/>
              </w:rPr>
            </w:pPr>
            <w:r w:rsidRPr="005C7E82">
              <w:rPr>
                <w:iCs/>
                <w:sz w:val="16"/>
                <w:szCs w:val="16"/>
                <w:lang w:val="en-GB"/>
              </w:rPr>
              <w:lastRenderedPageBreak/>
              <w:t>UNAIDS</w:t>
            </w:r>
          </w:p>
          <w:p w14:paraId="7EE72438" w14:textId="77777777" w:rsidR="005448A1" w:rsidRPr="005C7E82" w:rsidRDefault="005448A1" w:rsidP="000708D6">
            <w:pPr>
              <w:pStyle w:val="ListParagraph"/>
              <w:spacing w:after="60"/>
              <w:ind w:left="241"/>
              <w:rPr>
                <w:iCs/>
                <w:sz w:val="16"/>
                <w:szCs w:val="16"/>
                <w:lang w:val="en-GB"/>
              </w:rPr>
            </w:pPr>
            <w:r w:rsidRPr="005C7E82">
              <w:rPr>
                <w:iCs/>
                <w:sz w:val="16"/>
                <w:szCs w:val="16"/>
                <w:lang w:val="en-GB"/>
              </w:rPr>
              <w:t>UNV</w:t>
            </w:r>
          </w:p>
          <w:p w14:paraId="046562D2" w14:textId="77777777" w:rsidR="00EA5E90" w:rsidRPr="005C7E82" w:rsidRDefault="00EA5E90" w:rsidP="00F94B13">
            <w:pPr>
              <w:spacing w:after="60"/>
              <w:rPr>
                <w:iCs/>
                <w:sz w:val="16"/>
                <w:szCs w:val="16"/>
                <w:lang w:val="en-GB"/>
              </w:rPr>
            </w:pPr>
          </w:p>
          <w:p w14:paraId="408CCA1C" w14:textId="2D9D9F98" w:rsidR="00EA5E90" w:rsidRPr="000708D6" w:rsidRDefault="00EA5E90" w:rsidP="00F94B13">
            <w:pPr>
              <w:spacing w:after="60"/>
              <w:rPr>
                <w:b/>
                <w:i/>
                <w:iCs/>
                <w:sz w:val="16"/>
                <w:szCs w:val="16"/>
                <w:lang w:val="en-GB"/>
              </w:rPr>
            </w:pPr>
            <w:r w:rsidRPr="000708D6">
              <w:rPr>
                <w:b/>
                <w:i/>
                <w:iCs/>
                <w:sz w:val="16"/>
                <w:szCs w:val="16"/>
                <w:lang w:val="en-GB"/>
              </w:rPr>
              <w:t>Regional organi</w:t>
            </w:r>
            <w:r w:rsidR="009B7CD8" w:rsidRPr="000708D6">
              <w:rPr>
                <w:b/>
                <w:i/>
                <w:iCs/>
                <w:sz w:val="16"/>
                <w:szCs w:val="16"/>
                <w:lang w:val="en-GB"/>
              </w:rPr>
              <w:t>z</w:t>
            </w:r>
            <w:r w:rsidRPr="000708D6">
              <w:rPr>
                <w:b/>
                <w:i/>
                <w:iCs/>
                <w:sz w:val="16"/>
                <w:szCs w:val="16"/>
                <w:lang w:val="en-GB"/>
              </w:rPr>
              <w:t>ations</w:t>
            </w:r>
          </w:p>
          <w:p w14:paraId="74327A5F" w14:textId="77777777" w:rsidR="00FC7D7F" w:rsidRPr="005C7E82" w:rsidRDefault="00FC7D7F" w:rsidP="000708D6">
            <w:pPr>
              <w:pStyle w:val="ListParagraph"/>
              <w:spacing w:after="60"/>
              <w:ind w:left="241"/>
              <w:rPr>
                <w:iCs/>
                <w:sz w:val="16"/>
                <w:szCs w:val="16"/>
                <w:lang w:val="en-GB"/>
              </w:rPr>
            </w:pPr>
            <w:r w:rsidRPr="005C7E82">
              <w:rPr>
                <w:iCs/>
                <w:sz w:val="16"/>
                <w:szCs w:val="16"/>
                <w:lang w:val="en-GB"/>
              </w:rPr>
              <w:t>CARICOM</w:t>
            </w:r>
          </w:p>
          <w:p w14:paraId="4F8D856C" w14:textId="77777777" w:rsidR="00FC7D7F" w:rsidRPr="005C7E82" w:rsidRDefault="00FC7D7F" w:rsidP="000708D6">
            <w:pPr>
              <w:pStyle w:val="ListParagraph"/>
              <w:spacing w:after="60"/>
              <w:ind w:left="241"/>
              <w:rPr>
                <w:iCs/>
                <w:sz w:val="16"/>
                <w:szCs w:val="16"/>
                <w:lang w:val="en-GB"/>
              </w:rPr>
            </w:pPr>
            <w:r w:rsidRPr="005C7E82">
              <w:rPr>
                <w:iCs/>
                <w:sz w:val="16"/>
                <w:szCs w:val="16"/>
                <w:lang w:val="en-GB"/>
              </w:rPr>
              <w:t>Caribbean Development Bank</w:t>
            </w:r>
          </w:p>
          <w:p w14:paraId="03446445" w14:textId="13006064" w:rsidR="00FC7D7F" w:rsidRPr="005C7E82" w:rsidRDefault="00AB0FE9" w:rsidP="000708D6">
            <w:pPr>
              <w:pStyle w:val="ListParagraph"/>
              <w:spacing w:after="60"/>
              <w:ind w:left="241"/>
              <w:rPr>
                <w:iCs/>
                <w:sz w:val="16"/>
                <w:szCs w:val="16"/>
                <w:lang w:val="en-GB"/>
              </w:rPr>
            </w:pPr>
            <w:r w:rsidRPr="000708D6">
              <w:rPr>
                <w:iCs/>
                <w:sz w:val="16"/>
                <w:szCs w:val="16"/>
                <w:lang w:val="en-GB"/>
              </w:rPr>
              <w:t>Council for the Evaluation of Social Development Policy</w:t>
            </w:r>
            <w:r w:rsidR="00FC7D7F" w:rsidRPr="005C7E82">
              <w:rPr>
                <w:iCs/>
                <w:sz w:val="16"/>
                <w:szCs w:val="16"/>
                <w:lang w:val="en-GB"/>
              </w:rPr>
              <w:t xml:space="preserve"> </w:t>
            </w:r>
          </w:p>
        </w:tc>
        <w:tc>
          <w:tcPr>
            <w:tcW w:w="708" w:type="pct"/>
            <w:tcBorders>
              <w:bottom w:val="single" w:sz="4" w:space="0" w:color="auto"/>
            </w:tcBorders>
            <w:tcMar>
              <w:top w:w="15" w:type="dxa"/>
              <w:left w:w="108" w:type="dxa"/>
              <w:bottom w:w="0" w:type="dxa"/>
              <w:right w:w="108" w:type="dxa"/>
            </w:tcMar>
          </w:tcPr>
          <w:p w14:paraId="71C74AFC" w14:textId="77777777" w:rsidR="00FC7D7F" w:rsidRPr="000708D6" w:rsidRDefault="00FC7D7F" w:rsidP="00FC7D7F">
            <w:pPr>
              <w:rPr>
                <w:b/>
                <w:sz w:val="16"/>
                <w:szCs w:val="16"/>
                <w:lang w:val="en-GB"/>
              </w:rPr>
            </w:pPr>
            <w:r w:rsidRPr="000708D6">
              <w:rPr>
                <w:b/>
                <w:sz w:val="16"/>
                <w:szCs w:val="16"/>
                <w:lang w:val="en-GB"/>
              </w:rPr>
              <w:lastRenderedPageBreak/>
              <w:t xml:space="preserve">Regular: </w:t>
            </w:r>
            <w:r w:rsidR="00617199" w:rsidRPr="000708D6">
              <w:rPr>
                <w:b/>
                <w:sz w:val="16"/>
                <w:szCs w:val="16"/>
                <w:lang w:val="en-GB"/>
              </w:rPr>
              <w:t xml:space="preserve"> </w:t>
            </w:r>
            <w:r w:rsidRPr="000708D6">
              <w:rPr>
                <w:b/>
                <w:sz w:val="16"/>
                <w:szCs w:val="16"/>
                <w:lang w:val="en-GB"/>
              </w:rPr>
              <w:t>0</w:t>
            </w:r>
          </w:p>
          <w:p w14:paraId="05948DEE" w14:textId="77777777" w:rsidR="00617199" w:rsidRPr="000708D6" w:rsidRDefault="00617199" w:rsidP="00FC7D7F">
            <w:pPr>
              <w:rPr>
                <w:b/>
                <w:sz w:val="16"/>
                <w:szCs w:val="16"/>
                <w:lang w:val="en-GB"/>
              </w:rPr>
            </w:pPr>
          </w:p>
          <w:p w14:paraId="2F15888D" w14:textId="77777777" w:rsidR="00617199" w:rsidRPr="000708D6" w:rsidRDefault="00617199" w:rsidP="00FC7D7F">
            <w:pPr>
              <w:rPr>
                <w:b/>
                <w:sz w:val="16"/>
                <w:szCs w:val="16"/>
                <w:lang w:val="en-GB"/>
              </w:rPr>
            </w:pPr>
            <w:r w:rsidRPr="000708D6">
              <w:rPr>
                <w:b/>
                <w:sz w:val="16"/>
                <w:szCs w:val="16"/>
                <w:lang w:val="en-GB"/>
              </w:rPr>
              <w:t xml:space="preserve">Other: </w:t>
            </w:r>
            <w:bookmarkStart w:id="0" w:name="_GoBack"/>
            <w:bookmarkEnd w:id="0"/>
          </w:p>
          <w:p w14:paraId="68245FB0" w14:textId="0E1C8DF6" w:rsidR="00114470" w:rsidRPr="000708D6" w:rsidRDefault="007207B3" w:rsidP="00FC7D7F">
            <w:pPr>
              <w:rPr>
                <w:b/>
                <w:sz w:val="16"/>
                <w:szCs w:val="16"/>
                <w:lang w:val="en-GB"/>
              </w:rPr>
            </w:pPr>
            <w:r w:rsidRPr="000708D6">
              <w:rPr>
                <w:b/>
                <w:sz w:val="16"/>
                <w:szCs w:val="16"/>
                <w:lang w:val="en-GB"/>
              </w:rPr>
              <w:t>3</w:t>
            </w:r>
            <w:r w:rsidR="00652EFC" w:rsidRPr="000708D6">
              <w:rPr>
                <w:b/>
                <w:sz w:val="16"/>
                <w:szCs w:val="16"/>
                <w:lang w:val="en-GB"/>
              </w:rPr>
              <w:t>,</w:t>
            </w:r>
            <w:r w:rsidR="00663AC1" w:rsidRPr="000708D6">
              <w:rPr>
                <w:b/>
                <w:sz w:val="16"/>
                <w:szCs w:val="16"/>
                <w:lang w:val="en-GB"/>
              </w:rPr>
              <w:t>000</w:t>
            </w:r>
          </w:p>
          <w:p w14:paraId="5677D44E" w14:textId="77777777" w:rsidR="00617199" w:rsidRPr="000708D6" w:rsidRDefault="00617199" w:rsidP="00FC7D7F">
            <w:pPr>
              <w:rPr>
                <w:b/>
                <w:sz w:val="16"/>
                <w:szCs w:val="16"/>
                <w:lang w:val="en-GB"/>
              </w:rPr>
            </w:pPr>
          </w:p>
        </w:tc>
      </w:tr>
    </w:tbl>
    <w:p w14:paraId="1E0D91CA" w14:textId="38FB3638" w:rsidR="00FC7D7F" w:rsidRPr="000708D6" w:rsidRDefault="00E0132E" w:rsidP="001E6DF4">
      <w:pPr>
        <w:pStyle w:val="Heading4"/>
        <w:rPr>
          <w:rFonts w:ascii="Times New Roman" w:hAnsi="Times New Roman"/>
          <w:lang w:val="en-GB"/>
        </w:rPr>
      </w:pPr>
      <w:r w:rsidRPr="000708D6">
        <w:rPr>
          <w:rFonts w:ascii="Times New Roman" w:hAnsi="Times New Roman"/>
          <w:lang w:val="en-GB"/>
        </w:rPr>
        <w:t>Area 2</w:t>
      </w:r>
      <w:r w:rsidR="00705E48">
        <w:rPr>
          <w:rFonts w:ascii="Times New Roman" w:hAnsi="Times New Roman"/>
          <w:lang w:val="en-GB"/>
        </w:rPr>
        <w:t>.</w:t>
      </w:r>
      <w:r w:rsidRPr="000708D6">
        <w:rPr>
          <w:rFonts w:ascii="Times New Roman" w:hAnsi="Times New Roman"/>
          <w:lang w:val="en-GB"/>
        </w:rPr>
        <w:t xml:space="preserve"> Open</w:t>
      </w:r>
      <w:r w:rsidR="006B23A8" w:rsidRPr="000708D6">
        <w:rPr>
          <w:rFonts w:ascii="Times New Roman" w:hAnsi="Times New Roman"/>
          <w:lang w:val="en-GB"/>
        </w:rPr>
        <w:t xml:space="preserve"> and</w:t>
      </w:r>
      <w:r w:rsidRPr="000708D6">
        <w:rPr>
          <w:rFonts w:ascii="Times New Roman" w:hAnsi="Times New Roman"/>
          <w:lang w:val="en-GB"/>
        </w:rPr>
        <w:t xml:space="preserve"> </w:t>
      </w:r>
      <w:r w:rsidR="00705E48">
        <w:rPr>
          <w:rFonts w:ascii="Times New Roman" w:hAnsi="Times New Roman"/>
          <w:lang w:val="en-GB"/>
        </w:rPr>
        <w:t>p</w:t>
      </w:r>
      <w:r w:rsidRPr="000708D6">
        <w:rPr>
          <w:rFonts w:ascii="Times New Roman" w:hAnsi="Times New Roman"/>
          <w:lang w:val="en-GB"/>
        </w:rPr>
        <w:t xml:space="preserve">articipatory </w:t>
      </w:r>
      <w:r w:rsidR="00705E48">
        <w:rPr>
          <w:rFonts w:ascii="Times New Roman" w:hAnsi="Times New Roman"/>
          <w:lang w:val="en-GB"/>
        </w:rPr>
        <w:t>g</w:t>
      </w:r>
      <w:r w:rsidRPr="000708D6">
        <w:rPr>
          <w:rFonts w:ascii="Times New Roman" w:hAnsi="Times New Roman"/>
          <w:lang w:val="en-GB"/>
        </w:rPr>
        <w:t xml:space="preserve">overnance </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781"/>
        <w:gridCol w:w="1592"/>
        <w:gridCol w:w="5014"/>
        <w:gridCol w:w="2112"/>
        <w:gridCol w:w="1900"/>
      </w:tblGrid>
      <w:tr w:rsidR="00FC7D7F" w:rsidRPr="005C7E82" w14:paraId="2AB1A807" w14:textId="77777777" w:rsidTr="00644F57">
        <w:trPr>
          <w:trHeight w:val="25"/>
        </w:trPr>
        <w:tc>
          <w:tcPr>
            <w:tcW w:w="5000" w:type="pct"/>
            <w:gridSpan w:val="5"/>
            <w:shd w:val="clear" w:color="auto" w:fill="auto"/>
            <w:tcMar>
              <w:top w:w="72" w:type="dxa"/>
              <w:left w:w="144" w:type="dxa"/>
              <w:bottom w:w="72" w:type="dxa"/>
              <w:right w:w="144" w:type="dxa"/>
            </w:tcMar>
          </w:tcPr>
          <w:p w14:paraId="099EC329" w14:textId="146BC7A8" w:rsidR="00FC7D7F" w:rsidRPr="000708D6" w:rsidRDefault="00705E48" w:rsidP="00FC7D7F">
            <w:pPr>
              <w:rPr>
                <w:b/>
                <w:sz w:val="16"/>
                <w:szCs w:val="16"/>
                <w:lang w:val="en-GB"/>
              </w:rPr>
            </w:pPr>
            <w:r w:rsidRPr="00705E48">
              <w:rPr>
                <w:b/>
                <w:bCs/>
                <w:sz w:val="16"/>
                <w:szCs w:val="16"/>
                <w:lang w:val="en-GB"/>
              </w:rPr>
              <w:t>National priority or goal</w:t>
            </w:r>
            <w:r w:rsidR="00FC7D7F" w:rsidRPr="00705E48">
              <w:rPr>
                <w:b/>
                <w:bCs/>
                <w:sz w:val="16"/>
                <w:szCs w:val="16"/>
                <w:lang w:val="en-GB"/>
              </w:rPr>
              <w:t xml:space="preserve">: </w:t>
            </w:r>
            <w:r w:rsidR="00FC7D7F" w:rsidRPr="000708D6">
              <w:rPr>
                <w:b/>
                <w:bCs/>
                <w:iCs/>
                <w:sz w:val="16"/>
                <w:szCs w:val="16"/>
                <w:lang w:val="en-GB"/>
              </w:rPr>
              <w:t xml:space="preserve">People-centred governance institutions bolstered by transparency, accountability and the rule of law (Government </w:t>
            </w:r>
            <w:r>
              <w:rPr>
                <w:b/>
                <w:bCs/>
                <w:iCs/>
                <w:sz w:val="16"/>
                <w:szCs w:val="16"/>
                <w:lang w:val="en-GB"/>
              </w:rPr>
              <w:t>n</w:t>
            </w:r>
            <w:r w:rsidR="00FC7D7F" w:rsidRPr="000708D6">
              <w:rPr>
                <w:b/>
                <w:bCs/>
                <w:iCs/>
                <w:sz w:val="16"/>
                <w:szCs w:val="16"/>
                <w:lang w:val="en-GB"/>
              </w:rPr>
              <w:t xml:space="preserve">ational </w:t>
            </w:r>
            <w:r>
              <w:rPr>
                <w:b/>
                <w:bCs/>
                <w:iCs/>
                <w:sz w:val="16"/>
                <w:szCs w:val="16"/>
                <w:lang w:val="en-GB"/>
              </w:rPr>
              <w:t>p</w:t>
            </w:r>
            <w:r w:rsidR="00FC7D7F" w:rsidRPr="000708D6">
              <w:rPr>
                <w:b/>
                <w:bCs/>
                <w:iCs/>
                <w:sz w:val="16"/>
                <w:szCs w:val="16"/>
                <w:lang w:val="en-GB"/>
              </w:rPr>
              <w:t>olicy</w:t>
            </w:r>
            <w:r>
              <w:rPr>
                <w:b/>
                <w:bCs/>
                <w:iCs/>
                <w:sz w:val="16"/>
                <w:szCs w:val="16"/>
                <w:lang w:val="en-GB"/>
              </w:rPr>
              <w:t>,</w:t>
            </w:r>
            <w:r w:rsidR="00FC7D7F" w:rsidRPr="000708D6">
              <w:rPr>
                <w:b/>
                <w:bCs/>
                <w:iCs/>
                <w:sz w:val="16"/>
                <w:szCs w:val="16"/>
                <w:lang w:val="en-GB"/>
              </w:rPr>
              <w:t xml:space="preserve"> 2015)</w:t>
            </w:r>
          </w:p>
        </w:tc>
      </w:tr>
      <w:tr w:rsidR="00FC7D7F" w:rsidRPr="005C7E82" w14:paraId="38BE2CA9" w14:textId="77777777" w:rsidTr="00644F57">
        <w:trPr>
          <w:trHeight w:val="124"/>
        </w:trPr>
        <w:tc>
          <w:tcPr>
            <w:tcW w:w="5000" w:type="pct"/>
            <w:gridSpan w:val="5"/>
            <w:shd w:val="clear" w:color="auto" w:fill="auto"/>
            <w:tcMar>
              <w:top w:w="72" w:type="dxa"/>
              <w:left w:w="144" w:type="dxa"/>
              <w:bottom w:w="72" w:type="dxa"/>
              <w:right w:w="144" w:type="dxa"/>
            </w:tcMar>
          </w:tcPr>
          <w:p w14:paraId="7C87EDDB" w14:textId="05D744E9" w:rsidR="00AA444C" w:rsidRPr="000708D6" w:rsidRDefault="00891464" w:rsidP="00AA444C">
            <w:pPr>
              <w:rPr>
                <w:b/>
                <w:sz w:val="16"/>
                <w:szCs w:val="16"/>
                <w:lang w:val="en-GB"/>
              </w:rPr>
            </w:pPr>
            <w:r w:rsidRPr="00705E48">
              <w:rPr>
                <w:b/>
                <w:bCs/>
                <w:sz w:val="16"/>
                <w:szCs w:val="16"/>
                <w:lang w:val="en-GB"/>
              </w:rPr>
              <w:t xml:space="preserve">UNDAF/MSDF </w:t>
            </w:r>
            <w:r w:rsidR="00705E48" w:rsidRPr="00705E48">
              <w:rPr>
                <w:b/>
                <w:bCs/>
                <w:sz w:val="16"/>
                <w:szCs w:val="16"/>
                <w:lang w:val="en-GB"/>
              </w:rPr>
              <w:t xml:space="preserve">outcome involving </w:t>
            </w:r>
            <w:r w:rsidR="00FC7D7F" w:rsidRPr="00705E48">
              <w:rPr>
                <w:b/>
                <w:bCs/>
                <w:sz w:val="16"/>
                <w:szCs w:val="16"/>
                <w:lang w:val="en-GB"/>
              </w:rPr>
              <w:t>UNDP:</w:t>
            </w:r>
            <w:r w:rsidR="00FC7D7F" w:rsidRPr="000708D6">
              <w:rPr>
                <w:b/>
                <w:sz w:val="16"/>
                <w:szCs w:val="16"/>
                <w:lang w:val="en-GB"/>
              </w:rPr>
              <w:t xml:space="preserve"> </w:t>
            </w:r>
            <w:r w:rsidRPr="000708D6">
              <w:rPr>
                <w:b/>
                <w:sz w:val="16"/>
                <w:szCs w:val="16"/>
                <w:lang w:val="en-GB"/>
              </w:rPr>
              <w:t xml:space="preserve">Capacities of public policy and rule of law institutions and </w:t>
            </w:r>
            <w:r w:rsidR="00705E48" w:rsidRPr="000708D6">
              <w:rPr>
                <w:b/>
                <w:sz w:val="16"/>
                <w:szCs w:val="16"/>
                <w:lang w:val="en-GB"/>
              </w:rPr>
              <w:t xml:space="preserve">civil society organizations </w:t>
            </w:r>
            <w:r w:rsidRPr="000708D6">
              <w:rPr>
                <w:b/>
                <w:sz w:val="16"/>
                <w:szCs w:val="16"/>
                <w:lang w:val="en-GB"/>
              </w:rPr>
              <w:t>strengthened.</w:t>
            </w:r>
          </w:p>
          <w:p w14:paraId="05BCD82F" w14:textId="4E20E8E1" w:rsidR="00C657CD" w:rsidRPr="000708D6" w:rsidRDefault="00705E48">
            <w:pPr>
              <w:rPr>
                <w:b/>
                <w:sz w:val="16"/>
                <w:szCs w:val="16"/>
                <w:lang w:val="en-GB"/>
              </w:rPr>
            </w:pPr>
            <w:r w:rsidRPr="00705E48">
              <w:rPr>
                <w:b/>
                <w:bCs/>
                <w:iCs/>
                <w:sz w:val="16"/>
                <w:szCs w:val="16"/>
                <w:lang w:val="en-GB"/>
              </w:rPr>
              <w:t>Sustainable development goals</w:t>
            </w:r>
            <w:r w:rsidR="00C657CD" w:rsidRPr="00705E48">
              <w:rPr>
                <w:b/>
                <w:bCs/>
                <w:iCs/>
                <w:sz w:val="16"/>
                <w:szCs w:val="16"/>
                <w:lang w:val="en-GB"/>
              </w:rPr>
              <w:t xml:space="preserve">: </w:t>
            </w:r>
            <w:r w:rsidR="00DB39D7" w:rsidRPr="000708D6">
              <w:rPr>
                <w:b/>
                <w:bCs/>
                <w:iCs/>
                <w:sz w:val="16"/>
                <w:szCs w:val="16"/>
                <w:lang w:val="en-GB"/>
              </w:rPr>
              <w:t>5</w:t>
            </w:r>
            <w:r w:rsidRPr="000708D6">
              <w:rPr>
                <w:b/>
                <w:bCs/>
                <w:iCs/>
                <w:sz w:val="16"/>
                <w:szCs w:val="16"/>
                <w:lang w:val="en-GB"/>
              </w:rPr>
              <w:t xml:space="preserve"> and</w:t>
            </w:r>
            <w:r w:rsidR="00DB39D7" w:rsidRPr="000708D6">
              <w:rPr>
                <w:b/>
                <w:bCs/>
                <w:iCs/>
                <w:sz w:val="16"/>
                <w:szCs w:val="16"/>
                <w:lang w:val="en-GB"/>
              </w:rPr>
              <w:t xml:space="preserve"> 16</w:t>
            </w:r>
          </w:p>
        </w:tc>
      </w:tr>
      <w:tr w:rsidR="00FC7D7F" w:rsidRPr="005C7E82" w14:paraId="6957E103" w14:textId="77777777" w:rsidTr="00644F57">
        <w:trPr>
          <w:trHeight w:val="124"/>
        </w:trPr>
        <w:tc>
          <w:tcPr>
            <w:tcW w:w="5000" w:type="pct"/>
            <w:gridSpan w:val="5"/>
            <w:shd w:val="clear" w:color="auto" w:fill="auto"/>
            <w:tcMar>
              <w:top w:w="72" w:type="dxa"/>
              <w:left w:w="144" w:type="dxa"/>
              <w:bottom w:w="72" w:type="dxa"/>
              <w:right w:w="144" w:type="dxa"/>
            </w:tcMar>
          </w:tcPr>
          <w:p w14:paraId="72C421F6" w14:textId="40345C4D" w:rsidR="00FC7D7F" w:rsidRPr="00705E48" w:rsidRDefault="00705E48">
            <w:pPr>
              <w:rPr>
                <w:b/>
                <w:bCs/>
                <w:sz w:val="16"/>
                <w:szCs w:val="16"/>
                <w:lang w:val="en-GB"/>
              </w:rPr>
            </w:pPr>
            <w:r w:rsidRPr="00705E48">
              <w:rPr>
                <w:b/>
                <w:bCs/>
                <w:sz w:val="16"/>
                <w:szCs w:val="16"/>
                <w:lang w:val="en-GB"/>
              </w:rPr>
              <w:t>Related strategic plan</w:t>
            </w:r>
            <w:r w:rsidR="002620E8">
              <w:rPr>
                <w:b/>
                <w:bCs/>
                <w:sz w:val="16"/>
                <w:szCs w:val="16"/>
                <w:lang w:val="en-GB"/>
              </w:rPr>
              <w:t>,</w:t>
            </w:r>
            <w:r w:rsidRPr="00705E48">
              <w:rPr>
                <w:b/>
                <w:bCs/>
                <w:sz w:val="16"/>
                <w:szCs w:val="16"/>
                <w:lang w:val="en-GB"/>
              </w:rPr>
              <w:t xml:space="preserve"> </w:t>
            </w:r>
            <w:r w:rsidR="00827534" w:rsidRPr="00705E48">
              <w:rPr>
                <w:b/>
                <w:bCs/>
                <w:sz w:val="16"/>
                <w:szCs w:val="16"/>
                <w:lang w:val="en-GB"/>
              </w:rPr>
              <w:t>2014-2017</w:t>
            </w:r>
            <w:r w:rsidR="002620E8">
              <w:rPr>
                <w:b/>
                <w:bCs/>
                <w:sz w:val="16"/>
                <w:szCs w:val="16"/>
                <w:lang w:val="en-GB"/>
              </w:rPr>
              <w:t>,</w:t>
            </w:r>
            <w:r w:rsidRPr="00705E48">
              <w:rPr>
                <w:b/>
                <w:bCs/>
                <w:sz w:val="16"/>
                <w:szCs w:val="16"/>
                <w:lang w:val="en-GB"/>
              </w:rPr>
              <w:t xml:space="preserve"> outcome</w:t>
            </w:r>
            <w:r w:rsidR="00FC7D7F" w:rsidRPr="00705E48">
              <w:rPr>
                <w:b/>
                <w:bCs/>
                <w:sz w:val="16"/>
                <w:szCs w:val="16"/>
                <w:lang w:val="en-GB"/>
              </w:rPr>
              <w:t xml:space="preserve">: </w:t>
            </w:r>
            <w:r w:rsidR="00FC7D7F" w:rsidRPr="000708D6">
              <w:rPr>
                <w:b/>
                <w:iCs/>
                <w:sz w:val="16"/>
                <w:szCs w:val="16"/>
                <w:lang w:val="en-GB"/>
              </w:rPr>
              <w:t>2</w:t>
            </w:r>
            <w:r w:rsidRPr="000708D6">
              <w:rPr>
                <w:b/>
                <w:iCs/>
                <w:sz w:val="16"/>
                <w:szCs w:val="16"/>
                <w:lang w:val="en-GB"/>
              </w:rPr>
              <w:t>.</w:t>
            </w:r>
            <w:r w:rsidR="00FC7D7F" w:rsidRPr="000708D6">
              <w:rPr>
                <w:b/>
                <w:iCs/>
                <w:sz w:val="16"/>
                <w:szCs w:val="16"/>
                <w:lang w:val="en-GB"/>
              </w:rPr>
              <w:t xml:space="preserve"> Citizen expectations for voice, development, the rule of law and accountability are met by stronger systems of democratic governance</w:t>
            </w:r>
          </w:p>
        </w:tc>
      </w:tr>
      <w:tr w:rsidR="00FC7D7F" w:rsidRPr="005C7E82" w14:paraId="05D03B4C" w14:textId="77777777" w:rsidTr="004033D3">
        <w:trPr>
          <w:trHeight w:val="305"/>
        </w:trPr>
        <w:tc>
          <w:tcPr>
            <w:tcW w:w="1038" w:type="pct"/>
            <w:vMerge w:val="restart"/>
            <w:tcMar>
              <w:top w:w="72" w:type="dxa"/>
              <w:left w:w="144" w:type="dxa"/>
              <w:bottom w:w="72" w:type="dxa"/>
              <w:right w:w="144" w:type="dxa"/>
            </w:tcMar>
          </w:tcPr>
          <w:p w14:paraId="6B6019A9" w14:textId="77777777" w:rsidR="007D13E1" w:rsidRPr="000708D6" w:rsidRDefault="00B11DB2" w:rsidP="007D13E1">
            <w:pPr>
              <w:spacing w:line="259" w:lineRule="auto"/>
              <w:rPr>
                <w:bCs/>
                <w:sz w:val="16"/>
                <w:szCs w:val="16"/>
                <w:lang w:val="en-GB"/>
              </w:rPr>
            </w:pPr>
            <w:r w:rsidRPr="000708D6">
              <w:rPr>
                <w:b/>
                <w:bCs/>
                <w:sz w:val="16"/>
                <w:szCs w:val="16"/>
                <w:lang w:val="en-GB"/>
              </w:rPr>
              <w:t xml:space="preserve">Indicator: </w:t>
            </w:r>
            <w:r w:rsidR="007D13E1" w:rsidRPr="000708D6">
              <w:rPr>
                <w:bCs/>
                <w:sz w:val="16"/>
                <w:szCs w:val="16"/>
                <w:lang w:val="en-GB"/>
              </w:rPr>
              <w:t xml:space="preserve">Number of </w:t>
            </w:r>
            <w:r w:rsidR="005A4EA0" w:rsidRPr="000708D6">
              <w:rPr>
                <w:bCs/>
                <w:sz w:val="16"/>
                <w:szCs w:val="16"/>
                <w:lang w:val="en-GB"/>
              </w:rPr>
              <w:t>ministries</w:t>
            </w:r>
            <w:r w:rsidR="007D13E1" w:rsidRPr="000708D6">
              <w:rPr>
                <w:bCs/>
                <w:sz w:val="16"/>
                <w:szCs w:val="16"/>
                <w:lang w:val="en-GB"/>
              </w:rPr>
              <w:t xml:space="preserve"> with gender and child-responsive social protection and education policies and strategies.</w:t>
            </w:r>
          </w:p>
          <w:p w14:paraId="60C565F9" w14:textId="77777777" w:rsidR="00B11DB2" w:rsidRPr="000708D6" w:rsidRDefault="00B11DB2" w:rsidP="00B11DB2">
            <w:pPr>
              <w:spacing w:line="259" w:lineRule="auto"/>
              <w:rPr>
                <w:bCs/>
                <w:sz w:val="16"/>
                <w:szCs w:val="16"/>
                <w:lang w:val="en-GB"/>
              </w:rPr>
            </w:pPr>
            <w:r w:rsidRPr="000708D6">
              <w:rPr>
                <w:b/>
                <w:bCs/>
                <w:sz w:val="16"/>
                <w:szCs w:val="16"/>
                <w:lang w:val="en-GB"/>
              </w:rPr>
              <w:t>Baseline:</w:t>
            </w:r>
            <w:r w:rsidRPr="000708D6">
              <w:rPr>
                <w:bCs/>
                <w:sz w:val="16"/>
                <w:szCs w:val="16"/>
                <w:lang w:val="en-GB"/>
              </w:rPr>
              <w:t xml:space="preserve"> </w:t>
            </w:r>
            <w:r w:rsidR="005A4EA0" w:rsidRPr="000708D6">
              <w:rPr>
                <w:bCs/>
                <w:sz w:val="16"/>
                <w:szCs w:val="16"/>
                <w:lang w:val="en-GB"/>
              </w:rPr>
              <w:t>1</w:t>
            </w:r>
          </w:p>
          <w:p w14:paraId="0FE5EBC9" w14:textId="77777777" w:rsidR="00B11DB2" w:rsidRPr="000708D6" w:rsidRDefault="00D64B78" w:rsidP="00B11DB2">
            <w:pPr>
              <w:spacing w:line="259" w:lineRule="auto"/>
              <w:rPr>
                <w:bCs/>
                <w:sz w:val="16"/>
                <w:szCs w:val="16"/>
                <w:lang w:val="en-GB"/>
              </w:rPr>
            </w:pPr>
            <w:r w:rsidRPr="000708D6">
              <w:rPr>
                <w:b/>
                <w:bCs/>
                <w:sz w:val="16"/>
                <w:szCs w:val="16"/>
                <w:lang w:val="en-GB"/>
              </w:rPr>
              <w:t>Target</w:t>
            </w:r>
            <w:r w:rsidR="00B11DB2" w:rsidRPr="000708D6">
              <w:rPr>
                <w:b/>
                <w:bCs/>
                <w:sz w:val="16"/>
                <w:szCs w:val="16"/>
                <w:lang w:val="en-GB"/>
              </w:rPr>
              <w:t>:</w:t>
            </w:r>
            <w:r w:rsidR="00B11DB2" w:rsidRPr="000708D6">
              <w:rPr>
                <w:bCs/>
                <w:sz w:val="16"/>
                <w:szCs w:val="16"/>
                <w:lang w:val="en-GB"/>
              </w:rPr>
              <w:t xml:space="preserve"> </w:t>
            </w:r>
            <w:r w:rsidR="005A4EA0" w:rsidRPr="000708D6">
              <w:rPr>
                <w:bCs/>
                <w:sz w:val="16"/>
                <w:szCs w:val="16"/>
                <w:lang w:val="en-GB"/>
              </w:rPr>
              <w:t>2</w:t>
            </w:r>
          </w:p>
          <w:p w14:paraId="029327D5" w14:textId="77777777" w:rsidR="00DE1DC6" w:rsidRPr="000708D6" w:rsidRDefault="00DE1DC6" w:rsidP="00B11DB2">
            <w:pPr>
              <w:spacing w:line="259" w:lineRule="auto"/>
              <w:rPr>
                <w:bCs/>
                <w:sz w:val="16"/>
                <w:szCs w:val="16"/>
                <w:lang w:val="en-GB"/>
              </w:rPr>
            </w:pPr>
          </w:p>
          <w:p w14:paraId="626BD77D" w14:textId="77777777" w:rsidR="00B11DB2" w:rsidRPr="005C7E82" w:rsidRDefault="00B11DB2" w:rsidP="009A12E9">
            <w:pPr>
              <w:spacing w:after="160" w:line="259" w:lineRule="auto"/>
              <w:rPr>
                <w:bCs/>
                <w:sz w:val="16"/>
                <w:szCs w:val="16"/>
                <w:lang w:val="en-GB"/>
              </w:rPr>
            </w:pPr>
          </w:p>
        </w:tc>
        <w:tc>
          <w:tcPr>
            <w:tcW w:w="594" w:type="pct"/>
            <w:vMerge w:val="restart"/>
          </w:tcPr>
          <w:p w14:paraId="5E36D0B2" w14:textId="38298851" w:rsidR="004D2B14" w:rsidRPr="005C7E82" w:rsidRDefault="00E90F9A" w:rsidP="004D2B14">
            <w:pPr>
              <w:rPr>
                <w:bCs/>
                <w:sz w:val="16"/>
                <w:szCs w:val="16"/>
                <w:lang w:val="en-GB"/>
              </w:rPr>
            </w:pPr>
            <w:r>
              <w:rPr>
                <w:b/>
                <w:bCs/>
                <w:sz w:val="16"/>
                <w:szCs w:val="16"/>
                <w:lang w:val="en-GB"/>
              </w:rPr>
              <w:t>Source:</w:t>
            </w:r>
            <w:r w:rsidR="004D2B14" w:rsidRPr="002807FF">
              <w:rPr>
                <w:bCs/>
                <w:sz w:val="16"/>
                <w:szCs w:val="16"/>
                <w:lang w:val="en-GB"/>
              </w:rPr>
              <w:t xml:space="preserve"> </w:t>
            </w:r>
            <w:r>
              <w:rPr>
                <w:bCs/>
                <w:sz w:val="16"/>
                <w:szCs w:val="16"/>
                <w:lang w:val="en-GB"/>
              </w:rPr>
              <w:t>a</w:t>
            </w:r>
            <w:r w:rsidR="00D64B78" w:rsidRPr="002807FF">
              <w:rPr>
                <w:bCs/>
                <w:sz w:val="16"/>
                <w:szCs w:val="16"/>
                <w:lang w:val="en-GB"/>
              </w:rPr>
              <w:t xml:space="preserve">ll </w:t>
            </w:r>
            <w:r w:rsidR="00997C0E">
              <w:rPr>
                <w:bCs/>
                <w:sz w:val="16"/>
                <w:szCs w:val="16"/>
                <w:lang w:val="en-GB"/>
              </w:rPr>
              <w:t>m</w:t>
            </w:r>
            <w:r w:rsidR="007D13E1" w:rsidRPr="002807FF">
              <w:rPr>
                <w:bCs/>
                <w:sz w:val="16"/>
                <w:szCs w:val="16"/>
                <w:lang w:val="en-GB"/>
              </w:rPr>
              <w:t xml:space="preserve">inistries </w:t>
            </w:r>
          </w:p>
          <w:p w14:paraId="77F117EC" w14:textId="15CDA3D9" w:rsidR="004D2B14" w:rsidRPr="005C7E82" w:rsidRDefault="00E90F9A" w:rsidP="004D2B14">
            <w:pPr>
              <w:rPr>
                <w:bCs/>
                <w:sz w:val="16"/>
                <w:szCs w:val="16"/>
                <w:lang w:val="en-GB"/>
              </w:rPr>
            </w:pPr>
            <w:r>
              <w:rPr>
                <w:b/>
                <w:bCs/>
                <w:sz w:val="16"/>
                <w:szCs w:val="16"/>
                <w:lang w:val="en-GB"/>
              </w:rPr>
              <w:t>Frequency:</w:t>
            </w:r>
            <w:r w:rsidR="004D2B14" w:rsidRPr="005C7E82">
              <w:rPr>
                <w:bCs/>
                <w:sz w:val="16"/>
                <w:szCs w:val="16"/>
                <w:lang w:val="en-GB"/>
              </w:rPr>
              <w:t xml:space="preserve"> </w:t>
            </w:r>
            <w:r>
              <w:rPr>
                <w:bCs/>
                <w:sz w:val="16"/>
                <w:szCs w:val="16"/>
                <w:lang w:val="en-GB"/>
              </w:rPr>
              <w:t>a</w:t>
            </w:r>
            <w:r w:rsidR="007D13E1" w:rsidRPr="005C7E82">
              <w:rPr>
                <w:bCs/>
                <w:sz w:val="16"/>
                <w:szCs w:val="16"/>
                <w:lang w:val="en-GB"/>
              </w:rPr>
              <w:t>nnual</w:t>
            </w:r>
          </w:p>
          <w:p w14:paraId="772FC213" w14:textId="0D136891" w:rsidR="00FC7D7F" w:rsidRPr="005C7E82" w:rsidRDefault="00E90F9A" w:rsidP="007D13E1">
            <w:pPr>
              <w:rPr>
                <w:bCs/>
                <w:sz w:val="16"/>
                <w:szCs w:val="16"/>
                <w:lang w:val="en-GB"/>
              </w:rPr>
            </w:pPr>
            <w:r>
              <w:rPr>
                <w:b/>
                <w:bCs/>
                <w:sz w:val="16"/>
                <w:szCs w:val="16"/>
                <w:lang w:val="en-GB"/>
              </w:rPr>
              <w:t>Responsibilities:</w:t>
            </w:r>
            <w:r w:rsidR="004D2B14" w:rsidRPr="005C7E82">
              <w:rPr>
                <w:bCs/>
                <w:sz w:val="16"/>
                <w:szCs w:val="16"/>
                <w:lang w:val="en-GB"/>
              </w:rPr>
              <w:t xml:space="preserve"> UNICEF, MPD</w:t>
            </w:r>
          </w:p>
        </w:tc>
        <w:tc>
          <w:tcPr>
            <w:tcW w:w="1871" w:type="pct"/>
            <w:vMerge w:val="restart"/>
            <w:tcMar>
              <w:top w:w="72" w:type="dxa"/>
              <w:left w:w="144" w:type="dxa"/>
              <w:bottom w:w="72" w:type="dxa"/>
              <w:right w:w="144" w:type="dxa"/>
            </w:tcMar>
          </w:tcPr>
          <w:p w14:paraId="7E355127" w14:textId="77777777" w:rsidR="002F7AB0" w:rsidRPr="000708D6" w:rsidRDefault="002F7AB0" w:rsidP="000708D6">
            <w:pPr>
              <w:tabs>
                <w:tab w:val="left" w:pos="158"/>
              </w:tabs>
              <w:spacing w:after="60" w:line="259" w:lineRule="auto"/>
              <w:ind w:left="-29"/>
              <w:jc w:val="both"/>
              <w:rPr>
                <w:b/>
                <w:iCs/>
                <w:sz w:val="16"/>
                <w:szCs w:val="16"/>
                <w:lang w:val="en-GB"/>
              </w:rPr>
            </w:pPr>
            <w:r w:rsidRPr="000708D6">
              <w:rPr>
                <w:b/>
                <w:iCs/>
                <w:sz w:val="16"/>
                <w:szCs w:val="16"/>
                <w:lang w:val="en-GB"/>
              </w:rPr>
              <w:t>2.1</w:t>
            </w:r>
            <w:r w:rsidR="00997C0E">
              <w:rPr>
                <w:b/>
                <w:iCs/>
                <w:sz w:val="16"/>
                <w:szCs w:val="16"/>
                <w:lang w:val="en-GB"/>
              </w:rPr>
              <w:t>.</w:t>
            </w:r>
            <w:r w:rsidRPr="000708D6">
              <w:rPr>
                <w:b/>
                <w:iCs/>
                <w:sz w:val="16"/>
                <w:szCs w:val="16"/>
                <w:lang w:val="en-GB"/>
              </w:rPr>
              <w:t xml:space="preserve"> </w:t>
            </w:r>
            <w:r w:rsidR="00FD3F13" w:rsidRPr="000708D6">
              <w:rPr>
                <w:b/>
                <w:iCs/>
                <w:sz w:val="16"/>
                <w:szCs w:val="16"/>
                <w:lang w:val="en-GB"/>
              </w:rPr>
              <w:t>Policy and legal frameworks revised and institutional mechanisms strengthened to ensure a</w:t>
            </w:r>
            <w:r w:rsidRPr="000708D6">
              <w:rPr>
                <w:b/>
                <w:iCs/>
                <w:sz w:val="16"/>
                <w:szCs w:val="16"/>
                <w:lang w:val="en-GB"/>
              </w:rPr>
              <w:t>ccountability and transparency</w:t>
            </w:r>
            <w:r w:rsidR="002872B2" w:rsidRPr="000708D6">
              <w:rPr>
                <w:b/>
                <w:iCs/>
                <w:sz w:val="16"/>
                <w:szCs w:val="16"/>
                <w:lang w:val="en-GB"/>
              </w:rPr>
              <w:t>.</w:t>
            </w:r>
            <w:r w:rsidRPr="000708D6">
              <w:rPr>
                <w:b/>
                <w:iCs/>
                <w:sz w:val="16"/>
                <w:szCs w:val="16"/>
                <w:lang w:val="en-GB"/>
              </w:rPr>
              <w:t xml:space="preserve"> </w:t>
            </w:r>
          </w:p>
          <w:p w14:paraId="5E7747EB" w14:textId="77777777" w:rsidR="005261DE" w:rsidRPr="000708D6" w:rsidRDefault="00E90F9A" w:rsidP="000708D6">
            <w:pPr>
              <w:pStyle w:val="ListParagraph"/>
              <w:tabs>
                <w:tab w:val="left" w:pos="158"/>
              </w:tabs>
              <w:spacing w:line="259" w:lineRule="auto"/>
              <w:ind w:left="-22"/>
              <w:contextualSpacing/>
              <w:rPr>
                <w:iCs/>
                <w:sz w:val="16"/>
                <w:szCs w:val="16"/>
                <w:lang w:val="en-GB"/>
              </w:rPr>
            </w:pPr>
            <w:r>
              <w:rPr>
                <w:iCs/>
                <w:sz w:val="16"/>
                <w:szCs w:val="16"/>
                <w:lang w:val="en-GB"/>
              </w:rPr>
              <w:t xml:space="preserve">Indicator: </w:t>
            </w:r>
            <w:r w:rsidR="00834088" w:rsidRPr="000708D6">
              <w:rPr>
                <w:iCs/>
                <w:sz w:val="16"/>
                <w:szCs w:val="16"/>
                <w:lang w:val="en-GB"/>
              </w:rPr>
              <w:t>N</w:t>
            </w:r>
            <w:r w:rsidR="00127FB7" w:rsidRPr="000708D6">
              <w:rPr>
                <w:iCs/>
                <w:sz w:val="16"/>
                <w:szCs w:val="16"/>
                <w:lang w:val="en-GB"/>
              </w:rPr>
              <w:t>umber</w:t>
            </w:r>
            <w:r w:rsidR="00834088" w:rsidRPr="000708D6">
              <w:rPr>
                <w:iCs/>
                <w:sz w:val="16"/>
                <w:szCs w:val="16"/>
                <w:lang w:val="en-GB"/>
              </w:rPr>
              <w:t xml:space="preserve"> of</w:t>
            </w:r>
            <w:r w:rsidR="00C53D6A" w:rsidRPr="000708D6">
              <w:rPr>
                <w:iCs/>
                <w:sz w:val="16"/>
                <w:szCs w:val="16"/>
                <w:lang w:val="en-GB"/>
              </w:rPr>
              <w:t xml:space="preserve"> new</w:t>
            </w:r>
            <w:r w:rsidR="00834088" w:rsidRPr="000708D6">
              <w:rPr>
                <w:iCs/>
                <w:sz w:val="16"/>
                <w:szCs w:val="16"/>
                <w:lang w:val="en-GB"/>
              </w:rPr>
              <w:t xml:space="preserve"> legislative </w:t>
            </w:r>
            <w:r w:rsidR="006E4F2C" w:rsidRPr="000708D6">
              <w:rPr>
                <w:iCs/>
                <w:sz w:val="16"/>
                <w:szCs w:val="16"/>
                <w:lang w:val="en-GB"/>
              </w:rPr>
              <w:t>measures</w:t>
            </w:r>
            <w:r w:rsidR="00834088" w:rsidRPr="000708D6">
              <w:rPr>
                <w:iCs/>
                <w:sz w:val="16"/>
                <w:szCs w:val="16"/>
                <w:lang w:val="en-GB"/>
              </w:rPr>
              <w:t xml:space="preserve"> enacted</w:t>
            </w:r>
            <w:r w:rsidR="003808E8" w:rsidRPr="000708D6">
              <w:rPr>
                <w:iCs/>
                <w:sz w:val="16"/>
                <w:szCs w:val="16"/>
                <w:lang w:val="en-GB"/>
              </w:rPr>
              <w:t xml:space="preserve"> by Parliament</w:t>
            </w:r>
            <w:r w:rsidR="00834088" w:rsidRPr="000708D6">
              <w:rPr>
                <w:iCs/>
                <w:sz w:val="16"/>
                <w:szCs w:val="16"/>
                <w:lang w:val="en-GB"/>
              </w:rPr>
              <w:t xml:space="preserve"> to promote </w:t>
            </w:r>
            <w:r w:rsidR="00BA3D23" w:rsidRPr="000708D6">
              <w:rPr>
                <w:iCs/>
                <w:sz w:val="16"/>
                <w:szCs w:val="16"/>
                <w:lang w:val="en-GB"/>
              </w:rPr>
              <w:t>transparency and accountability.</w:t>
            </w:r>
          </w:p>
          <w:p w14:paraId="210EDADD" w14:textId="0FCCEDE6" w:rsidR="00834088" w:rsidRPr="000708D6" w:rsidRDefault="00E90F9A" w:rsidP="00645AE2">
            <w:pPr>
              <w:tabs>
                <w:tab w:val="left" w:pos="158"/>
              </w:tabs>
              <w:spacing w:line="259" w:lineRule="auto"/>
              <w:ind w:left="-22"/>
              <w:contextualSpacing/>
              <w:rPr>
                <w:iCs/>
                <w:sz w:val="16"/>
                <w:szCs w:val="16"/>
                <w:lang w:val="en-GB"/>
              </w:rPr>
            </w:pPr>
            <w:r w:rsidRPr="00A56C57">
              <w:rPr>
                <w:iCs/>
                <w:sz w:val="16"/>
                <w:szCs w:val="16"/>
                <w:lang w:val="en-GB"/>
              </w:rPr>
              <w:t>B</w:t>
            </w:r>
            <w:r>
              <w:rPr>
                <w:iCs/>
                <w:sz w:val="16"/>
                <w:szCs w:val="16"/>
                <w:lang w:val="en-GB"/>
              </w:rPr>
              <w:t>aseline</w:t>
            </w:r>
            <w:r w:rsidR="00834088" w:rsidRPr="000708D6">
              <w:rPr>
                <w:iCs/>
                <w:sz w:val="16"/>
                <w:szCs w:val="16"/>
                <w:lang w:val="en-GB"/>
              </w:rPr>
              <w:t xml:space="preserve">: </w:t>
            </w:r>
            <w:r w:rsidR="00C53D6A" w:rsidRPr="000708D6">
              <w:rPr>
                <w:iCs/>
                <w:sz w:val="16"/>
                <w:szCs w:val="16"/>
                <w:lang w:val="en-GB"/>
              </w:rPr>
              <w:t>0</w:t>
            </w:r>
          </w:p>
          <w:p w14:paraId="51EF179E" w14:textId="3FE8890F" w:rsidR="00834088" w:rsidRPr="000708D6" w:rsidRDefault="00E90F9A" w:rsidP="000708D6">
            <w:pPr>
              <w:tabs>
                <w:tab w:val="left" w:pos="158"/>
              </w:tabs>
              <w:spacing w:after="60" w:line="259" w:lineRule="auto"/>
              <w:ind w:left="-29"/>
              <w:rPr>
                <w:iCs/>
                <w:sz w:val="16"/>
                <w:szCs w:val="16"/>
                <w:lang w:val="en-GB"/>
              </w:rPr>
            </w:pPr>
            <w:r>
              <w:rPr>
                <w:iCs/>
                <w:sz w:val="16"/>
                <w:szCs w:val="16"/>
                <w:lang w:val="en-GB"/>
              </w:rPr>
              <w:t>Target:</w:t>
            </w:r>
            <w:r w:rsidR="00144FFB" w:rsidRPr="000708D6">
              <w:rPr>
                <w:iCs/>
                <w:sz w:val="16"/>
                <w:szCs w:val="16"/>
                <w:lang w:val="en-GB"/>
              </w:rPr>
              <w:t xml:space="preserve"> </w:t>
            </w:r>
            <w:r w:rsidR="00C53D6A" w:rsidRPr="000708D6">
              <w:rPr>
                <w:iCs/>
                <w:sz w:val="16"/>
                <w:szCs w:val="16"/>
                <w:lang w:val="en-GB"/>
              </w:rPr>
              <w:t>2</w:t>
            </w:r>
          </w:p>
          <w:p w14:paraId="64A61501" w14:textId="56DEE4CF" w:rsidR="00BA3D23" w:rsidRPr="000708D6" w:rsidRDefault="00997C0E" w:rsidP="000708D6">
            <w:pPr>
              <w:pStyle w:val="ListParagraph"/>
              <w:tabs>
                <w:tab w:val="left" w:pos="158"/>
              </w:tabs>
              <w:ind w:left="-29"/>
              <w:contextualSpacing/>
              <w:rPr>
                <w:iCs/>
                <w:sz w:val="16"/>
                <w:szCs w:val="16"/>
                <w:lang w:val="en-GB"/>
              </w:rPr>
            </w:pPr>
            <w:r>
              <w:rPr>
                <w:iCs/>
                <w:sz w:val="16"/>
                <w:szCs w:val="16"/>
                <w:lang w:val="en-GB"/>
              </w:rPr>
              <w:t xml:space="preserve">Indicator: </w:t>
            </w:r>
            <w:r w:rsidR="00D64EE4" w:rsidRPr="000708D6">
              <w:rPr>
                <w:iCs/>
                <w:sz w:val="16"/>
                <w:szCs w:val="16"/>
                <w:lang w:val="en-GB"/>
              </w:rPr>
              <w:t>Extent to which citizens have confidence in and abide by</w:t>
            </w:r>
            <w:r w:rsidR="003326E0" w:rsidRPr="000708D6">
              <w:rPr>
                <w:iCs/>
                <w:sz w:val="16"/>
                <w:szCs w:val="16"/>
                <w:lang w:val="en-GB"/>
              </w:rPr>
              <w:t xml:space="preserve"> </w:t>
            </w:r>
            <w:r w:rsidR="00D64EE4" w:rsidRPr="000708D6">
              <w:rPr>
                <w:iCs/>
                <w:sz w:val="16"/>
                <w:szCs w:val="16"/>
                <w:lang w:val="en-GB"/>
              </w:rPr>
              <w:t>the</w:t>
            </w:r>
            <w:r w:rsidR="003326E0" w:rsidRPr="000708D6">
              <w:rPr>
                <w:iCs/>
                <w:sz w:val="16"/>
                <w:szCs w:val="16"/>
                <w:lang w:val="en-GB"/>
              </w:rPr>
              <w:t xml:space="preserve"> rules of society. </w:t>
            </w:r>
          </w:p>
          <w:p w14:paraId="5280AC24" w14:textId="3FFCAEC5" w:rsidR="00D64EE4" w:rsidRPr="000708D6" w:rsidRDefault="00E90F9A" w:rsidP="000708D6">
            <w:pPr>
              <w:tabs>
                <w:tab w:val="left" w:pos="158"/>
              </w:tabs>
              <w:ind w:left="-29"/>
              <w:contextualSpacing/>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Pr>
                <w:iCs/>
                <w:sz w:val="16"/>
                <w:szCs w:val="16"/>
                <w:lang w:val="en-GB"/>
              </w:rPr>
              <w:t xml:space="preserve"> </w:t>
            </w:r>
            <w:r w:rsidR="00D64EE4" w:rsidRPr="000708D6">
              <w:rPr>
                <w:iCs/>
                <w:sz w:val="16"/>
                <w:szCs w:val="16"/>
                <w:lang w:val="en-GB"/>
              </w:rPr>
              <w:t>Low (0-24%)</w:t>
            </w:r>
          </w:p>
          <w:p w14:paraId="2D58C6AF" w14:textId="5BC97FAD" w:rsidR="00D64EE4" w:rsidRPr="000708D6" w:rsidRDefault="00E90F9A" w:rsidP="000708D6">
            <w:pPr>
              <w:tabs>
                <w:tab w:val="left" w:pos="158"/>
              </w:tabs>
              <w:ind w:left="-29"/>
              <w:contextualSpacing/>
              <w:rPr>
                <w:iCs/>
                <w:sz w:val="16"/>
                <w:szCs w:val="16"/>
                <w:lang w:val="en-GB"/>
              </w:rPr>
            </w:pPr>
            <w:r>
              <w:rPr>
                <w:iCs/>
                <w:sz w:val="16"/>
                <w:szCs w:val="16"/>
                <w:lang w:val="en-GB"/>
              </w:rPr>
              <w:t>Target:</w:t>
            </w:r>
            <w:r w:rsidR="00D64EE4" w:rsidRPr="000708D6">
              <w:rPr>
                <w:iCs/>
                <w:sz w:val="16"/>
                <w:szCs w:val="16"/>
                <w:lang w:val="en-GB"/>
              </w:rPr>
              <w:t xml:space="preserve"> Medium (25-49%)</w:t>
            </w:r>
          </w:p>
          <w:p w14:paraId="41CAE6BD" w14:textId="4F3CAF3D" w:rsidR="00BE4E0C" w:rsidRPr="000708D6" w:rsidRDefault="00D64EE4" w:rsidP="00645AE2">
            <w:pPr>
              <w:tabs>
                <w:tab w:val="left" w:pos="158"/>
              </w:tabs>
              <w:spacing w:line="259" w:lineRule="auto"/>
              <w:ind w:left="-22"/>
              <w:contextualSpacing/>
              <w:rPr>
                <w:iCs/>
                <w:sz w:val="16"/>
                <w:szCs w:val="16"/>
                <w:lang w:val="en-GB"/>
              </w:rPr>
            </w:pPr>
            <w:r w:rsidRPr="000708D6">
              <w:rPr>
                <w:iCs/>
                <w:sz w:val="16"/>
                <w:szCs w:val="16"/>
                <w:lang w:val="en-GB"/>
              </w:rPr>
              <w:t xml:space="preserve">Biennial </w:t>
            </w:r>
            <w:r w:rsidR="00997C0E">
              <w:rPr>
                <w:iCs/>
                <w:sz w:val="16"/>
                <w:szCs w:val="16"/>
                <w:lang w:val="en-GB"/>
              </w:rPr>
              <w:t>p</w:t>
            </w:r>
            <w:r w:rsidRPr="000708D6">
              <w:rPr>
                <w:iCs/>
                <w:sz w:val="16"/>
                <w:szCs w:val="16"/>
                <w:lang w:val="en-GB"/>
              </w:rPr>
              <w:t>erception surveys</w:t>
            </w:r>
          </w:p>
          <w:p w14:paraId="246EAA07" w14:textId="348E0FAC" w:rsidR="007F66B3" w:rsidRPr="000708D6" w:rsidRDefault="00997C0E" w:rsidP="000708D6">
            <w:pPr>
              <w:pStyle w:val="ListParagraph"/>
              <w:tabs>
                <w:tab w:val="left" w:pos="158"/>
              </w:tabs>
              <w:spacing w:after="120"/>
              <w:ind w:left="-29"/>
              <w:rPr>
                <w:iCs/>
                <w:sz w:val="16"/>
                <w:szCs w:val="16"/>
                <w:lang w:val="en-GB"/>
              </w:rPr>
            </w:pPr>
            <w:r>
              <w:rPr>
                <w:iCs/>
                <w:sz w:val="16"/>
                <w:szCs w:val="16"/>
                <w:lang w:val="en-GB"/>
              </w:rPr>
              <w:lastRenderedPageBreak/>
              <w:t xml:space="preserve">Indicator: </w:t>
            </w:r>
            <w:r w:rsidR="00C35A40" w:rsidRPr="000708D6">
              <w:rPr>
                <w:iCs/>
                <w:sz w:val="16"/>
                <w:szCs w:val="16"/>
                <w:lang w:val="en-GB"/>
              </w:rPr>
              <w:t>Number</w:t>
            </w:r>
            <w:r w:rsidR="00537C6C" w:rsidRPr="000708D6">
              <w:rPr>
                <w:iCs/>
                <w:sz w:val="16"/>
                <w:szCs w:val="16"/>
                <w:lang w:val="en-GB"/>
              </w:rPr>
              <w:t xml:space="preserve"> of c</w:t>
            </w:r>
            <w:r w:rsidR="007F66B3" w:rsidRPr="000708D6">
              <w:rPr>
                <w:iCs/>
                <w:sz w:val="16"/>
                <w:szCs w:val="16"/>
                <w:lang w:val="en-GB"/>
              </w:rPr>
              <w:t>ampaigns on civic engagement and human</w:t>
            </w:r>
            <w:r w:rsidR="00BA3D23" w:rsidRPr="000708D6">
              <w:rPr>
                <w:iCs/>
                <w:sz w:val="16"/>
                <w:szCs w:val="16"/>
                <w:lang w:val="en-GB"/>
              </w:rPr>
              <w:t xml:space="preserve"> </w:t>
            </w:r>
            <w:r w:rsidR="007F66B3" w:rsidRPr="000708D6">
              <w:rPr>
                <w:iCs/>
                <w:sz w:val="16"/>
                <w:szCs w:val="16"/>
                <w:lang w:val="en-GB"/>
              </w:rPr>
              <w:t>rights carried out</w:t>
            </w:r>
            <w:r w:rsidR="00FA3A94" w:rsidRPr="000708D6">
              <w:rPr>
                <w:iCs/>
                <w:sz w:val="16"/>
                <w:szCs w:val="16"/>
                <w:lang w:val="en-GB"/>
              </w:rPr>
              <w:t>.</w:t>
            </w:r>
            <w:r w:rsidR="00EF2D7B" w:rsidRPr="000708D6">
              <w:rPr>
                <w:iCs/>
                <w:sz w:val="16"/>
                <w:szCs w:val="16"/>
                <w:lang w:val="en-GB"/>
              </w:rPr>
              <w:br/>
            </w:r>
            <w:r w:rsidR="00E90F9A" w:rsidRPr="00A56C57">
              <w:rPr>
                <w:iCs/>
                <w:sz w:val="16"/>
                <w:szCs w:val="16"/>
                <w:lang w:val="en-GB"/>
              </w:rPr>
              <w:t>B</w:t>
            </w:r>
            <w:r w:rsidR="00E90F9A">
              <w:rPr>
                <w:iCs/>
                <w:sz w:val="16"/>
                <w:szCs w:val="16"/>
                <w:lang w:val="en-GB"/>
              </w:rPr>
              <w:t>aseline</w:t>
            </w:r>
            <w:r w:rsidR="00E90F9A" w:rsidRPr="00A56C57">
              <w:rPr>
                <w:iCs/>
                <w:sz w:val="16"/>
                <w:szCs w:val="16"/>
                <w:lang w:val="en-GB"/>
              </w:rPr>
              <w:t>:</w:t>
            </w:r>
            <w:r w:rsidR="00E90F9A">
              <w:rPr>
                <w:iCs/>
                <w:sz w:val="16"/>
                <w:szCs w:val="16"/>
                <w:lang w:val="en-GB"/>
              </w:rPr>
              <w:t xml:space="preserve"> </w:t>
            </w:r>
            <w:r w:rsidR="007F66B3" w:rsidRPr="000708D6">
              <w:rPr>
                <w:iCs/>
                <w:sz w:val="16"/>
                <w:szCs w:val="16"/>
                <w:lang w:val="en-GB"/>
              </w:rPr>
              <w:t>0</w:t>
            </w:r>
            <w:r w:rsidR="00EF2D7B" w:rsidRPr="000708D6">
              <w:rPr>
                <w:iCs/>
                <w:sz w:val="16"/>
                <w:szCs w:val="16"/>
                <w:lang w:val="en-GB"/>
              </w:rPr>
              <w:br/>
            </w:r>
            <w:r w:rsidR="00E90F9A">
              <w:rPr>
                <w:iCs/>
                <w:sz w:val="16"/>
                <w:szCs w:val="16"/>
                <w:lang w:val="en-GB"/>
              </w:rPr>
              <w:t xml:space="preserve">Target: </w:t>
            </w:r>
            <w:r w:rsidR="007F66B3" w:rsidRPr="000708D6">
              <w:rPr>
                <w:iCs/>
                <w:sz w:val="16"/>
                <w:szCs w:val="16"/>
                <w:lang w:val="en-GB"/>
              </w:rPr>
              <w:t>2</w:t>
            </w:r>
            <w:r w:rsidR="00EF2D7B" w:rsidRPr="000708D6">
              <w:rPr>
                <w:iCs/>
                <w:sz w:val="16"/>
                <w:szCs w:val="16"/>
                <w:lang w:val="en-GB"/>
              </w:rPr>
              <w:br/>
            </w:r>
            <w:r w:rsidR="007F66B3" w:rsidRPr="000708D6">
              <w:rPr>
                <w:iCs/>
                <w:sz w:val="16"/>
                <w:szCs w:val="16"/>
                <w:lang w:val="en-GB"/>
              </w:rPr>
              <w:t>MinComm</w:t>
            </w:r>
            <w:r w:rsidR="00B0651F" w:rsidRPr="000708D6">
              <w:rPr>
                <w:iCs/>
                <w:sz w:val="16"/>
                <w:szCs w:val="16"/>
                <w:lang w:val="en-GB"/>
              </w:rPr>
              <w:t>, annual</w:t>
            </w:r>
          </w:p>
          <w:p w14:paraId="1F369CE0" w14:textId="37A4B336" w:rsidR="005261DE" w:rsidRPr="000708D6" w:rsidRDefault="005261DE" w:rsidP="000708D6">
            <w:pPr>
              <w:tabs>
                <w:tab w:val="left" w:pos="158"/>
              </w:tabs>
              <w:spacing w:after="60"/>
              <w:ind w:left="-29"/>
              <w:jc w:val="both"/>
              <w:rPr>
                <w:b/>
                <w:iCs/>
                <w:sz w:val="16"/>
                <w:szCs w:val="16"/>
                <w:lang w:val="en-GB"/>
              </w:rPr>
            </w:pPr>
            <w:r w:rsidRPr="000708D6">
              <w:rPr>
                <w:b/>
                <w:iCs/>
                <w:sz w:val="16"/>
                <w:szCs w:val="16"/>
                <w:lang w:val="en-GB"/>
              </w:rPr>
              <w:t>2.2</w:t>
            </w:r>
            <w:r w:rsidR="00997C0E">
              <w:rPr>
                <w:b/>
                <w:iCs/>
                <w:sz w:val="16"/>
                <w:szCs w:val="16"/>
                <w:lang w:val="en-GB"/>
              </w:rPr>
              <w:t>.</w:t>
            </w:r>
            <w:r w:rsidRPr="000708D6">
              <w:rPr>
                <w:b/>
                <w:iCs/>
                <w:sz w:val="16"/>
                <w:szCs w:val="16"/>
                <w:lang w:val="en-GB"/>
              </w:rPr>
              <w:t xml:space="preserve"> </w:t>
            </w:r>
            <w:r w:rsidR="00B21715" w:rsidRPr="000708D6">
              <w:rPr>
                <w:b/>
                <w:iCs/>
                <w:sz w:val="16"/>
                <w:szCs w:val="16"/>
                <w:lang w:val="en-GB"/>
              </w:rPr>
              <w:t>Mechanisms created</w:t>
            </w:r>
            <w:r w:rsidR="00997C0E">
              <w:rPr>
                <w:b/>
                <w:iCs/>
                <w:sz w:val="16"/>
                <w:szCs w:val="16"/>
                <w:lang w:val="en-GB"/>
              </w:rPr>
              <w:t xml:space="preserve"> or </w:t>
            </w:r>
            <w:r w:rsidR="00B21715" w:rsidRPr="000708D6">
              <w:rPr>
                <w:b/>
                <w:iCs/>
                <w:sz w:val="16"/>
                <w:szCs w:val="16"/>
                <w:lang w:val="en-GB"/>
              </w:rPr>
              <w:t xml:space="preserve">strengthened to facilitate </w:t>
            </w:r>
            <w:r w:rsidR="00997C0E">
              <w:rPr>
                <w:b/>
                <w:iCs/>
                <w:sz w:val="16"/>
                <w:szCs w:val="16"/>
                <w:lang w:val="en-GB"/>
              </w:rPr>
              <w:t xml:space="preserve">citizen </w:t>
            </w:r>
            <w:r w:rsidR="00B21715" w:rsidRPr="000708D6">
              <w:rPr>
                <w:b/>
                <w:iCs/>
                <w:sz w:val="16"/>
                <w:szCs w:val="16"/>
                <w:lang w:val="en-GB"/>
              </w:rPr>
              <w:t>participation in decision</w:t>
            </w:r>
            <w:r w:rsidR="00997C0E">
              <w:rPr>
                <w:b/>
                <w:iCs/>
                <w:sz w:val="16"/>
                <w:szCs w:val="16"/>
                <w:lang w:val="en-GB"/>
              </w:rPr>
              <w:t>-</w:t>
            </w:r>
            <w:r w:rsidR="00B21715" w:rsidRPr="000708D6">
              <w:rPr>
                <w:b/>
                <w:iCs/>
                <w:sz w:val="16"/>
                <w:szCs w:val="16"/>
                <w:lang w:val="en-GB"/>
              </w:rPr>
              <w:t>making</w:t>
            </w:r>
          </w:p>
          <w:p w14:paraId="0D2D1173" w14:textId="447BFB61" w:rsidR="00BE4E0C" w:rsidRPr="000708D6" w:rsidRDefault="00997C0E" w:rsidP="000708D6">
            <w:pPr>
              <w:tabs>
                <w:tab w:val="left" w:pos="158"/>
              </w:tabs>
              <w:spacing w:after="160"/>
              <w:ind w:left="-22"/>
              <w:contextualSpacing/>
              <w:rPr>
                <w:iCs/>
                <w:sz w:val="16"/>
                <w:szCs w:val="16"/>
                <w:lang w:val="en-GB"/>
              </w:rPr>
            </w:pPr>
            <w:r>
              <w:rPr>
                <w:iCs/>
                <w:sz w:val="16"/>
                <w:szCs w:val="16"/>
                <w:lang w:val="en-GB"/>
              </w:rPr>
              <w:t xml:space="preserve">Indicator: </w:t>
            </w:r>
            <w:r w:rsidR="00C35A40" w:rsidRPr="000708D6">
              <w:rPr>
                <w:iCs/>
                <w:sz w:val="16"/>
                <w:szCs w:val="16"/>
                <w:lang w:val="en-GB"/>
              </w:rPr>
              <w:t>Number</w:t>
            </w:r>
            <w:r w:rsidR="006D61F7" w:rsidRPr="000708D6">
              <w:rPr>
                <w:iCs/>
                <w:sz w:val="16"/>
                <w:szCs w:val="16"/>
                <w:lang w:val="en-GB"/>
              </w:rPr>
              <w:t xml:space="preserve"> of </w:t>
            </w:r>
            <w:r w:rsidR="00836BF2" w:rsidRPr="000708D6">
              <w:rPr>
                <w:iCs/>
                <w:sz w:val="16"/>
                <w:szCs w:val="16"/>
                <w:lang w:val="en-GB"/>
              </w:rPr>
              <w:t>f</w:t>
            </w:r>
            <w:r w:rsidR="00BE4E0C" w:rsidRPr="000708D6">
              <w:rPr>
                <w:iCs/>
                <w:sz w:val="16"/>
                <w:szCs w:val="16"/>
                <w:lang w:val="en-GB"/>
              </w:rPr>
              <w:t xml:space="preserve">ora for citizens to relay their views to government on proposed </w:t>
            </w:r>
            <w:r w:rsidR="002C68F3" w:rsidRPr="000708D6">
              <w:rPr>
                <w:iCs/>
                <w:sz w:val="16"/>
                <w:szCs w:val="16"/>
                <w:lang w:val="en-GB"/>
              </w:rPr>
              <w:t>legislation</w:t>
            </w:r>
            <w:r w:rsidR="003808E8" w:rsidRPr="000708D6">
              <w:rPr>
                <w:iCs/>
                <w:sz w:val="16"/>
                <w:szCs w:val="16"/>
                <w:lang w:val="en-GB"/>
              </w:rPr>
              <w:t xml:space="preserve">, </w:t>
            </w:r>
            <w:r w:rsidR="0010329A" w:rsidRPr="000708D6">
              <w:rPr>
                <w:iCs/>
                <w:sz w:val="16"/>
                <w:szCs w:val="16"/>
                <w:lang w:val="en-GB"/>
              </w:rPr>
              <w:t>notably</w:t>
            </w:r>
            <w:r w:rsidR="003808E8" w:rsidRPr="000708D6">
              <w:rPr>
                <w:iCs/>
                <w:sz w:val="16"/>
                <w:szCs w:val="16"/>
                <w:lang w:val="en-GB"/>
              </w:rPr>
              <w:t xml:space="preserve"> for women/youth/rural groups</w:t>
            </w:r>
            <w:r w:rsidR="002C68F3" w:rsidRPr="000708D6">
              <w:rPr>
                <w:iCs/>
                <w:sz w:val="16"/>
                <w:szCs w:val="16"/>
                <w:lang w:val="en-GB"/>
              </w:rPr>
              <w:t xml:space="preserve"> (</w:t>
            </w:r>
            <w:r w:rsidR="00BE4E0C" w:rsidRPr="000708D6">
              <w:rPr>
                <w:iCs/>
                <w:sz w:val="16"/>
                <w:szCs w:val="16"/>
                <w:lang w:val="en-GB"/>
              </w:rPr>
              <w:t>SP</w:t>
            </w:r>
            <w:r w:rsidR="006D61F7" w:rsidRPr="000708D6">
              <w:rPr>
                <w:iCs/>
                <w:sz w:val="16"/>
                <w:szCs w:val="16"/>
                <w:lang w:val="en-GB"/>
              </w:rPr>
              <w:t>I</w:t>
            </w:r>
            <w:r w:rsidR="00D64EE4" w:rsidRPr="000708D6">
              <w:rPr>
                <w:iCs/>
                <w:sz w:val="16"/>
                <w:szCs w:val="16"/>
                <w:lang w:val="en-GB"/>
              </w:rPr>
              <w:t xml:space="preserve"> 2.4.2</w:t>
            </w:r>
            <w:r w:rsidR="00BE4E0C" w:rsidRPr="000708D6">
              <w:rPr>
                <w:iCs/>
                <w:sz w:val="16"/>
                <w:szCs w:val="16"/>
                <w:lang w:val="en-GB"/>
              </w:rPr>
              <w:t>)</w:t>
            </w:r>
            <w:r w:rsidR="00BA3D23" w:rsidRPr="000708D6">
              <w:rPr>
                <w:iCs/>
                <w:sz w:val="16"/>
                <w:szCs w:val="16"/>
                <w:lang w:val="en-GB"/>
              </w:rPr>
              <w:t>.</w:t>
            </w:r>
            <w:r w:rsidR="00F259DE" w:rsidRPr="000708D6">
              <w:rPr>
                <w:iCs/>
                <w:sz w:val="16"/>
                <w:szCs w:val="16"/>
                <w:lang w:val="en-GB"/>
              </w:rPr>
              <w:t xml:space="preserve"> </w:t>
            </w:r>
          </w:p>
          <w:p w14:paraId="1503149D" w14:textId="63678D21" w:rsidR="00BE4E0C" w:rsidRPr="000708D6" w:rsidRDefault="00E90F9A" w:rsidP="000708D6">
            <w:pPr>
              <w:tabs>
                <w:tab w:val="left" w:pos="158"/>
              </w:tabs>
              <w:spacing w:after="160"/>
              <w:ind w:left="-22"/>
              <w:contextualSpacing/>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Pr>
                <w:iCs/>
                <w:sz w:val="16"/>
                <w:szCs w:val="16"/>
                <w:lang w:val="en-GB"/>
              </w:rPr>
              <w:t xml:space="preserve"> </w:t>
            </w:r>
            <w:r w:rsidR="00BE4E0C" w:rsidRPr="000708D6">
              <w:rPr>
                <w:iCs/>
                <w:sz w:val="16"/>
                <w:szCs w:val="16"/>
                <w:lang w:val="en-GB"/>
              </w:rPr>
              <w:t>1</w:t>
            </w:r>
          </w:p>
          <w:p w14:paraId="323A887A" w14:textId="169E237A" w:rsidR="00BE4E0C" w:rsidRPr="000708D6" w:rsidRDefault="00E90F9A" w:rsidP="000708D6">
            <w:pPr>
              <w:tabs>
                <w:tab w:val="left" w:pos="158"/>
              </w:tabs>
              <w:spacing w:after="160"/>
              <w:ind w:left="-22"/>
              <w:contextualSpacing/>
              <w:rPr>
                <w:iCs/>
                <w:sz w:val="16"/>
                <w:szCs w:val="16"/>
                <w:lang w:val="en-GB"/>
              </w:rPr>
            </w:pPr>
            <w:r>
              <w:rPr>
                <w:iCs/>
                <w:sz w:val="16"/>
                <w:szCs w:val="16"/>
                <w:lang w:val="en-GB"/>
              </w:rPr>
              <w:t>Target:</w:t>
            </w:r>
            <w:r w:rsidR="00BE4E0C" w:rsidRPr="000708D6">
              <w:rPr>
                <w:iCs/>
                <w:sz w:val="16"/>
                <w:szCs w:val="16"/>
                <w:lang w:val="en-GB"/>
              </w:rPr>
              <w:t xml:space="preserve"> 4 </w:t>
            </w:r>
          </w:p>
          <w:p w14:paraId="0A928811" w14:textId="6AB116AC" w:rsidR="00FC7D7F" w:rsidRPr="000708D6" w:rsidRDefault="00BE4E0C" w:rsidP="000708D6">
            <w:pPr>
              <w:tabs>
                <w:tab w:val="left" w:pos="158"/>
              </w:tabs>
              <w:spacing w:after="160"/>
              <w:ind w:left="-22"/>
              <w:contextualSpacing/>
              <w:rPr>
                <w:iCs/>
                <w:sz w:val="16"/>
                <w:szCs w:val="16"/>
                <w:lang w:val="en-GB"/>
              </w:rPr>
            </w:pPr>
            <w:r w:rsidRPr="000708D6">
              <w:rPr>
                <w:iCs/>
                <w:sz w:val="16"/>
                <w:szCs w:val="16"/>
                <w:lang w:val="en-GB"/>
              </w:rPr>
              <w:t>Office of the Parliament, MinComm, annual</w:t>
            </w:r>
          </w:p>
        </w:tc>
        <w:tc>
          <w:tcPr>
            <w:tcW w:w="788" w:type="pct"/>
            <w:vMerge w:val="restart"/>
          </w:tcPr>
          <w:p w14:paraId="327A9C30" w14:textId="26BFA1B2" w:rsidR="00EA5E90" w:rsidRPr="000708D6" w:rsidRDefault="00EA5E90" w:rsidP="00690417">
            <w:pPr>
              <w:spacing w:after="60"/>
              <w:rPr>
                <w:b/>
                <w:i/>
                <w:iCs/>
                <w:sz w:val="16"/>
                <w:szCs w:val="16"/>
                <w:lang w:val="en-GB"/>
              </w:rPr>
            </w:pPr>
            <w:r w:rsidRPr="000708D6">
              <w:rPr>
                <w:b/>
                <w:i/>
                <w:iCs/>
                <w:sz w:val="16"/>
                <w:szCs w:val="16"/>
                <w:lang w:val="en-GB"/>
              </w:rPr>
              <w:lastRenderedPageBreak/>
              <w:t>Government ministries</w:t>
            </w:r>
          </w:p>
          <w:p w14:paraId="24C6B721" w14:textId="77777777" w:rsidR="00690417" w:rsidRPr="002807FF" w:rsidRDefault="00690417" w:rsidP="000708D6">
            <w:pPr>
              <w:pStyle w:val="ListParagraph"/>
              <w:spacing w:after="40"/>
              <w:ind w:left="331"/>
              <w:rPr>
                <w:iCs/>
                <w:sz w:val="16"/>
                <w:szCs w:val="16"/>
                <w:lang w:val="en-GB"/>
              </w:rPr>
            </w:pPr>
            <w:r w:rsidRPr="002807FF">
              <w:rPr>
                <w:iCs/>
                <w:sz w:val="16"/>
                <w:szCs w:val="16"/>
                <w:lang w:val="en-GB"/>
              </w:rPr>
              <w:t>MPD</w:t>
            </w:r>
          </w:p>
          <w:p w14:paraId="766C30B8" w14:textId="77777777" w:rsidR="00997C0E" w:rsidRPr="002807FF" w:rsidRDefault="00690417" w:rsidP="00997C0E">
            <w:pPr>
              <w:pStyle w:val="ListParagraph"/>
              <w:spacing w:after="40"/>
              <w:ind w:left="331"/>
              <w:rPr>
                <w:iCs/>
                <w:sz w:val="16"/>
                <w:szCs w:val="16"/>
                <w:lang w:val="en-GB"/>
              </w:rPr>
            </w:pPr>
            <w:r w:rsidRPr="005C7E82">
              <w:rPr>
                <w:iCs/>
                <w:sz w:val="16"/>
                <w:szCs w:val="16"/>
                <w:lang w:val="en-GB"/>
              </w:rPr>
              <w:t>Min</w:t>
            </w:r>
            <w:r w:rsidR="00D3266B" w:rsidRPr="005C7E82">
              <w:rPr>
                <w:iCs/>
                <w:sz w:val="16"/>
                <w:szCs w:val="16"/>
                <w:lang w:val="en-GB"/>
              </w:rPr>
              <w:t>istry o</w:t>
            </w:r>
            <w:r w:rsidRPr="005C7E82">
              <w:rPr>
                <w:iCs/>
                <w:sz w:val="16"/>
                <w:szCs w:val="16"/>
                <w:lang w:val="en-GB"/>
              </w:rPr>
              <w:t>f Communications</w:t>
            </w:r>
            <w:r w:rsidR="00D3266B" w:rsidRPr="005C7E82">
              <w:rPr>
                <w:iCs/>
                <w:sz w:val="16"/>
                <w:szCs w:val="16"/>
                <w:lang w:val="en-GB"/>
              </w:rPr>
              <w:t xml:space="preserve"> (MinComm)</w:t>
            </w:r>
            <w:r w:rsidR="00997C0E" w:rsidRPr="002807FF">
              <w:rPr>
                <w:iCs/>
                <w:sz w:val="16"/>
                <w:szCs w:val="16"/>
                <w:lang w:val="en-GB"/>
              </w:rPr>
              <w:t xml:space="preserve"> </w:t>
            </w:r>
          </w:p>
          <w:p w14:paraId="2A2AA7A8" w14:textId="77777777" w:rsidR="00997C0E" w:rsidRPr="002807FF" w:rsidRDefault="00690417" w:rsidP="00997C0E">
            <w:pPr>
              <w:pStyle w:val="ListParagraph"/>
              <w:spacing w:after="40"/>
              <w:ind w:left="331"/>
              <w:rPr>
                <w:iCs/>
                <w:sz w:val="16"/>
                <w:szCs w:val="16"/>
                <w:lang w:val="en-GB"/>
              </w:rPr>
            </w:pPr>
            <w:r w:rsidRPr="005C7E82">
              <w:rPr>
                <w:iCs/>
                <w:sz w:val="16"/>
                <w:szCs w:val="16"/>
                <w:lang w:val="en-GB"/>
              </w:rPr>
              <w:t>Ministry of Public Administration</w:t>
            </w:r>
            <w:r w:rsidR="00D3266B" w:rsidRPr="005C7E82">
              <w:rPr>
                <w:iCs/>
                <w:sz w:val="16"/>
                <w:szCs w:val="16"/>
                <w:lang w:val="en-GB"/>
              </w:rPr>
              <w:t xml:space="preserve"> </w:t>
            </w:r>
          </w:p>
          <w:p w14:paraId="4EA7A9D0" w14:textId="77777777" w:rsidR="00997C0E" w:rsidRPr="002807FF" w:rsidRDefault="00690417" w:rsidP="00997C0E">
            <w:pPr>
              <w:pStyle w:val="ListParagraph"/>
              <w:spacing w:after="40"/>
              <w:ind w:left="331"/>
              <w:rPr>
                <w:iCs/>
                <w:sz w:val="16"/>
                <w:szCs w:val="16"/>
                <w:lang w:val="en-GB"/>
              </w:rPr>
            </w:pPr>
            <w:r w:rsidRPr="005C7E82">
              <w:rPr>
                <w:iCs/>
                <w:sz w:val="16"/>
                <w:szCs w:val="16"/>
                <w:lang w:val="en-GB"/>
              </w:rPr>
              <w:t>Ministry of the Attorney General and Legal Affairs</w:t>
            </w:r>
          </w:p>
          <w:p w14:paraId="23CD9CC1" w14:textId="77777777" w:rsidR="00997C0E" w:rsidRPr="002807FF" w:rsidRDefault="00690417" w:rsidP="00997C0E">
            <w:pPr>
              <w:pStyle w:val="ListParagraph"/>
              <w:spacing w:after="40"/>
              <w:ind w:left="331"/>
              <w:rPr>
                <w:iCs/>
                <w:sz w:val="16"/>
                <w:szCs w:val="16"/>
                <w:lang w:val="en-GB"/>
              </w:rPr>
            </w:pPr>
            <w:r w:rsidRPr="005C7E82">
              <w:rPr>
                <w:iCs/>
                <w:sz w:val="16"/>
                <w:szCs w:val="16"/>
                <w:lang w:val="en-GB"/>
              </w:rPr>
              <w:t>Office of the Prime M</w:t>
            </w:r>
            <w:r w:rsidR="00D3266B" w:rsidRPr="005C7E82">
              <w:rPr>
                <w:iCs/>
                <w:sz w:val="16"/>
                <w:szCs w:val="16"/>
                <w:lang w:val="en-GB"/>
              </w:rPr>
              <w:t>inister</w:t>
            </w:r>
          </w:p>
          <w:p w14:paraId="77A2218B" w14:textId="77777777" w:rsidR="00690417" w:rsidRPr="005C7E82" w:rsidRDefault="00690417" w:rsidP="000708D6">
            <w:pPr>
              <w:pStyle w:val="ListParagraph"/>
              <w:ind w:left="331"/>
              <w:rPr>
                <w:iCs/>
                <w:sz w:val="16"/>
                <w:szCs w:val="16"/>
                <w:lang w:val="en-GB"/>
              </w:rPr>
            </w:pPr>
            <w:r w:rsidRPr="005C7E82">
              <w:rPr>
                <w:iCs/>
                <w:sz w:val="16"/>
                <w:szCs w:val="16"/>
                <w:lang w:val="en-GB"/>
              </w:rPr>
              <w:t>Office of the Parliament</w:t>
            </w:r>
          </w:p>
          <w:p w14:paraId="3C58E8C7" w14:textId="5B78C01F" w:rsidR="00EA5E90" w:rsidRPr="005C7E82" w:rsidRDefault="00EA5E90" w:rsidP="00690417">
            <w:pPr>
              <w:spacing w:after="60"/>
              <w:rPr>
                <w:iCs/>
                <w:sz w:val="16"/>
                <w:szCs w:val="16"/>
                <w:lang w:val="en-GB"/>
              </w:rPr>
            </w:pPr>
            <w:r w:rsidRPr="000708D6">
              <w:rPr>
                <w:b/>
                <w:i/>
                <w:iCs/>
                <w:sz w:val="16"/>
                <w:szCs w:val="16"/>
                <w:lang w:val="en-GB"/>
              </w:rPr>
              <w:lastRenderedPageBreak/>
              <w:t>Government organi</w:t>
            </w:r>
            <w:r w:rsidR="00997C0E" w:rsidRPr="000708D6">
              <w:rPr>
                <w:b/>
                <w:i/>
                <w:iCs/>
                <w:sz w:val="16"/>
                <w:szCs w:val="16"/>
                <w:lang w:val="en-GB"/>
              </w:rPr>
              <w:t>z</w:t>
            </w:r>
            <w:r w:rsidRPr="000708D6">
              <w:rPr>
                <w:b/>
                <w:i/>
                <w:iCs/>
                <w:sz w:val="16"/>
                <w:szCs w:val="16"/>
                <w:lang w:val="en-GB"/>
              </w:rPr>
              <w:t>ations</w:t>
            </w:r>
          </w:p>
          <w:p w14:paraId="39E6E3E0" w14:textId="6CD12825" w:rsidR="00EA5E90" w:rsidRPr="005C7E82" w:rsidRDefault="00B0287B" w:rsidP="000708D6">
            <w:pPr>
              <w:pStyle w:val="ListParagraph"/>
              <w:ind w:left="331"/>
              <w:rPr>
                <w:iCs/>
                <w:sz w:val="16"/>
                <w:szCs w:val="16"/>
                <w:lang w:val="en-GB"/>
              </w:rPr>
            </w:pPr>
            <w:r>
              <w:rPr>
                <w:iCs/>
                <w:sz w:val="16"/>
                <w:szCs w:val="16"/>
                <w:lang w:val="en-GB"/>
              </w:rPr>
              <w:t>Civil society organizations (</w:t>
            </w:r>
            <w:r w:rsidR="00EA5E90" w:rsidRPr="005C7E82">
              <w:rPr>
                <w:iCs/>
                <w:sz w:val="16"/>
                <w:szCs w:val="16"/>
                <w:lang w:val="en-GB"/>
              </w:rPr>
              <w:t>CSO</w:t>
            </w:r>
            <w:r w:rsidR="007E4D82">
              <w:rPr>
                <w:iCs/>
                <w:sz w:val="16"/>
                <w:szCs w:val="16"/>
                <w:lang w:val="en-GB"/>
              </w:rPr>
              <w:t>s</w:t>
            </w:r>
            <w:r>
              <w:rPr>
                <w:iCs/>
                <w:sz w:val="16"/>
                <w:szCs w:val="16"/>
                <w:lang w:val="en-GB"/>
              </w:rPr>
              <w:t>)</w:t>
            </w:r>
          </w:p>
          <w:p w14:paraId="69C0CA16" w14:textId="426F4459" w:rsidR="00690417" w:rsidRPr="005C7E82" w:rsidRDefault="00690417" w:rsidP="000708D6">
            <w:pPr>
              <w:pStyle w:val="ListParagraph"/>
              <w:spacing w:after="60"/>
              <w:ind w:left="331"/>
              <w:rPr>
                <w:iCs/>
                <w:sz w:val="16"/>
                <w:szCs w:val="16"/>
                <w:lang w:val="en-GB"/>
              </w:rPr>
            </w:pPr>
            <w:r w:rsidRPr="005C7E82">
              <w:rPr>
                <w:iCs/>
                <w:sz w:val="16"/>
                <w:szCs w:val="16"/>
                <w:lang w:val="en-GB"/>
              </w:rPr>
              <w:t xml:space="preserve">The </w:t>
            </w:r>
            <w:r w:rsidR="00997C0E">
              <w:rPr>
                <w:iCs/>
                <w:sz w:val="16"/>
                <w:szCs w:val="16"/>
                <w:lang w:val="en-GB"/>
              </w:rPr>
              <w:t>j</w:t>
            </w:r>
            <w:r w:rsidRPr="005C7E82">
              <w:rPr>
                <w:iCs/>
                <w:sz w:val="16"/>
                <w:szCs w:val="16"/>
                <w:lang w:val="en-GB"/>
              </w:rPr>
              <w:t>udiciary</w:t>
            </w:r>
          </w:p>
          <w:p w14:paraId="76B53E25" w14:textId="77777777" w:rsidR="003C3F51" w:rsidRPr="005C7E82" w:rsidRDefault="00EA5E90" w:rsidP="003C3F51">
            <w:pPr>
              <w:tabs>
                <w:tab w:val="left" w:pos="0"/>
              </w:tabs>
              <w:spacing w:after="60"/>
              <w:rPr>
                <w:iCs/>
                <w:sz w:val="16"/>
                <w:szCs w:val="16"/>
                <w:lang w:val="en-GB"/>
              </w:rPr>
            </w:pPr>
            <w:r w:rsidRPr="000708D6">
              <w:rPr>
                <w:b/>
                <w:i/>
                <w:iCs/>
                <w:sz w:val="16"/>
                <w:szCs w:val="16"/>
                <w:lang w:val="en-GB"/>
              </w:rPr>
              <w:t>Academia</w:t>
            </w:r>
          </w:p>
          <w:p w14:paraId="45E239C9" w14:textId="77777777" w:rsidR="00EA5E90" w:rsidRPr="005C7E82" w:rsidRDefault="00690417" w:rsidP="000708D6">
            <w:pPr>
              <w:pStyle w:val="ListParagraph"/>
              <w:ind w:left="331"/>
              <w:rPr>
                <w:iCs/>
                <w:sz w:val="16"/>
                <w:szCs w:val="16"/>
                <w:lang w:val="en-GB"/>
              </w:rPr>
            </w:pPr>
            <w:r w:rsidRPr="005C7E82">
              <w:rPr>
                <w:iCs/>
                <w:sz w:val="16"/>
                <w:szCs w:val="16"/>
                <w:lang w:val="en-GB"/>
              </w:rPr>
              <w:t>U</w:t>
            </w:r>
            <w:r w:rsidR="00EA5E90" w:rsidRPr="005C7E82">
              <w:rPr>
                <w:iCs/>
                <w:sz w:val="16"/>
                <w:szCs w:val="16"/>
                <w:lang w:val="en-GB"/>
              </w:rPr>
              <w:t>WI</w:t>
            </w:r>
          </w:p>
          <w:p w14:paraId="12CF9E20" w14:textId="77777777" w:rsidR="00EA5E90" w:rsidRPr="005C7E82" w:rsidRDefault="00EA5E90" w:rsidP="000708D6">
            <w:pPr>
              <w:pStyle w:val="ListParagraph"/>
              <w:ind w:left="331"/>
              <w:rPr>
                <w:iCs/>
                <w:sz w:val="16"/>
                <w:szCs w:val="16"/>
                <w:lang w:val="en-GB"/>
              </w:rPr>
            </w:pPr>
            <w:r w:rsidRPr="005C7E82">
              <w:rPr>
                <w:iCs/>
                <w:sz w:val="16"/>
                <w:szCs w:val="16"/>
                <w:lang w:val="en-GB"/>
              </w:rPr>
              <w:t>UTT</w:t>
            </w:r>
          </w:p>
          <w:p w14:paraId="760ADF19" w14:textId="77777777" w:rsidR="003C3F51" w:rsidRPr="005C7E82" w:rsidRDefault="00D3266B" w:rsidP="003C3F51">
            <w:pPr>
              <w:tabs>
                <w:tab w:val="left" w:pos="0"/>
              </w:tabs>
              <w:spacing w:after="60"/>
              <w:rPr>
                <w:iCs/>
                <w:sz w:val="16"/>
                <w:szCs w:val="16"/>
                <w:lang w:val="en-GB"/>
              </w:rPr>
            </w:pPr>
            <w:r w:rsidRPr="005C7E82">
              <w:rPr>
                <w:iCs/>
                <w:sz w:val="16"/>
                <w:szCs w:val="16"/>
                <w:lang w:val="en-GB"/>
              </w:rPr>
              <w:t>Arthur Lok Jack School</w:t>
            </w:r>
          </w:p>
          <w:p w14:paraId="007CF5D3" w14:textId="5E6A3EA2" w:rsidR="003C3F51" w:rsidRPr="005C7E82" w:rsidRDefault="00EA5E90" w:rsidP="003C3F51">
            <w:pPr>
              <w:tabs>
                <w:tab w:val="left" w:pos="0"/>
              </w:tabs>
              <w:spacing w:after="60"/>
              <w:rPr>
                <w:iCs/>
                <w:sz w:val="16"/>
                <w:szCs w:val="16"/>
                <w:lang w:val="en-GB"/>
              </w:rPr>
            </w:pPr>
            <w:r w:rsidRPr="000708D6">
              <w:rPr>
                <w:b/>
                <w:i/>
                <w:iCs/>
                <w:sz w:val="16"/>
                <w:szCs w:val="16"/>
                <w:lang w:val="en-GB"/>
              </w:rPr>
              <w:t>Regional organi</w:t>
            </w:r>
            <w:r w:rsidR="00997C0E">
              <w:rPr>
                <w:b/>
                <w:i/>
                <w:iCs/>
                <w:sz w:val="16"/>
                <w:szCs w:val="16"/>
                <w:lang w:val="en-GB"/>
              </w:rPr>
              <w:t>z</w:t>
            </w:r>
            <w:r w:rsidRPr="000708D6">
              <w:rPr>
                <w:b/>
                <w:i/>
                <w:iCs/>
                <w:sz w:val="16"/>
                <w:szCs w:val="16"/>
                <w:lang w:val="en-GB"/>
              </w:rPr>
              <w:t>ations</w:t>
            </w:r>
          </w:p>
          <w:p w14:paraId="1CD16BC5" w14:textId="292017AB" w:rsidR="003C3F51" w:rsidRPr="005C7E82" w:rsidRDefault="00690417" w:rsidP="00C50818">
            <w:pPr>
              <w:tabs>
                <w:tab w:val="left" w:pos="0"/>
              </w:tabs>
              <w:spacing w:after="60"/>
              <w:ind w:firstLine="389"/>
              <w:rPr>
                <w:iCs/>
                <w:sz w:val="16"/>
                <w:szCs w:val="16"/>
                <w:lang w:val="en-GB"/>
              </w:rPr>
            </w:pPr>
            <w:r w:rsidRPr="005C7E82">
              <w:rPr>
                <w:iCs/>
                <w:sz w:val="16"/>
                <w:szCs w:val="16"/>
                <w:lang w:val="en-GB"/>
              </w:rPr>
              <w:t>CARICOM</w:t>
            </w:r>
            <w:r w:rsidR="003C3F51" w:rsidRPr="005C7E82">
              <w:rPr>
                <w:iCs/>
                <w:sz w:val="16"/>
                <w:szCs w:val="16"/>
                <w:lang w:val="en-GB"/>
              </w:rPr>
              <w:t xml:space="preserve"> </w:t>
            </w:r>
          </w:p>
          <w:p w14:paraId="195D1B16" w14:textId="5ED2A928" w:rsidR="00FC7D7F" w:rsidRPr="005C7E82" w:rsidRDefault="00221433" w:rsidP="000708D6">
            <w:pPr>
              <w:pStyle w:val="ListParagraph"/>
              <w:spacing w:after="60"/>
              <w:ind w:left="360"/>
              <w:rPr>
                <w:iCs/>
                <w:sz w:val="16"/>
                <w:szCs w:val="16"/>
                <w:lang w:val="en-GB"/>
              </w:rPr>
            </w:pPr>
            <w:r w:rsidRPr="005C7E82">
              <w:rPr>
                <w:iCs/>
                <w:sz w:val="16"/>
                <w:szCs w:val="16"/>
                <w:lang w:val="en-GB"/>
              </w:rPr>
              <w:t>Trinidad and Tobago</w:t>
            </w:r>
            <w:r w:rsidR="00690417" w:rsidRPr="005C7E82">
              <w:rPr>
                <w:iCs/>
                <w:sz w:val="16"/>
                <w:szCs w:val="16"/>
                <w:lang w:val="en-GB"/>
              </w:rPr>
              <w:t xml:space="preserve"> Transparency Institute </w:t>
            </w:r>
          </w:p>
          <w:p w14:paraId="23E4C8DA" w14:textId="52B0399F" w:rsidR="00EA5E90" w:rsidRPr="000708D6" w:rsidRDefault="00221433" w:rsidP="000708D6">
            <w:pPr>
              <w:pStyle w:val="ListParagraph"/>
              <w:spacing w:after="60"/>
              <w:ind w:left="360"/>
              <w:rPr>
                <w:iCs/>
                <w:sz w:val="16"/>
                <w:szCs w:val="16"/>
                <w:lang w:val="en-GB"/>
              </w:rPr>
            </w:pPr>
            <w:r w:rsidRPr="000708D6">
              <w:rPr>
                <w:iCs/>
                <w:sz w:val="16"/>
                <w:szCs w:val="16"/>
                <w:lang w:val="en-GB"/>
              </w:rPr>
              <w:t>Trinidad and Tobago</w:t>
            </w:r>
            <w:r w:rsidR="00EA5E90" w:rsidRPr="000708D6">
              <w:rPr>
                <w:iCs/>
                <w:sz w:val="16"/>
                <w:szCs w:val="16"/>
                <w:lang w:val="en-GB"/>
              </w:rPr>
              <w:t xml:space="preserve"> Extractive Industries Transparency Initiative </w:t>
            </w:r>
          </w:p>
        </w:tc>
        <w:tc>
          <w:tcPr>
            <w:tcW w:w="709" w:type="pct"/>
            <w:tcMar>
              <w:top w:w="15" w:type="dxa"/>
              <w:left w:w="108" w:type="dxa"/>
              <w:bottom w:w="0" w:type="dxa"/>
              <w:right w:w="108" w:type="dxa"/>
            </w:tcMar>
          </w:tcPr>
          <w:p w14:paraId="1AFA0CF8" w14:textId="77777777" w:rsidR="00FC7D7F" w:rsidRPr="000708D6" w:rsidRDefault="00FC7D7F" w:rsidP="00652EFC">
            <w:pPr>
              <w:rPr>
                <w:b/>
                <w:sz w:val="16"/>
                <w:szCs w:val="16"/>
                <w:lang w:val="en-GB"/>
              </w:rPr>
            </w:pPr>
            <w:r w:rsidRPr="000708D6">
              <w:rPr>
                <w:b/>
                <w:sz w:val="16"/>
                <w:szCs w:val="16"/>
                <w:lang w:val="en-GB"/>
              </w:rPr>
              <w:lastRenderedPageBreak/>
              <w:t>Regular: 0</w:t>
            </w:r>
          </w:p>
        </w:tc>
      </w:tr>
      <w:tr w:rsidR="00FC7D7F" w:rsidRPr="005C7E82" w14:paraId="7F317D9C" w14:textId="77777777" w:rsidTr="006D3BD0">
        <w:trPr>
          <w:trHeight w:val="461"/>
        </w:trPr>
        <w:tc>
          <w:tcPr>
            <w:tcW w:w="1038" w:type="pct"/>
            <w:vMerge/>
            <w:tcMar>
              <w:top w:w="72" w:type="dxa"/>
              <w:left w:w="144" w:type="dxa"/>
              <w:bottom w:w="72" w:type="dxa"/>
              <w:right w:w="144" w:type="dxa"/>
            </w:tcMar>
          </w:tcPr>
          <w:p w14:paraId="207F84BD" w14:textId="77777777" w:rsidR="00FC7D7F" w:rsidRPr="005C7E82" w:rsidRDefault="00FC7D7F" w:rsidP="00FC7D7F">
            <w:pPr>
              <w:rPr>
                <w:iCs/>
                <w:sz w:val="16"/>
                <w:szCs w:val="16"/>
                <w:lang w:val="en-GB"/>
              </w:rPr>
            </w:pPr>
          </w:p>
        </w:tc>
        <w:tc>
          <w:tcPr>
            <w:tcW w:w="594" w:type="pct"/>
            <w:vMerge/>
          </w:tcPr>
          <w:p w14:paraId="57140DFE" w14:textId="77777777" w:rsidR="00FC7D7F" w:rsidRPr="005C7E82" w:rsidRDefault="00FC7D7F" w:rsidP="00FC7D7F">
            <w:pPr>
              <w:rPr>
                <w:iCs/>
                <w:sz w:val="16"/>
                <w:szCs w:val="16"/>
                <w:lang w:val="en-GB"/>
              </w:rPr>
            </w:pPr>
          </w:p>
        </w:tc>
        <w:tc>
          <w:tcPr>
            <w:tcW w:w="1871" w:type="pct"/>
            <w:vMerge/>
            <w:tcMar>
              <w:top w:w="72" w:type="dxa"/>
              <w:left w:w="144" w:type="dxa"/>
              <w:bottom w:w="72" w:type="dxa"/>
              <w:right w:w="144" w:type="dxa"/>
            </w:tcMar>
          </w:tcPr>
          <w:p w14:paraId="3769A01E" w14:textId="77777777" w:rsidR="00FC7D7F" w:rsidRPr="005C7E82" w:rsidRDefault="00FC7D7F" w:rsidP="00FC7D7F">
            <w:pPr>
              <w:rPr>
                <w:iCs/>
                <w:sz w:val="16"/>
                <w:szCs w:val="16"/>
                <w:lang w:val="en-GB"/>
              </w:rPr>
            </w:pPr>
          </w:p>
        </w:tc>
        <w:tc>
          <w:tcPr>
            <w:tcW w:w="788" w:type="pct"/>
            <w:vMerge/>
          </w:tcPr>
          <w:p w14:paraId="6A306661" w14:textId="77777777" w:rsidR="00FC7D7F" w:rsidRPr="005C7E82" w:rsidRDefault="00FC7D7F" w:rsidP="00FC7D7F">
            <w:pPr>
              <w:rPr>
                <w:iCs/>
                <w:sz w:val="16"/>
                <w:szCs w:val="16"/>
                <w:lang w:val="en-GB"/>
              </w:rPr>
            </w:pPr>
          </w:p>
        </w:tc>
        <w:tc>
          <w:tcPr>
            <w:tcW w:w="709" w:type="pct"/>
            <w:tcMar>
              <w:top w:w="15" w:type="dxa"/>
              <w:left w:w="108" w:type="dxa"/>
              <w:bottom w:w="0" w:type="dxa"/>
              <w:right w:w="108" w:type="dxa"/>
            </w:tcMar>
          </w:tcPr>
          <w:p w14:paraId="5DD47C04" w14:textId="77777777" w:rsidR="00FC7D7F" w:rsidRPr="000708D6" w:rsidRDefault="00FC7D7F" w:rsidP="00FC7D7F">
            <w:pPr>
              <w:rPr>
                <w:b/>
                <w:sz w:val="16"/>
                <w:szCs w:val="16"/>
                <w:lang w:val="en-GB"/>
              </w:rPr>
            </w:pPr>
            <w:r w:rsidRPr="000708D6">
              <w:rPr>
                <w:b/>
                <w:sz w:val="16"/>
                <w:szCs w:val="16"/>
                <w:lang w:val="en-GB"/>
              </w:rPr>
              <w:t xml:space="preserve">Other: </w:t>
            </w:r>
          </w:p>
          <w:p w14:paraId="3BA68B0E" w14:textId="7DA87275" w:rsidR="00114470" w:rsidRPr="000708D6" w:rsidRDefault="007207B3" w:rsidP="00652EFC">
            <w:pPr>
              <w:rPr>
                <w:b/>
                <w:sz w:val="16"/>
                <w:szCs w:val="16"/>
                <w:lang w:val="en-GB"/>
              </w:rPr>
            </w:pPr>
            <w:r w:rsidRPr="000708D6">
              <w:rPr>
                <w:b/>
                <w:sz w:val="16"/>
                <w:szCs w:val="16"/>
                <w:lang w:val="en-GB"/>
              </w:rPr>
              <w:t>4</w:t>
            </w:r>
            <w:r w:rsidR="00652EFC" w:rsidRPr="000708D6">
              <w:rPr>
                <w:b/>
                <w:sz w:val="16"/>
                <w:szCs w:val="16"/>
                <w:lang w:val="en-GB"/>
              </w:rPr>
              <w:t>,</w:t>
            </w:r>
            <w:r w:rsidR="00663AC1" w:rsidRPr="000708D6">
              <w:rPr>
                <w:b/>
                <w:sz w:val="16"/>
                <w:szCs w:val="16"/>
                <w:lang w:val="en-GB"/>
              </w:rPr>
              <w:t>000</w:t>
            </w:r>
          </w:p>
        </w:tc>
      </w:tr>
    </w:tbl>
    <w:p w14:paraId="28ACCE99" w14:textId="0DC17F33" w:rsidR="00FC7D7F" w:rsidRPr="000708D6" w:rsidRDefault="00A35270" w:rsidP="001E6DF4">
      <w:pPr>
        <w:pStyle w:val="Heading4"/>
        <w:rPr>
          <w:lang w:val="en-GB"/>
        </w:rPr>
      </w:pPr>
      <w:r w:rsidRPr="000708D6">
        <w:rPr>
          <w:rFonts w:ascii="Times New Roman" w:hAnsi="Times New Roman"/>
          <w:lang w:val="en-GB"/>
        </w:rPr>
        <w:t>Area</w:t>
      </w:r>
      <w:r w:rsidR="005C15DC" w:rsidRPr="000708D6">
        <w:rPr>
          <w:rFonts w:ascii="Times New Roman" w:hAnsi="Times New Roman"/>
          <w:lang w:val="en-GB"/>
        </w:rPr>
        <w:t xml:space="preserve"> </w:t>
      </w:r>
      <w:r w:rsidR="001E0AC7" w:rsidRPr="000708D6">
        <w:rPr>
          <w:rFonts w:ascii="Times New Roman" w:hAnsi="Times New Roman"/>
          <w:lang w:val="en-GB"/>
        </w:rPr>
        <w:t>3</w:t>
      </w:r>
      <w:r w:rsidR="002620E8">
        <w:rPr>
          <w:rFonts w:ascii="Times New Roman" w:hAnsi="Times New Roman"/>
          <w:lang w:val="en-GB"/>
        </w:rPr>
        <w:t>.</w:t>
      </w:r>
      <w:r w:rsidR="001E0AC7" w:rsidRPr="000708D6">
        <w:rPr>
          <w:rFonts w:ascii="Times New Roman" w:hAnsi="Times New Roman"/>
          <w:lang w:val="en-GB"/>
        </w:rPr>
        <w:t xml:space="preserve"> Citizen </w:t>
      </w:r>
      <w:r w:rsidR="002620E8">
        <w:rPr>
          <w:rFonts w:ascii="Times New Roman" w:hAnsi="Times New Roman"/>
          <w:lang w:val="en-GB"/>
        </w:rPr>
        <w:t>s</w:t>
      </w:r>
      <w:r w:rsidR="001E0AC7" w:rsidRPr="000708D6">
        <w:rPr>
          <w:rFonts w:ascii="Times New Roman" w:hAnsi="Times New Roman"/>
          <w:lang w:val="en-GB"/>
        </w:rPr>
        <w:t>ecurity</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774"/>
        <w:gridCol w:w="1587"/>
        <w:gridCol w:w="5024"/>
        <w:gridCol w:w="2204"/>
        <w:gridCol w:w="1815"/>
      </w:tblGrid>
      <w:tr w:rsidR="0077048A" w:rsidRPr="005C7E82" w14:paraId="78033C99" w14:textId="77777777" w:rsidTr="0049035D">
        <w:trPr>
          <w:trHeight w:val="16"/>
        </w:trPr>
        <w:tc>
          <w:tcPr>
            <w:tcW w:w="5000" w:type="pct"/>
            <w:gridSpan w:val="5"/>
            <w:shd w:val="clear" w:color="auto" w:fill="auto"/>
            <w:tcMar>
              <w:top w:w="72" w:type="dxa"/>
              <w:left w:w="144" w:type="dxa"/>
              <w:bottom w:w="72" w:type="dxa"/>
              <w:right w:w="144" w:type="dxa"/>
            </w:tcMar>
          </w:tcPr>
          <w:p w14:paraId="087E800E" w14:textId="197F47C4" w:rsidR="00F55103" w:rsidRPr="000708D6" w:rsidRDefault="002620E8">
            <w:pPr>
              <w:rPr>
                <w:b/>
                <w:sz w:val="16"/>
                <w:szCs w:val="16"/>
                <w:lang w:val="en-GB"/>
              </w:rPr>
            </w:pPr>
            <w:r w:rsidRPr="002620E8">
              <w:rPr>
                <w:b/>
                <w:bCs/>
                <w:sz w:val="16"/>
                <w:szCs w:val="16"/>
                <w:lang w:val="en-GB"/>
              </w:rPr>
              <w:t xml:space="preserve">National priority: </w:t>
            </w:r>
            <w:r w:rsidR="0077048A" w:rsidRPr="000708D6">
              <w:rPr>
                <w:b/>
                <w:sz w:val="16"/>
                <w:szCs w:val="16"/>
                <w:lang w:val="en-GB"/>
              </w:rPr>
              <w:t xml:space="preserve">To create an environment </w:t>
            </w:r>
            <w:r w:rsidRPr="000708D6">
              <w:rPr>
                <w:b/>
                <w:sz w:val="16"/>
                <w:szCs w:val="16"/>
                <w:lang w:val="en-GB"/>
              </w:rPr>
              <w:t xml:space="preserve">that </w:t>
            </w:r>
            <w:r w:rsidR="0077048A" w:rsidRPr="000708D6">
              <w:rPr>
                <w:b/>
                <w:sz w:val="16"/>
                <w:szCs w:val="16"/>
                <w:lang w:val="en-GB"/>
              </w:rPr>
              <w:t>ensures public safety and security through maintenance of law and order and commitment of all available resources to the protection of life and property</w:t>
            </w:r>
            <w:r w:rsidR="0077048A" w:rsidRPr="000708D6">
              <w:rPr>
                <w:rStyle w:val="FootnoteReference"/>
                <w:b/>
                <w:sz w:val="16"/>
                <w:szCs w:val="16"/>
                <w:lang w:val="en-GB"/>
              </w:rPr>
              <w:footnoteReference w:id="21"/>
            </w:r>
            <w:r w:rsidR="0077048A" w:rsidRPr="000708D6">
              <w:rPr>
                <w:b/>
                <w:sz w:val="16"/>
                <w:szCs w:val="16"/>
                <w:lang w:val="en-GB"/>
              </w:rPr>
              <w:t>.</w:t>
            </w:r>
          </w:p>
        </w:tc>
      </w:tr>
      <w:tr w:rsidR="0077048A" w:rsidRPr="005C7E82" w14:paraId="5E425F18" w14:textId="77777777" w:rsidTr="0049035D">
        <w:trPr>
          <w:trHeight w:val="86"/>
        </w:trPr>
        <w:tc>
          <w:tcPr>
            <w:tcW w:w="5000" w:type="pct"/>
            <w:gridSpan w:val="5"/>
            <w:shd w:val="clear" w:color="auto" w:fill="auto"/>
            <w:tcMar>
              <w:top w:w="72" w:type="dxa"/>
              <w:left w:w="144" w:type="dxa"/>
              <w:bottom w:w="72" w:type="dxa"/>
              <w:right w:w="144" w:type="dxa"/>
            </w:tcMar>
          </w:tcPr>
          <w:p w14:paraId="2F38BD88" w14:textId="77777777" w:rsidR="00DB39D7" w:rsidRPr="000708D6" w:rsidRDefault="0077048A" w:rsidP="00DB39D7">
            <w:pPr>
              <w:rPr>
                <w:b/>
                <w:iCs/>
                <w:sz w:val="16"/>
                <w:szCs w:val="16"/>
                <w:lang w:val="en-GB"/>
              </w:rPr>
            </w:pPr>
            <w:r w:rsidRPr="002620E8">
              <w:rPr>
                <w:b/>
                <w:bCs/>
                <w:sz w:val="16"/>
                <w:szCs w:val="16"/>
                <w:lang w:val="en-GB"/>
              </w:rPr>
              <w:t>UNDAF</w:t>
            </w:r>
            <w:r w:rsidR="0046101D" w:rsidRPr="002620E8">
              <w:rPr>
                <w:b/>
                <w:bCs/>
                <w:sz w:val="16"/>
                <w:szCs w:val="16"/>
                <w:lang w:val="en-GB"/>
              </w:rPr>
              <w:t>/MSDF</w:t>
            </w:r>
            <w:r w:rsidR="00CF47A8" w:rsidRPr="002620E8">
              <w:rPr>
                <w:b/>
                <w:bCs/>
                <w:sz w:val="16"/>
                <w:szCs w:val="16"/>
                <w:lang w:val="en-GB"/>
              </w:rPr>
              <w:t xml:space="preserve"> </w:t>
            </w:r>
            <w:r w:rsidR="002620E8" w:rsidRPr="002620E8">
              <w:rPr>
                <w:b/>
                <w:bCs/>
                <w:sz w:val="16"/>
                <w:szCs w:val="16"/>
                <w:lang w:val="en-GB"/>
              </w:rPr>
              <w:t>outcome involving</w:t>
            </w:r>
            <w:r w:rsidR="00CF47A8" w:rsidRPr="002620E8">
              <w:rPr>
                <w:b/>
                <w:bCs/>
                <w:sz w:val="16"/>
                <w:szCs w:val="16"/>
                <w:lang w:val="en-GB"/>
              </w:rPr>
              <w:t xml:space="preserve"> UNDP</w:t>
            </w:r>
            <w:r w:rsidRPr="002620E8">
              <w:rPr>
                <w:b/>
                <w:bCs/>
                <w:sz w:val="16"/>
                <w:szCs w:val="16"/>
                <w:lang w:val="en-GB"/>
              </w:rPr>
              <w:t>:</w:t>
            </w:r>
            <w:r w:rsidRPr="000708D6">
              <w:rPr>
                <w:b/>
                <w:sz w:val="16"/>
                <w:szCs w:val="16"/>
                <w:lang w:val="en-GB"/>
              </w:rPr>
              <w:t xml:space="preserve"> </w:t>
            </w:r>
            <w:r w:rsidR="00A84846" w:rsidRPr="000708D6">
              <w:rPr>
                <w:b/>
                <w:bCs/>
                <w:sz w:val="16"/>
                <w:szCs w:val="16"/>
                <w:lang w:val="en-GB"/>
              </w:rPr>
              <w:t>Equitable access to justice, protection, citizen security and safety reinforced</w:t>
            </w:r>
          </w:p>
          <w:p w14:paraId="2ECBDF4D" w14:textId="2E6F42A2" w:rsidR="00DB39D7" w:rsidRPr="002620E8" w:rsidRDefault="002620E8">
            <w:pPr>
              <w:rPr>
                <w:b/>
                <w:iCs/>
                <w:sz w:val="16"/>
                <w:szCs w:val="16"/>
                <w:lang w:val="en-GB"/>
              </w:rPr>
            </w:pPr>
            <w:r w:rsidRPr="002620E8">
              <w:rPr>
                <w:b/>
                <w:bCs/>
                <w:iCs/>
                <w:sz w:val="16"/>
                <w:szCs w:val="16"/>
                <w:lang w:val="en-GB"/>
              </w:rPr>
              <w:t>Sustainable development goals</w:t>
            </w:r>
            <w:r w:rsidR="00DB39D7" w:rsidRPr="002620E8">
              <w:rPr>
                <w:b/>
                <w:bCs/>
                <w:iCs/>
                <w:sz w:val="16"/>
                <w:szCs w:val="16"/>
                <w:lang w:val="en-GB"/>
              </w:rPr>
              <w:t xml:space="preserve">: </w:t>
            </w:r>
            <w:r w:rsidR="00DB39D7" w:rsidRPr="000708D6">
              <w:rPr>
                <w:b/>
                <w:bCs/>
                <w:iCs/>
                <w:sz w:val="16"/>
                <w:szCs w:val="16"/>
                <w:lang w:val="en-GB"/>
              </w:rPr>
              <w:t>5, 10</w:t>
            </w:r>
            <w:r w:rsidRPr="000708D6">
              <w:rPr>
                <w:b/>
                <w:bCs/>
                <w:iCs/>
                <w:sz w:val="16"/>
                <w:szCs w:val="16"/>
                <w:lang w:val="en-GB"/>
              </w:rPr>
              <w:t xml:space="preserve"> and</w:t>
            </w:r>
            <w:r w:rsidR="00DB39D7" w:rsidRPr="000708D6">
              <w:rPr>
                <w:b/>
                <w:bCs/>
                <w:iCs/>
                <w:sz w:val="16"/>
                <w:szCs w:val="16"/>
                <w:lang w:val="en-GB"/>
              </w:rPr>
              <w:t xml:space="preserve"> 16</w:t>
            </w:r>
          </w:p>
        </w:tc>
      </w:tr>
      <w:tr w:rsidR="0077048A" w:rsidRPr="005C7E82" w14:paraId="44BA3B73" w14:textId="77777777" w:rsidTr="0049035D">
        <w:trPr>
          <w:trHeight w:val="238"/>
        </w:trPr>
        <w:tc>
          <w:tcPr>
            <w:tcW w:w="5000" w:type="pct"/>
            <w:gridSpan w:val="5"/>
            <w:shd w:val="clear" w:color="auto" w:fill="auto"/>
            <w:tcMar>
              <w:top w:w="72" w:type="dxa"/>
              <w:left w:w="144" w:type="dxa"/>
              <w:bottom w:w="72" w:type="dxa"/>
              <w:right w:w="144" w:type="dxa"/>
            </w:tcMar>
          </w:tcPr>
          <w:p w14:paraId="3346F88E" w14:textId="7F2FC590" w:rsidR="0077048A" w:rsidRPr="000708D6" w:rsidRDefault="002620E8">
            <w:pPr>
              <w:rPr>
                <w:b/>
                <w:bCs/>
                <w:sz w:val="16"/>
                <w:szCs w:val="16"/>
                <w:lang w:val="en-GB"/>
              </w:rPr>
            </w:pPr>
            <w:r w:rsidRPr="002620E8">
              <w:rPr>
                <w:b/>
                <w:bCs/>
                <w:sz w:val="16"/>
                <w:szCs w:val="16"/>
                <w:lang w:val="en-GB"/>
              </w:rPr>
              <w:t>Related strategic plan</w:t>
            </w:r>
            <w:r>
              <w:rPr>
                <w:b/>
                <w:bCs/>
                <w:sz w:val="16"/>
                <w:szCs w:val="16"/>
                <w:lang w:val="en-GB"/>
              </w:rPr>
              <w:t xml:space="preserve">, </w:t>
            </w:r>
            <w:r w:rsidRPr="002620E8">
              <w:rPr>
                <w:b/>
                <w:bCs/>
                <w:sz w:val="16"/>
                <w:szCs w:val="16"/>
                <w:lang w:val="en-GB"/>
              </w:rPr>
              <w:t>2014-2017</w:t>
            </w:r>
            <w:r>
              <w:rPr>
                <w:b/>
                <w:bCs/>
                <w:sz w:val="16"/>
                <w:szCs w:val="16"/>
                <w:lang w:val="en-GB"/>
              </w:rPr>
              <w:t>,</w:t>
            </w:r>
            <w:r w:rsidRPr="002620E8">
              <w:rPr>
                <w:b/>
                <w:bCs/>
                <w:sz w:val="16"/>
                <w:szCs w:val="16"/>
                <w:lang w:val="en-GB"/>
              </w:rPr>
              <w:t xml:space="preserve"> outcome: </w:t>
            </w:r>
            <w:r w:rsidR="009B0652" w:rsidRPr="000708D6">
              <w:rPr>
                <w:b/>
                <w:bCs/>
                <w:sz w:val="16"/>
                <w:szCs w:val="16"/>
                <w:lang w:val="en-GB"/>
              </w:rPr>
              <w:t>3</w:t>
            </w:r>
            <w:r w:rsidRPr="000708D6">
              <w:rPr>
                <w:b/>
                <w:bCs/>
                <w:sz w:val="16"/>
                <w:szCs w:val="16"/>
                <w:lang w:val="en-GB"/>
              </w:rPr>
              <w:t>.</w:t>
            </w:r>
            <w:r w:rsidR="0077048A" w:rsidRPr="002620E8">
              <w:rPr>
                <w:b/>
                <w:bCs/>
                <w:sz w:val="16"/>
                <w:szCs w:val="16"/>
                <w:lang w:val="en-GB"/>
              </w:rPr>
              <w:t xml:space="preserve"> </w:t>
            </w:r>
            <w:r w:rsidR="0077048A" w:rsidRPr="000708D6">
              <w:rPr>
                <w:b/>
                <w:bCs/>
                <w:sz w:val="16"/>
                <w:szCs w:val="16"/>
                <w:lang w:val="en-GB"/>
              </w:rPr>
              <w:t>Countries have strengthened institutions to progressively deliver universal access to basic services</w:t>
            </w:r>
          </w:p>
        </w:tc>
      </w:tr>
      <w:tr w:rsidR="00F2289C" w:rsidRPr="005C7E82" w14:paraId="302689E3" w14:textId="77777777" w:rsidTr="00B00C6B">
        <w:trPr>
          <w:trHeight w:val="233"/>
        </w:trPr>
        <w:tc>
          <w:tcPr>
            <w:tcW w:w="1035" w:type="pct"/>
            <w:vMerge w:val="restart"/>
            <w:tcMar>
              <w:top w:w="72" w:type="dxa"/>
              <w:left w:w="144" w:type="dxa"/>
              <w:bottom w:w="72" w:type="dxa"/>
              <w:right w:w="144" w:type="dxa"/>
            </w:tcMar>
          </w:tcPr>
          <w:p w14:paraId="378778C7" w14:textId="77777777" w:rsidR="005E110E" w:rsidRPr="005C7E82" w:rsidRDefault="005E110E" w:rsidP="005E110E">
            <w:pPr>
              <w:jc w:val="both"/>
              <w:rPr>
                <w:bCs/>
                <w:iCs/>
                <w:sz w:val="16"/>
                <w:szCs w:val="16"/>
                <w:lang w:val="en-GB"/>
              </w:rPr>
            </w:pPr>
            <w:r w:rsidRPr="005C7E82">
              <w:rPr>
                <w:b/>
                <w:bCs/>
                <w:iCs/>
                <w:sz w:val="16"/>
                <w:szCs w:val="16"/>
                <w:lang w:val="en-GB"/>
              </w:rPr>
              <w:t>Indicator</w:t>
            </w:r>
            <w:r w:rsidR="008B3272" w:rsidRPr="005C7E82">
              <w:rPr>
                <w:bCs/>
                <w:iCs/>
                <w:sz w:val="16"/>
                <w:szCs w:val="16"/>
                <w:lang w:val="en-GB"/>
              </w:rPr>
              <w:t xml:space="preserve">: Number </w:t>
            </w:r>
            <w:r w:rsidR="00A015A8" w:rsidRPr="002807FF">
              <w:rPr>
                <w:bCs/>
                <w:iCs/>
                <w:sz w:val="16"/>
                <w:szCs w:val="16"/>
                <w:lang w:val="en-GB"/>
              </w:rPr>
              <w:t>of</w:t>
            </w:r>
            <w:r w:rsidR="00592B5E" w:rsidRPr="005C7E82">
              <w:rPr>
                <w:bCs/>
                <w:iCs/>
                <w:sz w:val="16"/>
                <w:szCs w:val="16"/>
                <w:lang w:val="en-GB"/>
              </w:rPr>
              <w:t xml:space="preserve"> </w:t>
            </w:r>
            <w:r w:rsidRPr="005C7E82">
              <w:rPr>
                <w:bCs/>
                <w:iCs/>
                <w:sz w:val="16"/>
                <w:szCs w:val="16"/>
                <w:lang w:val="en-GB"/>
              </w:rPr>
              <w:t xml:space="preserve">victims of </w:t>
            </w:r>
            <w:r w:rsidR="009F1F80" w:rsidRPr="005C7E82">
              <w:rPr>
                <w:bCs/>
                <w:iCs/>
                <w:sz w:val="16"/>
                <w:szCs w:val="16"/>
                <w:lang w:val="en-GB"/>
              </w:rPr>
              <w:t>murder</w:t>
            </w:r>
            <w:r w:rsidR="00456A26" w:rsidRPr="005C7E82">
              <w:rPr>
                <w:bCs/>
                <w:iCs/>
                <w:sz w:val="16"/>
                <w:szCs w:val="16"/>
                <w:lang w:val="en-GB"/>
              </w:rPr>
              <w:t xml:space="preserve">. </w:t>
            </w:r>
          </w:p>
          <w:p w14:paraId="63314780" w14:textId="66BB2331" w:rsidR="005E110E" w:rsidRPr="005C7E82" w:rsidRDefault="005E110E" w:rsidP="005E110E">
            <w:pPr>
              <w:jc w:val="both"/>
              <w:rPr>
                <w:bCs/>
                <w:iCs/>
                <w:sz w:val="16"/>
                <w:szCs w:val="16"/>
                <w:lang w:val="en-GB"/>
              </w:rPr>
            </w:pPr>
            <w:r w:rsidRPr="005C7E82">
              <w:rPr>
                <w:b/>
                <w:bCs/>
                <w:iCs/>
                <w:sz w:val="16"/>
                <w:szCs w:val="16"/>
                <w:lang w:val="en-GB"/>
              </w:rPr>
              <w:t>Baseline</w:t>
            </w:r>
            <w:r w:rsidRPr="005C7E82">
              <w:rPr>
                <w:bCs/>
                <w:iCs/>
                <w:sz w:val="16"/>
                <w:szCs w:val="16"/>
                <w:lang w:val="en-GB"/>
              </w:rPr>
              <w:t xml:space="preserve">: </w:t>
            </w:r>
            <w:r w:rsidR="009F1F80" w:rsidRPr="005C7E82">
              <w:rPr>
                <w:bCs/>
                <w:iCs/>
                <w:sz w:val="16"/>
                <w:szCs w:val="16"/>
                <w:lang w:val="en-GB"/>
              </w:rPr>
              <w:t>420 (</w:t>
            </w:r>
            <w:r w:rsidRPr="005C7E82">
              <w:rPr>
                <w:bCs/>
                <w:iCs/>
                <w:sz w:val="16"/>
                <w:szCs w:val="16"/>
                <w:lang w:val="en-GB"/>
              </w:rPr>
              <w:t xml:space="preserve">Crime </w:t>
            </w:r>
            <w:r w:rsidR="002620E8">
              <w:rPr>
                <w:bCs/>
                <w:iCs/>
                <w:sz w:val="16"/>
                <w:szCs w:val="16"/>
                <w:lang w:val="en-GB"/>
              </w:rPr>
              <w:t>statistics,</w:t>
            </w:r>
            <w:r w:rsidRPr="005C7E82">
              <w:rPr>
                <w:bCs/>
                <w:iCs/>
                <w:sz w:val="16"/>
                <w:szCs w:val="16"/>
                <w:lang w:val="en-GB"/>
              </w:rPr>
              <w:t xml:space="preserve"> 2015)</w:t>
            </w:r>
          </w:p>
          <w:p w14:paraId="7490F833" w14:textId="3441EEA3" w:rsidR="005E110E" w:rsidRPr="005C7E82" w:rsidRDefault="005E110E" w:rsidP="005E110E">
            <w:pPr>
              <w:jc w:val="both"/>
              <w:rPr>
                <w:bCs/>
                <w:iCs/>
                <w:sz w:val="16"/>
                <w:szCs w:val="16"/>
                <w:lang w:val="en-GB"/>
              </w:rPr>
            </w:pPr>
            <w:r w:rsidRPr="005C7E82">
              <w:rPr>
                <w:b/>
                <w:bCs/>
                <w:iCs/>
                <w:sz w:val="16"/>
                <w:szCs w:val="16"/>
                <w:lang w:val="en-GB"/>
              </w:rPr>
              <w:t>Target</w:t>
            </w:r>
            <w:r w:rsidR="009F1F80" w:rsidRPr="005C7E82">
              <w:rPr>
                <w:bCs/>
                <w:iCs/>
                <w:sz w:val="16"/>
                <w:szCs w:val="16"/>
                <w:lang w:val="en-GB"/>
              </w:rPr>
              <w:t xml:space="preserve">: </w:t>
            </w:r>
            <w:r w:rsidR="008B3272" w:rsidRPr="005C7E82">
              <w:rPr>
                <w:bCs/>
                <w:iCs/>
                <w:sz w:val="16"/>
                <w:szCs w:val="16"/>
                <w:lang w:val="en-GB"/>
              </w:rPr>
              <w:t>378</w:t>
            </w:r>
            <w:r w:rsidR="00D64B78" w:rsidRPr="005C7E82">
              <w:rPr>
                <w:bCs/>
                <w:iCs/>
                <w:sz w:val="16"/>
                <w:szCs w:val="16"/>
                <w:lang w:val="en-GB"/>
              </w:rPr>
              <w:t xml:space="preserve"> (10% reduction)</w:t>
            </w:r>
          </w:p>
          <w:p w14:paraId="788EC2A5" w14:textId="77777777" w:rsidR="00F2289C" w:rsidRPr="005C7E82" w:rsidRDefault="00F2289C" w:rsidP="007D13E1">
            <w:pPr>
              <w:jc w:val="both"/>
              <w:rPr>
                <w:bCs/>
                <w:sz w:val="16"/>
                <w:szCs w:val="16"/>
                <w:lang w:val="en-GB"/>
              </w:rPr>
            </w:pPr>
          </w:p>
        </w:tc>
        <w:tc>
          <w:tcPr>
            <w:tcW w:w="592" w:type="pct"/>
            <w:vMerge w:val="restart"/>
          </w:tcPr>
          <w:p w14:paraId="17CE398B" w14:textId="42B260E5" w:rsidR="004D2B14" w:rsidRPr="005C7E82" w:rsidRDefault="002620E8" w:rsidP="004D2B14">
            <w:pPr>
              <w:rPr>
                <w:bCs/>
                <w:sz w:val="16"/>
                <w:szCs w:val="16"/>
                <w:lang w:val="en-GB"/>
              </w:rPr>
            </w:pPr>
            <w:r>
              <w:rPr>
                <w:b/>
                <w:bCs/>
                <w:sz w:val="16"/>
                <w:szCs w:val="16"/>
                <w:lang w:val="en-GB"/>
              </w:rPr>
              <w:t>Source:</w:t>
            </w:r>
            <w:r w:rsidR="009F1F80" w:rsidRPr="005C7E82">
              <w:rPr>
                <w:bCs/>
                <w:sz w:val="16"/>
                <w:szCs w:val="16"/>
                <w:lang w:val="en-GB"/>
              </w:rPr>
              <w:t xml:space="preserve"> MNS</w:t>
            </w:r>
          </w:p>
          <w:p w14:paraId="5D8237E0" w14:textId="56F80C9E" w:rsidR="004D2B14" w:rsidRPr="005C7E82" w:rsidRDefault="002620E8" w:rsidP="004D2B14">
            <w:pPr>
              <w:rPr>
                <w:bCs/>
                <w:sz w:val="16"/>
                <w:szCs w:val="16"/>
                <w:lang w:val="en-GB"/>
              </w:rPr>
            </w:pPr>
            <w:r>
              <w:rPr>
                <w:b/>
                <w:bCs/>
                <w:sz w:val="16"/>
                <w:szCs w:val="16"/>
                <w:lang w:val="en-GB"/>
              </w:rPr>
              <w:t>Frequency:</w:t>
            </w:r>
            <w:r w:rsidR="004D2B14" w:rsidRPr="005C7E82">
              <w:rPr>
                <w:bCs/>
                <w:sz w:val="16"/>
                <w:szCs w:val="16"/>
                <w:lang w:val="en-GB"/>
              </w:rPr>
              <w:t xml:space="preserve"> </w:t>
            </w:r>
            <w:r>
              <w:rPr>
                <w:bCs/>
                <w:sz w:val="16"/>
                <w:szCs w:val="16"/>
                <w:lang w:val="en-GB"/>
              </w:rPr>
              <w:t>a</w:t>
            </w:r>
            <w:r w:rsidR="004D2B14" w:rsidRPr="005C7E82">
              <w:rPr>
                <w:bCs/>
                <w:sz w:val="16"/>
                <w:szCs w:val="16"/>
                <w:lang w:val="en-GB"/>
              </w:rPr>
              <w:t>nnual</w:t>
            </w:r>
          </w:p>
          <w:p w14:paraId="67A676EC" w14:textId="0508E8B6" w:rsidR="00206E73" w:rsidRPr="005C7E82" w:rsidRDefault="002620E8" w:rsidP="00884669">
            <w:pPr>
              <w:rPr>
                <w:bCs/>
                <w:sz w:val="16"/>
                <w:szCs w:val="16"/>
                <w:lang w:val="en-GB"/>
              </w:rPr>
            </w:pPr>
            <w:r>
              <w:rPr>
                <w:b/>
                <w:bCs/>
                <w:sz w:val="16"/>
                <w:szCs w:val="16"/>
                <w:lang w:val="en-GB"/>
              </w:rPr>
              <w:t>Responsibi</w:t>
            </w:r>
            <w:r w:rsidR="00280AF0">
              <w:rPr>
                <w:b/>
                <w:bCs/>
                <w:sz w:val="16"/>
                <w:szCs w:val="16"/>
                <w:lang w:val="en-GB"/>
              </w:rPr>
              <w:t>l</w:t>
            </w:r>
            <w:r>
              <w:rPr>
                <w:b/>
                <w:bCs/>
                <w:sz w:val="16"/>
                <w:szCs w:val="16"/>
                <w:lang w:val="en-GB"/>
              </w:rPr>
              <w:t>ities:</w:t>
            </w:r>
            <w:r w:rsidR="009F1F80" w:rsidRPr="005C7E82">
              <w:rPr>
                <w:bCs/>
                <w:sz w:val="16"/>
                <w:szCs w:val="16"/>
                <w:lang w:val="en-GB"/>
              </w:rPr>
              <w:t xml:space="preserve"> MNS </w:t>
            </w:r>
          </w:p>
        </w:tc>
        <w:tc>
          <w:tcPr>
            <w:tcW w:w="1874" w:type="pct"/>
            <w:vMerge w:val="restart"/>
            <w:tcMar>
              <w:top w:w="72" w:type="dxa"/>
              <w:left w:w="144" w:type="dxa"/>
              <w:bottom w:w="72" w:type="dxa"/>
              <w:right w:w="144" w:type="dxa"/>
            </w:tcMar>
          </w:tcPr>
          <w:p w14:paraId="782D20CF" w14:textId="46DCA0DB" w:rsidR="003E149C" w:rsidRPr="005C7E82" w:rsidRDefault="00585389" w:rsidP="000708D6">
            <w:pPr>
              <w:tabs>
                <w:tab w:val="left" w:pos="351"/>
              </w:tabs>
              <w:spacing w:after="60"/>
              <w:jc w:val="both"/>
              <w:rPr>
                <w:b/>
                <w:bCs/>
                <w:sz w:val="16"/>
                <w:szCs w:val="16"/>
                <w:lang w:val="en-GB"/>
              </w:rPr>
            </w:pPr>
            <w:r w:rsidRPr="005C7E82">
              <w:rPr>
                <w:b/>
                <w:bCs/>
                <w:sz w:val="16"/>
                <w:szCs w:val="16"/>
                <w:lang w:val="en-GB"/>
              </w:rPr>
              <w:t>3.1</w:t>
            </w:r>
            <w:r w:rsidR="00B0287B">
              <w:rPr>
                <w:b/>
                <w:bCs/>
                <w:sz w:val="16"/>
                <w:szCs w:val="16"/>
                <w:lang w:val="en-GB"/>
              </w:rPr>
              <w:t>.</w:t>
            </w:r>
            <w:r w:rsidRPr="005C7E82">
              <w:rPr>
                <w:b/>
                <w:bCs/>
                <w:sz w:val="16"/>
                <w:szCs w:val="16"/>
                <w:lang w:val="en-GB"/>
              </w:rPr>
              <w:t xml:space="preserve"> Capacities</w:t>
            </w:r>
            <w:r w:rsidR="007C49A9" w:rsidRPr="005C7E82">
              <w:rPr>
                <w:b/>
                <w:bCs/>
                <w:sz w:val="16"/>
                <w:szCs w:val="16"/>
                <w:lang w:val="en-GB"/>
              </w:rPr>
              <w:t xml:space="preserve"> of the security sector for governance and oversight are improved through the development of a </w:t>
            </w:r>
            <w:r w:rsidR="003E149C" w:rsidRPr="005C7E82">
              <w:rPr>
                <w:b/>
                <w:bCs/>
                <w:sz w:val="16"/>
                <w:szCs w:val="16"/>
                <w:lang w:val="en-GB"/>
              </w:rPr>
              <w:t xml:space="preserve">citizen security approach to address crime and </w:t>
            </w:r>
            <w:r w:rsidR="00ED3B5A" w:rsidRPr="000708D6">
              <w:rPr>
                <w:b/>
                <w:bCs/>
                <w:sz w:val="16"/>
                <w:szCs w:val="16"/>
                <w:lang w:val="en-GB"/>
              </w:rPr>
              <w:t>violence.</w:t>
            </w:r>
          </w:p>
          <w:p w14:paraId="0F170FE5" w14:textId="231634A6" w:rsidR="00BD221B" w:rsidRPr="002620E8" w:rsidRDefault="002620E8" w:rsidP="000708D6">
            <w:pPr>
              <w:pStyle w:val="ListParagraph"/>
              <w:tabs>
                <w:tab w:val="left" w:pos="351"/>
              </w:tabs>
              <w:ind w:left="0"/>
              <w:rPr>
                <w:bCs/>
                <w:sz w:val="16"/>
                <w:szCs w:val="16"/>
                <w:lang w:val="en-GB"/>
              </w:rPr>
            </w:pPr>
            <w:r w:rsidRPr="000708D6">
              <w:rPr>
                <w:bCs/>
                <w:sz w:val="16"/>
                <w:szCs w:val="16"/>
                <w:lang w:val="en-GB"/>
              </w:rPr>
              <w:t xml:space="preserve">Indicator: </w:t>
            </w:r>
            <w:r w:rsidR="00DE095C" w:rsidRPr="002620E8">
              <w:rPr>
                <w:bCs/>
                <w:sz w:val="16"/>
                <w:szCs w:val="16"/>
                <w:lang w:val="en-GB"/>
              </w:rPr>
              <w:t xml:space="preserve">Development </w:t>
            </w:r>
            <w:r w:rsidR="00A926C4" w:rsidRPr="002620E8">
              <w:rPr>
                <w:bCs/>
                <w:sz w:val="16"/>
                <w:szCs w:val="16"/>
                <w:lang w:val="en-GB"/>
              </w:rPr>
              <w:t xml:space="preserve">of </w:t>
            </w:r>
            <w:r w:rsidRPr="002620E8">
              <w:rPr>
                <w:bCs/>
                <w:sz w:val="16"/>
                <w:szCs w:val="16"/>
                <w:lang w:val="en-GB"/>
              </w:rPr>
              <w:t>n</w:t>
            </w:r>
            <w:r w:rsidR="007D6F07" w:rsidRPr="002620E8">
              <w:rPr>
                <w:bCs/>
                <w:sz w:val="16"/>
                <w:szCs w:val="16"/>
                <w:lang w:val="en-GB"/>
              </w:rPr>
              <w:t xml:space="preserve">ational </w:t>
            </w:r>
            <w:r w:rsidRPr="002620E8">
              <w:rPr>
                <w:bCs/>
                <w:sz w:val="16"/>
                <w:szCs w:val="16"/>
                <w:lang w:val="en-GB"/>
              </w:rPr>
              <w:t>c</w:t>
            </w:r>
            <w:r w:rsidR="007D6F07" w:rsidRPr="002620E8">
              <w:rPr>
                <w:bCs/>
                <w:sz w:val="16"/>
                <w:szCs w:val="16"/>
                <w:lang w:val="en-GB"/>
              </w:rPr>
              <w:t xml:space="preserve">itizen </w:t>
            </w:r>
            <w:r w:rsidRPr="002620E8">
              <w:rPr>
                <w:bCs/>
                <w:sz w:val="16"/>
                <w:szCs w:val="16"/>
                <w:lang w:val="en-GB"/>
              </w:rPr>
              <w:t>s</w:t>
            </w:r>
            <w:r w:rsidR="007D6F07" w:rsidRPr="002620E8">
              <w:rPr>
                <w:bCs/>
                <w:sz w:val="16"/>
                <w:szCs w:val="16"/>
                <w:lang w:val="en-GB"/>
              </w:rPr>
              <w:t>ecurity p</w:t>
            </w:r>
            <w:r w:rsidR="0033622D" w:rsidRPr="002620E8">
              <w:rPr>
                <w:bCs/>
                <w:sz w:val="16"/>
                <w:szCs w:val="16"/>
                <w:lang w:val="en-GB"/>
              </w:rPr>
              <w:t>olic</w:t>
            </w:r>
            <w:r w:rsidR="00DE095C" w:rsidRPr="002620E8">
              <w:rPr>
                <w:bCs/>
                <w:sz w:val="16"/>
                <w:szCs w:val="16"/>
                <w:lang w:val="en-GB"/>
              </w:rPr>
              <w:t>y</w:t>
            </w:r>
            <w:r w:rsidR="00BA3D23" w:rsidRPr="002620E8">
              <w:rPr>
                <w:bCs/>
                <w:sz w:val="16"/>
                <w:szCs w:val="16"/>
                <w:lang w:val="en-GB"/>
              </w:rPr>
              <w:t>.</w:t>
            </w:r>
          </w:p>
          <w:p w14:paraId="02C97DF7" w14:textId="4CC5D3AB" w:rsidR="003E149C" w:rsidRPr="005C7E82" w:rsidRDefault="00E90F9A" w:rsidP="004D40AA">
            <w:pPr>
              <w:tabs>
                <w:tab w:val="left" w:pos="351"/>
              </w:tabs>
              <w:rPr>
                <w:b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Pr>
                <w:bCs/>
                <w:sz w:val="16"/>
                <w:szCs w:val="16"/>
                <w:lang w:val="en-GB"/>
              </w:rPr>
              <w:t xml:space="preserve"> </w:t>
            </w:r>
            <w:r w:rsidR="007D6F07" w:rsidRPr="005C7E82">
              <w:rPr>
                <w:bCs/>
                <w:sz w:val="16"/>
                <w:szCs w:val="16"/>
                <w:lang w:val="en-GB"/>
              </w:rPr>
              <w:t>0</w:t>
            </w:r>
          </w:p>
          <w:p w14:paraId="06F221EF" w14:textId="6DBA205E" w:rsidR="003E149C" w:rsidRPr="005C7E82" w:rsidRDefault="00E90F9A" w:rsidP="004D40AA">
            <w:pPr>
              <w:tabs>
                <w:tab w:val="left" w:pos="351"/>
              </w:tabs>
              <w:rPr>
                <w:bCs/>
                <w:sz w:val="16"/>
                <w:szCs w:val="16"/>
                <w:lang w:val="en-GB"/>
              </w:rPr>
            </w:pPr>
            <w:r>
              <w:rPr>
                <w:iCs/>
                <w:sz w:val="16"/>
                <w:szCs w:val="16"/>
                <w:lang w:val="en-GB"/>
              </w:rPr>
              <w:t>Target:</w:t>
            </w:r>
            <w:r w:rsidR="002620E8">
              <w:rPr>
                <w:iCs/>
                <w:sz w:val="16"/>
                <w:szCs w:val="16"/>
                <w:lang w:val="en-GB"/>
              </w:rPr>
              <w:t xml:space="preserve"> </w:t>
            </w:r>
            <w:r w:rsidR="003E149C" w:rsidRPr="005C7E82">
              <w:rPr>
                <w:bCs/>
                <w:sz w:val="16"/>
                <w:szCs w:val="16"/>
                <w:lang w:val="en-GB"/>
              </w:rPr>
              <w:t>1</w:t>
            </w:r>
          </w:p>
          <w:p w14:paraId="120C7FF5" w14:textId="6941DBC6" w:rsidR="003E149C" w:rsidRPr="005C7E82" w:rsidRDefault="007D6F07" w:rsidP="000708D6">
            <w:pPr>
              <w:tabs>
                <w:tab w:val="left" w:pos="351"/>
              </w:tabs>
              <w:spacing w:after="60"/>
              <w:rPr>
                <w:bCs/>
                <w:sz w:val="16"/>
                <w:szCs w:val="16"/>
                <w:lang w:val="en-GB"/>
              </w:rPr>
            </w:pPr>
            <w:r w:rsidRPr="005C7E82">
              <w:rPr>
                <w:bCs/>
                <w:sz w:val="16"/>
                <w:szCs w:val="16"/>
                <w:lang w:val="en-GB"/>
              </w:rPr>
              <w:t>MNS</w:t>
            </w:r>
            <w:r w:rsidR="003E149C" w:rsidRPr="005C7E82">
              <w:rPr>
                <w:bCs/>
                <w:sz w:val="16"/>
                <w:szCs w:val="16"/>
                <w:lang w:val="en-GB"/>
              </w:rPr>
              <w:t xml:space="preserve"> </w:t>
            </w:r>
          </w:p>
          <w:p w14:paraId="790D959E" w14:textId="1E991F43" w:rsidR="003E149C" w:rsidRPr="005C7E82" w:rsidRDefault="002620E8" w:rsidP="000708D6">
            <w:pPr>
              <w:pStyle w:val="ListParagraph"/>
              <w:tabs>
                <w:tab w:val="left" w:pos="351"/>
              </w:tabs>
              <w:ind w:left="0"/>
              <w:rPr>
                <w:bCs/>
                <w:sz w:val="16"/>
                <w:szCs w:val="16"/>
                <w:lang w:val="en-GB"/>
              </w:rPr>
            </w:pPr>
            <w:r w:rsidRPr="00A56C57">
              <w:rPr>
                <w:bCs/>
                <w:sz w:val="16"/>
                <w:szCs w:val="16"/>
                <w:lang w:val="en-GB"/>
              </w:rPr>
              <w:t xml:space="preserve">Indicator: </w:t>
            </w:r>
            <w:r w:rsidR="003E149C" w:rsidRPr="005C7E82">
              <w:rPr>
                <w:bCs/>
                <w:sz w:val="16"/>
                <w:szCs w:val="16"/>
                <w:lang w:val="en-GB"/>
              </w:rPr>
              <w:t xml:space="preserve">Number of government agencies integrating citizen security </w:t>
            </w:r>
            <w:r w:rsidR="004D0BB5" w:rsidRPr="005C7E82">
              <w:rPr>
                <w:bCs/>
                <w:sz w:val="16"/>
                <w:szCs w:val="16"/>
                <w:lang w:val="en-GB"/>
              </w:rPr>
              <w:t xml:space="preserve">     </w:t>
            </w:r>
            <w:r w:rsidR="007F7111" w:rsidRPr="005C7E82">
              <w:rPr>
                <w:bCs/>
                <w:sz w:val="16"/>
                <w:szCs w:val="16"/>
                <w:lang w:val="en-GB"/>
              </w:rPr>
              <w:t>approach</w:t>
            </w:r>
            <w:r w:rsidR="003E149C" w:rsidRPr="005C7E82">
              <w:rPr>
                <w:bCs/>
                <w:sz w:val="16"/>
                <w:szCs w:val="16"/>
                <w:lang w:val="en-GB"/>
              </w:rPr>
              <w:t xml:space="preserve"> and strategies into </w:t>
            </w:r>
            <w:r w:rsidR="007E4D82">
              <w:rPr>
                <w:bCs/>
                <w:sz w:val="16"/>
                <w:szCs w:val="16"/>
                <w:lang w:val="en-GB"/>
              </w:rPr>
              <w:t>their</w:t>
            </w:r>
            <w:r w:rsidR="007E4D82" w:rsidRPr="005C7E82">
              <w:rPr>
                <w:bCs/>
                <w:sz w:val="16"/>
                <w:szCs w:val="16"/>
                <w:lang w:val="en-GB"/>
              </w:rPr>
              <w:t xml:space="preserve"> </w:t>
            </w:r>
            <w:r w:rsidR="003E149C" w:rsidRPr="005C7E82">
              <w:rPr>
                <w:bCs/>
                <w:sz w:val="16"/>
                <w:szCs w:val="16"/>
                <w:lang w:val="en-GB"/>
              </w:rPr>
              <w:t>planning</w:t>
            </w:r>
            <w:r w:rsidR="00DE095C" w:rsidRPr="005C7E82">
              <w:rPr>
                <w:bCs/>
                <w:sz w:val="16"/>
                <w:szCs w:val="16"/>
                <w:lang w:val="en-GB"/>
              </w:rPr>
              <w:t xml:space="preserve">, </w:t>
            </w:r>
          </w:p>
          <w:p w14:paraId="1931D1A3" w14:textId="73510921" w:rsidR="003E149C" w:rsidRPr="005C7E82" w:rsidRDefault="00E90F9A" w:rsidP="004D40AA">
            <w:pPr>
              <w:tabs>
                <w:tab w:val="left" w:pos="351"/>
              </w:tabs>
              <w:rPr>
                <w:b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Pr>
                <w:bCs/>
                <w:sz w:val="16"/>
                <w:szCs w:val="16"/>
                <w:lang w:val="en-GB"/>
              </w:rPr>
              <w:t xml:space="preserve"> </w:t>
            </w:r>
            <w:r w:rsidR="003E149C" w:rsidRPr="005C7E82">
              <w:rPr>
                <w:bCs/>
                <w:sz w:val="16"/>
                <w:szCs w:val="16"/>
                <w:lang w:val="en-GB"/>
              </w:rPr>
              <w:t>0</w:t>
            </w:r>
          </w:p>
          <w:p w14:paraId="2744266B" w14:textId="06D8353F" w:rsidR="003E149C" w:rsidRPr="005C7E82" w:rsidRDefault="00E90F9A" w:rsidP="004D40AA">
            <w:pPr>
              <w:tabs>
                <w:tab w:val="left" w:pos="351"/>
              </w:tabs>
              <w:rPr>
                <w:bCs/>
                <w:sz w:val="16"/>
                <w:szCs w:val="16"/>
                <w:lang w:val="en-GB"/>
              </w:rPr>
            </w:pPr>
            <w:r>
              <w:rPr>
                <w:iCs/>
                <w:sz w:val="16"/>
                <w:szCs w:val="16"/>
                <w:lang w:val="en-GB"/>
              </w:rPr>
              <w:t>Target:</w:t>
            </w:r>
            <w:r w:rsidR="003E149C" w:rsidRPr="005C7E82">
              <w:rPr>
                <w:bCs/>
                <w:sz w:val="16"/>
                <w:szCs w:val="16"/>
                <w:lang w:val="en-GB"/>
              </w:rPr>
              <w:t xml:space="preserve"> 2</w:t>
            </w:r>
          </w:p>
          <w:p w14:paraId="7C82A64B" w14:textId="456DDC2D" w:rsidR="003E149C" w:rsidRPr="005C7E82" w:rsidRDefault="003E149C" w:rsidP="000708D6">
            <w:pPr>
              <w:tabs>
                <w:tab w:val="left" w:pos="351"/>
              </w:tabs>
              <w:spacing w:after="60"/>
              <w:rPr>
                <w:bCs/>
                <w:sz w:val="16"/>
                <w:szCs w:val="16"/>
                <w:lang w:val="en-GB"/>
              </w:rPr>
            </w:pPr>
            <w:r w:rsidRPr="005C7E82">
              <w:rPr>
                <w:bCs/>
                <w:sz w:val="16"/>
                <w:szCs w:val="16"/>
                <w:lang w:val="en-GB"/>
              </w:rPr>
              <w:t>Various state agencies; annual</w:t>
            </w:r>
          </w:p>
          <w:p w14:paraId="1A762B0C" w14:textId="1B40286C" w:rsidR="003E149C" w:rsidRPr="005C7E82" w:rsidRDefault="002620E8" w:rsidP="000708D6">
            <w:pPr>
              <w:pStyle w:val="ListParagraph"/>
              <w:tabs>
                <w:tab w:val="left" w:pos="351"/>
              </w:tabs>
              <w:ind w:left="0"/>
              <w:rPr>
                <w:bCs/>
                <w:sz w:val="16"/>
                <w:szCs w:val="16"/>
                <w:lang w:val="en-GB"/>
              </w:rPr>
            </w:pPr>
            <w:r w:rsidRPr="00A56C57">
              <w:rPr>
                <w:bCs/>
                <w:sz w:val="16"/>
                <w:szCs w:val="16"/>
                <w:lang w:val="en-GB"/>
              </w:rPr>
              <w:t xml:space="preserve">Indicator: </w:t>
            </w:r>
            <w:r w:rsidR="003E149C" w:rsidRPr="005C7E82">
              <w:rPr>
                <w:bCs/>
                <w:sz w:val="16"/>
                <w:szCs w:val="16"/>
                <w:lang w:val="en-GB"/>
              </w:rPr>
              <w:t xml:space="preserve">Number of programmes with improved coverage of </w:t>
            </w:r>
            <w:r w:rsidR="007E4D82" w:rsidRPr="00A56C57">
              <w:rPr>
                <w:bCs/>
                <w:sz w:val="16"/>
                <w:szCs w:val="16"/>
                <w:lang w:val="en-GB"/>
              </w:rPr>
              <w:t>policing services</w:t>
            </w:r>
            <w:r w:rsidR="007E4D82">
              <w:rPr>
                <w:bCs/>
                <w:sz w:val="16"/>
                <w:szCs w:val="16"/>
                <w:lang w:val="en-GB"/>
              </w:rPr>
              <w:t xml:space="preserve"> that are (</w:t>
            </w:r>
            <w:r w:rsidR="003E149C" w:rsidRPr="005C7E82">
              <w:rPr>
                <w:bCs/>
                <w:sz w:val="16"/>
                <w:szCs w:val="16"/>
                <w:lang w:val="en-GB"/>
              </w:rPr>
              <w:t>a)</w:t>
            </w:r>
            <w:r w:rsidR="007E4D82">
              <w:rPr>
                <w:bCs/>
                <w:sz w:val="16"/>
                <w:szCs w:val="16"/>
                <w:lang w:val="en-GB"/>
              </w:rPr>
              <w:t> </w:t>
            </w:r>
            <w:r w:rsidR="003E149C" w:rsidRPr="005C7E82">
              <w:rPr>
                <w:bCs/>
                <w:sz w:val="16"/>
                <w:szCs w:val="16"/>
                <w:lang w:val="en-GB"/>
              </w:rPr>
              <w:t xml:space="preserve">community-oriented and </w:t>
            </w:r>
            <w:r w:rsidR="007E4D82">
              <w:rPr>
                <w:bCs/>
                <w:sz w:val="16"/>
                <w:szCs w:val="16"/>
                <w:lang w:val="en-GB"/>
              </w:rPr>
              <w:t>(</w:t>
            </w:r>
            <w:r w:rsidR="003E149C" w:rsidRPr="005C7E82">
              <w:rPr>
                <w:bCs/>
                <w:sz w:val="16"/>
                <w:szCs w:val="16"/>
                <w:lang w:val="en-GB"/>
              </w:rPr>
              <w:t>b) gender-sensitive</w:t>
            </w:r>
            <w:r w:rsidR="007E4D82">
              <w:rPr>
                <w:bCs/>
                <w:sz w:val="16"/>
                <w:szCs w:val="16"/>
                <w:lang w:val="en-GB"/>
              </w:rPr>
              <w:t>.</w:t>
            </w:r>
            <w:r w:rsidR="003E149C" w:rsidRPr="005C7E82">
              <w:rPr>
                <w:bCs/>
                <w:sz w:val="16"/>
                <w:szCs w:val="16"/>
                <w:lang w:val="en-GB"/>
              </w:rPr>
              <w:t xml:space="preserve"> </w:t>
            </w:r>
          </w:p>
          <w:p w14:paraId="425E32D7" w14:textId="075B8131" w:rsidR="003E149C" w:rsidRPr="005C7E82" w:rsidRDefault="00E90F9A" w:rsidP="004D40AA">
            <w:pPr>
              <w:tabs>
                <w:tab w:val="left" w:pos="351"/>
              </w:tabs>
              <w:rPr>
                <w:bCs/>
                <w:sz w:val="16"/>
                <w:szCs w:val="16"/>
                <w:lang w:val="en-GB"/>
              </w:rPr>
            </w:pPr>
            <w:r w:rsidRPr="00A56C57">
              <w:rPr>
                <w:iCs/>
                <w:sz w:val="16"/>
                <w:szCs w:val="16"/>
                <w:lang w:val="en-GB"/>
              </w:rPr>
              <w:t>B</w:t>
            </w:r>
            <w:r>
              <w:rPr>
                <w:iCs/>
                <w:sz w:val="16"/>
                <w:szCs w:val="16"/>
                <w:lang w:val="en-GB"/>
              </w:rPr>
              <w:t>aseline</w:t>
            </w:r>
            <w:r w:rsidR="003E149C" w:rsidRPr="005C7E82">
              <w:rPr>
                <w:bCs/>
                <w:sz w:val="16"/>
                <w:szCs w:val="16"/>
                <w:lang w:val="en-GB"/>
              </w:rPr>
              <w:t>: 0</w:t>
            </w:r>
          </w:p>
          <w:p w14:paraId="32D146E3" w14:textId="09D4E66A" w:rsidR="003E149C" w:rsidRPr="005C7E82" w:rsidRDefault="00E90F9A" w:rsidP="004D40AA">
            <w:pPr>
              <w:tabs>
                <w:tab w:val="left" w:pos="351"/>
              </w:tabs>
              <w:rPr>
                <w:bCs/>
                <w:sz w:val="16"/>
                <w:szCs w:val="16"/>
                <w:lang w:val="en-GB"/>
              </w:rPr>
            </w:pPr>
            <w:r>
              <w:rPr>
                <w:iCs/>
                <w:sz w:val="16"/>
                <w:szCs w:val="16"/>
                <w:lang w:val="en-GB"/>
              </w:rPr>
              <w:t>Target:</w:t>
            </w:r>
            <w:r w:rsidR="003E149C" w:rsidRPr="005C7E82">
              <w:rPr>
                <w:bCs/>
                <w:sz w:val="16"/>
                <w:szCs w:val="16"/>
                <w:lang w:val="en-GB"/>
              </w:rPr>
              <w:t xml:space="preserve"> 3 – </w:t>
            </w:r>
            <w:r w:rsidR="007E4D82">
              <w:rPr>
                <w:bCs/>
                <w:sz w:val="16"/>
                <w:szCs w:val="16"/>
                <w:lang w:val="en-GB"/>
              </w:rPr>
              <w:t>one</w:t>
            </w:r>
            <w:r w:rsidR="003E149C" w:rsidRPr="005C7E82">
              <w:rPr>
                <w:bCs/>
                <w:sz w:val="16"/>
                <w:szCs w:val="16"/>
                <w:lang w:val="en-GB"/>
              </w:rPr>
              <w:t xml:space="preserve"> youth;</w:t>
            </w:r>
            <w:r w:rsidR="004D0BB5" w:rsidRPr="005C7E82">
              <w:rPr>
                <w:bCs/>
                <w:sz w:val="16"/>
                <w:szCs w:val="16"/>
                <w:lang w:val="en-GB"/>
              </w:rPr>
              <w:t xml:space="preserve"> </w:t>
            </w:r>
            <w:r w:rsidR="007E4D82">
              <w:rPr>
                <w:bCs/>
                <w:sz w:val="16"/>
                <w:szCs w:val="16"/>
                <w:lang w:val="en-GB"/>
              </w:rPr>
              <w:t>one</w:t>
            </w:r>
            <w:r w:rsidR="004D0BB5" w:rsidRPr="005C7E82">
              <w:rPr>
                <w:bCs/>
                <w:sz w:val="16"/>
                <w:szCs w:val="16"/>
                <w:lang w:val="en-GB"/>
              </w:rPr>
              <w:t xml:space="preserve"> </w:t>
            </w:r>
            <w:r w:rsidR="00BA3D23" w:rsidRPr="005C7E82">
              <w:rPr>
                <w:bCs/>
                <w:sz w:val="16"/>
                <w:szCs w:val="16"/>
                <w:lang w:val="en-GB"/>
              </w:rPr>
              <w:t>g</w:t>
            </w:r>
            <w:r w:rsidR="004D0BB5" w:rsidRPr="005C7E82">
              <w:rPr>
                <w:bCs/>
                <w:sz w:val="16"/>
                <w:szCs w:val="16"/>
                <w:lang w:val="en-GB"/>
              </w:rPr>
              <w:t xml:space="preserve">ender-based </w:t>
            </w:r>
            <w:r w:rsidR="00517302" w:rsidRPr="005C7E82">
              <w:rPr>
                <w:bCs/>
                <w:sz w:val="16"/>
                <w:szCs w:val="16"/>
                <w:lang w:val="en-GB"/>
              </w:rPr>
              <w:t>violence</w:t>
            </w:r>
            <w:r w:rsidR="00ED3B5A" w:rsidRPr="005C7E82">
              <w:rPr>
                <w:bCs/>
                <w:sz w:val="16"/>
                <w:szCs w:val="16"/>
                <w:lang w:val="en-GB"/>
              </w:rPr>
              <w:t>;</w:t>
            </w:r>
            <w:r w:rsidR="00517302" w:rsidRPr="005C7E82">
              <w:rPr>
                <w:bCs/>
                <w:sz w:val="16"/>
                <w:szCs w:val="16"/>
                <w:lang w:val="en-GB"/>
              </w:rPr>
              <w:t xml:space="preserve"> </w:t>
            </w:r>
            <w:r w:rsidR="007E4D82">
              <w:rPr>
                <w:bCs/>
                <w:sz w:val="16"/>
                <w:szCs w:val="16"/>
                <w:lang w:val="en-GB"/>
              </w:rPr>
              <w:t xml:space="preserve">one </w:t>
            </w:r>
            <w:r w:rsidR="00ED3B5A" w:rsidRPr="005C7E82">
              <w:rPr>
                <w:bCs/>
                <w:sz w:val="16"/>
                <w:szCs w:val="16"/>
                <w:lang w:val="en-GB"/>
              </w:rPr>
              <w:t>community policing</w:t>
            </w:r>
          </w:p>
          <w:p w14:paraId="219931B5" w14:textId="471D805F" w:rsidR="00D64EE4" w:rsidRPr="005C7E82" w:rsidRDefault="007E4D82" w:rsidP="004D40AA">
            <w:pPr>
              <w:tabs>
                <w:tab w:val="left" w:pos="351"/>
              </w:tabs>
              <w:rPr>
                <w:bCs/>
                <w:sz w:val="16"/>
                <w:szCs w:val="16"/>
                <w:lang w:val="en-GB"/>
              </w:rPr>
            </w:pPr>
            <w:r w:rsidRPr="00A56C57">
              <w:rPr>
                <w:bCs/>
                <w:sz w:val="16"/>
                <w:szCs w:val="16"/>
                <w:lang w:val="en-GB"/>
              </w:rPr>
              <w:lastRenderedPageBreak/>
              <w:t>Various state agencies; annual</w:t>
            </w:r>
          </w:p>
          <w:p w14:paraId="6D1434EE" w14:textId="7866264D" w:rsidR="003E149C" w:rsidRPr="005C7E82" w:rsidRDefault="00EF2D7B" w:rsidP="004D40AA">
            <w:pPr>
              <w:tabs>
                <w:tab w:val="left" w:pos="351"/>
              </w:tabs>
              <w:rPr>
                <w:b/>
                <w:bCs/>
                <w:sz w:val="16"/>
                <w:szCs w:val="16"/>
                <w:lang w:val="en-GB"/>
              </w:rPr>
            </w:pPr>
            <w:r w:rsidRPr="005C7E82">
              <w:rPr>
                <w:b/>
                <w:bCs/>
                <w:sz w:val="16"/>
                <w:szCs w:val="16"/>
                <w:lang w:val="en-GB"/>
              </w:rPr>
              <w:t>3.2</w:t>
            </w:r>
            <w:r w:rsidR="007E4D82">
              <w:rPr>
                <w:b/>
                <w:bCs/>
                <w:sz w:val="16"/>
                <w:szCs w:val="16"/>
                <w:lang w:val="en-GB"/>
              </w:rPr>
              <w:t>.</w:t>
            </w:r>
            <w:r w:rsidRPr="005C7E82">
              <w:rPr>
                <w:b/>
                <w:bCs/>
                <w:sz w:val="16"/>
                <w:szCs w:val="16"/>
                <w:lang w:val="en-GB"/>
              </w:rPr>
              <w:t xml:space="preserve"> </w:t>
            </w:r>
            <w:r w:rsidR="00D65DAC" w:rsidRPr="005C7E82">
              <w:rPr>
                <w:b/>
                <w:bCs/>
                <w:sz w:val="16"/>
                <w:szCs w:val="16"/>
                <w:lang w:val="en-GB"/>
              </w:rPr>
              <w:t>C</w:t>
            </w:r>
            <w:r w:rsidR="003E149C" w:rsidRPr="005C7E82">
              <w:rPr>
                <w:b/>
                <w:bCs/>
                <w:sz w:val="16"/>
                <w:szCs w:val="16"/>
                <w:lang w:val="en-GB"/>
              </w:rPr>
              <w:t>apacity</w:t>
            </w:r>
            <w:r w:rsidR="007E4D82">
              <w:rPr>
                <w:b/>
                <w:bCs/>
                <w:sz w:val="16"/>
                <w:szCs w:val="16"/>
                <w:lang w:val="en-GB"/>
              </w:rPr>
              <w:t>-</w:t>
            </w:r>
            <w:r w:rsidR="003E149C" w:rsidRPr="005C7E82">
              <w:rPr>
                <w:b/>
                <w:bCs/>
                <w:sz w:val="16"/>
                <w:szCs w:val="16"/>
                <w:lang w:val="en-GB"/>
              </w:rPr>
              <w:t>building</w:t>
            </w:r>
            <w:r w:rsidR="00D65DAC" w:rsidRPr="005C7E82">
              <w:rPr>
                <w:b/>
                <w:bCs/>
                <w:sz w:val="16"/>
                <w:szCs w:val="16"/>
                <w:lang w:val="en-GB"/>
              </w:rPr>
              <w:t xml:space="preserve"> developed</w:t>
            </w:r>
            <w:r w:rsidR="003E149C" w:rsidRPr="005C7E82">
              <w:rPr>
                <w:b/>
                <w:bCs/>
                <w:sz w:val="16"/>
                <w:szCs w:val="16"/>
                <w:lang w:val="en-GB"/>
              </w:rPr>
              <w:t xml:space="preserve"> to standardize crime data collection systems within Police Service</w:t>
            </w:r>
          </w:p>
          <w:p w14:paraId="3B3F7124" w14:textId="5828CE3E" w:rsidR="003E149C" w:rsidRPr="005C7E82" w:rsidRDefault="002620E8" w:rsidP="004D40AA">
            <w:pPr>
              <w:tabs>
                <w:tab w:val="left" w:pos="351"/>
              </w:tabs>
              <w:rPr>
                <w:bCs/>
                <w:sz w:val="16"/>
                <w:szCs w:val="16"/>
                <w:lang w:val="en-GB"/>
              </w:rPr>
            </w:pPr>
            <w:r w:rsidRPr="00A56C57">
              <w:rPr>
                <w:bCs/>
                <w:sz w:val="16"/>
                <w:szCs w:val="16"/>
                <w:lang w:val="en-GB"/>
              </w:rPr>
              <w:t xml:space="preserve">Indicator: </w:t>
            </w:r>
            <w:r w:rsidR="003E149C" w:rsidRPr="005C7E82">
              <w:rPr>
                <w:bCs/>
                <w:sz w:val="16"/>
                <w:szCs w:val="16"/>
                <w:lang w:val="en-GB"/>
              </w:rPr>
              <w:t>Number of data collection system plans developed</w:t>
            </w:r>
            <w:r w:rsidR="00DE095C" w:rsidRPr="005C7E82">
              <w:rPr>
                <w:bCs/>
                <w:sz w:val="16"/>
                <w:szCs w:val="16"/>
                <w:lang w:val="en-GB"/>
              </w:rPr>
              <w:t xml:space="preserve"> with disaggregat</w:t>
            </w:r>
            <w:r w:rsidR="00054F4E" w:rsidRPr="005C7E82">
              <w:rPr>
                <w:bCs/>
                <w:sz w:val="16"/>
                <w:szCs w:val="16"/>
                <w:lang w:val="en-GB"/>
              </w:rPr>
              <w:t xml:space="preserve">ion </w:t>
            </w:r>
            <w:r w:rsidR="00DE095C" w:rsidRPr="005C7E82">
              <w:rPr>
                <w:bCs/>
                <w:sz w:val="16"/>
                <w:szCs w:val="16"/>
                <w:lang w:val="en-GB"/>
              </w:rPr>
              <w:t>(</w:t>
            </w:r>
            <w:r w:rsidR="007E4D82">
              <w:rPr>
                <w:bCs/>
                <w:sz w:val="16"/>
                <w:szCs w:val="16"/>
                <w:lang w:val="en-GB"/>
              </w:rPr>
              <w:t>by</w:t>
            </w:r>
            <w:r w:rsidR="00DE095C" w:rsidRPr="005C7E82">
              <w:rPr>
                <w:bCs/>
                <w:sz w:val="16"/>
                <w:szCs w:val="16"/>
                <w:lang w:val="en-GB"/>
              </w:rPr>
              <w:t xml:space="preserve"> gender</w:t>
            </w:r>
            <w:r w:rsidR="00B0287B">
              <w:rPr>
                <w:bCs/>
                <w:sz w:val="16"/>
                <w:szCs w:val="16"/>
                <w:lang w:val="en-GB"/>
              </w:rPr>
              <w:t xml:space="preserve"> or</w:t>
            </w:r>
            <w:r w:rsidR="00DE095C" w:rsidRPr="005C7E82">
              <w:rPr>
                <w:bCs/>
                <w:sz w:val="16"/>
                <w:szCs w:val="16"/>
                <w:lang w:val="en-GB"/>
              </w:rPr>
              <w:t xml:space="preserve"> age</w:t>
            </w:r>
            <w:r w:rsidR="007E4D82">
              <w:rPr>
                <w:bCs/>
                <w:sz w:val="16"/>
                <w:szCs w:val="16"/>
                <w:lang w:val="en-GB"/>
              </w:rPr>
              <w:t xml:space="preserve">, </w:t>
            </w:r>
            <w:r w:rsidR="00B0287B">
              <w:rPr>
                <w:bCs/>
                <w:sz w:val="16"/>
                <w:szCs w:val="16"/>
                <w:lang w:val="en-GB"/>
              </w:rPr>
              <w:t>for example</w:t>
            </w:r>
            <w:r w:rsidR="00DE095C" w:rsidRPr="005C7E82">
              <w:rPr>
                <w:bCs/>
                <w:sz w:val="16"/>
                <w:szCs w:val="16"/>
                <w:lang w:val="en-GB"/>
              </w:rPr>
              <w:t>)</w:t>
            </w:r>
          </w:p>
          <w:p w14:paraId="0BE45476" w14:textId="307D0873" w:rsidR="003E149C" w:rsidRPr="005C7E82" w:rsidRDefault="00E90F9A" w:rsidP="004D40AA">
            <w:pPr>
              <w:tabs>
                <w:tab w:val="left" w:pos="351"/>
              </w:tabs>
              <w:rPr>
                <w:b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sidR="003E149C" w:rsidRPr="005C7E82">
              <w:rPr>
                <w:bCs/>
                <w:sz w:val="16"/>
                <w:szCs w:val="16"/>
                <w:lang w:val="en-GB"/>
              </w:rPr>
              <w:t xml:space="preserve"> 0</w:t>
            </w:r>
          </w:p>
          <w:p w14:paraId="5188F94D" w14:textId="47B9FB25" w:rsidR="003E149C" w:rsidRPr="005C7E82" w:rsidRDefault="00E90F9A" w:rsidP="004D40AA">
            <w:pPr>
              <w:tabs>
                <w:tab w:val="left" w:pos="351"/>
              </w:tabs>
              <w:rPr>
                <w:bCs/>
                <w:sz w:val="16"/>
                <w:szCs w:val="16"/>
                <w:lang w:val="en-GB"/>
              </w:rPr>
            </w:pPr>
            <w:r>
              <w:rPr>
                <w:iCs/>
                <w:sz w:val="16"/>
                <w:szCs w:val="16"/>
                <w:lang w:val="en-GB"/>
              </w:rPr>
              <w:t>Target:</w:t>
            </w:r>
            <w:r w:rsidR="00305189" w:rsidRPr="005C7E82">
              <w:rPr>
                <w:bCs/>
                <w:sz w:val="16"/>
                <w:szCs w:val="16"/>
                <w:lang w:val="en-GB"/>
              </w:rPr>
              <w:t xml:space="preserve"> 1</w:t>
            </w:r>
          </w:p>
          <w:p w14:paraId="0ED0CEED" w14:textId="7C3B2B83" w:rsidR="003E149C" w:rsidRPr="005C7E82" w:rsidRDefault="00B0287B" w:rsidP="004D40AA">
            <w:pPr>
              <w:tabs>
                <w:tab w:val="left" w:pos="351"/>
              </w:tabs>
              <w:rPr>
                <w:bCs/>
                <w:sz w:val="16"/>
                <w:szCs w:val="16"/>
                <w:lang w:val="en-GB"/>
              </w:rPr>
            </w:pPr>
            <w:r>
              <w:rPr>
                <w:bCs/>
                <w:sz w:val="16"/>
                <w:szCs w:val="16"/>
                <w:lang w:val="en-GB"/>
              </w:rPr>
              <w:t>Various state agencies,</w:t>
            </w:r>
            <w:r w:rsidR="007E4D82" w:rsidRPr="00A56C57">
              <w:rPr>
                <w:bCs/>
                <w:sz w:val="16"/>
                <w:szCs w:val="16"/>
                <w:lang w:val="en-GB"/>
              </w:rPr>
              <w:t xml:space="preserve"> annual</w:t>
            </w:r>
          </w:p>
          <w:p w14:paraId="7B9F064D" w14:textId="77777777" w:rsidR="003E149C" w:rsidRPr="005C7E82" w:rsidRDefault="003E149C" w:rsidP="004D40AA">
            <w:pPr>
              <w:tabs>
                <w:tab w:val="left" w:pos="351"/>
              </w:tabs>
              <w:rPr>
                <w:b/>
                <w:bCs/>
                <w:sz w:val="16"/>
                <w:szCs w:val="16"/>
                <w:lang w:val="en-GB"/>
              </w:rPr>
            </w:pPr>
          </w:p>
          <w:p w14:paraId="1EC1BE9F" w14:textId="73A7AE47" w:rsidR="003E149C" w:rsidRPr="005C7E82" w:rsidRDefault="00C501F4" w:rsidP="004D40AA">
            <w:pPr>
              <w:tabs>
                <w:tab w:val="left" w:pos="351"/>
              </w:tabs>
              <w:rPr>
                <w:b/>
                <w:bCs/>
                <w:sz w:val="16"/>
                <w:szCs w:val="16"/>
                <w:lang w:val="en-GB"/>
              </w:rPr>
            </w:pPr>
            <w:r w:rsidRPr="005C7E82">
              <w:rPr>
                <w:b/>
                <w:bCs/>
                <w:sz w:val="16"/>
                <w:szCs w:val="16"/>
                <w:lang w:val="en-GB"/>
              </w:rPr>
              <w:t>3.3</w:t>
            </w:r>
            <w:r w:rsidR="00B0287B">
              <w:rPr>
                <w:b/>
                <w:bCs/>
                <w:sz w:val="16"/>
                <w:szCs w:val="16"/>
                <w:lang w:val="en-GB"/>
              </w:rPr>
              <w:t>.</w:t>
            </w:r>
            <w:r w:rsidRPr="005C7E82">
              <w:rPr>
                <w:b/>
                <w:bCs/>
                <w:sz w:val="16"/>
                <w:szCs w:val="16"/>
                <w:lang w:val="en-GB"/>
              </w:rPr>
              <w:t xml:space="preserve"> </w:t>
            </w:r>
            <w:r w:rsidR="003E149C" w:rsidRPr="005C7E82">
              <w:rPr>
                <w:b/>
                <w:bCs/>
                <w:sz w:val="16"/>
                <w:szCs w:val="16"/>
                <w:lang w:val="en-GB"/>
              </w:rPr>
              <w:t xml:space="preserve">Introduction of </w:t>
            </w:r>
            <w:r w:rsidR="00B0287B">
              <w:rPr>
                <w:b/>
                <w:bCs/>
                <w:sz w:val="16"/>
                <w:szCs w:val="16"/>
                <w:lang w:val="en-GB"/>
              </w:rPr>
              <w:t>r</w:t>
            </w:r>
            <w:r w:rsidR="003E149C" w:rsidRPr="005C7E82">
              <w:rPr>
                <w:b/>
                <w:bCs/>
                <w:sz w:val="16"/>
                <w:szCs w:val="16"/>
                <w:lang w:val="en-GB"/>
              </w:rPr>
              <w:t xml:space="preserve">estorative </w:t>
            </w:r>
            <w:r w:rsidR="00B0287B">
              <w:rPr>
                <w:b/>
                <w:bCs/>
                <w:sz w:val="16"/>
                <w:szCs w:val="16"/>
                <w:lang w:val="en-GB"/>
              </w:rPr>
              <w:t>j</w:t>
            </w:r>
            <w:r w:rsidR="003E149C" w:rsidRPr="005C7E82">
              <w:rPr>
                <w:b/>
                <w:bCs/>
                <w:sz w:val="16"/>
                <w:szCs w:val="16"/>
                <w:lang w:val="en-GB"/>
              </w:rPr>
              <w:t>ustice</w:t>
            </w:r>
            <w:r w:rsidR="00D65DAC" w:rsidRPr="005C7E82">
              <w:rPr>
                <w:b/>
                <w:bCs/>
                <w:sz w:val="16"/>
                <w:szCs w:val="16"/>
                <w:lang w:val="en-GB"/>
              </w:rPr>
              <w:t xml:space="preserve"> </w:t>
            </w:r>
            <w:r w:rsidR="00B0287B">
              <w:rPr>
                <w:b/>
                <w:bCs/>
                <w:sz w:val="16"/>
                <w:szCs w:val="16"/>
                <w:lang w:val="en-GB"/>
              </w:rPr>
              <w:t>p</w:t>
            </w:r>
            <w:r w:rsidR="00D65DAC" w:rsidRPr="005C7E82">
              <w:rPr>
                <w:b/>
                <w:bCs/>
                <w:sz w:val="16"/>
                <w:szCs w:val="16"/>
                <w:lang w:val="en-GB"/>
              </w:rPr>
              <w:t>olicy</w:t>
            </w:r>
            <w:r w:rsidR="004F4C15" w:rsidRPr="005C7E82">
              <w:rPr>
                <w:b/>
                <w:bCs/>
                <w:sz w:val="16"/>
                <w:szCs w:val="16"/>
                <w:lang w:val="en-GB"/>
              </w:rPr>
              <w:t xml:space="preserve"> into </w:t>
            </w:r>
            <w:r w:rsidR="00B0287B">
              <w:rPr>
                <w:b/>
                <w:bCs/>
                <w:sz w:val="16"/>
                <w:szCs w:val="16"/>
                <w:lang w:val="en-GB"/>
              </w:rPr>
              <w:t>c</w:t>
            </w:r>
            <w:r w:rsidR="003E149C" w:rsidRPr="005C7E82">
              <w:rPr>
                <w:b/>
                <w:bCs/>
                <w:sz w:val="16"/>
                <w:szCs w:val="16"/>
                <w:lang w:val="en-GB"/>
              </w:rPr>
              <w:t xml:space="preserve">riminal </w:t>
            </w:r>
            <w:r w:rsidR="00B0287B">
              <w:rPr>
                <w:b/>
                <w:bCs/>
                <w:sz w:val="16"/>
                <w:szCs w:val="16"/>
                <w:lang w:val="en-GB"/>
              </w:rPr>
              <w:t>j</w:t>
            </w:r>
            <w:r w:rsidR="003E149C" w:rsidRPr="005C7E82">
              <w:rPr>
                <w:b/>
                <w:bCs/>
                <w:sz w:val="16"/>
                <w:szCs w:val="16"/>
                <w:lang w:val="en-GB"/>
              </w:rPr>
              <w:t xml:space="preserve">ustice </w:t>
            </w:r>
            <w:r w:rsidR="00B0287B">
              <w:rPr>
                <w:b/>
                <w:bCs/>
                <w:sz w:val="16"/>
                <w:szCs w:val="16"/>
                <w:lang w:val="en-GB"/>
              </w:rPr>
              <w:t>s</w:t>
            </w:r>
            <w:r w:rsidR="003E149C" w:rsidRPr="005C7E82">
              <w:rPr>
                <w:b/>
                <w:bCs/>
                <w:sz w:val="16"/>
                <w:szCs w:val="16"/>
                <w:lang w:val="en-GB"/>
              </w:rPr>
              <w:t>ystem</w:t>
            </w:r>
          </w:p>
          <w:p w14:paraId="09BA9CFA" w14:textId="02D5D6ED" w:rsidR="003E149C" w:rsidRPr="005C7E82" w:rsidRDefault="002620E8" w:rsidP="000708D6">
            <w:pPr>
              <w:pStyle w:val="ListParagraph"/>
              <w:tabs>
                <w:tab w:val="left" w:pos="351"/>
              </w:tabs>
              <w:ind w:left="0"/>
              <w:rPr>
                <w:bCs/>
                <w:sz w:val="16"/>
                <w:szCs w:val="16"/>
                <w:lang w:val="en-GB"/>
              </w:rPr>
            </w:pPr>
            <w:r w:rsidRPr="00A56C57">
              <w:rPr>
                <w:bCs/>
                <w:sz w:val="16"/>
                <w:szCs w:val="16"/>
                <w:lang w:val="en-GB"/>
              </w:rPr>
              <w:t xml:space="preserve">Indicator: </w:t>
            </w:r>
            <w:r w:rsidR="003E149C" w:rsidRPr="005C7E82">
              <w:rPr>
                <w:bCs/>
                <w:sz w:val="16"/>
                <w:szCs w:val="16"/>
                <w:lang w:val="en-GB"/>
              </w:rPr>
              <w:t xml:space="preserve">Finalization of restorative justice policy </w:t>
            </w:r>
          </w:p>
          <w:p w14:paraId="5724D3AC" w14:textId="60A302C2" w:rsidR="003E149C" w:rsidRPr="005C7E82" w:rsidRDefault="00E90F9A" w:rsidP="004D40AA">
            <w:pPr>
              <w:tabs>
                <w:tab w:val="left" w:pos="351"/>
              </w:tabs>
              <w:rPr>
                <w:bCs/>
                <w:sz w:val="16"/>
                <w:szCs w:val="16"/>
                <w:lang w:val="en-GB"/>
              </w:rPr>
            </w:pPr>
            <w:r w:rsidRPr="00A56C57">
              <w:rPr>
                <w:iCs/>
                <w:sz w:val="16"/>
                <w:szCs w:val="16"/>
                <w:lang w:val="en-GB"/>
              </w:rPr>
              <w:t>B</w:t>
            </w:r>
            <w:r>
              <w:rPr>
                <w:iCs/>
                <w:sz w:val="16"/>
                <w:szCs w:val="16"/>
                <w:lang w:val="en-GB"/>
              </w:rPr>
              <w:t>aseline</w:t>
            </w:r>
            <w:r w:rsidR="003E149C" w:rsidRPr="005C7E82">
              <w:rPr>
                <w:bCs/>
                <w:sz w:val="16"/>
                <w:szCs w:val="16"/>
                <w:lang w:val="en-GB"/>
              </w:rPr>
              <w:t>: 0</w:t>
            </w:r>
          </w:p>
          <w:p w14:paraId="3AD957CF" w14:textId="68ADC350" w:rsidR="003E149C" w:rsidRPr="005C7E82" w:rsidRDefault="00E90F9A" w:rsidP="004D40AA">
            <w:pPr>
              <w:tabs>
                <w:tab w:val="left" w:pos="351"/>
              </w:tabs>
              <w:rPr>
                <w:bCs/>
                <w:sz w:val="16"/>
                <w:szCs w:val="16"/>
                <w:lang w:val="en-GB"/>
              </w:rPr>
            </w:pPr>
            <w:r>
              <w:rPr>
                <w:iCs/>
                <w:sz w:val="16"/>
                <w:szCs w:val="16"/>
                <w:lang w:val="en-GB"/>
              </w:rPr>
              <w:t>Target:</w:t>
            </w:r>
            <w:r w:rsidR="003E149C" w:rsidRPr="005C7E82">
              <w:rPr>
                <w:bCs/>
                <w:sz w:val="16"/>
                <w:szCs w:val="16"/>
                <w:lang w:val="en-GB"/>
              </w:rPr>
              <w:t xml:space="preserve"> 1</w:t>
            </w:r>
          </w:p>
          <w:p w14:paraId="3F0A705F" w14:textId="78504FBF" w:rsidR="003E149C" w:rsidRPr="005C7E82" w:rsidRDefault="007D6F07" w:rsidP="004D40AA">
            <w:pPr>
              <w:tabs>
                <w:tab w:val="left" w:pos="351"/>
              </w:tabs>
              <w:rPr>
                <w:bCs/>
                <w:sz w:val="16"/>
                <w:szCs w:val="16"/>
                <w:lang w:val="en-GB"/>
              </w:rPr>
            </w:pPr>
            <w:r w:rsidRPr="005C7E82">
              <w:rPr>
                <w:bCs/>
                <w:sz w:val="16"/>
                <w:szCs w:val="16"/>
                <w:lang w:val="en-GB"/>
              </w:rPr>
              <w:t>MNS</w:t>
            </w:r>
            <w:r w:rsidR="003C3F51">
              <w:rPr>
                <w:bCs/>
                <w:sz w:val="16"/>
                <w:szCs w:val="16"/>
                <w:lang w:val="en-GB"/>
              </w:rPr>
              <w:t>,</w:t>
            </w:r>
            <w:r w:rsidR="003E149C" w:rsidRPr="005C7E82">
              <w:rPr>
                <w:bCs/>
                <w:sz w:val="16"/>
                <w:szCs w:val="16"/>
                <w:lang w:val="en-GB"/>
              </w:rPr>
              <w:t xml:space="preserve"> annual</w:t>
            </w:r>
          </w:p>
          <w:p w14:paraId="0E85D3FE" w14:textId="77777777" w:rsidR="00127FB7" w:rsidRPr="005C7E82" w:rsidRDefault="00127FB7" w:rsidP="004D40AA">
            <w:pPr>
              <w:tabs>
                <w:tab w:val="left" w:pos="351"/>
              </w:tabs>
              <w:rPr>
                <w:bCs/>
                <w:sz w:val="16"/>
                <w:szCs w:val="16"/>
                <w:lang w:val="en-GB"/>
              </w:rPr>
            </w:pPr>
          </w:p>
          <w:p w14:paraId="3F2264D5" w14:textId="77777777" w:rsidR="003E149C" w:rsidRPr="005C7E82" w:rsidRDefault="002620E8" w:rsidP="000708D6">
            <w:pPr>
              <w:pStyle w:val="ListParagraph"/>
              <w:tabs>
                <w:tab w:val="left" w:pos="351"/>
              </w:tabs>
              <w:ind w:left="0"/>
              <w:jc w:val="both"/>
              <w:rPr>
                <w:bCs/>
                <w:sz w:val="16"/>
                <w:szCs w:val="16"/>
                <w:lang w:val="en-GB"/>
              </w:rPr>
            </w:pPr>
            <w:r w:rsidRPr="00A56C57">
              <w:rPr>
                <w:bCs/>
                <w:sz w:val="16"/>
                <w:szCs w:val="16"/>
                <w:lang w:val="en-GB"/>
              </w:rPr>
              <w:t xml:space="preserve">Indicator: </w:t>
            </w:r>
            <w:r w:rsidR="007D6F07" w:rsidRPr="005C7E82">
              <w:rPr>
                <w:bCs/>
                <w:sz w:val="16"/>
                <w:szCs w:val="16"/>
                <w:lang w:val="en-GB"/>
              </w:rPr>
              <w:t>Number of juvenile c</w:t>
            </w:r>
            <w:r w:rsidR="003E149C" w:rsidRPr="005C7E82">
              <w:rPr>
                <w:bCs/>
                <w:sz w:val="16"/>
                <w:szCs w:val="16"/>
                <w:lang w:val="en-GB"/>
              </w:rPr>
              <w:t>ourts established</w:t>
            </w:r>
          </w:p>
          <w:p w14:paraId="258303A4" w14:textId="3C103EF5" w:rsidR="003E149C" w:rsidRPr="005C7E82" w:rsidRDefault="00E90F9A" w:rsidP="004D40AA">
            <w:pPr>
              <w:tabs>
                <w:tab w:val="left" w:pos="351"/>
              </w:tabs>
              <w:rPr>
                <w:bCs/>
                <w:sz w:val="16"/>
                <w:szCs w:val="16"/>
                <w:lang w:val="en-GB"/>
              </w:rPr>
            </w:pPr>
            <w:r w:rsidRPr="00A56C57">
              <w:rPr>
                <w:iCs/>
                <w:sz w:val="16"/>
                <w:szCs w:val="16"/>
                <w:lang w:val="en-GB"/>
              </w:rPr>
              <w:t>B</w:t>
            </w:r>
            <w:r>
              <w:rPr>
                <w:iCs/>
                <w:sz w:val="16"/>
                <w:szCs w:val="16"/>
                <w:lang w:val="en-GB"/>
              </w:rPr>
              <w:t>aseline</w:t>
            </w:r>
            <w:r w:rsidR="003E149C" w:rsidRPr="005C7E82">
              <w:rPr>
                <w:bCs/>
                <w:sz w:val="16"/>
                <w:szCs w:val="16"/>
                <w:lang w:val="en-GB"/>
              </w:rPr>
              <w:t>: 0</w:t>
            </w:r>
          </w:p>
          <w:p w14:paraId="2E2F7043" w14:textId="564C1E7C" w:rsidR="003E149C" w:rsidRPr="005C7E82" w:rsidRDefault="00E90F9A" w:rsidP="004D40AA">
            <w:pPr>
              <w:tabs>
                <w:tab w:val="left" w:pos="351"/>
              </w:tabs>
              <w:rPr>
                <w:bCs/>
                <w:sz w:val="16"/>
                <w:szCs w:val="16"/>
                <w:lang w:val="en-GB"/>
              </w:rPr>
            </w:pPr>
            <w:r>
              <w:rPr>
                <w:iCs/>
                <w:sz w:val="16"/>
                <w:szCs w:val="16"/>
                <w:lang w:val="en-GB"/>
              </w:rPr>
              <w:t>Target:</w:t>
            </w:r>
            <w:r w:rsidR="003E149C" w:rsidRPr="005C7E82">
              <w:rPr>
                <w:bCs/>
                <w:sz w:val="16"/>
                <w:szCs w:val="16"/>
                <w:lang w:val="en-GB"/>
              </w:rPr>
              <w:t xml:space="preserve"> 2</w:t>
            </w:r>
          </w:p>
          <w:p w14:paraId="6CF29154" w14:textId="5A28232C" w:rsidR="003E149C" w:rsidRPr="005C7E82" w:rsidRDefault="00221433" w:rsidP="004D40AA">
            <w:pPr>
              <w:tabs>
                <w:tab w:val="left" w:pos="351"/>
              </w:tabs>
              <w:rPr>
                <w:bCs/>
                <w:sz w:val="16"/>
                <w:szCs w:val="16"/>
                <w:lang w:val="en-GB"/>
              </w:rPr>
            </w:pPr>
            <w:r w:rsidRPr="005C7E82">
              <w:rPr>
                <w:bCs/>
                <w:sz w:val="16"/>
                <w:szCs w:val="16"/>
                <w:lang w:val="en-GB"/>
              </w:rPr>
              <w:t>Trinidad and Tobago</w:t>
            </w:r>
            <w:r w:rsidR="004E24BE" w:rsidRPr="005C7E82">
              <w:rPr>
                <w:bCs/>
                <w:sz w:val="16"/>
                <w:szCs w:val="16"/>
                <w:lang w:val="en-GB"/>
              </w:rPr>
              <w:t xml:space="preserve"> </w:t>
            </w:r>
            <w:r w:rsidR="003E149C" w:rsidRPr="005C7E82">
              <w:rPr>
                <w:bCs/>
                <w:sz w:val="16"/>
                <w:szCs w:val="16"/>
                <w:lang w:val="en-GB"/>
              </w:rPr>
              <w:t>Judiciary</w:t>
            </w:r>
            <w:r w:rsidR="003C3F51">
              <w:rPr>
                <w:bCs/>
                <w:sz w:val="16"/>
                <w:szCs w:val="16"/>
                <w:lang w:val="en-GB"/>
              </w:rPr>
              <w:t>,</w:t>
            </w:r>
            <w:r w:rsidR="003E149C" w:rsidRPr="005C7E82">
              <w:rPr>
                <w:bCs/>
                <w:sz w:val="16"/>
                <w:szCs w:val="16"/>
                <w:lang w:val="en-GB"/>
              </w:rPr>
              <w:t xml:space="preserve"> annual</w:t>
            </w:r>
          </w:p>
          <w:p w14:paraId="30BE3F4C" w14:textId="77777777" w:rsidR="003E149C" w:rsidRPr="005C7E82" w:rsidRDefault="003E149C" w:rsidP="004D40AA">
            <w:pPr>
              <w:tabs>
                <w:tab w:val="left" w:pos="351"/>
              </w:tabs>
              <w:rPr>
                <w:bCs/>
                <w:sz w:val="16"/>
                <w:szCs w:val="16"/>
                <w:lang w:val="en-GB"/>
              </w:rPr>
            </w:pPr>
          </w:p>
          <w:p w14:paraId="0D8F2326" w14:textId="087D2064" w:rsidR="003E149C" w:rsidRPr="005C7E82" w:rsidRDefault="00433F53" w:rsidP="004D40AA">
            <w:pPr>
              <w:tabs>
                <w:tab w:val="left" w:pos="351"/>
              </w:tabs>
              <w:rPr>
                <w:b/>
                <w:bCs/>
                <w:sz w:val="16"/>
                <w:szCs w:val="16"/>
                <w:lang w:val="en-GB"/>
              </w:rPr>
            </w:pPr>
            <w:r w:rsidRPr="005C7E82">
              <w:rPr>
                <w:b/>
                <w:bCs/>
                <w:sz w:val="16"/>
                <w:szCs w:val="16"/>
                <w:lang w:val="en-GB"/>
              </w:rPr>
              <w:t>3.4</w:t>
            </w:r>
            <w:r w:rsidR="003C3F51">
              <w:rPr>
                <w:b/>
                <w:bCs/>
                <w:sz w:val="16"/>
                <w:szCs w:val="16"/>
                <w:lang w:val="en-GB"/>
              </w:rPr>
              <w:t>.</w:t>
            </w:r>
            <w:r w:rsidRPr="005C7E82">
              <w:rPr>
                <w:b/>
                <w:bCs/>
                <w:sz w:val="16"/>
                <w:szCs w:val="16"/>
                <w:lang w:val="en-GB"/>
              </w:rPr>
              <w:t xml:space="preserve"> CSOs</w:t>
            </w:r>
            <w:r w:rsidR="00D65DAC" w:rsidRPr="005C7E82">
              <w:rPr>
                <w:b/>
                <w:bCs/>
                <w:sz w:val="16"/>
                <w:szCs w:val="16"/>
                <w:lang w:val="en-GB"/>
              </w:rPr>
              <w:t xml:space="preserve"> have knowledge, skills and tools</w:t>
            </w:r>
            <w:r w:rsidR="003E149C" w:rsidRPr="005C7E82">
              <w:rPr>
                <w:b/>
                <w:bCs/>
                <w:sz w:val="16"/>
                <w:szCs w:val="16"/>
                <w:lang w:val="en-GB"/>
              </w:rPr>
              <w:t xml:space="preserve"> to participate in crime prevention and response</w:t>
            </w:r>
            <w:r w:rsidR="00D65DAC" w:rsidRPr="005C7E82">
              <w:rPr>
                <w:b/>
                <w:bCs/>
                <w:sz w:val="16"/>
                <w:szCs w:val="16"/>
                <w:lang w:val="en-GB"/>
              </w:rPr>
              <w:t xml:space="preserve">. </w:t>
            </w:r>
          </w:p>
          <w:p w14:paraId="474428CB" w14:textId="77777777" w:rsidR="00127FB7" w:rsidRPr="005C7E82" w:rsidRDefault="00127FB7" w:rsidP="004D40AA">
            <w:pPr>
              <w:tabs>
                <w:tab w:val="left" w:pos="351"/>
              </w:tabs>
              <w:rPr>
                <w:b/>
                <w:bCs/>
                <w:sz w:val="16"/>
                <w:szCs w:val="16"/>
                <w:lang w:val="en-GB"/>
              </w:rPr>
            </w:pPr>
          </w:p>
          <w:p w14:paraId="1CDDD23C" w14:textId="0E7DBA74" w:rsidR="003E149C" w:rsidRPr="005C7E82" w:rsidRDefault="002620E8" w:rsidP="004D40AA">
            <w:pPr>
              <w:tabs>
                <w:tab w:val="left" w:pos="351"/>
                <w:tab w:val="left" w:pos="923"/>
              </w:tabs>
              <w:rPr>
                <w:bCs/>
                <w:sz w:val="16"/>
                <w:szCs w:val="16"/>
                <w:lang w:val="en-GB"/>
              </w:rPr>
            </w:pPr>
            <w:r w:rsidRPr="00A56C57">
              <w:rPr>
                <w:bCs/>
                <w:sz w:val="16"/>
                <w:szCs w:val="16"/>
                <w:lang w:val="en-GB"/>
              </w:rPr>
              <w:t xml:space="preserve">Indicator: </w:t>
            </w:r>
            <w:r w:rsidR="002C68F3" w:rsidRPr="005C7E82">
              <w:rPr>
                <w:bCs/>
                <w:sz w:val="16"/>
                <w:szCs w:val="16"/>
                <w:lang w:val="en-GB"/>
              </w:rPr>
              <w:t xml:space="preserve">Number of </w:t>
            </w:r>
            <w:r w:rsidR="003E149C" w:rsidRPr="005C7E82">
              <w:rPr>
                <w:bCs/>
                <w:sz w:val="16"/>
                <w:szCs w:val="16"/>
                <w:lang w:val="en-GB"/>
              </w:rPr>
              <w:t>communication toolkit</w:t>
            </w:r>
            <w:r w:rsidR="000E467E" w:rsidRPr="005C7E82">
              <w:rPr>
                <w:bCs/>
                <w:sz w:val="16"/>
                <w:szCs w:val="16"/>
                <w:lang w:val="en-GB"/>
              </w:rPr>
              <w:t>s</w:t>
            </w:r>
            <w:r w:rsidR="003E149C" w:rsidRPr="005C7E82">
              <w:rPr>
                <w:bCs/>
                <w:sz w:val="16"/>
                <w:szCs w:val="16"/>
                <w:lang w:val="en-GB"/>
              </w:rPr>
              <w:t xml:space="preserve"> for CSOs</w:t>
            </w:r>
            <w:r w:rsidR="002C68F3" w:rsidRPr="005C7E82">
              <w:rPr>
                <w:bCs/>
                <w:sz w:val="16"/>
                <w:szCs w:val="16"/>
                <w:lang w:val="en-GB"/>
              </w:rPr>
              <w:t xml:space="preserve"> developed</w:t>
            </w:r>
            <w:r w:rsidR="000E467E" w:rsidRPr="005C7E82">
              <w:rPr>
                <w:bCs/>
                <w:sz w:val="16"/>
                <w:szCs w:val="16"/>
                <w:lang w:val="en-GB"/>
              </w:rPr>
              <w:t xml:space="preserve"> and</w:t>
            </w:r>
            <w:r w:rsidR="00BA3D23" w:rsidRPr="005C7E82">
              <w:rPr>
                <w:bCs/>
                <w:sz w:val="16"/>
                <w:szCs w:val="16"/>
                <w:lang w:val="en-GB"/>
              </w:rPr>
              <w:t xml:space="preserve"> </w:t>
            </w:r>
            <w:r w:rsidR="000E467E" w:rsidRPr="005C7E82">
              <w:rPr>
                <w:bCs/>
                <w:sz w:val="16"/>
                <w:szCs w:val="16"/>
                <w:lang w:val="en-GB"/>
              </w:rPr>
              <w:t>utilized.</w:t>
            </w:r>
          </w:p>
          <w:p w14:paraId="04D6FD26" w14:textId="0866A85F" w:rsidR="003E149C" w:rsidRPr="005C7E82" w:rsidRDefault="00E90F9A" w:rsidP="004D40AA">
            <w:pPr>
              <w:tabs>
                <w:tab w:val="left" w:pos="351"/>
              </w:tabs>
              <w:rPr>
                <w:b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Pr>
                <w:bCs/>
                <w:sz w:val="16"/>
                <w:szCs w:val="16"/>
                <w:lang w:val="en-GB"/>
              </w:rPr>
              <w:t xml:space="preserve"> </w:t>
            </w:r>
            <w:r w:rsidR="003E149C" w:rsidRPr="005C7E82">
              <w:rPr>
                <w:bCs/>
                <w:sz w:val="16"/>
                <w:szCs w:val="16"/>
                <w:lang w:val="en-GB"/>
              </w:rPr>
              <w:t>0</w:t>
            </w:r>
          </w:p>
          <w:p w14:paraId="46BA5ADE" w14:textId="6555E8C6" w:rsidR="003E149C" w:rsidRPr="005C7E82" w:rsidRDefault="00E90F9A" w:rsidP="004D40AA">
            <w:pPr>
              <w:tabs>
                <w:tab w:val="left" w:pos="351"/>
              </w:tabs>
              <w:rPr>
                <w:bCs/>
                <w:sz w:val="16"/>
                <w:szCs w:val="16"/>
                <w:lang w:val="en-GB"/>
              </w:rPr>
            </w:pPr>
            <w:r>
              <w:rPr>
                <w:iCs/>
                <w:sz w:val="16"/>
                <w:szCs w:val="16"/>
                <w:lang w:val="en-GB"/>
              </w:rPr>
              <w:t>Target:</w:t>
            </w:r>
            <w:r w:rsidR="003E149C" w:rsidRPr="005C7E82">
              <w:rPr>
                <w:bCs/>
                <w:sz w:val="16"/>
                <w:szCs w:val="16"/>
                <w:lang w:val="en-GB"/>
              </w:rPr>
              <w:t xml:space="preserve"> 1</w:t>
            </w:r>
          </w:p>
          <w:p w14:paraId="763CDC19" w14:textId="1E9C2262" w:rsidR="00D65DAC" w:rsidRPr="005C7E82" w:rsidRDefault="003E149C" w:rsidP="004D40AA">
            <w:pPr>
              <w:tabs>
                <w:tab w:val="left" w:pos="351"/>
              </w:tabs>
              <w:rPr>
                <w:bCs/>
                <w:sz w:val="16"/>
                <w:szCs w:val="16"/>
                <w:lang w:val="en-GB"/>
              </w:rPr>
            </w:pPr>
            <w:r w:rsidRPr="005C7E82">
              <w:rPr>
                <w:bCs/>
                <w:sz w:val="16"/>
                <w:szCs w:val="16"/>
                <w:lang w:val="en-GB"/>
              </w:rPr>
              <w:t>Various CSOs</w:t>
            </w:r>
            <w:r w:rsidR="003C3F51">
              <w:rPr>
                <w:bCs/>
                <w:sz w:val="16"/>
                <w:szCs w:val="16"/>
                <w:lang w:val="en-GB"/>
              </w:rPr>
              <w:t>,</w:t>
            </w:r>
            <w:r w:rsidRPr="005C7E82">
              <w:rPr>
                <w:bCs/>
                <w:sz w:val="16"/>
                <w:szCs w:val="16"/>
                <w:lang w:val="en-GB"/>
              </w:rPr>
              <w:t xml:space="preserve"> annually</w:t>
            </w:r>
          </w:p>
        </w:tc>
        <w:tc>
          <w:tcPr>
            <w:tcW w:w="822" w:type="pct"/>
            <w:vMerge w:val="restart"/>
          </w:tcPr>
          <w:p w14:paraId="17D4A90A" w14:textId="77777777" w:rsidR="000165E6" w:rsidRPr="000708D6" w:rsidRDefault="00EA5E90" w:rsidP="008A6F38">
            <w:pPr>
              <w:tabs>
                <w:tab w:val="left" w:pos="0"/>
              </w:tabs>
              <w:spacing w:after="60"/>
              <w:rPr>
                <w:b/>
                <w:i/>
                <w:iCs/>
                <w:sz w:val="16"/>
                <w:szCs w:val="16"/>
                <w:lang w:val="en-GB"/>
              </w:rPr>
            </w:pPr>
            <w:r w:rsidRPr="000708D6">
              <w:rPr>
                <w:b/>
                <w:i/>
                <w:iCs/>
                <w:sz w:val="16"/>
                <w:szCs w:val="16"/>
                <w:lang w:val="en-GB"/>
              </w:rPr>
              <w:lastRenderedPageBreak/>
              <w:t>G</w:t>
            </w:r>
            <w:r w:rsidR="00C25EF7" w:rsidRPr="000708D6">
              <w:rPr>
                <w:b/>
                <w:i/>
                <w:iCs/>
                <w:sz w:val="16"/>
                <w:szCs w:val="16"/>
                <w:lang w:val="en-GB"/>
              </w:rPr>
              <w:t>overnment ministries</w:t>
            </w:r>
          </w:p>
          <w:p w14:paraId="5465A525" w14:textId="77777777" w:rsidR="00EA5E90" w:rsidRPr="005C7E82" w:rsidRDefault="00EA5E90" w:rsidP="000708D6">
            <w:pPr>
              <w:pStyle w:val="ListParagraph"/>
              <w:tabs>
                <w:tab w:val="left" w:pos="0"/>
              </w:tabs>
              <w:spacing w:after="60"/>
              <w:ind w:left="335"/>
              <w:rPr>
                <w:iCs/>
                <w:sz w:val="16"/>
                <w:szCs w:val="16"/>
                <w:lang w:val="en-GB"/>
              </w:rPr>
            </w:pPr>
            <w:r w:rsidRPr="005C7E82">
              <w:rPr>
                <w:iCs/>
                <w:sz w:val="16"/>
                <w:szCs w:val="16"/>
                <w:lang w:val="en-GB"/>
              </w:rPr>
              <w:t>MSDFS</w:t>
            </w:r>
          </w:p>
          <w:p w14:paraId="5A7D6557" w14:textId="77777777" w:rsidR="00EA5E90" w:rsidRPr="005C7E82" w:rsidRDefault="00EA5E90" w:rsidP="000708D6">
            <w:pPr>
              <w:pStyle w:val="ListParagraph"/>
              <w:tabs>
                <w:tab w:val="left" w:pos="0"/>
              </w:tabs>
              <w:ind w:left="335"/>
              <w:rPr>
                <w:iCs/>
                <w:sz w:val="16"/>
                <w:szCs w:val="16"/>
                <w:lang w:val="en-GB"/>
              </w:rPr>
            </w:pPr>
            <w:r w:rsidRPr="005C7E82">
              <w:rPr>
                <w:iCs/>
                <w:sz w:val="16"/>
                <w:szCs w:val="16"/>
                <w:lang w:val="en-GB"/>
              </w:rPr>
              <w:t>Ministry of National Security</w:t>
            </w:r>
            <w:r w:rsidR="002620E8">
              <w:rPr>
                <w:iCs/>
                <w:sz w:val="16"/>
                <w:szCs w:val="16"/>
                <w:lang w:val="en-GB"/>
              </w:rPr>
              <w:t xml:space="preserve"> </w:t>
            </w:r>
            <w:r w:rsidRPr="005C7E82">
              <w:rPr>
                <w:iCs/>
                <w:sz w:val="16"/>
                <w:szCs w:val="16"/>
                <w:lang w:val="en-GB"/>
              </w:rPr>
              <w:t>(MNS)</w:t>
            </w:r>
          </w:p>
          <w:p w14:paraId="17A59FD6" w14:textId="77777777" w:rsidR="00EA5E90" w:rsidRPr="005C7E82" w:rsidRDefault="00EA5E90" w:rsidP="000708D6">
            <w:pPr>
              <w:tabs>
                <w:tab w:val="left" w:pos="0"/>
              </w:tabs>
              <w:rPr>
                <w:iCs/>
                <w:sz w:val="16"/>
                <w:szCs w:val="16"/>
                <w:lang w:val="en-GB"/>
              </w:rPr>
            </w:pPr>
          </w:p>
          <w:p w14:paraId="47F1976E" w14:textId="66DFC757" w:rsidR="00EA5E90" w:rsidRPr="000708D6" w:rsidRDefault="00C25EF7" w:rsidP="008A6F38">
            <w:pPr>
              <w:tabs>
                <w:tab w:val="left" w:pos="0"/>
              </w:tabs>
              <w:spacing w:after="60"/>
              <w:rPr>
                <w:b/>
                <w:i/>
                <w:iCs/>
                <w:sz w:val="16"/>
                <w:szCs w:val="16"/>
                <w:lang w:val="en-GB"/>
              </w:rPr>
            </w:pPr>
            <w:r w:rsidRPr="000708D6">
              <w:rPr>
                <w:b/>
                <w:i/>
                <w:iCs/>
                <w:sz w:val="16"/>
                <w:szCs w:val="16"/>
                <w:lang w:val="en-GB"/>
              </w:rPr>
              <w:t>Government organi</w:t>
            </w:r>
            <w:r w:rsidR="007E4D82" w:rsidRPr="000708D6">
              <w:rPr>
                <w:b/>
                <w:i/>
                <w:iCs/>
                <w:sz w:val="16"/>
                <w:szCs w:val="16"/>
                <w:lang w:val="en-GB"/>
              </w:rPr>
              <w:t>z</w:t>
            </w:r>
            <w:r w:rsidRPr="000708D6">
              <w:rPr>
                <w:b/>
                <w:i/>
                <w:iCs/>
                <w:sz w:val="16"/>
                <w:szCs w:val="16"/>
                <w:lang w:val="en-GB"/>
              </w:rPr>
              <w:t>ations</w:t>
            </w:r>
          </w:p>
          <w:p w14:paraId="1A4B23C4" w14:textId="31EF4839" w:rsidR="00EA5E90" w:rsidRPr="005C7E82" w:rsidRDefault="00221433" w:rsidP="000708D6">
            <w:pPr>
              <w:pStyle w:val="ListParagraph"/>
              <w:tabs>
                <w:tab w:val="left" w:pos="0"/>
              </w:tabs>
              <w:spacing w:after="60"/>
              <w:ind w:left="335"/>
              <w:rPr>
                <w:iCs/>
                <w:sz w:val="16"/>
                <w:szCs w:val="16"/>
                <w:lang w:val="en-GB"/>
              </w:rPr>
            </w:pPr>
            <w:r w:rsidRPr="005C7E82">
              <w:rPr>
                <w:iCs/>
                <w:sz w:val="16"/>
                <w:szCs w:val="16"/>
                <w:lang w:val="en-GB"/>
              </w:rPr>
              <w:t xml:space="preserve">Trinidad and Tobago </w:t>
            </w:r>
            <w:r w:rsidR="00EA5E90" w:rsidRPr="005C7E82">
              <w:rPr>
                <w:iCs/>
                <w:sz w:val="16"/>
                <w:szCs w:val="16"/>
                <w:lang w:val="en-GB"/>
              </w:rPr>
              <w:t>Police Service</w:t>
            </w:r>
          </w:p>
          <w:p w14:paraId="4FA7D0A6" w14:textId="43B27099" w:rsidR="00EA5E90" w:rsidRPr="005C7E82" w:rsidRDefault="00221433" w:rsidP="000708D6">
            <w:pPr>
              <w:pStyle w:val="ListParagraph"/>
              <w:tabs>
                <w:tab w:val="left" w:pos="0"/>
              </w:tabs>
              <w:spacing w:after="60"/>
              <w:ind w:left="335"/>
              <w:rPr>
                <w:iCs/>
                <w:sz w:val="16"/>
                <w:szCs w:val="16"/>
                <w:lang w:val="en-GB"/>
              </w:rPr>
            </w:pPr>
            <w:r w:rsidRPr="005C7E82">
              <w:rPr>
                <w:iCs/>
                <w:sz w:val="16"/>
                <w:szCs w:val="16"/>
                <w:lang w:val="en-GB"/>
              </w:rPr>
              <w:t xml:space="preserve">Trinidad and Tobago </w:t>
            </w:r>
            <w:r w:rsidR="00EA5E90" w:rsidRPr="005C7E82">
              <w:rPr>
                <w:iCs/>
                <w:sz w:val="16"/>
                <w:szCs w:val="16"/>
                <w:lang w:val="en-GB"/>
              </w:rPr>
              <w:t>Prison Service</w:t>
            </w:r>
          </w:p>
          <w:p w14:paraId="73FC3DDA" w14:textId="3AA3F994" w:rsidR="00EA5E90" w:rsidRPr="005C7E82" w:rsidRDefault="00EA5E90" w:rsidP="000708D6">
            <w:pPr>
              <w:pStyle w:val="ListParagraph"/>
              <w:tabs>
                <w:tab w:val="left" w:pos="0"/>
              </w:tabs>
              <w:spacing w:after="60"/>
              <w:ind w:left="335"/>
              <w:rPr>
                <w:iCs/>
                <w:sz w:val="16"/>
                <w:szCs w:val="16"/>
                <w:lang w:val="en-GB"/>
              </w:rPr>
            </w:pPr>
            <w:r w:rsidRPr="005C7E82">
              <w:rPr>
                <w:iCs/>
                <w:sz w:val="16"/>
                <w:szCs w:val="16"/>
                <w:lang w:val="en-GB"/>
              </w:rPr>
              <w:t xml:space="preserve">Children’s Authority of </w:t>
            </w:r>
            <w:r w:rsidR="00221433" w:rsidRPr="005C7E82">
              <w:rPr>
                <w:iCs/>
                <w:sz w:val="16"/>
                <w:szCs w:val="16"/>
                <w:lang w:val="en-GB"/>
              </w:rPr>
              <w:t>Trinidad and Tobago</w:t>
            </w:r>
          </w:p>
          <w:p w14:paraId="2EDDD453" w14:textId="3FAA7EB4" w:rsidR="00EA5E90" w:rsidRPr="005C7E82" w:rsidRDefault="00EA5E90" w:rsidP="000708D6">
            <w:pPr>
              <w:pStyle w:val="ListParagraph"/>
              <w:tabs>
                <w:tab w:val="left" w:pos="0"/>
              </w:tabs>
              <w:spacing w:after="60"/>
              <w:ind w:left="335"/>
              <w:rPr>
                <w:iCs/>
                <w:sz w:val="16"/>
                <w:szCs w:val="16"/>
                <w:lang w:val="en-GB"/>
              </w:rPr>
            </w:pPr>
            <w:r w:rsidRPr="005C7E82">
              <w:rPr>
                <w:iCs/>
                <w:sz w:val="16"/>
                <w:szCs w:val="16"/>
                <w:lang w:val="en-GB"/>
              </w:rPr>
              <w:t xml:space="preserve">Judiciary of </w:t>
            </w:r>
            <w:r w:rsidR="00221433" w:rsidRPr="005C7E82">
              <w:rPr>
                <w:iCs/>
                <w:sz w:val="16"/>
                <w:szCs w:val="16"/>
                <w:lang w:val="en-GB"/>
              </w:rPr>
              <w:t>Trinidad and Tobago</w:t>
            </w:r>
          </w:p>
          <w:p w14:paraId="0F273F02" w14:textId="3F076683" w:rsidR="00EA5E90" w:rsidRDefault="00BD221B" w:rsidP="000708D6">
            <w:pPr>
              <w:pStyle w:val="ListParagraph"/>
              <w:tabs>
                <w:tab w:val="left" w:pos="0"/>
              </w:tabs>
              <w:ind w:left="331"/>
              <w:rPr>
                <w:iCs/>
                <w:sz w:val="16"/>
                <w:szCs w:val="16"/>
                <w:lang w:val="en-GB"/>
              </w:rPr>
            </w:pPr>
            <w:r w:rsidRPr="005C7E82">
              <w:rPr>
                <w:iCs/>
                <w:sz w:val="16"/>
                <w:szCs w:val="16"/>
                <w:lang w:val="en-GB"/>
              </w:rPr>
              <w:t>Citizen</w:t>
            </w:r>
            <w:r w:rsidR="00EA5E90" w:rsidRPr="005C7E82">
              <w:rPr>
                <w:iCs/>
                <w:sz w:val="16"/>
                <w:szCs w:val="16"/>
                <w:lang w:val="en-GB"/>
              </w:rPr>
              <w:t xml:space="preserve"> </w:t>
            </w:r>
            <w:r w:rsidR="00B0287B">
              <w:rPr>
                <w:iCs/>
                <w:sz w:val="16"/>
                <w:szCs w:val="16"/>
                <w:lang w:val="en-GB"/>
              </w:rPr>
              <w:t>s</w:t>
            </w:r>
            <w:r w:rsidR="00EA5E90" w:rsidRPr="005C7E82">
              <w:rPr>
                <w:iCs/>
                <w:sz w:val="16"/>
                <w:szCs w:val="16"/>
                <w:lang w:val="en-GB"/>
              </w:rPr>
              <w:t xml:space="preserve">ecurity </w:t>
            </w:r>
            <w:r w:rsidR="00B0287B">
              <w:rPr>
                <w:iCs/>
                <w:sz w:val="16"/>
                <w:szCs w:val="16"/>
                <w:lang w:val="en-GB"/>
              </w:rPr>
              <w:t>p</w:t>
            </w:r>
            <w:r w:rsidR="00EA5E90" w:rsidRPr="005C7E82">
              <w:rPr>
                <w:iCs/>
                <w:sz w:val="16"/>
                <w:szCs w:val="16"/>
                <w:lang w:val="en-GB"/>
              </w:rPr>
              <w:t>rogramme</w:t>
            </w:r>
          </w:p>
          <w:p w14:paraId="72D6057B" w14:textId="77777777" w:rsidR="00B0287B" w:rsidRPr="005C7E82" w:rsidRDefault="00B0287B" w:rsidP="00B0287B">
            <w:pPr>
              <w:tabs>
                <w:tab w:val="left" w:pos="0"/>
              </w:tabs>
              <w:spacing w:after="60"/>
              <w:rPr>
                <w:iCs/>
                <w:sz w:val="16"/>
                <w:szCs w:val="16"/>
                <w:lang w:val="en-GB"/>
              </w:rPr>
            </w:pPr>
          </w:p>
          <w:p w14:paraId="3FC4952C" w14:textId="77777777" w:rsidR="00EA5E90" w:rsidRPr="005C7E82" w:rsidRDefault="00C25EF7" w:rsidP="008A6F38">
            <w:pPr>
              <w:tabs>
                <w:tab w:val="left" w:pos="0"/>
              </w:tabs>
              <w:spacing w:after="60"/>
              <w:rPr>
                <w:iCs/>
                <w:sz w:val="16"/>
                <w:szCs w:val="16"/>
                <w:lang w:val="en-GB"/>
              </w:rPr>
            </w:pPr>
            <w:r w:rsidRPr="000708D6">
              <w:rPr>
                <w:b/>
                <w:i/>
                <w:iCs/>
                <w:sz w:val="16"/>
                <w:szCs w:val="16"/>
                <w:lang w:val="en-GB"/>
              </w:rPr>
              <w:t>Private sector</w:t>
            </w:r>
          </w:p>
          <w:p w14:paraId="739B8914" w14:textId="19F4884F" w:rsidR="00EA5E90" w:rsidRPr="005C7E82" w:rsidRDefault="00221433" w:rsidP="000708D6">
            <w:pPr>
              <w:pStyle w:val="ListParagraph"/>
              <w:tabs>
                <w:tab w:val="left" w:pos="0"/>
              </w:tabs>
              <w:spacing w:after="60"/>
              <w:ind w:left="335"/>
              <w:rPr>
                <w:iCs/>
                <w:sz w:val="16"/>
                <w:szCs w:val="16"/>
                <w:lang w:val="en-GB"/>
              </w:rPr>
            </w:pPr>
            <w:r w:rsidRPr="005C7E82">
              <w:rPr>
                <w:iCs/>
                <w:sz w:val="16"/>
                <w:szCs w:val="16"/>
                <w:lang w:val="en-GB"/>
              </w:rPr>
              <w:t xml:space="preserve">Trinidad and Tobago </w:t>
            </w:r>
            <w:r w:rsidR="00EA5E90" w:rsidRPr="005C7E82">
              <w:rPr>
                <w:iCs/>
                <w:sz w:val="16"/>
                <w:szCs w:val="16"/>
                <w:lang w:val="en-GB"/>
              </w:rPr>
              <w:t>Chamber of Commerce</w:t>
            </w:r>
          </w:p>
          <w:p w14:paraId="30E6CB23" w14:textId="77777777" w:rsidR="00EA5E90" w:rsidRPr="005C7E82" w:rsidRDefault="00EA5E90" w:rsidP="000708D6">
            <w:pPr>
              <w:pStyle w:val="ListParagraph"/>
              <w:tabs>
                <w:tab w:val="left" w:pos="0"/>
              </w:tabs>
              <w:spacing w:after="60"/>
              <w:ind w:left="335"/>
              <w:rPr>
                <w:iCs/>
                <w:sz w:val="16"/>
                <w:szCs w:val="16"/>
                <w:lang w:val="en-GB"/>
              </w:rPr>
            </w:pPr>
            <w:r w:rsidRPr="005C7E82">
              <w:rPr>
                <w:iCs/>
                <w:sz w:val="16"/>
                <w:szCs w:val="16"/>
                <w:lang w:val="en-GB"/>
              </w:rPr>
              <w:t>Digicel Foundation</w:t>
            </w:r>
          </w:p>
          <w:p w14:paraId="210BD5C2" w14:textId="77777777" w:rsidR="006F5FEB" w:rsidRPr="005C7E82" w:rsidRDefault="006F5FEB" w:rsidP="008A6F38">
            <w:pPr>
              <w:tabs>
                <w:tab w:val="left" w:pos="0"/>
              </w:tabs>
              <w:spacing w:after="60"/>
              <w:rPr>
                <w:iCs/>
                <w:sz w:val="16"/>
                <w:szCs w:val="16"/>
                <w:lang w:val="en-GB"/>
              </w:rPr>
            </w:pPr>
          </w:p>
          <w:p w14:paraId="5E14375C" w14:textId="77777777" w:rsidR="00EA5E90" w:rsidRPr="000708D6" w:rsidRDefault="00C25EF7" w:rsidP="008A6F38">
            <w:pPr>
              <w:tabs>
                <w:tab w:val="left" w:pos="0"/>
              </w:tabs>
              <w:spacing w:after="60"/>
              <w:rPr>
                <w:b/>
                <w:i/>
                <w:iCs/>
                <w:sz w:val="16"/>
                <w:szCs w:val="16"/>
                <w:lang w:val="en-GB"/>
              </w:rPr>
            </w:pPr>
            <w:r w:rsidRPr="000708D6">
              <w:rPr>
                <w:b/>
                <w:i/>
                <w:iCs/>
                <w:sz w:val="16"/>
                <w:szCs w:val="16"/>
                <w:lang w:val="en-GB"/>
              </w:rPr>
              <w:t>Civil society</w:t>
            </w:r>
          </w:p>
          <w:p w14:paraId="489CB3FD" w14:textId="77777777" w:rsidR="00EA5E90" w:rsidRPr="005C7E82" w:rsidRDefault="00EA5E90" w:rsidP="000708D6">
            <w:pPr>
              <w:pStyle w:val="ListParagraph"/>
              <w:tabs>
                <w:tab w:val="left" w:pos="0"/>
              </w:tabs>
              <w:spacing w:after="60"/>
              <w:ind w:left="335"/>
              <w:rPr>
                <w:iCs/>
                <w:sz w:val="16"/>
                <w:szCs w:val="16"/>
                <w:lang w:val="en-GB"/>
              </w:rPr>
            </w:pPr>
            <w:r w:rsidRPr="005C7E82">
              <w:rPr>
                <w:iCs/>
                <w:sz w:val="16"/>
                <w:szCs w:val="16"/>
                <w:lang w:val="en-GB"/>
              </w:rPr>
              <w:t>Trinidad Youth Council</w:t>
            </w:r>
          </w:p>
          <w:p w14:paraId="3EB1DC82" w14:textId="551DF492" w:rsidR="00EA5E90" w:rsidRPr="005C7E82" w:rsidRDefault="00B0287B" w:rsidP="000708D6">
            <w:pPr>
              <w:pStyle w:val="ListParagraph"/>
              <w:tabs>
                <w:tab w:val="left" w:pos="0"/>
              </w:tabs>
              <w:spacing w:after="60"/>
              <w:ind w:left="335"/>
              <w:rPr>
                <w:iCs/>
                <w:sz w:val="16"/>
                <w:szCs w:val="16"/>
                <w:lang w:val="en-GB"/>
              </w:rPr>
            </w:pPr>
            <w:r>
              <w:rPr>
                <w:iCs/>
                <w:sz w:val="16"/>
                <w:szCs w:val="16"/>
                <w:lang w:val="en-GB"/>
              </w:rPr>
              <w:t>Young Men’s Christian Association</w:t>
            </w:r>
          </w:p>
          <w:p w14:paraId="48653AC5" w14:textId="0597250C" w:rsidR="000D149B" w:rsidRPr="005C7E82" w:rsidRDefault="000D149B" w:rsidP="000708D6">
            <w:pPr>
              <w:tabs>
                <w:tab w:val="left" w:pos="0"/>
              </w:tabs>
              <w:ind w:left="335"/>
              <w:rPr>
                <w:iCs/>
                <w:sz w:val="16"/>
                <w:szCs w:val="16"/>
                <w:lang w:val="en-GB"/>
              </w:rPr>
            </w:pPr>
            <w:r w:rsidRPr="000708D6">
              <w:rPr>
                <w:iCs/>
                <w:sz w:val="16"/>
                <w:szCs w:val="16"/>
                <w:lang w:val="en-GB"/>
              </w:rPr>
              <w:t>Network of NGOs</w:t>
            </w:r>
            <w:r w:rsidRPr="005C7E82">
              <w:rPr>
                <w:iCs/>
                <w:sz w:val="16"/>
                <w:szCs w:val="16"/>
                <w:lang w:val="en-GB"/>
              </w:rPr>
              <w:t xml:space="preserve"> of </w:t>
            </w:r>
            <w:r w:rsidR="00221433" w:rsidRPr="005C7E82">
              <w:rPr>
                <w:iCs/>
                <w:sz w:val="16"/>
                <w:szCs w:val="16"/>
                <w:lang w:val="en-GB"/>
              </w:rPr>
              <w:t>Trinidad and Tobago f</w:t>
            </w:r>
            <w:r w:rsidRPr="005C7E82">
              <w:rPr>
                <w:iCs/>
                <w:sz w:val="16"/>
                <w:szCs w:val="16"/>
                <w:lang w:val="en-GB"/>
              </w:rPr>
              <w:t xml:space="preserve">or </w:t>
            </w:r>
            <w:r w:rsidR="00221433" w:rsidRPr="005C7E82">
              <w:rPr>
                <w:iCs/>
                <w:sz w:val="16"/>
                <w:szCs w:val="16"/>
                <w:lang w:val="en-GB"/>
              </w:rPr>
              <w:t>t</w:t>
            </w:r>
            <w:r w:rsidRPr="005C7E82">
              <w:rPr>
                <w:iCs/>
                <w:sz w:val="16"/>
                <w:szCs w:val="16"/>
                <w:lang w:val="en-GB"/>
              </w:rPr>
              <w:t>he Advancement of Women</w:t>
            </w:r>
          </w:p>
          <w:p w14:paraId="6E8C85B5" w14:textId="77777777" w:rsidR="006F5FEB" w:rsidRPr="005C7E82" w:rsidRDefault="006F5FEB" w:rsidP="008A6F38">
            <w:pPr>
              <w:tabs>
                <w:tab w:val="left" w:pos="0"/>
              </w:tabs>
              <w:spacing w:after="60"/>
              <w:rPr>
                <w:iCs/>
                <w:sz w:val="16"/>
                <w:szCs w:val="16"/>
                <w:lang w:val="en-GB"/>
              </w:rPr>
            </w:pPr>
          </w:p>
          <w:p w14:paraId="1FF27168" w14:textId="1274EC1E" w:rsidR="00EA5E90" w:rsidRPr="000708D6" w:rsidRDefault="00B0287B" w:rsidP="008A6F38">
            <w:pPr>
              <w:tabs>
                <w:tab w:val="left" w:pos="0"/>
              </w:tabs>
              <w:spacing w:after="60"/>
              <w:rPr>
                <w:b/>
                <w:i/>
                <w:iCs/>
                <w:sz w:val="16"/>
                <w:szCs w:val="16"/>
                <w:lang w:val="en-GB"/>
              </w:rPr>
            </w:pPr>
            <w:r w:rsidRPr="000708D6">
              <w:rPr>
                <w:b/>
                <w:i/>
                <w:iCs/>
                <w:sz w:val="16"/>
                <w:szCs w:val="16"/>
                <w:lang w:val="en-GB"/>
              </w:rPr>
              <w:t>United Nations organizations</w:t>
            </w:r>
          </w:p>
          <w:p w14:paraId="32F577FA" w14:textId="77777777" w:rsidR="00EA5E90" w:rsidRPr="005C7E82" w:rsidRDefault="00DC4249" w:rsidP="000708D6">
            <w:pPr>
              <w:pStyle w:val="ListParagraph"/>
              <w:tabs>
                <w:tab w:val="left" w:pos="0"/>
              </w:tabs>
              <w:spacing w:after="60"/>
              <w:ind w:left="335"/>
              <w:rPr>
                <w:iCs/>
                <w:sz w:val="16"/>
                <w:szCs w:val="16"/>
                <w:lang w:val="en-GB"/>
              </w:rPr>
            </w:pPr>
            <w:r w:rsidRPr="005C7E82">
              <w:rPr>
                <w:iCs/>
                <w:sz w:val="16"/>
                <w:szCs w:val="16"/>
                <w:lang w:val="en-GB"/>
              </w:rPr>
              <w:t>UNICEF</w:t>
            </w:r>
          </w:p>
          <w:p w14:paraId="0E087975" w14:textId="77777777" w:rsidR="00EA5E90" w:rsidRPr="005C7E82" w:rsidRDefault="00EA5E90" w:rsidP="000708D6">
            <w:pPr>
              <w:pStyle w:val="ListParagraph"/>
              <w:tabs>
                <w:tab w:val="left" w:pos="0"/>
              </w:tabs>
              <w:spacing w:after="60"/>
              <w:ind w:left="335"/>
              <w:rPr>
                <w:iCs/>
                <w:sz w:val="16"/>
                <w:szCs w:val="16"/>
                <w:lang w:val="en-GB"/>
              </w:rPr>
            </w:pPr>
            <w:r w:rsidRPr="005C7E82">
              <w:rPr>
                <w:iCs/>
                <w:sz w:val="16"/>
                <w:szCs w:val="16"/>
                <w:lang w:val="en-GB"/>
              </w:rPr>
              <w:t>UNV</w:t>
            </w:r>
          </w:p>
          <w:p w14:paraId="7628237D" w14:textId="77777777" w:rsidR="00EA5E90" w:rsidRPr="005C7E82" w:rsidRDefault="00EA5E90" w:rsidP="008A6F38">
            <w:pPr>
              <w:tabs>
                <w:tab w:val="left" w:pos="0"/>
              </w:tabs>
              <w:spacing w:after="60"/>
              <w:rPr>
                <w:iCs/>
                <w:sz w:val="16"/>
                <w:szCs w:val="16"/>
                <w:lang w:val="en-GB"/>
              </w:rPr>
            </w:pPr>
          </w:p>
          <w:p w14:paraId="7CE67621" w14:textId="77777777" w:rsidR="00DC4249" w:rsidRPr="000708D6" w:rsidRDefault="00C25EF7" w:rsidP="008A6F38">
            <w:pPr>
              <w:tabs>
                <w:tab w:val="left" w:pos="0"/>
              </w:tabs>
              <w:spacing w:after="60"/>
              <w:rPr>
                <w:b/>
                <w:i/>
                <w:iCs/>
                <w:sz w:val="16"/>
                <w:szCs w:val="16"/>
                <w:lang w:val="en-GB"/>
              </w:rPr>
            </w:pPr>
            <w:r w:rsidRPr="000708D6">
              <w:rPr>
                <w:b/>
                <w:i/>
                <w:iCs/>
                <w:sz w:val="16"/>
                <w:szCs w:val="16"/>
                <w:lang w:val="en-GB"/>
              </w:rPr>
              <w:t>Bilateral agencies</w:t>
            </w:r>
          </w:p>
          <w:p w14:paraId="304EDCC8" w14:textId="77777777" w:rsidR="00DC4249" w:rsidRPr="005C7E82" w:rsidRDefault="00DC4249" w:rsidP="000708D6">
            <w:pPr>
              <w:pStyle w:val="ListParagraph"/>
              <w:tabs>
                <w:tab w:val="left" w:pos="0"/>
              </w:tabs>
              <w:spacing w:after="60"/>
              <w:ind w:left="335"/>
              <w:rPr>
                <w:iCs/>
                <w:sz w:val="16"/>
                <w:szCs w:val="16"/>
                <w:lang w:val="en-GB"/>
              </w:rPr>
            </w:pPr>
            <w:r w:rsidRPr="005C7E82">
              <w:rPr>
                <w:iCs/>
                <w:sz w:val="16"/>
                <w:szCs w:val="16"/>
                <w:lang w:val="en-GB"/>
              </w:rPr>
              <w:t>USAID</w:t>
            </w:r>
          </w:p>
          <w:p w14:paraId="5C78A3D2" w14:textId="2A92FB90" w:rsidR="00F2289C" w:rsidRPr="005C7E82" w:rsidRDefault="00B0287B" w:rsidP="000708D6">
            <w:pPr>
              <w:pStyle w:val="ListParagraph"/>
              <w:tabs>
                <w:tab w:val="left" w:pos="0"/>
              </w:tabs>
              <w:spacing w:after="60"/>
              <w:ind w:left="335"/>
              <w:rPr>
                <w:iCs/>
                <w:sz w:val="16"/>
                <w:szCs w:val="16"/>
                <w:lang w:val="en-GB"/>
              </w:rPr>
            </w:pPr>
            <w:r>
              <w:rPr>
                <w:iCs/>
                <w:sz w:val="16"/>
                <w:szCs w:val="16"/>
                <w:lang w:val="en-GB"/>
              </w:rPr>
              <w:t>Inter-American Development Bank</w:t>
            </w:r>
          </w:p>
        </w:tc>
        <w:tc>
          <w:tcPr>
            <w:tcW w:w="677" w:type="pct"/>
            <w:tcBorders>
              <w:top w:val="single" w:sz="4" w:space="0" w:color="auto"/>
              <w:bottom w:val="single" w:sz="4" w:space="0" w:color="auto"/>
            </w:tcBorders>
            <w:tcMar>
              <w:top w:w="15" w:type="dxa"/>
              <w:left w:w="108" w:type="dxa"/>
              <w:bottom w:w="0" w:type="dxa"/>
              <w:right w:w="108" w:type="dxa"/>
            </w:tcMar>
          </w:tcPr>
          <w:p w14:paraId="73416E04" w14:textId="6F37C706" w:rsidR="00F2289C" w:rsidRPr="000708D6" w:rsidRDefault="00F2289C" w:rsidP="007207B3">
            <w:pPr>
              <w:rPr>
                <w:b/>
                <w:sz w:val="16"/>
                <w:szCs w:val="16"/>
                <w:lang w:val="en-GB"/>
              </w:rPr>
            </w:pPr>
            <w:r w:rsidRPr="000708D6">
              <w:rPr>
                <w:b/>
                <w:sz w:val="16"/>
                <w:szCs w:val="16"/>
                <w:lang w:val="en-GB"/>
              </w:rPr>
              <w:lastRenderedPageBreak/>
              <w:t>Regular 0</w:t>
            </w:r>
          </w:p>
        </w:tc>
      </w:tr>
      <w:tr w:rsidR="00F2289C" w:rsidRPr="005C7E82" w14:paraId="42264992" w14:textId="77777777" w:rsidTr="00B00C6B">
        <w:trPr>
          <w:trHeight w:val="323"/>
        </w:trPr>
        <w:tc>
          <w:tcPr>
            <w:tcW w:w="1035" w:type="pct"/>
            <w:vMerge/>
            <w:tcMar>
              <w:top w:w="72" w:type="dxa"/>
              <w:left w:w="144" w:type="dxa"/>
              <w:bottom w:w="72" w:type="dxa"/>
              <w:right w:w="144" w:type="dxa"/>
            </w:tcMar>
          </w:tcPr>
          <w:p w14:paraId="51849BCF" w14:textId="77777777" w:rsidR="00F2289C" w:rsidRPr="005C7E82" w:rsidRDefault="00F2289C" w:rsidP="004B5A2C">
            <w:pPr>
              <w:rPr>
                <w:iCs/>
                <w:sz w:val="16"/>
                <w:szCs w:val="16"/>
                <w:lang w:val="en-GB"/>
              </w:rPr>
            </w:pPr>
          </w:p>
        </w:tc>
        <w:tc>
          <w:tcPr>
            <w:tcW w:w="592" w:type="pct"/>
            <w:vMerge/>
          </w:tcPr>
          <w:p w14:paraId="675A45F0" w14:textId="77777777" w:rsidR="00F2289C" w:rsidRPr="005C7E82" w:rsidRDefault="00F2289C" w:rsidP="004B5A2C">
            <w:pPr>
              <w:rPr>
                <w:iCs/>
                <w:sz w:val="16"/>
                <w:szCs w:val="16"/>
                <w:lang w:val="en-GB"/>
              </w:rPr>
            </w:pPr>
          </w:p>
        </w:tc>
        <w:tc>
          <w:tcPr>
            <w:tcW w:w="1874" w:type="pct"/>
            <w:vMerge/>
            <w:tcMar>
              <w:top w:w="72" w:type="dxa"/>
              <w:left w:w="144" w:type="dxa"/>
              <w:bottom w:w="72" w:type="dxa"/>
              <w:right w:w="144" w:type="dxa"/>
            </w:tcMar>
          </w:tcPr>
          <w:p w14:paraId="0D39FE0E" w14:textId="77777777" w:rsidR="00F2289C" w:rsidRPr="005C7E82" w:rsidRDefault="00F2289C" w:rsidP="004B5A2C">
            <w:pPr>
              <w:rPr>
                <w:iCs/>
                <w:sz w:val="16"/>
                <w:szCs w:val="16"/>
                <w:lang w:val="en-GB"/>
              </w:rPr>
            </w:pPr>
          </w:p>
        </w:tc>
        <w:tc>
          <w:tcPr>
            <w:tcW w:w="822" w:type="pct"/>
            <w:vMerge/>
          </w:tcPr>
          <w:p w14:paraId="04D407DA" w14:textId="77777777" w:rsidR="00F2289C" w:rsidRPr="005C7E82" w:rsidRDefault="00F2289C" w:rsidP="004B5A2C">
            <w:pPr>
              <w:rPr>
                <w:iCs/>
                <w:sz w:val="16"/>
                <w:szCs w:val="16"/>
                <w:lang w:val="en-GB"/>
              </w:rPr>
            </w:pPr>
          </w:p>
        </w:tc>
        <w:tc>
          <w:tcPr>
            <w:tcW w:w="677" w:type="pct"/>
            <w:tcBorders>
              <w:bottom w:val="nil"/>
            </w:tcBorders>
            <w:tcMar>
              <w:top w:w="15" w:type="dxa"/>
              <w:left w:w="108" w:type="dxa"/>
              <w:bottom w:w="0" w:type="dxa"/>
              <w:right w:w="108" w:type="dxa"/>
            </w:tcMar>
          </w:tcPr>
          <w:p w14:paraId="1331A0CA" w14:textId="77777777" w:rsidR="00B00C6B" w:rsidRPr="000708D6" w:rsidRDefault="00B00C6B" w:rsidP="00B00C6B">
            <w:pPr>
              <w:rPr>
                <w:b/>
                <w:sz w:val="16"/>
                <w:szCs w:val="16"/>
                <w:lang w:val="en-GB"/>
              </w:rPr>
            </w:pPr>
            <w:r w:rsidRPr="000708D6">
              <w:rPr>
                <w:b/>
                <w:sz w:val="16"/>
                <w:szCs w:val="16"/>
                <w:lang w:val="en-GB"/>
              </w:rPr>
              <w:t xml:space="preserve">Other </w:t>
            </w:r>
          </w:p>
          <w:p w14:paraId="553DE27A" w14:textId="71F215B5" w:rsidR="00F2289C" w:rsidRPr="000708D6" w:rsidRDefault="00B00C6B" w:rsidP="00B00C6B">
            <w:pPr>
              <w:rPr>
                <w:b/>
                <w:sz w:val="16"/>
                <w:szCs w:val="16"/>
                <w:lang w:val="en-GB"/>
              </w:rPr>
            </w:pPr>
            <w:r w:rsidRPr="000708D6">
              <w:rPr>
                <w:b/>
                <w:sz w:val="16"/>
                <w:szCs w:val="16"/>
                <w:lang w:val="en-GB"/>
              </w:rPr>
              <w:t>4,000</w:t>
            </w:r>
          </w:p>
        </w:tc>
      </w:tr>
      <w:tr w:rsidR="00F2289C" w:rsidRPr="005C7E82" w14:paraId="2F3F93E6" w14:textId="77777777" w:rsidTr="00B00C6B">
        <w:trPr>
          <w:trHeight w:val="1061"/>
        </w:trPr>
        <w:tc>
          <w:tcPr>
            <w:tcW w:w="1035" w:type="pct"/>
            <w:vMerge/>
            <w:tcMar>
              <w:top w:w="72" w:type="dxa"/>
              <w:left w:w="144" w:type="dxa"/>
              <w:bottom w:w="72" w:type="dxa"/>
              <w:right w:w="144" w:type="dxa"/>
            </w:tcMar>
          </w:tcPr>
          <w:p w14:paraId="51E14B6B" w14:textId="77777777" w:rsidR="00F2289C" w:rsidRPr="005C7E82" w:rsidRDefault="00F2289C" w:rsidP="004B5A2C">
            <w:pPr>
              <w:rPr>
                <w:iCs/>
                <w:sz w:val="16"/>
                <w:szCs w:val="16"/>
                <w:lang w:val="en-GB"/>
              </w:rPr>
            </w:pPr>
          </w:p>
        </w:tc>
        <w:tc>
          <w:tcPr>
            <w:tcW w:w="592" w:type="pct"/>
            <w:vMerge/>
          </w:tcPr>
          <w:p w14:paraId="4B17187E" w14:textId="77777777" w:rsidR="00F2289C" w:rsidRPr="005C7E82" w:rsidRDefault="00F2289C" w:rsidP="004B5A2C">
            <w:pPr>
              <w:rPr>
                <w:iCs/>
                <w:sz w:val="16"/>
                <w:szCs w:val="16"/>
                <w:lang w:val="en-GB"/>
              </w:rPr>
            </w:pPr>
          </w:p>
        </w:tc>
        <w:tc>
          <w:tcPr>
            <w:tcW w:w="1874" w:type="pct"/>
            <w:vMerge/>
            <w:tcMar>
              <w:top w:w="72" w:type="dxa"/>
              <w:left w:w="144" w:type="dxa"/>
              <w:bottom w:w="72" w:type="dxa"/>
              <w:right w:w="144" w:type="dxa"/>
            </w:tcMar>
          </w:tcPr>
          <w:p w14:paraId="501384B2" w14:textId="77777777" w:rsidR="00F2289C" w:rsidRPr="005C7E82" w:rsidRDefault="00F2289C" w:rsidP="004B5A2C">
            <w:pPr>
              <w:rPr>
                <w:iCs/>
                <w:sz w:val="16"/>
                <w:szCs w:val="16"/>
                <w:lang w:val="en-GB"/>
              </w:rPr>
            </w:pPr>
          </w:p>
        </w:tc>
        <w:tc>
          <w:tcPr>
            <w:tcW w:w="822" w:type="pct"/>
            <w:vMerge/>
          </w:tcPr>
          <w:p w14:paraId="17D68239" w14:textId="77777777" w:rsidR="00F2289C" w:rsidRPr="005C7E82" w:rsidRDefault="00F2289C" w:rsidP="004B5A2C">
            <w:pPr>
              <w:rPr>
                <w:iCs/>
                <w:sz w:val="16"/>
                <w:szCs w:val="16"/>
                <w:lang w:val="en-GB"/>
              </w:rPr>
            </w:pPr>
          </w:p>
        </w:tc>
        <w:tc>
          <w:tcPr>
            <w:tcW w:w="677" w:type="pct"/>
            <w:tcBorders>
              <w:top w:val="nil"/>
            </w:tcBorders>
            <w:tcMar>
              <w:top w:w="15" w:type="dxa"/>
              <w:left w:w="108" w:type="dxa"/>
              <w:bottom w:w="0" w:type="dxa"/>
              <w:right w:w="108" w:type="dxa"/>
            </w:tcMar>
          </w:tcPr>
          <w:p w14:paraId="1B4E8B38" w14:textId="77777777" w:rsidR="00F2289C" w:rsidRPr="000708D6" w:rsidRDefault="00F2289C" w:rsidP="004B5A2C">
            <w:pPr>
              <w:rPr>
                <w:b/>
                <w:sz w:val="16"/>
                <w:szCs w:val="16"/>
                <w:lang w:val="en-GB"/>
              </w:rPr>
            </w:pPr>
          </w:p>
        </w:tc>
      </w:tr>
    </w:tbl>
    <w:p w14:paraId="3519AD01" w14:textId="59FF2369" w:rsidR="00F55103" w:rsidRPr="000708D6" w:rsidRDefault="001E0AC7" w:rsidP="001E6DF4">
      <w:pPr>
        <w:pStyle w:val="Heading4"/>
        <w:rPr>
          <w:rFonts w:ascii="Times New Roman" w:hAnsi="Times New Roman"/>
          <w:lang w:val="en-GB"/>
        </w:rPr>
      </w:pPr>
      <w:r w:rsidRPr="000708D6">
        <w:rPr>
          <w:rFonts w:ascii="Times New Roman" w:hAnsi="Times New Roman"/>
          <w:lang w:val="en-GB"/>
        </w:rPr>
        <w:t>Area 4</w:t>
      </w:r>
      <w:r w:rsidR="00280AF0">
        <w:rPr>
          <w:rFonts w:ascii="Times New Roman" w:hAnsi="Times New Roman"/>
          <w:lang w:val="en-GB"/>
        </w:rPr>
        <w:t>.</w:t>
      </w:r>
      <w:r w:rsidRPr="000708D6">
        <w:rPr>
          <w:rFonts w:ascii="Times New Roman" w:hAnsi="Times New Roman"/>
          <w:lang w:val="en-GB"/>
        </w:rPr>
        <w:t xml:space="preserve"> Climate </w:t>
      </w:r>
      <w:r w:rsidR="00280AF0">
        <w:rPr>
          <w:rFonts w:ascii="Times New Roman" w:hAnsi="Times New Roman"/>
          <w:lang w:val="en-GB"/>
        </w:rPr>
        <w:t>c</w:t>
      </w:r>
      <w:r w:rsidRPr="000708D6">
        <w:rPr>
          <w:rFonts w:ascii="Times New Roman" w:hAnsi="Times New Roman"/>
          <w:lang w:val="en-GB"/>
        </w:rPr>
        <w:t xml:space="preserve">hange and </w:t>
      </w:r>
      <w:r w:rsidR="00280AF0">
        <w:rPr>
          <w:rFonts w:ascii="Times New Roman" w:hAnsi="Times New Roman"/>
          <w:lang w:val="en-GB"/>
        </w:rPr>
        <w:t>d</w:t>
      </w:r>
      <w:r w:rsidRPr="000708D6">
        <w:rPr>
          <w:rFonts w:ascii="Times New Roman" w:hAnsi="Times New Roman"/>
          <w:lang w:val="en-GB"/>
        </w:rPr>
        <w:t xml:space="preserve">isaster </w:t>
      </w:r>
      <w:r w:rsidR="00280AF0">
        <w:rPr>
          <w:rFonts w:ascii="Times New Roman" w:hAnsi="Times New Roman"/>
          <w:lang w:val="en-GB"/>
        </w:rPr>
        <w:t>r</w:t>
      </w:r>
      <w:r w:rsidRPr="000708D6">
        <w:rPr>
          <w:rFonts w:ascii="Times New Roman" w:hAnsi="Times New Roman"/>
          <w:lang w:val="en-GB"/>
        </w:rPr>
        <w:t>esilience</w:t>
      </w:r>
    </w:p>
    <w:tbl>
      <w:tblPr>
        <w:tblW w:w="4955" w:type="pct"/>
        <w:tblBorders>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783"/>
        <w:gridCol w:w="1587"/>
        <w:gridCol w:w="5018"/>
        <w:gridCol w:w="2201"/>
        <w:gridCol w:w="1815"/>
      </w:tblGrid>
      <w:tr w:rsidR="008A5D9C" w:rsidRPr="005C7E82" w14:paraId="754F02A1" w14:textId="77777777" w:rsidTr="00B00C6B">
        <w:trPr>
          <w:trHeight w:val="2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B249C12" w14:textId="0285B9E2" w:rsidR="00825DAE" w:rsidRPr="005C7E82" w:rsidRDefault="00280AF0" w:rsidP="000708D6">
            <w:pPr>
              <w:rPr>
                <w:bCs/>
                <w:sz w:val="16"/>
                <w:szCs w:val="16"/>
                <w:lang w:val="en-GB"/>
              </w:rPr>
            </w:pPr>
            <w:r w:rsidRPr="005C7E82">
              <w:rPr>
                <w:b/>
                <w:bCs/>
                <w:sz w:val="16"/>
                <w:szCs w:val="16"/>
                <w:lang w:val="en-GB"/>
              </w:rPr>
              <w:t>National priority or goal:</w:t>
            </w:r>
            <w:r w:rsidR="008A5D9C" w:rsidRPr="000708D6">
              <w:rPr>
                <w:b/>
                <w:bCs/>
                <w:sz w:val="16"/>
                <w:szCs w:val="16"/>
                <w:lang w:val="en-GB"/>
              </w:rPr>
              <w:t xml:space="preserve"> </w:t>
            </w:r>
            <w:r>
              <w:rPr>
                <w:sz w:val="16"/>
                <w:szCs w:val="16"/>
                <w:lang w:val="en-GB"/>
              </w:rPr>
              <w:t xml:space="preserve">(a) </w:t>
            </w:r>
            <w:r w:rsidR="00825DAE" w:rsidRPr="005C7E82">
              <w:rPr>
                <w:sz w:val="16"/>
                <w:szCs w:val="16"/>
                <w:lang w:val="en-GB"/>
              </w:rPr>
              <w:t xml:space="preserve">Promote </w:t>
            </w:r>
            <w:r w:rsidR="007D6F07" w:rsidRPr="005C7E82">
              <w:rPr>
                <w:sz w:val="16"/>
                <w:szCs w:val="16"/>
                <w:lang w:val="en-GB"/>
              </w:rPr>
              <w:t>a</w:t>
            </w:r>
            <w:r w:rsidR="00825DAE" w:rsidRPr="002807FF">
              <w:rPr>
                <w:sz w:val="16"/>
                <w:szCs w:val="16"/>
                <w:lang w:val="en-GB"/>
              </w:rPr>
              <w:t xml:space="preserve"> resilient whole-of-government approach to </w:t>
            </w:r>
            <w:r w:rsidR="00056AF6" w:rsidRPr="005C7E82">
              <w:rPr>
                <w:sz w:val="16"/>
                <w:szCs w:val="16"/>
                <w:lang w:val="en-GB"/>
              </w:rPr>
              <w:t xml:space="preserve">disaster risk management </w:t>
            </w:r>
            <w:r w:rsidR="00825DAE" w:rsidRPr="005C7E82">
              <w:rPr>
                <w:sz w:val="16"/>
                <w:szCs w:val="16"/>
                <w:lang w:val="en-GB"/>
              </w:rPr>
              <w:t>and strengthen capacities to reduce risk and build community resilience to disasters especially within vulnerable groups</w:t>
            </w:r>
            <w:r>
              <w:rPr>
                <w:sz w:val="16"/>
                <w:szCs w:val="16"/>
                <w:lang w:val="en-GB"/>
              </w:rPr>
              <w:t xml:space="preserve">; (b) </w:t>
            </w:r>
            <w:r w:rsidR="00825DAE" w:rsidRPr="005C7E82">
              <w:rPr>
                <w:sz w:val="16"/>
                <w:szCs w:val="16"/>
                <w:lang w:val="en-GB"/>
              </w:rPr>
              <w:t>Promote energy efficiency and the efficient use of resources for increasing energy security through alternative energy technologies, renewable energy and encouraging private sector investment in areas such as low carbon technologies</w:t>
            </w:r>
            <w:r>
              <w:rPr>
                <w:sz w:val="16"/>
                <w:szCs w:val="16"/>
                <w:lang w:val="en-GB"/>
              </w:rPr>
              <w:t>; and (c)</w:t>
            </w:r>
            <w:r>
              <w:rPr>
                <w:bCs/>
                <w:sz w:val="16"/>
                <w:szCs w:val="16"/>
                <w:lang w:val="en-GB"/>
              </w:rPr>
              <w:t xml:space="preserve"> </w:t>
            </w:r>
            <w:r w:rsidR="00825DAE" w:rsidRPr="005C7E82">
              <w:rPr>
                <w:bCs/>
                <w:sz w:val="16"/>
                <w:szCs w:val="16"/>
                <w:lang w:val="en-GB"/>
              </w:rPr>
              <w:t>Develop climate change adaptation and mitigation strategies to safeguard those most affected.</w:t>
            </w:r>
          </w:p>
          <w:p w14:paraId="66841CBA" w14:textId="5F38C12E" w:rsidR="008A5D9C" w:rsidRPr="000708D6" w:rsidRDefault="00825DAE" w:rsidP="003C4355">
            <w:pPr>
              <w:rPr>
                <w:sz w:val="16"/>
                <w:szCs w:val="16"/>
                <w:lang w:val="en-GB"/>
              </w:rPr>
            </w:pPr>
            <w:r w:rsidRPr="005C7E82">
              <w:rPr>
                <w:iCs/>
                <w:sz w:val="16"/>
                <w:szCs w:val="16"/>
                <w:lang w:val="en-GB"/>
              </w:rPr>
              <w:t>(</w:t>
            </w:r>
            <w:r w:rsidR="003C4355" w:rsidRPr="005C7E82">
              <w:rPr>
                <w:iCs/>
                <w:sz w:val="16"/>
                <w:szCs w:val="16"/>
                <w:lang w:val="en-GB"/>
              </w:rPr>
              <w:t xml:space="preserve">Election </w:t>
            </w:r>
            <w:r w:rsidR="00280AF0">
              <w:rPr>
                <w:iCs/>
                <w:sz w:val="16"/>
                <w:szCs w:val="16"/>
                <w:lang w:val="en-GB"/>
              </w:rPr>
              <w:t>p</w:t>
            </w:r>
            <w:r w:rsidR="003C4355" w:rsidRPr="005C7E82">
              <w:rPr>
                <w:iCs/>
                <w:sz w:val="16"/>
                <w:szCs w:val="16"/>
                <w:lang w:val="en-GB"/>
              </w:rPr>
              <w:t>rogram</w:t>
            </w:r>
            <w:r w:rsidR="00280AF0">
              <w:rPr>
                <w:iCs/>
                <w:sz w:val="16"/>
                <w:szCs w:val="16"/>
                <w:lang w:val="en-GB"/>
              </w:rPr>
              <w:t>me</w:t>
            </w:r>
            <w:r w:rsidRPr="005C7E82">
              <w:rPr>
                <w:iCs/>
                <w:sz w:val="16"/>
                <w:szCs w:val="16"/>
                <w:lang w:val="en-GB"/>
              </w:rPr>
              <w:t>, 2015)</w:t>
            </w:r>
          </w:p>
        </w:tc>
      </w:tr>
      <w:tr w:rsidR="008A5D9C" w:rsidRPr="005C7E82" w14:paraId="4BBEEDCE" w14:textId="77777777" w:rsidTr="00B00C6B">
        <w:trPr>
          <w:trHeight w:val="12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24CC60" w14:textId="1F57F6C1" w:rsidR="00DB39D7" w:rsidRPr="000708D6" w:rsidRDefault="0046101D" w:rsidP="00AA444C">
            <w:pPr>
              <w:rPr>
                <w:bCs/>
                <w:sz w:val="16"/>
                <w:szCs w:val="16"/>
                <w:lang w:val="en-GB"/>
              </w:rPr>
            </w:pPr>
            <w:r w:rsidRPr="000708D6">
              <w:rPr>
                <w:b/>
                <w:bCs/>
                <w:sz w:val="16"/>
                <w:szCs w:val="16"/>
                <w:lang w:val="en-GB"/>
              </w:rPr>
              <w:t xml:space="preserve">UNDAF/MSDF </w:t>
            </w:r>
            <w:r w:rsidR="00280AF0" w:rsidRPr="005C7E82">
              <w:rPr>
                <w:b/>
                <w:bCs/>
                <w:sz w:val="16"/>
                <w:szCs w:val="16"/>
                <w:lang w:val="en-GB"/>
              </w:rPr>
              <w:t xml:space="preserve">outcome involving </w:t>
            </w:r>
            <w:r w:rsidR="008A5D9C" w:rsidRPr="000708D6">
              <w:rPr>
                <w:b/>
                <w:bCs/>
                <w:sz w:val="16"/>
                <w:szCs w:val="16"/>
                <w:lang w:val="en-GB"/>
              </w:rPr>
              <w:t>UNDP:</w:t>
            </w:r>
            <w:r w:rsidRPr="005C7E82">
              <w:rPr>
                <w:rFonts w:asciiTheme="minorHAnsi" w:hAnsiTheme="minorHAnsi"/>
                <w:b/>
                <w:sz w:val="16"/>
                <w:szCs w:val="16"/>
                <w:lang w:val="en-GB"/>
              </w:rPr>
              <w:t xml:space="preserve"> </w:t>
            </w:r>
            <w:r w:rsidR="00F35002" w:rsidRPr="005C7E82">
              <w:rPr>
                <w:bCs/>
                <w:sz w:val="16"/>
                <w:szCs w:val="16"/>
                <w:lang w:val="en-GB"/>
              </w:rPr>
              <w:t xml:space="preserve">Policies and programmes for climate change resilience, </w:t>
            </w:r>
            <w:r w:rsidR="00812EB1" w:rsidRPr="000708D6">
              <w:rPr>
                <w:bCs/>
                <w:sz w:val="16"/>
                <w:szCs w:val="16"/>
                <w:lang w:val="en-GB"/>
              </w:rPr>
              <w:t>disaster risk reduction</w:t>
            </w:r>
            <w:r w:rsidR="005646A6" w:rsidRPr="005C7E82">
              <w:rPr>
                <w:bCs/>
                <w:sz w:val="16"/>
                <w:szCs w:val="16"/>
                <w:lang w:val="en-GB"/>
              </w:rPr>
              <w:t xml:space="preserve"> and </w:t>
            </w:r>
            <w:r w:rsidR="00F35002" w:rsidRPr="002807FF">
              <w:rPr>
                <w:bCs/>
                <w:sz w:val="16"/>
                <w:szCs w:val="16"/>
                <w:lang w:val="en-GB"/>
              </w:rPr>
              <w:t>universal access to clean</w:t>
            </w:r>
            <w:r w:rsidR="005646A6" w:rsidRPr="005C7E82">
              <w:rPr>
                <w:bCs/>
                <w:sz w:val="16"/>
                <w:szCs w:val="16"/>
                <w:lang w:val="en-GB"/>
              </w:rPr>
              <w:t xml:space="preserve"> and sustainable energy </w:t>
            </w:r>
          </w:p>
          <w:p w14:paraId="65C182AC" w14:textId="3F64A630" w:rsidR="00DB39D7" w:rsidRPr="000708D6" w:rsidRDefault="00280AF0">
            <w:pPr>
              <w:rPr>
                <w:b/>
                <w:bCs/>
                <w:sz w:val="16"/>
                <w:szCs w:val="16"/>
                <w:lang w:val="en-GB"/>
              </w:rPr>
            </w:pPr>
            <w:r w:rsidRPr="005C7E82">
              <w:rPr>
                <w:b/>
                <w:bCs/>
                <w:iCs/>
                <w:sz w:val="16"/>
                <w:szCs w:val="16"/>
                <w:lang w:val="en-GB"/>
              </w:rPr>
              <w:t xml:space="preserve">Sustainable development goals: </w:t>
            </w:r>
            <w:r w:rsidR="00DB39D7" w:rsidRPr="005C7E82">
              <w:rPr>
                <w:bCs/>
                <w:iCs/>
                <w:sz w:val="16"/>
                <w:szCs w:val="16"/>
                <w:lang w:val="en-GB"/>
              </w:rPr>
              <w:t>7, 11</w:t>
            </w:r>
            <w:r>
              <w:rPr>
                <w:bCs/>
                <w:iCs/>
                <w:sz w:val="16"/>
                <w:szCs w:val="16"/>
                <w:lang w:val="en-GB"/>
              </w:rPr>
              <w:t xml:space="preserve"> and</w:t>
            </w:r>
            <w:r w:rsidR="00DB39D7" w:rsidRPr="005C7E82">
              <w:rPr>
                <w:bCs/>
                <w:iCs/>
                <w:sz w:val="16"/>
                <w:szCs w:val="16"/>
                <w:lang w:val="en-GB"/>
              </w:rPr>
              <w:t xml:space="preserve"> 13</w:t>
            </w:r>
          </w:p>
        </w:tc>
      </w:tr>
      <w:tr w:rsidR="008A5D9C" w:rsidRPr="005C7E82" w14:paraId="384DCA9D" w14:textId="77777777" w:rsidTr="00B00C6B">
        <w:trPr>
          <w:trHeight w:val="12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6B5D232" w14:textId="6D82557A" w:rsidR="008A5D9C" w:rsidRPr="000708D6" w:rsidRDefault="00280AF0">
            <w:pPr>
              <w:rPr>
                <w:b/>
                <w:bCs/>
                <w:sz w:val="16"/>
                <w:szCs w:val="16"/>
                <w:lang w:val="en-GB"/>
              </w:rPr>
            </w:pPr>
            <w:r w:rsidRPr="005C7E82">
              <w:rPr>
                <w:b/>
                <w:bCs/>
                <w:sz w:val="16"/>
                <w:szCs w:val="16"/>
                <w:lang w:val="en-GB"/>
              </w:rPr>
              <w:t>Related strategic plan</w:t>
            </w:r>
            <w:r>
              <w:rPr>
                <w:b/>
                <w:bCs/>
                <w:sz w:val="16"/>
                <w:szCs w:val="16"/>
                <w:lang w:val="en-GB"/>
              </w:rPr>
              <w:t xml:space="preserve">, </w:t>
            </w:r>
            <w:r w:rsidR="009B0652" w:rsidRPr="000708D6">
              <w:rPr>
                <w:b/>
                <w:bCs/>
                <w:sz w:val="16"/>
                <w:szCs w:val="16"/>
                <w:lang w:val="en-GB"/>
              </w:rPr>
              <w:t>2014-2017</w:t>
            </w:r>
            <w:r>
              <w:rPr>
                <w:b/>
                <w:bCs/>
                <w:sz w:val="16"/>
                <w:szCs w:val="16"/>
                <w:lang w:val="en-GB"/>
              </w:rPr>
              <w:t>,</w:t>
            </w:r>
            <w:r w:rsidRPr="005C7E82">
              <w:rPr>
                <w:b/>
                <w:bCs/>
                <w:sz w:val="16"/>
                <w:szCs w:val="16"/>
                <w:lang w:val="en-GB"/>
              </w:rPr>
              <w:t xml:space="preserve"> outcome</w:t>
            </w:r>
            <w:r>
              <w:rPr>
                <w:b/>
                <w:bCs/>
                <w:sz w:val="16"/>
                <w:szCs w:val="16"/>
                <w:lang w:val="en-GB"/>
              </w:rPr>
              <w:t>:</w:t>
            </w:r>
            <w:r w:rsidR="00CC771F" w:rsidRPr="000708D6">
              <w:rPr>
                <w:bCs/>
                <w:sz w:val="16"/>
                <w:szCs w:val="16"/>
                <w:lang w:val="en-GB"/>
              </w:rPr>
              <w:t xml:space="preserve"> 5</w:t>
            </w:r>
            <w:r>
              <w:rPr>
                <w:bCs/>
                <w:sz w:val="16"/>
                <w:szCs w:val="16"/>
                <w:lang w:val="en-GB"/>
              </w:rPr>
              <w:t>.</w:t>
            </w:r>
            <w:r w:rsidR="00CC771F" w:rsidRPr="000708D6">
              <w:rPr>
                <w:bCs/>
                <w:sz w:val="16"/>
                <w:szCs w:val="16"/>
                <w:lang w:val="en-GB"/>
              </w:rPr>
              <w:t xml:space="preserve"> Countries are able to reduce the likelihood of conflict and lower the risks of natural disasters</w:t>
            </w:r>
            <w:r>
              <w:rPr>
                <w:bCs/>
                <w:sz w:val="16"/>
                <w:szCs w:val="16"/>
                <w:lang w:val="en-GB"/>
              </w:rPr>
              <w:t>,</w:t>
            </w:r>
            <w:r w:rsidR="00CC771F" w:rsidRPr="000708D6">
              <w:rPr>
                <w:bCs/>
                <w:sz w:val="16"/>
                <w:szCs w:val="16"/>
                <w:lang w:val="en-GB"/>
              </w:rPr>
              <w:t xml:space="preserve"> including from climate change</w:t>
            </w:r>
            <w:r>
              <w:rPr>
                <w:bCs/>
                <w:sz w:val="16"/>
                <w:szCs w:val="16"/>
                <w:lang w:val="en-GB"/>
              </w:rPr>
              <w:t>.</w:t>
            </w:r>
          </w:p>
        </w:tc>
      </w:tr>
      <w:tr w:rsidR="008A5D9C" w:rsidRPr="005C7E82" w14:paraId="7714BD77" w14:textId="77777777" w:rsidTr="00B00C6B">
        <w:trPr>
          <w:trHeight w:val="296"/>
        </w:trPr>
        <w:tc>
          <w:tcPr>
            <w:tcW w:w="1038" w:type="pct"/>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1B62CC05" w14:textId="6DD144C9" w:rsidR="005646A6" w:rsidRPr="005C7E82" w:rsidRDefault="0046101D" w:rsidP="004179BC">
            <w:pPr>
              <w:rPr>
                <w:iCs/>
                <w:sz w:val="16"/>
                <w:szCs w:val="16"/>
                <w:lang w:val="en-GB"/>
              </w:rPr>
            </w:pPr>
            <w:r w:rsidRPr="005C7E82">
              <w:rPr>
                <w:b/>
                <w:iCs/>
                <w:sz w:val="16"/>
                <w:szCs w:val="16"/>
                <w:lang w:val="en-GB"/>
              </w:rPr>
              <w:t>Indicator</w:t>
            </w:r>
            <w:r w:rsidR="00280AF0">
              <w:rPr>
                <w:b/>
                <w:iCs/>
                <w:sz w:val="16"/>
                <w:szCs w:val="16"/>
                <w:lang w:val="en-GB"/>
              </w:rPr>
              <w:t>:</w:t>
            </w:r>
            <w:r w:rsidRPr="005C7E82">
              <w:rPr>
                <w:iCs/>
                <w:sz w:val="16"/>
                <w:szCs w:val="16"/>
                <w:lang w:val="en-GB"/>
              </w:rPr>
              <w:t xml:space="preserve"> </w:t>
            </w:r>
            <w:r w:rsidR="005646A6" w:rsidRPr="002807FF">
              <w:rPr>
                <w:iCs/>
                <w:sz w:val="16"/>
                <w:szCs w:val="16"/>
                <w:lang w:val="en-GB"/>
              </w:rPr>
              <w:t xml:space="preserve">Number </w:t>
            </w:r>
            <w:r w:rsidR="00592B5E" w:rsidRPr="005C7E82">
              <w:rPr>
                <w:iCs/>
                <w:sz w:val="16"/>
                <w:szCs w:val="16"/>
                <w:lang w:val="en-GB"/>
              </w:rPr>
              <w:t xml:space="preserve">of </w:t>
            </w:r>
            <w:r w:rsidR="00280AF0">
              <w:rPr>
                <w:iCs/>
                <w:sz w:val="16"/>
                <w:szCs w:val="16"/>
                <w:lang w:val="en-GB"/>
              </w:rPr>
              <w:t>n</w:t>
            </w:r>
            <w:r w:rsidR="005646A6" w:rsidRPr="005C7E82">
              <w:rPr>
                <w:iCs/>
                <w:sz w:val="16"/>
                <w:szCs w:val="16"/>
                <w:lang w:val="en-GB"/>
              </w:rPr>
              <w:t xml:space="preserve">ational </w:t>
            </w:r>
            <w:r w:rsidR="00280AF0">
              <w:rPr>
                <w:iCs/>
                <w:sz w:val="16"/>
                <w:szCs w:val="16"/>
                <w:lang w:val="en-GB"/>
              </w:rPr>
              <w:t>a</w:t>
            </w:r>
            <w:r w:rsidR="005646A6" w:rsidRPr="005C7E82">
              <w:rPr>
                <w:iCs/>
                <w:sz w:val="16"/>
                <w:szCs w:val="16"/>
                <w:lang w:val="en-GB"/>
              </w:rPr>
              <w:t xml:space="preserve">daptation </w:t>
            </w:r>
            <w:r w:rsidR="00280AF0">
              <w:rPr>
                <w:iCs/>
                <w:sz w:val="16"/>
                <w:szCs w:val="16"/>
                <w:lang w:val="en-GB"/>
              </w:rPr>
              <w:t>p</w:t>
            </w:r>
            <w:r w:rsidR="00C25EF7" w:rsidRPr="005C7E82">
              <w:rPr>
                <w:iCs/>
                <w:sz w:val="16"/>
                <w:szCs w:val="16"/>
                <w:lang w:val="en-GB"/>
              </w:rPr>
              <w:t>lans or</w:t>
            </w:r>
            <w:r w:rsidR="00206E73" w:rsidRPr="005C7E82">
              <w:rPr>
                <w:iCs/>
                <w:sz w:val="16"/>
                <w:szCs w:val="16"/>
                <w:lang w:val="en-GB"/>
              </w:rPr>
              <w:t xml:space="preserve"> </w:t>
            </w:r>
            <w:r w:rsidR="00280AF0">
              <w:rPr>
                <w:iCs/>
                <w:sz w:val="16"/>
                <w:szCs w:val="16"/>
                <w:lang w:val="en-GB"/>
              </w:rPr>
              <w:t>d</w:t>
            </w:r>
            <w:r w:rsidR="00206E73" w:rsidRPr="005C7E82">
              <w:rPr>
                <w:iCs/>
                <w:sz w:val="16"/>
                <w:szCs w:val="16"/>
                <w:lang w:val="en-GB"/>
              </w:rPr>
              <w:t xml:space="preserve">isaster </w:t>
            </w:r>
            <w:r w:rsidR="00280AF0">
              <w:rPr>
                <w:iCs/>
                <w:sz w:val="16"/>
                <w:szCs w:val="16"/>
                <w:lang w:val="en-GB"/>
              </w:rPr>
              <w:t>r</w:t>
            </w:r>
            <w:r w:rsidR="00206E73" w:rsidRPr="005C7E82">
              <w:rPr>
                <w:iCs/>
                <w:sz w:val="16"/>
                <w:szCs w:val="16"/>
                <w:lang w:val="en-GB"/>
              </w:rPr>
              <w:t xml:space="preserve">isk </w:t>
            </w:r>
            <w:r w:rsidR="00280AF0">
              <w:rPr>
                <w:iCs/>
                <w:sz w:val="16"/>
                <w:szCs w:val="16"/>
                <w:lang w:val="en-GB"/>
              </w:rPr>
              <w:t>r</w:t>
            </w:r>
            <w:r w:rsidR="00206E73" w:rsidRPr="005C7E82">
              <w:rPr>
                <w:iCs/>
                <w:sz w:val="16"/>
                <w:szCs w:val="16"/>
                <w:lang w:val="en-GB"/>
              </w:rPr>
              <w:t xml:space="preserve">eduction and </w:t>
            </w:r>
            <w:r w:rsidR="00280AF0">
              <w:rPr>
                <w:iCs/>
                <w:sz w:val="16"/>
                <w:szCs w:val="16"/>
                <w:lang w:val="en-GB"/>
              </w:rPr>
              <w:t>c</w:t>
            </w:r>
            <w:r w:rsidR="00206E73" w:rsidRPr="005C7E82">
              <w:rPr>
                <w:iCs/>
                <w:sz w:val="16"/>
                <w:szCs w:val="16"/>
                <w:lang w:val="en-GB"/>
              </w:rPr>
              <w:t>limate</w:t>
            </w:r>
            <w:r w:rsidR="00280AF0">
              <w:rPr>
                <w:iCs/>
                <w:sz w:val="16"/>
                <w:szCs w:val="16"/>
                <w:lang w:val="en-GB"/>
              </w:rPr>
              <w:t>-r</w:t>
            </w:r>
            <w:r w:rsidR="00206E73" w:rsidRPr="005C7E82">
              <w:rPr>
                <w:iCs/>
                <w:sz w:val="16"/>
                <w:szCs w:val="16"/>
                <w:lang w:val="en-GB"/>
              </w:rPr>
              <w:t xml:space="preserve">esilient strategies under implementation. </w:t>
            </w:r>
          </w:p>
          <w:p w14:paraId="38398D45" w14:textId="77777777" w:rsidR="0046101D" w:rsidRPr="005C7E82" w:rsidRDefault="005646A6" w:rsidP="004179BC">
            <w:pPr>
              <w:rPr>
                <w:b/>
                <w:bCs/>
                <w:sz w:val="16"/>
                <w:szCs w:val="16"/>
                <w:lang w:val="en-GB"/>
              </w:rPr>
            </w:pPr>
            <w:r w:rsidRPr="005C7E82">
              <w:rPr>
                <w:b/>
                <w:iCs/>
                <w:sz w:val="16"/>
                <w:szCs w:val="16"/>
                <w:lang w:val="en-GB"/>
              </w:rPr>
              <w:t>B</w:t>
            </w:r>
            <w:r w:rsidR="0046101D" w:rsidRPr="005C7E82">
              <w:rPr>
                <w:b/>
                <w:iCs/>
                <w:sz w:val="16"/>
                <w:szCs w:val="16"/>
                <w:lang w:val="en-GB"/>
              </w:rPr>
              <w:t>aseline</w:t>
            </w:r>
            <w:r w:rsidR="0046101D" w:rsidRPr="005C7E82">
              <w:rPr>
                <w:iCs/>
                <w:sz w:val="16"/>
                <w:szCs w:val="16"/>
                <w:lang w:val="en-GB"/>
              </w:rPr>
              <w:t xml:space="preserve">: </w:t>
            </w:r>
            <w:r w:rsidR="00ED6CFD" w:rsidRPr="005C7E82">
              <w:rPr>
                <w:iCs/>
                <w:sz w:val="16"/>
                <w:szCs w:val="16"/>
                <w:lang w:val="en-GB"/>
              </w:rPr>
              <w:t>1</w:t>
            </w:r>
          </w:p>
          <w:p w14:paraId="12ED656A" w14:textId="77777777" w:rsidR="0046101D" w:rsidRPr="005C7E82" w:rsidRDefault="0046101D" w:rsidP="004179BC">
            <w:pPr>
              <w:rPr>
                <w:iCs/>
                <w:sz w:val="16"/>
                <w:szCs w:val="16"/>
                <w:lang w:val="en-GB"/>
              </w:rPr>
            </w:pPr>
            <w:r w:rsidRPr="005C7E82">
              <w:rPr>
                <w:b/>
                <w:bCs/>
                <w:sz w:val="16"/>
                <w:szCs w:val="16"/>
                <w:lang w:val="en-GB"/>
              </w:rPr>
              <w:lastRenderedPageBreak/>
              <w:t>Target</w:t>
            </w:r>
            <w:r w:rsidRPr="005C7E82">
              <w:rPr>
                <w:bCs/>
                <w:sz w:val="16"/>
                <w:szCs w:val="16"/>
                <w:lang w:val="en-GB"/>
              </w:rPr>
              <w:t>:</w:t>
            </w:r>
            <w:r w:rsidRPr="005C7E82">
              <w:rPr>
                <w:iCs/>
                <w:sz w:val="16"/>
                <w:szCs w:val="16"/>
                <w:lang w:val="en-GB"/>
              </w:rPr>
              <w:t xml:space="preserve"> </w:t>
            </w:r>
            <w:r w:rsidR="00ED6CFD" w:rsidRPr="005C7E82">
              <w:rPr>
                <w:iCs/>
                <w:sz w:val="16"/>
                <w:szCs w:val="16"/>
                <w:lang w:val="en-GB"/>
              </w:rPr>
              <w:t>3</w:t>
            </w:r>
          </w:p>
          <w:p w14:paraId="2D042A97" w14:textId="77777777" w:rsidR="00ED6CFD" w:rsidRPr="005C7E82" w:rsidRDefault="00ED6CFD" w:rsidP="004179BC">
            <w:pPr>
              <w:rPr>
                <w:iCs/>
                <w:sz w:val="16"/>
                <w:szCs w:val="16"/>
                <w:lang w:val="en-GB"/>
              </w:rPr>
            </w:pPr>
          </w:p>
          <w:p w14:paraId="13E2C0F8" w14:textId="1048D4E0" w:rsidR="00ED6CFD" w:rsidRPr="005C7E82" w:rsidRDefault="00ED6CFD" w:rsidP="00ED6CFD">
            <w:pPr>
              <w:rPr>
                <w:iCs/>
                <w:sz w:val="16"/>
                <w:szCs w:val="16"/>
                <w:highlight w:val="yellow"/>
                <w:lang w:val="en-GB"/>
              </w:rPr>
            </w:pPr>
            <w:r w:rsidRPr="005C7E82">
              <w:rPr>
                <w:b/>
                <w:iCs/>
                <w:sz w:val="16"/>
                <w:szCs w:val="16"/>
                <w:lang w:val="en-GB"/>
              </w:rPr>
              <w:t>Indicator</w:t>
            </w:r>
            <w:r w:rsidRPr="005C7E82">
              <w:rPr>
                <w:iCs/>
                <w:sz w:val="16"/>
                <w:szCs w:val="16"/>
                <w:lang w:val="en-GB"/>
              </w:rPr>
              <w:t>:  Number of strategies that address climate change in relevant planning documents and processes</w:t>
            </w:r>
            <w:r w:rsidR="00221433" w:rsidRPr="005C7E82">
              <w:rPr>
                <w:iCs/>
                <w:sz w:val="16"/>
                <w:szCs w:val="16"/>
                <w:lang w:val="en-GB"/>
              </w:rPr>
              <w:t xml:space="preserve">. </w:t>
            </w:r>
            <w:r w:rsidRPr="005C7E82">
              <w:rPr>
                <w:iCs/>
                <w:sz w:val="16"/>
                <w:szCs w:val="16"/>
                <w:lang w:val="en-GB"/>
              </w:rPr>
              <w:t xml:space="preserve">      B</w:t>
            </w:r>
            <w:r w:rsidRPr="005C7E82">
              <w:rPr>
                <w:b/>
                <w:iCs/>
                <w:sz w:val="16"/>
                <w:szCs w:val="16"/>
                <w:lang w:val="en-GB"/>
              </w:rPr>
              <w:t>aseline</w:t>
            </w:r>
            <w:r w:rsidRPr="005C7E82">
              <w:rPr>
                <w:iCs/>
                <w:sz w:val="16"/>
                <w:szCs w:val="16"/>
                <w:lang w:val="en-GB"/>
              </w:rPr>
              <w:t>: 0</w:t>
            </w:r>
          </w:p>
          <w:p w14:paraId="7D11A2F6" w14:textId="77777777" w:rsidR="008A5D9C" w:rsidRPr="005C7E82" w:rsidRDefault="00ED6CFD" w:rsidP="00CD01C1">
            <w:pPr>
              <w:rPr>
                <w:iCs/>
                <w:sz w:val="16"/>
                <w:szCs w:val="16"/>
                <w:highlight w:val="yellow"/>
                <w:lang w:val="en-GB"/>
              </w:rPr>
            </w:pPr>
            <w:r w:rsidRPr="005C7E82">
              <w:rPr>
                <w:b/>
                <w:bCs/>
                <w:sz w:val="16"/>
                <w:szCs w:val="16"/>
                <w:lang w:val="en-GB"/>
              </w:rPr>
              <w:t>Target</w:t>
            </w:r>
            <w:r w:rsidRPr="005C7E82">
              <w:rPr>
                <w:bCs/>
                <w:sz w:val="16"/>
                <w:szCs w:val="16"/>
                <w:lang w:val="en-GB"/>
              </w:rPr>
              <w:t>:</w:t>
            </w:r>
            <w:r w:rsidRPr="005C7E82">
              <w:rPr>
                <w:iCs/>
                <w:sz w:val="16"/>
                <w:szCs w:val="16"/>
                <w:lang w:val="en-GB"/>
              </w:rPr>
              <w:t xml:space="preserve"> 4</w:t>
            </w:r>
          </w:p>
        </w:tc>
        <w:tc>
          <w:tcPr>
            <w:tcW w:w="592" w:type="pct"/>
            <w:vMerge w:val="restart"/>
            <w:tcBorders>
              <w:top w:val="single" w:sz="4" w:space="0" w:color="auto"/>
              <w:bottom w:val="single" w:sz="4" w:space="0" w:color="auto"/>
            </w:tcBorders>
          </w:tcPr>
          <w:p w14:paraId="28A5B267" w14:textId="076E3212" w:rsidR="004D2B14" w:rsidRPr="005C7E82" w:rsidRDefault="00280AF0" w:rsidP="004D2B14">
            <w:pPr>
              <w:rPr>
                <w:bCs/>
                <w:sz w:val="16"/>
                <w:szCs w:val="16"/>
                <w:lang w:val="en-GB"/>
              </w:rPr>
            </w:pPr>
            <w:r>
              <w:rPr>
                <w:b/>
                <w:bCs/>
                <w:sz w:val="16"/>
                <w:szCs w:val="16"/>
                <w:lang w:val="en-GB"/>
              </w:rPr>
              <w:lastRenderedPageBreak/>
              <w:t>Source:</w:t>
            </w:r>
            <w:r w:rsidR="00ED6CFD" w:rsidRPr="005C7E82">
              <w:rPr>
                <w:bCs/>
                <w:sz w:val="16"/>
                <w:szCs w:val="16"/>
                <w:lang w:val="en-GB"/>
              </w:rPr>
              <w:t xml:space="preserve"> </w:t>
            </w:r>
            <w:r>
              <w:rPr>
                <w:bCs/>
                <w:sz w:val="16"/>
                <w:szCs w:val="16"/>
                <w:lang w:val="en-GB"/>
              </w:rPr>
              <w:t>a</w:t>
            </w:r>
            <w:r w:rsidR="00D64B78" w:rsidRPr="005C7E82">
              <w:rPr>
                <w:bCs/>
                <w:sz w:val="16"/>
                <w:szCs w:val="16"/>
                <w:lang w:val="en-GB"/>
              </w:rPr>
              <w:t xml:space="preserve">ll </w:t>
            </w:r>
            <w:r>
              <w:rPr>
                <w:bCs/>
                <w:sz w:val="16"/>
                <w:szCs w:val="16"/>
                <w:lang w:val="en-GB"/>
              </w:rPr>
              <w:t>m</w:t>
            </w:r>
            <w:r w:rsidR="00ED6CFD" w:rsidRPr="005C7E82">
              <w:rPr>
                <w:bCs/>
                <w:sz w:val="16"/>
                <w:szCs w:val="16"/>
                <w:lang w:val="en-GB"/>
              </w:rPr>
              <w:t>inistries</w:t>
            </w:r>
          </w:p>
          <w:p w14:paraId="77B9D6C8" w14:textId="7359BF1D" w:rsidR="004D2B14" w:rsidRPr="005C7E82" w:rsidRDefault="00280AF0" w:rsidP="004D2B14">
            <w:pPr>
              <w:rPr>
                <w:bCs/>
                <w:sz w:val="16"/>
                <w:szCs w:val="16"/>
                <w:lang w:val="en-GB"/>
              </w:rPr>
            </w:pPr>
            <w:r>
              <w:rPr>
                <w:b/>
                <w:bCs/>
                <w:sz w:val="16"/>
                <w:szCs w:val="16"/>
                <w:lang w:val="en-GB"/>
              </w:rPr>
              <w:t>Frequency:</w:t>
            </w:r>
            <w:r w:rsidR="00ED6CFD" w:rsidRPr="005C7E82">
              <w:rPr>
                <w:bCs/>
                <w:sz w:val="16"/>
                <w:szCs w:val="16"/>
                <w:lang w:val="en-GB"/>
              </w:rPr>
              <w:t xml:space="preserve"> </w:t>
            </w:r>
            <w:r>
              <w:rPr>
                <w:bCs/>
                <w:sz w:val="16"/>
                <w:szCs w:val="16"/>
                <w:lang w:val="en-GB"/>
              </w:rPr>
              <w:t>b</w:t>
            </w:r>
            <w:r w:rsidR="00ED6CFD" w:rsidRPr="005C7E82">
              <w:rPr>
                <w:bCs/>
                <w:sz w:val="16"/>
                <w:szCs w:val="16"/>
                <w:lang w:val="en-GB"/>
              </w:rPr>
              <w:t>iannual</w:t>
            </w:r>
          </w:p>
          <w:p w14:paraId="2F71ADCB" w14:textId="3B8DA7A3" w:rsidR="004D2B14" w:rsidRPr="005C7E82" w:rsidRDefault="00264A69" w:rsidP="004B5A2C">
            <w:pPr>
              <w:rPr>
                <w:bCs/>
                <w:sz w:val="16"/>
                <w:szCs w:val="16"/>
                <w:lang w:val="en-GB"/>
              </w:rPr>
            </w:pPr>
            <w:r>
              <w:rPr>
                <w:b/>
                <w:bCs/>
                <w:sz w:val="16"/>
                <w:szCs w:val="16"/>
                <w:lang w:val="en-GB"/>
              </w:rPr>
              <w:t>Responsibilities:</w:t>
            </w:r>
            <w:r w:rsidR="00ED6CFD" w:rsidRPr="005C7E82">
              <w:rPr>
                <w:bCs/>
                <w:sz w:val="16"/>
                <w:szCs w:val="16"/>
                <w:lang w:val="en-GB"/>
              </w:rPr>
              <w:t xml:space="preserve"> MNS</w:t>
            </w:r>
            <w:r w:rsidR="00EA0615">
              <w:rPr>
                <w:bCs/>
                <w:sz w:val="16"/>
                <w:szCs w:val="16"/>
                <w:lang w:val="en-GB"/>
              </w:rPr>
              <w:t>,</w:t>
            </w:r>
            <w:r w:rsidR="00EA0615" w:rsidRPr="00A56C57">
              <w:rPr>
                <w:lang w:val="en-GB"/>
              </w:rPr>
              <w:t xml:space="preserve"> </w:t>
            </w:r>
            <w:r w:rsidR="00EA0615" w:rsidRPr="000708D6">
              <w:rPr>
                <w:bCs/>
                <w:sz w:val="16"/>
                <w:szCs w:val="16"/>
                <w:lang w:val="en-GB"/>
              </w:rPr>
              <w:t xml:space="preserve">Office of </w:t>
            </w:r>
            <w:r w:rsidR="00EA0615" w:rsidRPr="000708D6">
              <w:rPr>
                <w:bCs/>
                <w:sz w:val="16"/>
                <w:szCs w:val="16"/>
                <w:lang w:val="en-GB"/>
              </w:rPr>
              <w:lastRenderedPageBreak/>
              <w:t>Disaster Preparedness Management</w:t>
            </w:r>
            <w:r>
              <w:rPr>
                <w:bCs/>
                <w:sz w:val="16"/>
                <w:szCs w:val="16"/>
                <w:lang w:val="en-GB"/>
              </w:rPr>
              <w:t>,</w:t>
            </w:r>
            <w:r w:rsidR="00ED6CFD" w:rsidRPr="005C7E82">
              <w:rPr>
                <w:bCs/>
                <w:sz w:val="16"/>
                <w:szCs w:val="16"/>
                <w:lang w:val="en-GB"/>
              </w:rPr>
              <w:t xml:space="preserve"> MPD</w:t>
            </w:r>
          </w:p>
          <w:p w14:paraId="37251765" w14:textId="77777777" w:rsidR="004D2B14" w:rsidRPr="000708D6" w:rsidRDefault="004D2B14" w:rsidP="004B5A2C">
            <w:pPr>
              <w:rPr>
                <w:bCs/>
                <w:sz w:val="16"/>
                <w:szCs w:val="16"/>
                <w:lang w:val="en-GB"/>
              </w:rPr>
            </w:pPr>
          </w:p>
          <w:p w14:paraId="24FF3E95" w14:textId="77777777" w:rsidR="004D2B14" w:rsidRPr="000708D6" w:rsidRDefault="004D2B14" w:rsidP="004B5A2C">
            <w:pPr>
              <w:rPr>
                <w:bCs/>
                <w:sz w:val="16"/>
                <w:szCs w:val="16"/>
                <w:lang w:val="en-GB"/>
              </w:rPr>
            </w:pPr>
          </w:p>
          <w:p w14:paraId="6F109924" w14:textId="77777777" w:rsidR="00652EFC" w:rsidRPr="000708D6" w:rsidRDefault="00652EFC" w:rsidP="004B5A2C">
            <w:pPr>
              <w:rPr>
                <w:bCs/>
                <w:sz w:val="16"/>
                <w:szCs w:val="16"/>
                <w:lang w:val="en-GB"/>
              </w:rPr>
            </w:pPr>
          </w:p>
          <w:p w14:paraId="6ACFF110" w14:textId="77777777" w:rsidR="00ED6CFD" w:rsidRPr="000708D6" w:rsidRDefault="00ED6CFD" w:rsidP="004B5A2C">
            <w:pPr>
              <w:rPr>
                <w:bCs/>
                <w:sz w:val="16"/>
                <w:szCs w:val="16"/>
                <w:lang w:val="en-GB"/>
              </w:rPr>
            </w:pPr>
          </w:p>
          <w:p w14:paraId="465FDDBC" w14:textId="77777777" w:rsidR="00A4124E" w:rsidRPr="000708D6" w:rsidRDefault="00A4124E" w:rsidP="004B5A2C">
            <w:pPr>
              <w:rPr>
                <w:bCs/>
                <w:sz w:val="16"/>
                <w:szCs w:val="16"/>
                <w:lang w:val="en-GB"/>
              </w:rPr>
            </w:pPr>
          </w:p>
          <w:p w14:paraId="66CA56ED" w14:textId="41474F54" w:rsidR="00ED6CFD" w:rsidRPr="002807FF" w:rsidRDefault="00264A69" w:rsidP="00ED6CFD">
            <w:pPr>
              <w:rPr>
                <w:bCs/>
                <w:sz w:val="16"/>
                <w:szCs w:val="16"/>
                <w:lang w:val="en-GB"/>
              </w:rPr>
            </w:pPr>
            <w:r>
              <w:rPr>
                <w:b/>
                <w:bCs/>
                <w:sz w:val="16"/>
                <w:szCs w:val="16"/>
                <w:lang w:val="en-GB"/>
              </w:rPr>
              <w:t>Source:</w:t>
            </w:r>
            <w:r w:rsidR="00ED6CFD" w:rsidRPr="005C7E82">
              <w:rPr>
                <w:bCs/>
                <w:sz w:val="16"/>
                <w:szCs w:val="16"/>
                <w:lang w:val="en-GB"/>
              </w:rPr>
              <w:t xml:space="preserve"> </w:t>
            </w:r>
            <w:r>
              <w:rPr>
                <w:bCs/>
                <w:sz w:val="16"/>
                <w:szCs w:val="16"/>
                <w:lang w:val="en-GB"/>
              </w:rPr>
              <w:t>a</w:t>
            </w:r>
            <w:r w:rsidR="00D64B78" w:rsidRPr="005C7E82">
              <w:rPr>
                <w:bCs/>
                <w:sz w:val="16"/>
                <w:szCs w:val="16"/>
                <w:lang w:val="en-GB"/>
              </w:rPr>
              <w:t xml:space="preserve">ll </w:t>
            </w:r>
            <w:r>
              <w:rPr>
                <w:bCs/>
                <w:sz w:val="16"/>
                <w:szCs w:val="16"/>
                <w:lang w:val="en-GB"/>
              </w:rPr>
              <w:t>m</w:t>
            </w:r>
            <w:r w:rsidR="00ED6CFD" w:rsidRPr="002807FF">
              <w:rPr>
                <w:bCs/>
                <w:sz w:val="16"/>
                <w:szCs w:val="16"/>
                <w:lang w:val="en-GB"/>
              </w:rPr>
              <w:t>inistries</w:t>
            </w:r>
          </w:p>
          <w:p w14:paraId="7B75B5EF" w14:textId="7B423882" w:rsidR="00ED6CFD" w:rsidRPr="005C7E82" w:rsidRDefault="00264A69" w:rsidP="00ED6CFD">
            <w:pPr>
              <w:rPr>
                <w:bCs/>
                <w:sz w:val="16"/>
                <w:szCs w:val="16"/>
                <w:lang w:val="en-GB"/>
              </w:rPr>
            </w:pPr>
            <w:r>
              <w:rPr>
                <w:b/>
                <w:bCs/>
                <w:sz w:val="16"/>
                <w:szCs w:val="16"/>
                <w:lang w:val="en-GB"/>
              </w:rPr>
              <w:t>Frequency:</w:t>
            </w:r>
            <w:r w:rsidR="00ED6CFD" w:rsidRPr="005C7E82">
              <w:rPr>
                <w:bCs/>
                <w:sz w:val="16"/>
                <w:szCs w:val="16"/>
                <w:lang w:val="en-GB"/>
              </w:rPr>
              <w:t xml:space="preserve"> </w:t>
            </w:r>
            <w:r>
              <w:rPr>
                <w:bCs/>
                <w:sz w:val="16"/>
                <w:szCs w:val="16"/>
                <w:lang w:val="en-GB"/>
              </w:rPr>
              <w:t>b</w:t>
            </w:r>
            <w:r w:rsidR="00ED6CFD" w:rsidRPr="005C7E82">
              <w:rPr>
                <w:bCs/>
                <w:sz w:val="16"/>
                <w:szCs w:val="16"/>
                <w:lang w:val="en-GB"/>
              </w:rPr>
              <w:t>iannual</w:t>
            </w:r>
          </w:p>
          <w:p w14:paraId="6DD18AFB" w14:textId="367EC053" w:rsidR="00A4124E" w:rsidRPr="005C7E82" w:rsidRDefault="006870EF" w:rsidP="00A4124E">
            <w:pPr>
              <w:rPr>
                <w:bCs/>
                <w:sz w:val="16"/>
                <w:szCs w:val="16"/>
                <w:lang w:val="en-GB"/>
              </w:rPr>
            </w:pPr>
            <w:r>
              <w:rPr>
                <w:b/>
                <w:bCs/>
                <w:sz w:val="16"/>
                <w:szCs w:val="16"/>
                <w:lang w:val="en-GB"/>
              </w:rPr>
              <w:t>Responsibili</w:t>
            </w:r>
            <w:r w:rsidR="00264A69">
              <w:rPr>
                <w:b/>
                <w:bCs/>
                <w:sz w:val="16"/>
                <w:szCs w:val="16"/>
                <w:lang w:val="en-GB"/>
              </w:rPr>
              <w:t>ty:</w:t>
            </w:r>
            <w:r w:rsidR="00ED6CFD" w:rsidRPr="005C7E82">
              <w:rPr>
                <w:bCs/>
                <w:sz w:val="16"/>
                <w:szCs w:val="16"/>
                <w:lang w:val="en-GB"/>
              </w:rPr>
              <w:t xml:space="preserve"> MPD</w:t>
            </w:r>
          </w:p>
        </w:tc>
        <w:tc>
          <w:tcPr>
            <w:tcW w:w="1872" w:type="pct"/>
            <w:vMerge w:val="restart"/>
            <w:tcBorders>
              <w:top w:val="single" w:sz="4" w:space="0" w:color="auto"/>
              <w:bottom w:val="single" w:sz="4" w:space="0" w:color="auto"/>
            </w:tcBorders>
            <w:tcMar>
              <w:top w:w="72" w:type="dxa"/>
              <w:left w:w="144" w:type="dxa"/>
              <w:bottom w:w="72" w:type="dxa"/>
              <w:right w:w="144" w:type="dxa"/>
            </w:tcMar>
          </w:tcPr>
          <w:p w14:paraId="1ACDB473" w14:textId="4E6F4A1F" w:rsidR="00825DAE" w:rsidRPr="000708D6" w:rsidRDefault="00847B21" w:rsidP="000708D6">
            <w:pPr>
              <w:tabs>
                <w:tab w:val="left" w:pos="0"/>
                <w:tab w:val="left" w:pos="160"/>
              </w:tabs>
              <w:spacing w:after="60"/>
              <w:ind w:hanging="374"/>
              <w:jc w:val="both"/>
              <w:rPr>
                <w:b/>
                <w:iCs/>
                <w:sz w:val="16"/>
                <w:szCs w:val="16"/>
                <w:lang w:val="en-GB"/>
              </w:rPr>
            </w:pPr>
            <w:r w:rsidRPr="000708D6">
              <w:rPr>
                <w:b/>
                <w:iCs/>
                <w:sz w:val="16"/>
                <w:szCs w:val="16"/>
                <w:lang w:val="en-GB"/>
              </w:rPr>
              <w:lastRenderedPageBreak/>
              <w:t xml:space="preserve">4.1 </w:t>
            </w:r>
            <w:r w:rsidR="00264A69">
              <w:rPr>
                <w:b/>
                <w:iCs/>
                <w:sz w:val="16"/>
                <w:szCs w:val="16"/>
                <w:lang w:val="en-GB"/>
              </w:rPr>
              <w:t xml:space="preserve"> 4.1. </w:t>
            </w:r>
            <w:r w:rsidR="00812EB1" w:rsidRPr="000708D6">
              <w:rPr>
                <w:b/>
                <w:iCs/>
                <w:sz w:val="16"/>
                <w:szCs w:val="16"/>
                <w:lang w:val="en-GB"/>
              </w:rPr>
              <w:t>Disaster risk reduction</w:t>
            </w:r>
            <w:r w:rsidR="00825DAE" w:rsidRPr="000708D6">
              <w:rPr>
                <w:b/>
                <w:iCs/>
                <w:sz w:val="16"/>
                <w:szCs w:val="16"/>
                <w:lang w:val="en-GB"/>
              </w:rPr>
              <w:t xml:space="preserve"> </w:t>
            </w:r>
            <w:r w:rsidR="007F7111" w:rsidRPr="000708D6">
              <w:rPr>
                <w:b/>
                <w:iCs/>
                <w:sz w:val="16"/>
                <w:szCs w:val="16"/>
                <w:lang w:val="en-GB"/>
              </w:rPr>
              <w:t>approach</w:t>
            </w:r>
            <w:r w:rsidR="002A334C" w:rsidRPr="000708D6">
              <w:rPr>
                <w:b/>
                <w:iCs/>
                <w:sz w:val="16"/>
                <w:szCs w:val="16"/>
                <w:lang w:val="en-GB"/>
              </w:rPr>
              <w:t xml:space="preserve">es </w:t>
            </w:r>
            <w:r w:rsidR="00825DAE" w:rsidRPr="000708D6">
              <w:rPr>
                <w:b/>
                <w:iCs/>
                <w:sz w:val="16"/>
                <w:szCs w:val="16"/>
                <w:lang w:val="en-GB"/>
              </w:rPr>
              <w:t>integrated into relevant</w:t>
            </w:r>
            <w:r w:rsidR="002A334C" w:rsidRPr="000708D6">
              <w:rPr>
                <w:b/>
                <w:iCs/>
                <w:sz w:val="16"/>
                <w:szCs w:val="16"/>
                <w:lang w:val="en-GB"/>
              </w:rPr>
              <w:t xml:space="preserve"> n</w:t>
            </w:r>
            <w:r w:rsidR="00825DAE" w:rsidRPr="000708D6">
              <w:rPr>
                <w:b/>
                <w:iCs/>
                <w:sz w:val="16"/>
                <w:szCs w:val="16"/>
                <w:lang w:val="en-GB"/>
              </w:rPr>
              <w:t>ational, sectoral and community</w:t>
            </w:r>
            <w:r w:rsidR="00264A69">
              <w:rPr>
                <w:b/>
                <w:iCs/>
                <w:sz w:val="16"/>
                <w:szCs w:val="16"/>
                <w:lang w:val="en-GB"/>
              </w:rPr>
              <w:t>-</w:t>
            </w:r>
            <w:r w:rsidR="00825DAE" w:rsidRPr="000708D6">
              <w:rPr>
                <w:b/>
                <w:iCs/>
                <w:sz w:val="16"/>
                <w:szCs w:val="16"/>
                <w:lang w:val="en-GB"/>
              </w:rPr>
              <w:t xml:space="preserve">based planning frameworks and processes. </w:t>
            </w:r>
          </w:p>
          <w:p w14:paraId="60905D97" w14:textId="7079A6AC" w:rsidR="00847B21" w:rsidRPr="000708D6" w:rsidRDefault="002620E8" w:rsidP="000708D6">
            <w:pPr>
              <w:tabs>
                <w:tab w:val="left" w:pos="0"/>
                <w:tab w:val="left" w:pos="160"/>
              </w:tabs>
              <w:jc w:val="both"/>
              <w:rPr>
                <w:iCs/>
                <w:sz w:val="16"/>
                <w:szCs w:val="16"/>
                <w:lang w:val="en-GB"/>
              </w:rPr>
            </w:pPr>
            <w:r w:rsidRPr="00A56C57">
              <w:rPr>
                <w:bCs/>
                <w:sz w:val="16"/>
                <w:szCs w:val="16"/>
                <w:lang w:val="en-GB"/>
              </w:rPr>
              <w:lastRenderedPageBreak/>
              <w:t xml:space="preserve">Indicator: </w:t>
            </w:r>
            <w:r w:rsidR="00BB74E6" w:rsidRPr="000708D6">
              <w:rPr>
                <w:iCs/>
                <w:sz w:val="16"/>
                <w:szCs w:val="16"/>
                <w:lang w:val="en-GB"/>
              </w:rPr>
              <w:t>Number of n</w:t>
            </w:r>
            <w:r w:rsidR="00825DAE" w:rsidRPr="000708D6">
              <w:rPr>
                <w:iCs/>
                <w:sz w:val="16"/>
                <w:szCs w:val="16"/>
                <w:lang w:val="en-GB"/>
              </w:rPr>
              <w:t xml:space="preserve">ew plans </w:t>
            </w:r>
            <w:r w:rsidR="00264A69">
              <w:rPr>
                <w:iCs/>
                <w:sz w:val="16"/>
                <w:szCs w:val="16"/>
                <w:lang w:val="en-GB"/>
              </w:rPr>
              <w:t>that</w:t>
            </w:r>
            <w:r w:rsidR="00264A69" w:rsidRPr="000708D6">
              <w:rPr>
                <w:iCs/>
                <w:sz w:val="16"/>
                <w:szCs w:val="16"/>
                <w:lang w:val="en-GB"/>
              </w:rPr>
              <w:t xml:space="preserve"> </w:t>
            </w:r>
            <w:r w:rsidR="00825DAE" w:rsidRPr="000708D6">
              <w:rPr>
                <w:iCs/>
                <w:sz w:val="16"/>
                <w:szCs w:val="16"/>
                <w:lang w:val="en-GB"/>
              </w:rPr>
              <w:t xml:space="preserve">integrate </w:t>
            </w:r>
            <w:r w:rsidR="00812EB1" w:rsidRPr="000708D6">
              <w:rPr>
                <w:iCs/>
                <w:sz w:val="16"/>
                <w:szCs w:val="16"/>
                <w:lang w:val="en-GB"/>
              </w:rPr>
              <w:t>disaster risk reduction</w:t>
            </w:r>
            <w:r w:rsidR="002A334C" w:rsidRPr="000708D6">
              <w:rPr>
                <w:iCs/>
                <w:sz w:val="16"/>
                <w:szCs w:val="16"/>
                <w:lang w:val="en-GB"/>
              </w:rPr>
              <w:t xml:space="preserve"> </w:t>
            </w:r>
            <w:r w:rsidR="007F7111" w:rsidRPr="000708D6">
              <w:rPr>
                <w:iCs/>
                <w:sz w:val="16"/>
                <w:szCs w:val="16"/>
                <w:lang w:val="en-GB"/>
              </w:rPr>
              <w:t>approach</w:t>
            </w:r>
            <w:r w:rsidR="002A334C" w:rsidRPr="000708D6">
              <w:rPr>
                <w:iCs/>
                <w:sz w:val="16"/>
                <w:szCs w:val="16"/>
                <w:lang w:val="en-GB"/>
              </w:rPr>
              <w:t>es</w:t>
            </w:r>
            <w:r w:rsidR="00032657" w:rsidRPr="000708D6">
              <w:rPr>
                <w:iCs/>
                <w:sz w:val="16"/>
                <w:szCs w:val="16"/>
                <w:lang w:val="en-GB"/>
              </w:rPr>
              <w:t xml:space="preserve"> in line with </w:t>
            </w:r>
            <w:r w:rsidR="007F23FB">
              <w:rPr>
                <w:iCs/>
                <w:sz w:val="16"/>
                <w:szCs w:val="16"/>
                <w:lang w:val="en-GB"/>
              </w:rPr>
              <w:t xml:space="preserve">the </w:t>
            </w:r>
            <w:r w:rsidR="00032657" w:rsidRPr="000708D6">
              <w:rPr>
                <w:iCs/>
                <w:sz w:val="16"/>
                <w:szCs w:val="16"/>
                <w:lang w:val="en-GB"/>
              </w:rPr>
              <w:t xml:space="preserve">Sendai </w:t>
            </w:r>
            <w:r w:rsidR="00264A69" w:rsidRPr="00AB0FE9">
              <w:rPr>
                <w:iCs/>
                <w:sz w:val="16"/>
                <w:szCs w:val="16"/>
                <w:lang w:val="en-GB"/>
              </w:rPr>
              <w:t>F</w:t>
            </w:r>
            <w:r w:rsidR="00032657" w:rsidRPr="000708D6">
              <w:rPr>
                <w:iCs/>
                <w:sz w:val="16"/>
                <w:szCs w:val="16"/>
                <w:lang w:val="en-GB"/>
              </w:rPr>
              <w:t>ramework</w:t>
            </w:r>
            <w:r w:rsidR="00825DAE" w:rsidRPr="000708D6">
              <w:rPr>
                <w:iCs/>
                <w:sz w:val="16"/>
                <w:szCs w:val="16"/>
                <w:lang w:val="en-GB"/>
              </w:rPr>
              <w:t>, including gender considerations</w:t>
            </w:r>
            <w:r w:rsidR="00264A69" w:rsidRPr="00264A69">
              <w:rPr>
                <w:iCs/>
                <w:sz w:val="16"/>
                <w:szCs w:val="16"/>
                <w:lang w:val="en-GB"/>
              </w:rPr>
              <w:t xml:space="preserve"> </w:t>
            </w:r>
            <w:r w:rsidR="00B63D4F" w:rsidRPr="000708D6">
              <w:rPr>
                <w:iCs/>
                <w:sz w:val="16"/>
                <w:szCs w:val="16"/>
                <w:lang w:val="en-GB"/>
              </w:rPr>
              <w:t>(SP</w:t>
            </w:r>
            <w:r w:rsidR="0062773F" w:rsidRPr="000708D6">
              <w:rPr>
                <w:iCs/>
                <w:sz w:val="16"/>
                <w:szCs w:val="16"/>
                <w:lang w:val="en-GB"/>
              </w:rPr>
              <w:t>I</w:t>
            </w:r>
            <w:r w:rsidR="00B63D4F" w:rsidRPr="000708D6">
              <w:rPr>
                <w:iCs/>
                <w:sz w:val="16"/>
                <w:szCs w:val="16"/>
                <w:lang w:val="en-GB"/>
              </w:rPr>
              <w:t xml:space="preserve"> 5.3.1)</w:t>
            </w:r>
          </w:p>
          <w:p w14:paraId="1D636471" w14:textId="3330EFFF" w:rsidR="00825DAE" w:rsidRPr="000708D6" w:rsidRDefault="00E90F9A" w:rsidP="00282AFA">
            <w:pPr>
              <w:tabs>
                <w:tab w:val="left" w:pos="0"/>
                <w:tab w:val="left" w:pos="160"/>
              </w:tabs>
              <w:ind w:left="484" w:hanging="380"/>
              <w:jc w:val="both"/>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Pr>
                <w:iCs/>
                <w:sz w:val="16"/>
                <w:szCs w:val="16"/>
                <w:lang w:val="en-GB"/>
              </w:rPr>
              <w:t xml:space="preserve"> </w:t>
            </w:r>
            <w:r w:rsidR="00825DAE" w:rsidRPr="000708D6">
              <w:rPr>
                <w:iCs/>
                <w:sz w:val="16"/>
                <w:szCs w:val="16"/>
                <w:lang w:val="en-GB"/>
              </w:rPr>
              <w:t>0</w:t>
            </w:r>
          </w:p>
          <w:p w14:paraId="0910FCD3" w14:textId="30B755DA" w:rsidR="00825DAE" w:rsidRPr="000708D6" w:rsidRDefault="00E90F9A" w:rsidP="00282AFA">
            <w:pPr>
              <w:tabs>
                <w:tab w:val="left" w:pos="0"/>
                <w:tab w:val="left" w:pos="160"/>
              </w:tabs>
              <w:ind w:left="484" w:hanging="380"/>
              <w:jc w:val="both"/>
              <w:rPr>
                <w:iCs/>
                <w:sz w:val="16"/>
                <w:szCs w:val="16"/>
                <w:lang w:val="en-GB"/>
              </w:rPr>
            </w:pPr>
            <w:r>
              <w:rPr>
                <w:iCs/>
                <w:sz w:val="16"/>
                <w:szCs w:val="16"/>
                <w:lang w:val="en-GB"/>
              </w:rPr>
              <w:t xml:space="preserve">Target: </w:t>
            </w:r>
            <w:r w:rsidR="00825DAE" w:rsidRPr="000708D6">
              <w:rPr>
                <w:iCs/>
                <w:sz w:val="16"/>
                <w:szCs w:val="16"/>
                <w:lang w:val="en-GB"/>
              </w:rPr>
              <w:t>4</w:t>
            </w:r>
          </w:p>
          <w:p w14:paraId="6BBFDFD9" w14:textId="65E04AA8" w:rsidR="00825DAE" w:rsidRPr="000708D6" w:rsidRDefault="00825DAE" w:rsidP="000708D6">
            <w:pPr>
              <w:tabs>
                <w:tab w:val="left" w:pos="0"/>
                <w:tab w:val="left" w:pos="160"/>
              </w:tabs>
              <w:ind w:left="484" w:hanging="374"/>
              <w:jc w:val="both"/>
              <w:rPr>
                <w:iCs/>
                <w:sz w:val="16"/>
                <w:szCs w:val="16"/>
                <w:lang w:val="en-GB"/>
              </w:rPr>
            </w:pPr>
            <w:r w:rsidRPr="000708D6">
              <w:rPr>
                <w:iCs/>
                <w:sz w:val="16"/>
                <w:szCs w:val="16"/>
                <w:lang w:val="en-GB"/>
              </w:rPr>
              <w:t>Ministries</w:t>
            </w:r>
            <w:r w:rsidR="0062773F" w:rsidRPr="000708D6">
              <w:rPr>
                <w:iCs/>
                <w:sz w:val="16"/>
                <w:szCs w:val="16"/>
                <w:lang w:val="en-GB"/>
              </w:rPr>
              <w:t xml:space="preserve">, </w:t>
            </w:r>
            <w:r w:rsidR="00264A69">
              <w:rPr>
                <w:iCs/>
                <w:sz w:val="16"/>
                <w:szCs w:val="16"/>
                <w:lang w:val="en-GB"/>
              </w:rPr>
              <w:t>b</w:t>
            </w:r>
            <w:r w:rsidRPr="000708D6">
              <w:rPr>
                <w:iCs/>
                <w:sz w:val="16"/>
                <w:szCs w:val="16"/>
                <w:lang w:val="en-GB"/>
              </w:rPr>
              <w:t>iannual</w:t>
            </w:r>
          </w:p>
          <w:p w14:paraId="3AFB86B0" w14:textId="77777777" w:rsidR="00825DAE" w:rsidRPr="000708D6" w:rsidRDefault="00825DAE" w:rsidP="000708D6">
            <w:pPr>
              <w:tabs>
                <w:tab w:val="left" w:pos="0"/>
                <w:tab w:val="left" w:pos="160"/>
              </w:tabs>
              <w:ind w:hanging="374"/>
              <w:jc w:val="both"/>
              <w:rPr>
                <w:iCs/>
                <w:sz w:val="16"/>
                <w:szCs w:val="16"/>
                <w:lang w:val="en-GB"/>
              </w:rPr>
            </w:pPr>
          </w:p>
          <w:p w14:paraId="5E6AD558" w14:textId="42788115" w:rsidR="00825DAE" w:rsidRPr="000708D6" w:rsidRDefault="002620E8" w:rsidP="000708D6">
            <w:pPr>
              <w:tabs>
                <w:tab w:val="left" w:pos="0"/>
                <w:tab w:val="left" w:pos="160"/>
              </w:tabs>
              <w:jc w:val="both"/>
              <w:rPr>
                <w:iCs/>
                <w:sz w:val="16"/>
                <w:szCs w:val="16"/>
                <w:lang w:val="en-GB"/>
              </w:rPr>
            </w:pPr>
            <w:r w:rsidRPr="00A56C57">
              <w:rPr>
                <w:bCs/>
                <w:sz w:val="16"/>
                <w:szCs w:val="16"/>
                <w:lang w:val="en-GB"/>
              </w:rPr>
              <w:t xml:space="preserve">Indicator: </w:t>
            </w:r>
            <w:r w:rsidR="00BB74E6" w:rsidRPr="000708D6">
              <w:rPr>
                <w:iCs/>
                <w:sz w:val="16"/>
                <w:szCs w:val="16"/>
                <w:lang w:val="en-GB"/>
              </w:rPr>
              <w:t>Number of p</w:t>
            </w:r>
            <w:r w:rsidR="00825DAE" w:rsidRPr="000708D6">
              <w:rPr>
                <w:iCs/>
                <w:sz w:val="16"/>
                <w:szCs w:val="16"/>
                <w:lang w:val="en-GB"/>
              </w:rPr>
              <w:t>olicies, regulations and standards at national, sectoral and subnational levels that integrate risk resilient principles</w:t>
            </w:r>
            <w:r w:rsidR="00264A69">
              <w:rPr>
                <w:iCs/>
                <w:sz w:val="16"/>
                <w:szCs w:val="16"/>
                <w:lang w:val="en-GB"/>
              </w:rPr>
              <w:t xml:space="preserve"> </w:t>
            </w:r>
            <w:r w:rsidR="00825DAE" w:rsidRPr="000708D6">
              <w:rPr>
                <w:iCs/>
                <w:sz w:val="16"/>
                <w:szCs w:val="16"/>
                <w:lang w:val="en-GB"/>
              </w:rPr>
              <w:t>(SP</w:t>
            </w:r>
            <w:r w:rsidR="0062773F" w:rsidRPr="000708D6">
              <w:rPr>
                <w:iCs/>
                <w:sz w:val="16"/>
                <w:szCs w:val="16"/>
                <w:lang w:val="en-GB"/>
              </w:rPr>
              <w:t>I</w:t>
            </w:r>
            <w:r w:rsidR="007C41C1" w:rsidRPr="000708D6">
              <w:rPr>
                <w:iCs/>
                <w:sz w:val="16"/>
                <w:szCs w:val="16"/>
                <w:lang w:val="en-GB"/>
              </w:rPr>
              <w:t xml:space="preserve"> </w:t>
            </w:r>
            <w:r w:rsidR="00825DAE" w:rsidRPr="000708D6">
              <w:rPr>
                <w:iCs/>
                <w:sz w:val="16"/>
                <w:szCs w:val="16"/>
                <w:lang w:val="en-GB"/>
              </w:rPr>
              <w:t>7.3.3)</w:t>
            </w:r>
          </w:p>
          <w:p w14:paraId="43876EC7" w14:textId="37B6ACDA" w:rsidR="00825DAE" w:rsidRPr="000708D6" w:rsidRDefault="00E90F9A" w:rsidP="00282AFA">
            <w:pPr>
              <w:tabs>
                <w:tab w:val="left" w:pos="0"/>
                <w:tab w:val="left" w:pos="160"/>
              </w:tabs>
              <w:ind w:left="484" w:hanging="380"/>
              <w:jc w:val="both"/>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sidR="00264A69">
              <w:rPr>
                <w:iCs/>
                <w:sz w:val="16"/>
                <w:szCs w:val="16"/>
                <w:lang w:val="en-GB"/>
              </w:rPr>
              <w:t xml:space="preserve"> </w:t>
            </w:r>
            <w:r w:rsidR="00825DAE" w:rsidRPr="000708D6">
              <w:rPr>
                <w:iCs/>
                <w:sz w:val="16"/>
                <w:szCs w:val="16"/>
                <w:lang w:val="en-GB"/>
              </w:rPr>
              <w:t>0</w:t>
            </w:r>
          </w:p>
          <w:p w14:paraId="3DB1B204" w14:textId="29E15D69" w:rsidR="00825DAE" w:rsidRPr="000708D6" w:rsidRDefault="00E90F9A" w:rsidP="00282AFA">
            <w:pPr>
              <w:tabs>
                <w:tab w:val="left" w:pos="0"/>
                <w:tab w:val="left" w:pos="160"/>
              </w:tabs>
              <w:ind w:left="484" w:hanging="380"/>
              <w:jc w:val="both"/>
              <w:rPr>
                <w:iCs/>
                <w:sz w:val="16"/>
                <w:szCs w:val="16"/>
                <w:lang w:val="en-GB"/>
              </w:rPr>
            </w:pPr>
            <w:r>
              <w:rPr>
                <w:iCs/>
                <w:sz w:val="16"/>
                <w:szCs w:val="16"/>
                <w:lang w:val="en-GB"/>
              </w:rPr>
              <w:t>Target:</w:t>
            </w:r>
            <w:r w:rsidR="00825DAE" w:rsidRPr="000708D6">
              <w:rPr>
                <w:iCs/>
                <w:sz w:val="16"/>
                <w:szCs w:val="16"/>
                <w:lang w:val="en-GB"/>
              </w:rPr>
              <w:t xml:space="preserve"> 4</w:t>
            </w:r>
          </w:p>
          <w:p w14:paraId="6507289B" w14:textId="3AA4D87C" w:rsidR="00825DAE" w:rsidRPr="000708D6" w:rsidRDefault="00264A69" w:rsidP="00282AFA">
            <w:pPr>
              <w:tabs>
                <w:tab w:val="left" w:pos="0"/>
                <w:tab w:val="left" w:pos="160"/>
              </w:tabs>
              <w:ind w:left="484" w:hanging="380"/>
              <w:jc w:val="both"/>
              <w:rPr>
                <w:iCs/>
                <w:sz w:val="16"/>
                <w:szCs w:val="16"/>
                <w:lang w:val="en-GB"/>
              </w:rPr>
            </w:pPr>
            <w:r w:rsidRPr="00241D6F">
              <w:rPr>
                <w:iCs/>
                <w:sz w:val="16"/>
                <w:szCs w:val="16"/>
                <w:lang w:val="en-GB"/>
              </w:rPr>
              <w:t xml:space="preserve">Ministries, </w:t>
            </w:r>
            <w:r>
              <w:rPr>
                <w:iCs/>
                <w:sz w:val="16"/>
                <w:szCs w:val="16"/>
                <w:lang w:val="en-GB"/>
              </w:rPr>
              <w:t>b</w:t>
            </w:r>
            <w:r w:rsidRPr="00241D6F">
              <w:rPr>
                <w:iCs/>
                <w:sz w:val="16"/>
                <w:szCs w:val="16"/>
                <w:lang w:val="en-GB"/>
              </w:rPr>
              <w:t>iannual</w:t>
            </w:r>
          </w:p>
          <w:p w14:paraId="5EADA463" w14:textId="77777777" w:rsidR="00825DAE" w:rsidRPr="000708D6" w:rsidRDefault="00825DAE" w:rsidP="00282AFA">
            <w:pPr>
              <w:tabs>
                <w:tab w:val="left" w:pos="0"/>
                <w:tab w:val="left" w:pos="160"/>
              </w:tabs>
              <w:ind w:hanging="380"/>
              <w:jc w:val="both"/>
              <w:rPr>
                <w:iCs/>
                <w:sz w:val="16"/>
                <w:szCs w:val="16"/>
                <w:lang w:val="en-GB"/>
              </w:rPr>
            </w:pPr>
          </w:p>
          <w:p w14:paraId="46886140" w14:textId="6111E8FB" w:rsidR="00825DAE" w:rsidRPr="000708D6" w:rsidRDefault="00562E43" w:rsidP="000708D6">
            <w:pPr>
              <w:tabs>
                <w:tab w:val="left" w:pos="0"/>
              </w:tabs>
              <w:spacing w:after="60"/>
              <w:jc w:val="both"/>
              <w:rPr>
                <w:b/>
                <w:iCs/>
                <w:sz w:val="16"/>
                <w:szCs w:val="16"/>
                <w:lang w:val="en-GB"/>
              </w:rPr>
            </w:pPr>
            <w:r w:rsidRPr="000708D6">
              <w:rPr>
                <w:b/>
                <w:iCs/>
                <w:sz w:val="16"/>
                <w:szCs w:val="16"/>
                <w:lang w:val="en-GB"/>
              </w:rPr>
              <w:t>4.2</w:t>
            </w:r>
            <w:r w:rsidR="00264A69">
              <w:rPr>
                <w:b/>
                <w:iCs/>
                <w:sz w:val="16"/>
                <w:szCs w:val="16"/>
                <w:lang w:val="en-GB"/>
              </w:rPr>
              <w:t>.</w:t>
            </w:r>
            <w:r w:rsidRPr="000708D6">
              <w:rPr>
                <w:b/>
                <w:iCs/>
                <w:sz w:val="16"/>
                <w:szCs w:val="16"/>
                <w:lang w:val="en-GB"/>
              </w:rPr>
              <w:t xml:space="preserve"> </w:t>
            </w:r>
            <w:r w:rsidR="00825DAE" w:rsidRPr="000708D6">
              <w:rPr>
                <w:b/>
                <w:iCs/>
                <w:sz w:val="16"/>
                <w:szCs w:val="16"/>
                <w:lang w:val="en-GB"/>
              </w:rPr>
              <w:t xml:space="preserve">Capacity assessment and </w:t>
            </w:r>
            <w:r w:rsidR="006124BB" w:rsidRPr="000708D6">
              <w:rPr>
                <w:b/>
                <w:iCs/>
                <w:sz w:val="16"/>
                <w:szCs w:val="16"/>
                <w:lang w:val="en-GB"/>
              </w:rPr>
              <w:t xml:space="preserve">capacity </w:t>
            </w:r>
            <w:r w:rsidR="00825DAE" w:rsidRPr="000708D6">
              <w:rPr>
                <w:b/>
                <w:iCs/>
                <w:sz w:val="16"/>
                <w:szCs w:val="16"/>
                <w:lang w:val="en-GB"/>
              </w:rPr>
              <w:t>building programs developed and implemented to strengthen national climate resilience efforts.</w:t>
            </w:r>
          </w:p>
          <w:p w14:paraId="7907B4AE" w14:textId="0723E085" w:rsidR="00825DAE" w:rsidRPr="000708D6" w:rsidRDefault="002620E8" w:rsidP="000708D6">
            <w:pPr>
              <w:tabs>
                <w:tab w:val="left" w:pos="0"/>
                <w:tab w:val="left" w:pos="160"/>
              </w:tabs>
              <w:jc w:val="both"/>
              <w:rPr>
                <w:iCs/>
                <w:sz w:val="16"/>
                <w:szCs w:val="16"/>
                <w:lang w:val="en-GB"/>
              </w:rPr>
            </w:pPr>
            <w:r w:rsidRPr="00A56C57">
              <w:rPr>
                <w:bCs/>
                <w:sz w:val="16"/>
                <w:szCs w:val="16"/>
                <w:lang w:val="en-GB"/>
              </w:rPr>
              <w:t xml:space="preserve">Indicator: </w:t>
            </w:r>
            <w:r w:rsidR="009A4899" w:rsidRPr="000708D6">
              <w:rPr>
                <w:iCs/>
                <w:sz w:val="16"/>
                <w:szCs w:val="16"/>
                <w:lang w:val="en-GB"/>
              </w:rPr>
              <w:t xml:space="preserve">Extent to which gender analysis is featured in </w:t>
            </w:r>
            <w:r w:rsidR="00812EB1" w:rsidRPr="000708D6">
              <w:rPr>
                <w:iCs/>
                <w:sz w:val="16"/>
                <w:szCs w:val="16"/>
                <w:lang w:val="en-GB"/>
              </w:rPr>
              <w:t>disaster risk reduction</w:t>
            </w:r>
            <w:r w:rsidR="00825DAE" w:rsidRPr="000708D6">
              <w:rPr>
                <w:iCs/>
                <w:sz w:val="16"/>
                <w:szCs w:val="16"/>
                <w:lang w:val="en-GB"/>
              </w:rPr>
              <w:t xml:space="preserve"> assessments</w:t>
            </w:r>
            <w:r w:rsidR="009A4899" w:rsidRPr="000708D6">
              <w:rPr>
                <w:iCs/>
                <w:sz w:val="16"/>
                <w:szCs w:val="16"/>
                <w:lang w:val="en-GB"/>
              </w:rPr>
              <w:t xml:space="preserve">, including risk </w:t>
            </w:r>
            <w:r w:rsidR="00134A49" w:rsidRPr="000708D6">
              <w:rPr>
                <w:iCs/>
                <w:sz w:val="16"/>
                <w:szCs w:val="16"/>
                <w:lang w:val="en-GB"/>
              </w:rPr>
              <w:t>to</w:t>
            </w:r>
            <w:r w:rsidR="009A4899" w:rsidRPr="000708D6">
              <w:rPr>
                <w:iCs/>
                <w:sz w:val="16"/>
                <w:szCs w:val="16"/>
                <w:lang w:val="en-GB"/>
              </w:rPr>
              <w:t xml:space="preserve"> female-headed households. </w:t>
            </w:r>
          </w:p>
          <w:p w14:paraId="37AB6EA6" w14:textId="0559DBB7" w:rsidR="00825DAE" w:rsidRPr="000708D6" w:rsidRDefault="00E90F9A" w:rsidP="00282AFA">
            <w:pPr>
              <w:tabs>
                <w:tab w:val="left" w:pos="0"/>
                <w:tab w:val="left" w:pos="160"/>
              </w:tabs>
              <w:ind w:left="484" w:hanging="380"/>
              <w:jc w:val="both"/>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Pr>
                <w:iCs/>
                <w:sz w:val="16"/>
                <w:szCs w:val="16"/>
                <w:lang w:val="en-GB"/>
              </w:rPr>
              <w:t xml:space="preserve"> </w:t>
            </w:r>
            <w:r w:rsidR="00825DAE" w:rsidRPr="000708D6">
              <w:rPr>
                <w:iCs/>
                <w:sz w:val="16"/>
                <w:szCs w:val="16"/>
                <w:lang w:val="en-GB"/>
              </w:rPr>
              <w:t>2</w:t>
            </w:r>
          </w:p>
          <w:p w14:paraId="46C09E76" w14:textId="5CF6BA89" w:rsidR="00825DAE" w:rsidRPr="000708D6" w:rsidRDefault="00E90F9A" w:rsidP="00282AFA">
            <w:pPr>
              <w:tabs>
                <w:tab w:val="left" w:pos="0"/>
                <w:tab w:val="left" w:pos="160"/>
              </w:tabs>
              <w:ind w:left="484" w:hanging="380"/>
              <w:jc w:val="both"/>
              <w:rPr>
                <w:iCs/>
                <w:sz w:val="16"/>
                <w:szCs w:val="16"/>
                <w:lang w:val="en-GB"/>
              </w:rPr>
            </w:pPr>
            <w:r>
              <w:rPr>
                <w:iCs/>
                <w:sz w:val="16"/>
                <w:szCs w:val="16"/>
                <w:lang w:val="en-GB"/>
              </w:rPr>
              <w:t>Target:</w:t>
            </w:r>
            <w:r w:rsidR="00825DAE" w:rsidRPr="000708D6">
              <w:rPr>
                <w:iCs/>
                <w:sz w:val="16"/>
                <w:szCs w:val="16"/>
                <w:lang w:val="en-GB"/>
              </w:rPr>
              <w:t xml:space="preserve"> 4</w:t>
            </w:r>
          </w:p>
          <w:p w14:paraId="668BEBA2" w14:textId="15A73684" w:rsidR="0070773F" w:rsidRPr="000708D6" w:rsidRDefault="00825DAE" w:rsidP="00282AFA">
            <w:pPr>
              <w:tabs>
                <w:tab w:val="left" w:pos="0"/>
                <w:tab w:val="left" w:pos="160"/>
              </w:tabs>
              <w:ind w:left="484" w:hanging="380"/>
              <w:jc w:val="both"/>
              <w:rPr>
                <w:iCs/>
                <w:sz w:val="16"/>
                <w:szCs w:val="16"/>
                <w:lang w:val="en-GB"/>
              </w:rPr>
            </w:pPr>
            <w:r w:rsidRPr="000708D6">
              <w:rPr>
                <w:iCs/>
                <w:sz w:val="16"/>
                <w:szCs w:val="16"/>
                <w:lang w:val="en-GB"/>
              </w:rPr>
              <w:t xml:space="preserve">Project </w:t>
            </w:r>
            <w:r w:rsidR="00264A69">
              <w:rPr>
                <w:iCs/>
                <w:sz w:val="16"/>
                <w:szCs w:val="16"/>
                <w:lang w:val="en-GB"/>
              </w:rPr>
              <w:t>b</w:t>
            </w:r>
            <w:r w:rsidRPr="000708D6">
              <w:rPr>
                <w:iCs/>
                <w:sz w:val="16"/>
                <w:szCs w:val="16"/>
                <w:lang w:val="en-GB"/>
              </w:rPr>
              <w:t xml:space="preserve">oard </w:t>
            </w:r>
            <w:r w:rsidR="00264A69">
              <w:rPr>
                <w:iCs/>
                <w:sz w:val="16"/>
                <w:szCs w:val="16"/>
                <w:lang w:val="en-GB"/>
              </w:rPr>
              <w:t>m</w:t>
            </w:r>
            <w:r w:rsidRPr="000708D6">
              <w:rPr>
                <w:iCs/>
                <w:sz w:val="16"/>
                <w:szCs w:val="16"/>
                <w:lang w:val="en-GB"/>
              </w:rPr>
              <w:t>eeting</w:t>
            </w:r>
            <w:r w:rsidR="007C41C1" w:rsidRPr="000708D6">
              <w:rPr>
                <w:iCs/>
                <w:sz w:val="16"/>
                <w:szCs w:val="16"/>
                <w:lang w:val="en-GB"/>
              </w:rPr>
              <w:t xml:space="preserve"> </w:t>
            </w:r>
            <w:r w:rsidR="0032510A" w:rsidRPr="000708D6">
              <w:rPr>
                <w:iCs/>
                <w:sz w:val="16"/>
                <w:szCs w:val="16"/>
                <w:lang w:val="en-GB"/>
              </w:rPr>
              <w:t xml:space="preserve"> m</w:t>
            </w:r>
            <w:r w:rsidRPr="000708D6">
              <w:rPr>
                <w:iCs/>
                <w:sz w:val="16"/>
                <w:szCs w:val="16"/>
                <w:lang w:val="en-GB"/>
              </w:rPr>
              <w:t>inutes</w:t>
            </w:r>
            <w:r w:rsidR="0062773F" w:rsidRPr="000708D6">
              <w:rPr>
                <w:iCs/>
                <w:sz w:val="16"/>
                <w:szCs w:val="16"/>
                <w:lang w:val="en-GB"/>
              </w:rPr>
              <w:t xml:space="preserve">, </w:t>
            </w:r>
            <w:r w:rsidR="00264A69">
              <w:rPr>
                <w:iCs/>
                <w:sz w:val="16"/>
                <w:szCs w:val="16"/>
                <w:lang w:val="en-GB"/>
              </w:rPr>
              <w:t>q</w:t>
            </w:r>
            <w:r w:rsidRPr="000708D6">
              <w:rPr>
                <w:iCs/>
                <w:sz w:val="16"/>
                <w:szCs w:val="16"/>
                <w:lang w:val="en-GB"/>
              </w:rPr>
              <w:t>uarterly</w:t>
            </w:r>
          </w:p>
          <w:p w14:paraId="20DB8CBB" w14:textId="77777777" w:rsidR="0070773F" w:rsidRPr="005C7E82" w:rsidRDefault="0070773F" w:rsidP="00282AFA">
            <w:pPr>
              <w:tabs>
                <w:tab w:val="left" w:pos="0"/>
                <w:tab w:val="left" w:pos="160"/>
              </w:tabs>
              <w:ind w:hanging="380"/>
              <w:jc w:val="both"/>
              <w:rPr>
                <w:iCs/>
                <w:sz w:val="16"/>
                <w:szCs w:val="16"/>
                <w:lang w:val="en-GB"/>
              </w:rPr>
            </w:pPr>
          </w:p>
          <w:p w14:paraId="21B2A479" w14:textId="782CD994" w:rsidR="00C773A7" w:rsidRPr="000708D6" w:rsidRDefault="002620E8" w:rsidP="000708D6">
            <w:pPr>
              <w:tabs>
                <w:tab w:val="left" w:pos="0"/>
                <w:tab w:val="left" w:pos="160"/>
              </w:tabs>
              <w:jc w:val="both"/>
              <w:rPr>
                <w:iCs/>
                <w:sz w:val="16"/>
                <w:szCs w:val="16"/>
                <w:lang w:val="en-GB"/>
              </w:rPr>
            </w:pPr>
            <w:r w:rsidRPr="00A56C57">
              <w:rPr>
                <w:bCs/>
                <w:sz w:val="16"/>
                <w:szCs w:val="16"/>
                <w:lang w:val="en-GB"/>
              </w:rPr>
              <w:t xml:space="preserve">Indicator: </w:t>
            </w:r>
            <w:r w:rsidR="00C773A7" w:rsidRPr="000708D6">
              <w:rPr>
                <w:iCs/>
                <w:sz w:val="16"/>
                <w:szCs w:val="16"/>
                <w:lang w:val="en-GB"/>
              </w:rPr>
              <w:t>Number of capacity assessments</w:t>
            </w:r>
            <w:r w:rsidR="00264A69">
              <w:rPr>
                <w:iCs/>
                <w:sz w:val="16"/>
                <w:szCs w:val="16"/>
                <w:lang w:val="en-GB"/>
              </w:rPr>
              <w:t xml:space="preserve"> and</w:t>
            </w:r>
            <w:r w:rsidR="00C773A7" w:rsidRPr="000708D6">
              <w:rPr>
                <w:iCs/>
                <w:sz w:val="16"/>
                <w:szCs w:val="16"/>
                <w:lang w:val="en-GB"/>
              </w:rPr>
              <w:t xml:space="preserve"> building progra</w:t>
            </w:r>
            <w:r w:rsidR="00264A69">
              <w:rPr>
                <w:iCs/>
                <w:sz w:val="16"/>
                <w:szCs w:val="16"/>
                <w:lang w:val="en-GB"/>
              </w:rPr>
              <w:t>mme</w:t>
            </w:r>
            <w:r w:rsidR="00C773A7" w:rsidRPr="000708D6">
              <w:rPr>
                <w:iCs/>
                <w:sz w:val="16"/>
                <w:szCs w:val="16"/>
                <w:lang w:val="en-GB"/>
              </w:rPr>
              <w:t>s developed for low</w:t>
            </w:r>
            <w:r w:rsidR="00264A69">
              <w:rPr>
                <w:iCs/>
                <w:sz w:val="16"/>
                <w:szCs w:val="16"/>
                <w:lang w:val="en-GB"/>
              </w:rPr>
              <w:t>-</w:t>
            </w:r>
            <w:r w:rsidR="00C773A7" w:rsidRPr="000708D6">
              <w:rPr>
                <w:iCs/>
                <w:sz w:val="16"/>
                <w:szCs w:val="16"/>
                <w:lang w:val="en-GB"/>
              </w:rPr>
              <w:t xml:space="preserve">emission development strategies </w:t>
            </w:r>
            <w:r w:rsidR="001D50AD" w:rsidRPr="000708D6">
              <w:rPr>
                <w:iCs/>
                <w:sz w:val="16"/>
                <w:szCs w:val="16"/>
                <w:lang w:val="en-GB"/>
              </w:rPr>
              <w:t>(</w:t>
            </w:r>
            <w:r w:rsidR="00AF5D01" w:rsidRPr="000708D6">
              <w:rPr>
                <w:iCs/>
                <w:sz w:val="16"/>
                <w:szCs w:val="16"/>
                <w:lang w:val="en-GB"/>
              </w:rPr>
              <w:t>SPI1.4.2)</w:t>
            </w:r>
          </w:p>
          <w:p w14:paraId="5D5C74D2" w14:textId="0CE2038D" w:rsidR="00C773A7" w:rsidRPr="000708D6" w:rsidRDefault="00E90F9A" w:rsidP="00282AFA">
            <w:pPr>
              <w:tabs>
                <w:tab w:val="left" w:pos="0"/>
                <w:tab w:val="left" w:pos="160"/>
              </w:tabs>
              <w:ind w:left="484" w:hanging="380"/>
              <w:jc w:val="both"/>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Pr>
                <w:iCs/>
                <w:sz w:val="16"/>
                <w:szCs w:val="16"/>
                <w:lang w:val="en-GB"/>
              </w:rPr>
              <w:t xml:space="preserve"> </w:t>
            </w:r>
            <w:r w:rsidR="00C773A7" w:rsidRPr="000708D6">
              <w:rPr>
                <w:iCs/>
                <w:sz w:val="16"/>
                <w:szCs w:val="16"/>
                <w:lang w:val="en-GB"/>
              </w:rPr>
              <w:t>0</w:t>
            </w:r>
          </w:p>
          <w:p w14:paraId="3EFA8557" w14:textId="35CB1EB7" w:rsidR="00C773A7" w:rsidRPr="000708D6" w:rsidRDefault="00E90F9A" w:rsidP="00282AFA">
            <w:pPr>
              <w:tabs>
                <w:tab w:val="left" w:pos="0"/>
                <w:tab w:val="left" w:pos="160"/>
              </w:tabs>
              <w:ind w:left="484" w:hanging="380"/>
              <w:jc w:val="both"/>
              <w:rPr>
                <w:iCs/>
                <w:sz w:val="16"/>
                <w:szCs w:val="16"/>
                <w:lang w:val="en-GB"/>
              </w:rPr>
            </w:pPr>
            <w:r>
              <w:rPr>
                <w:iCs/>
                <w:sz w:val="16"/>
                <w:szCs w:val="16"/>
                <w:lang w:val="en-GB"/>
              </w:rPr>
              <w:t>Target:</w:t>
            </w:r>
            <w:r w:rsidR="00C773A7" w:rsidRPr="000708D6">
              <w:rPr>
                <w:iCs/>
                <w:sz w:val="16"/>
                <w:szCs w:val="16"/>
                <w:lang w:val="en-GB"/>
              </w:rPr>
              <w:t xml:space="preserve"> 3</w:t>
            </w:r>
          </w:p>
          <w:p w14:paraId="2BDA2769" w14:textId="42973FFB" w:rsidR="00C773A7" w:rsidRPr="000708D6" w:rsidRDefault="0032510A" w:rsidP="00282AFA">
            <w:pPr>
              <w:tabs>
                <w:tab w:val="left" w:pos="0"/>
                <w:tab w:val="left" w:pos="160"/>
              </w:tabs>
              <w:ind w:left="484" w:hanging="380"/>
              <w:jc w:val="both"/>
              <w:rPr>
                <w:iCs/>
                <w:sz w:val="16"/>
                <w:szCs w:val="16"/>
                <w:lang w:val="en-GB"/>
              </w:rPr>
            </w:pPr>
            <w:r w:rsidRPr="000708D6">
              <w:rPr>
                <w:iCs/>
                <w:sz w:val="16"/>
                <w:szCs w:val="16"/>
                <w:lang w:val="en-GB"/>
              </w:rPr>
              <w:t>M</w:t>
            </w:r>
            <w:r w:rsidR="0054690D" w:rsidRPr="000708D6">
              <w:rPr>
                <w:iCs/>
                <w:sz w:val="16"/>
                <w:szCs w:val="16"/>
                <w:lang w:val="en-GB"/>
              </w:rPr>
              <w:t>EEA</w:t>
            </w:r>
            <w:r w:rsidRPr="000708D6">
              <w:rPr>
                <w:iCs/>
                <w:sz w:val="16"/>
                <w:szCs w:val="16"/>
                <w:lang w:val="en-GB"/>
              </w:rPr>
              <w:t xml:space="preserve">, </w:t>
            </w:r>
            <w:r w:rsidR="007F23FB">
              <w:rPr>
                <w:iCs/>
                <w:sz w:val="16"/>
                <w:szCs w:val="16"/>
                <w:lang w:val="en-GB"/>
              </w:rPr>
              <w:t>a</w:t>
            </w:r>
            <w:r w:rsidRPr="000708D6">
              <w:rPr>
                <w:iCs/>
                <w:sz w:val="16"/>
                <w:szCs w:val="16"/>
                <w:lang w:val="en-GB"/>
              </w:rPr>
              <w:t>nnually</w:t>
            </w:r>
          </w:p>
          <w:p w14:paraId="6B26A196" w14:textId="77777777" w:rsidR="004E1E9F" w:rsidRPr="000708D6" w:rsidRDefault="004E1E9F" w:rsidP="00282AFA">
            <w:pPr>
              <w:tabs>
                <w:tab w:val="left" w:pos="0"/>
                <w:tab w:val="left" w:pos="160"/>
              </w:tabs>
              <w:ind w:left="484" w:hanging="380"/>
              <w:jc w:val="both"/>
              <w:rPr>
                <w:iCs/>
                <w:sz w:val="16"/>
                <w:szCs w:val="16"/>
                <w:lang w:val="en-GB"/>
              </w:rPr>
            </w:pPr>
          </w:p>
          <w:p w14:paraId="4411EB68" w14:textId="77777777" w:rsidR="00825DAE" w:rsidRPr="000708D6" w:rsidRDefault="002620E8" w:rsidP="000708D6">
            <w:pPr>
              <w:tabs>
                <w:tab w:val="left" w:pos="0"/>
                <w:tab w:val="left" w:pos="160"/>
                <w:tab w:val="left" w:pos="484"/>
              </w:tabs>
              <w:jc w:val="both"/>
              <w:rPr>
                <w:iCs/>
                <w:sz w:val="16"/>
                <w:szCs w:val="16"/>
                <w:lang w:val="en-GB"/>
              </w:rPr>
            </w:pPr>
            <w:r w:rsidRPr="00A56C57">
              <w:rPr>
                <w:bCs/>
                <w:sz w:val="16"/>
                <w:szCs w:val="16"/>
                <w:lang w:val="en-GB"/>
              </w:rPr>
              <w:t xml:space="preserve">Indicator: </w:t>
            </w:r>
            <w:r w:rsidR="00BB74E6" w:rsidRPr="000708D6">
              <w:rPr>
                <w:iCs/>
                <w:sz w:val="16"/>
                <w:szCs w:val="16"/>
                <w:lang w:val="en-GB"/>
              </w:rPr>
              <w:t>Number of s</w:t>
            </w:r>
            <w:r w:rsidR="00825DAE" w:rsidRPr="000708D6">
              <w:rPr>
                <w:iCs/>
                <w:sz w:val="16"/>
                <w:szCs w:val="16"/>
                <w:lang w:val="en-GB"/>
              </w:rPr>
              <w:t xml:space="preserve">olutions adopted </w:t>
            </w:r>
            <w:r w:rsidR="001B7DA5" w:rsidRPr="000708D6">
              <w:rPr>
                <w:iCs/>
                <w:sz w:val="16"/>
                <w:szCs w:val="16"/>
                <w:lang w:val="en-GB"/>
              </w:rPr>
              <w:t xml:space="preserve">through SSC exchanges </w:t>
            </w:r>
            <w:r w:rsidR="00825DAE" w:rsidRPr="000708D6">
              <w:rPr>
                <w:iCs/>
                <w:sz w:val="16"/>
                <w:szCs w:val="16"/>
                <w:lang w:val="en-GB"/>
              </w:rPr>
              <w:t>to achieve increased energy efficiency and use of renewable energy sources</w:t>
            </w:r>
            <w:r w:rsidR="001D3E14" w:rsidRPr="000708D6">
              <w:rPr>
                <w:iCs/>
                <w:sz w:val="16"/>
                <w:szCs w:val="16"/>
                <w:lang w:val="en-GB"/>
              </w:rPr>
              <w:t>, suitably targeted to women’s needs</w:t>
            </w:r>
            <w:r w:rsidR="00825DAE" w:rsidRPr="000708D6">
              <w:rPr>
                <w:iCs/>
                <w:sz w:val="16"/>
                <w:szCs w:val="16"/>
                <w:lang w:val="en-GB"/>
              </w:rPr>
              <w:t>.</w:t>
            </w:r>
            <w:r w:rsidR="00032657" w:rsidRPr="000708D6">
              <w:rPr>
                <w:iCs/>
                <w:sz w:val="16"/>
                <w:szCs w:val="16"/>
                <w:lang w:val="en-GB"/>
              </w:rPr>
              <w:t xml:space="preserve"> (SPI 1.5.2)</w:t>
            </w:r>
          </w:p>
          <w:p w14:paraId="7E80CE9E" w14:textId="6AA72880" w:rsidR="00825DAE" w:rsidRPr="000708D6" w:rsidRDefault="00E90F9A" w:rsidP="00282AFA">
            <w:pPr>
              <w:tabs>
                <w:tab w:val="left" w:pos="0"/>
                <w:tab w:val="left" w:pos="160"/>
              </w:tabs>
              <w:ind w:left="484" w:hanging="380"/>
              <w:jc w:val="both"/>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Pr>
                <w:iCs/>
                <w:sz w:val="16"/>
                <w:szCs w:val="16"/>
                <w:lang w:val="en-GB"/>
              </w:rPr>
              <w:t xml:space="preserve"> </w:t>
            </w:r>
            <w:r w:rsidR="00825DAE" w:rsidRPr="000708D6">
              <w:rPr>
                <w:iCs/>
                <w:sz w:val="16"/>
                <w:szCs w:val="16"/>
                <w:lang w:val="en-GB"/>
              </w:rPr>
              <w:t>0</w:t>
            </w:r>
          </w:p>
          <w:p w14:paraId="2E837B6F" w14:textId="37456DAA" w:rsidR="00825DAE" w:rsidRPr="000708D6" w:rsidRDefault="00E90F9A" w:rsidP="00282AFA">
            <w:pPr>
              <w:tabs>
                <w:tab w:val="left" w:pos="0"/>
                <w:tab w:val="left" w:pos="160"/>
              </w:tabs>
              <w:ind w:left="484" w:hanging="380"/>
              <w:jc w:val="both"/>
              <w:rPr>
                <w:iCs/>
                <w:sz w:val="16"/>
                <w:szCs w:val="16"/>
                <w:lang w:val="en-GB"/>
              </w:rPr>
            </w:pPr>
            <w:r>
              <w:rPr>
                <w:iCs/>
                <w:sz w:val="16"/>
                <w:szCs w:val="16"/>
                <w:lang w:val="en-GB"/>
              </w:rPr>
              <w:t xml:space="preserve">Target: </w:t>
            </w:r>
            <w:r w:rsidR="00825DAE" w:rsidRPr="000708D6">
              <w:rPr>
                <w:iCs/>
                <w:sz w:val="16"/>
                <w:szCs w:val="16"/>
                <w:lang w:val="en-GB"/>
              </w:rPr>
              <w:t>2</w:t>
            </w:r>
          </w:p>
          <w:p w14:paraId="05232ADE" w14:textId="5ED21E00" w:rsidR="00825DAE" w:rsidRPr="000708D6" w:rsidRDefault="00E90F9A" w:rsidP="00282AFA">
            <w:pPr>
              <w:tabs>
                <w:tab w:val="left" w:pos="0"/>
                <w:tab w:val="left" w:pos="160"/>
              </w:tabs>
              <w:ind w:left="484" w:hanging="380"/>
              <w:jc w:val="both"/>
              <w:rPr>
                <w:iCs/>
                <w:sz w:val="16"/>
                <w:szCs w:val="16"/>
                <w:lang w:val="en-GB"/>
              </w:rPr>
            </w:pPr>
            <w:r w:rsidRPr="00A56C57">
              <w:rPr>
                <w:iCs/>
                <w:sz w:val="16"/>
                <w:szCs w:val="16"/>
                <w:lang w:val="en-GB"/>
              </w:rPr>
              <w:t>M</w:t>
            </w:r>
            <w:r>
              <w:rPr>
                <w:iCs/>
                <w:sz w:val="16"/>
                <w:szCs w:val="16"/>
                <w:lang w:val="en-GB"/>
              </w:rPr>
              <w:t>EEA</w:t>
            </w:r>
            <w:r w:rsidRPr="00A56C57">
              <w:rPr>
                <w:iCs/>
                <w:sz w:val="16"/>
                <w:szCs w:val="16"/>
                <w:lang w:val="en-GB"/>
              </w:rPr>
              <w:t xml:space="preserve">, </w:t>
            </w:r>
            <w:r>
              <w:rPr>
                <w:iCs/>
                <w:sz w:val="16"/>
                <w:szCs w:val="16"/>
                <w:lang w:val="en-GB"/>
              </w:rPr>
              <w:t>quarter</w:t>
            </w:r>
            <w:r w:rsidRPr="00A56C57">
              <w:rPr>
                <w:iCs/>
                <w:sz w:val="16"/>
                <w:szCs w:val="16"/>
                <w:lang w:val="en-GB"/>
              </w:rPr>
              <w:t>ly</w:t>
            </w:r>
          </w:p>
          <w:p w14:paraId="31303C73" w14:textId="77777777" w:rsidR="00B63D4F" w:rsidRPr="000708D6" w:rsidRDefault="00B63D4F" w:rsidP="00282AFA">
            <w:pPr>
              <w:tabs>
                <w:tab w:val="left" w:pos="0"/>
                <w:tab w:val="left" w:pos="160"/>
              </w:tabs>
              <w:ind w:hanging="380"/>
              <w:jc w:val="both"/>
              <w:rPr>
                <w:iCs/>
                <w:sz w:val="16"/>
                <w:szCs w:val="16"/>
                <w:lang w:val="en-GB"/>
              </w:rPr>
            </w:pPr>
          </w:p>
          <w:p w14:paraId="228BCB4A" w14:textId="733EA2EE" w:rsidR="00825DAE" w:rsidRPr="000708D6" w:rsidRDefault="002620E8" w:rsidP="000708D6">
            <w:pPr>
              <w:tabs>
                <w:tab w:val="left" w:pos="0"/>
                <w:tab w:val="left" w:pos="160"/>
              </w:tabs>
              <w:jc w:val="both"/>
              <w:rPr>
                <w:iCs/>
                <w:sz w:val="16"/>
                <w:szCs w:val="16"/>
                <w:lang w:val="en-GB"/>
              </w:rPr>
            </w:pPr>
            <w:r w:rsidRPr="00A56C57">
              <w:rPr>
                <w:bCs/>
                <w:sz w:val="16"/>
                <w:szCs w:val="16"/>
                <w:lang w:val="en-GB"/>
              </w:rPr>
              <w:t xml:space="preserve">Indicator: </w:t>
            </w:r>
            <w:r w:rsidR="002C68F3" w:rsidRPr="000708D6">
              <w:rPr>
                <w:iCs/>
                <w:sz w:val="16"/>
                <w:szCs w:val="16"/>
                <w:lang w:val="en-GB"/>
              </w:rPr>
              <w:t xml:space="preserve">Number of </w:t>
            </w:r>
            <w:r w:rsidR="00AB0FE9">
              <w:rPr>
                <w:iCs/>
                <w:sz w:val="16"/>
                <w:szCs w:val="16"/>
                <w:lang w:val="en-GB"/>
              </w:rPr>
              <w:t xml:space="preserve">measuring, reporting and verification </w:t>
            </w:r>
            <w:r w:rsidR="00825DAE" w:rsidRPr="000708D6">
              <w:rPr>
                <w:iCs/>
                <w:sz w:val="16"/>
                <w:szCs w:val="16"/>
                <w:lang w:val="en-GB"/>
              </w:rPr>
              <w:t>system</w:t>
            </w:r>
            <w:r w:rsidR="002C68F3" w:rsidRPr="000708D6">
              <w:rPr>
                <w:iCs/>
                <w:sz w:val="16"/>
                <w:szCs w:val="16"/>
                <w:lang w:val="en-GB"/>
              </w:rPr>
              <w:t>s</w:t>
            </w:r>
            <w:r w:rsidR="00825DAE" w:rsidRPr="000708D6">
              <w:rPr>
                <w:iCs/>
                <w:sz w:val="16"/>
                <w:szCs w:val="16"/>
                <w:lang w:val="en-GB"/>
              </w:rPr>
              <w:t xml:space="preserve"> established</w:t>
            </w:r>
            <w:r w:rsidR="007F23FB">
              <w:rPr>
                <w:iCs/>
                <w:sz w:val="16"/>
                <w:szCs w:val="16"/>
                <w:lang w:val="en-GB"/>
              </w:rPr>
              <w:t xml:space="preserve"> </w:t>
            </w:r>
            <w:r w:rsidR="00825DAE" w:rsidRPr="000708D6">
              <w:rPr>
                <w:iCs/>
                <w:sz w:val="16"/>
                <w:szCs w:val="16"/>
                <w:lang w:val="en-GB"/>
              </w:rPr>
              <w:t>(SP</w:t>
            </w:r>
            <w:r w:rsidR="0062773F" w:rsidRPr="000708D6">
              <w:rPr>
                <w:iCs/>
                <w:sz w:val="16"/>
                <w:szCs w:val="16"/>
                <w:lang w:val="en-GB"/>
              </w:rPr>
              <w:t xml:space="preserve">I </w:t>
            </w:r>
            <w:r w:rsidR="00BB74E6" w:rsidRPr="000708D6">
              <w:rPr>
                <w:iCs/>
                <w:sz w:val="16"/>
                <w:szCs w:val="16"/>
                <w:lang w:val="en-GB"/>
              </w:rPr>
              <w:t>1.</w:t>
            </w:r>
            <w:r w:rsidR="00825DAE" w:rsidRPr="000708D6">
              <w:rPr>
                <w:iCs/>
                <w:sz w:val="16"/>
                <w:szCs w:val="16"/>
                <w:lang w:val="en-GB"/>
              </w:rPr>
              <w:t>4.2</w:t>
            </w:r>
            <w:r w:rsidR="00825DAE" w:rsidRPr="000708D6">
              <w:rPr>
                <w:iCs/>
                <w:sz w:val="16"/>
                <w:szCs w:val="16"/>
                <w:u w:val="single"/>
                <w:lang w:val="en-GB"/>
              </w:rPr>
              <w:t>)</w:t>
            </w:r>
          </w:p>
          <w:p w14:paraId="6802A29B" w14:textId="4A0E5F94" w:rsidR="00825DAE" w:rsidRPr="000708D6" w:rsidRDefault="00E90F9A" w:rsidP="00282AFA">
            <w:pPr>
              <w:tabs>
                <w:tab w:val="left" w:pos="0"/>
                <w:tab w:val="left" w:pos="160"/>
              </w:tabs>
              <w:ind w:left="484" w:hanging="380"/>
              <w:jc w:val="both"/>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Pr>
                <w:iCs/>
                <w:sz w:val="16"/>
                <w:szCs w:val="16"/>
                <w:lang w:val="en-GB"/>
              </w:rPr>
              <w:t xml:space="preserve"> </w:t>
            </w:r>
            <w:r w:rsidR="00825DAE" w:rsidRPr="000708D6">
              <w:rPr>
                <w:iCs/>
                <w:sz w:val="16"/>
                <w:szCs w:val="16"/>
                <w:lang w:val="en-GB"/>
              </w:rPr>
              <w:t>0</w:t>
            </w:r>
          </w:p>
          <w:p w14:paraId="48251483" w14:textId="6569B02D" w:rsidR="00825DAE" w:rsidRPr="000708D6" w:rsidRDefault="00E90F9A" w:rsidP="00282AFA">
            <w:pPr>
              <w:tabs>
                <w:tab w:val="left" w:pos="0"/>
                <w:tab w:val="left" w:pos="160"/>
              </w:tabs>
              <w:ind w:left="484" w:hanging="380"/>
              <w:jc w:val="both"/>
              <w:rPr>
                <w:iCs/>
                <w:sz w:val="16"/>
                <w:szCs w:val="16"/>
                <w:lang w:val="en-GB"/>
              </w:rPr>
            </w:pPr>
            <w:r>
              <w:rPr>
                <w:iCs/>
                <w:sz w:val="16"/>
                <w:szCs w:val="16"/>
                <w:lang w:val="en-GB"/>
              </w:rPr>
              <w:t>Target:</w:t>
            </w:r>
            <w:r w:rsidR="00825DAE" w:rsidRPr="000708D6">
              <w:rPr>
                <w:iCs/>
                <w:sz w:val="16"/>
                <w:szCs w:val="16"/>
                <w:lang w:val="en-GB"/>
              </w:rPr>
              <w:t xml:space="preserve"> 1</w:t>
            </w:r>
          </w:p>
          <w:p w14:paraId="5190B743" w14:textId="4299A584" w:rsidR="00825DAE" w:rsidRPr="000708D6" w:rsidRDefault="007F23FB" w:rsidP="00282AFA">
            <w:pPr>
              <w:tabs>
                <w:tab w:val="left" w:pos="0"/>
                <w:tab w:val="left" w:pos="160"/>
              </w:tabs>
              <w:ind w:left="484" w:hanging="380"/>
              <w:jc w:val="both"/>
              <w:rPr>
                <w:iCs/>
                <w:sz w:val="16"/>
                <w:szCs w:val="16"/>
                <w:lang w:val="en-GB"/>
              </w:rPr>
            </w:pPr>
            <w:r w:rsidRPr="00A56C57">
              <w:rPr>
                <w:iCs/>
                <w:sz w:val="16"/>
                <w:szCs w:val="16"/>
                <w:lang w:val="en-GB"/>
              </w:rPr>
              <w:t>M</w:t>
            </w:r>
            <w:r>
              <w:rPr>
                <w:iCs/>
                <w:sz w:val="16"/>
                <w:szCs w:val="16"/>
                <w:lang w:val="en-GB"/>
              </w:rPr>
              <w:t>EEA</w:t>
            </w:r>
            <w:r w:rsidRPr="00A56C57">
              <w:rPr>
                <w:iCs/>
                <w:sz w:val="16"/>
                <w:szCs w:val="16"/>
                <w:lang w:val="en-GB"/>
              </w:rPr>
              <w:t xml:space="preserve">, </w:t>
            </w:r>
            <w:r>
              <w:rPr>
                <w:iCs/>
                <w:sz w:val="16"/>
                <w:szCs w:val="16"/>
                <w:lang w:val="en-GB"/>
              </w:rPr>
              <w:t>quarter</w:t>
            </w:r>
            <w:r w:rsidRPr="00A56C57">
              <w:rPr>
                <w:iCs/>
                <w:sz w:val="16"/>
                <w:szCs w:val="16"/>
                <w:lang w:val="en-GB"/>
              </w:rPr>
              <w:t>ly</w:t>
            </w:r>
          </w:p>
          <w:p w14:paraId="37D35EBB" w14:textId="77777777" w:rsidR="001B7DA5" w:rsidRPr="000708D6" w:rsidRDefault="001B7DA5" w:rsidP="00282AFA">
            <w:pPr>
              <w:tabs>
                <w:tab w:val="left" w:pos="0"/>
                <w:tab w:val="left" w:pos="160"/>
              </w:tabs>
              <w:ind w:left="484" w:hanging="380"/>
              <w:jc w:val="both"/>
              <w:rPr>
                <w:iCs/>
                <w:sz w:val="16"/>
                <w:szCs w:val="16"/>
                <w:lang w:val="en-GB"/>
              </w:rPr>
            </w:pPr>
          </w:p>
          <w:p w14:paraId="42E5FA29" w14:textId="21FD8BD1" w:rsidR="00825DAE" w:rsidRPr="000708D6" w:rsidRDefault="0070773F" w:rsidP="007F23FB">
            <w:pPr>
              <w:tabs>
                <w:tab w:val="left" w:pos="0"/>
                <w:tab w:val="left" w:pos="250"/>
              </w:tabs>
              <w:ind w:left="70"/>
              <w:jc w:val="both"/>
              <w:rPr>
                <w:b/>
                <w:iCs/>
                <w:sz w:val="16"/>
                <w:szCs w:val="16"/>
                <w:lang w:val="en-GB"/>
              </w:rPr>
            </w:pPr>
            <w:r w:rsidRPr="000708D6">
              <w:rPr>
                <w:b/>
                <w:iCs/>
                <w:sz w:val="16"/>
                <w:szCs w:val="16"/>
                <w:lang w:val="en-GB"/>
              </w:rPr>
              <w:t>4.3</w:t>
            </w:r>
            <w:r w:rsidR="007F23FB">
              <w:rPr>
                <w:b/>
                <w:iCs/>
                <w:sz w:val="16"/>
                <w:szCs w:val="16"/>
                <w:lang w:val="en-GB"/>
              </w:rPr>
              <w:t>.</w:t>
            </w:r>
            <w:r w:rsidRPr="000708D6">
              <w:rPr>
                <w:b/>
                <w:iCs/>
                <w:sz w:val="16"/>
                <w:szCs w:val="16"/>
                <w:lang w:val="en-GB"/>
              </w:rPr>
              <w:t xml:space="preserve"> </w:t>
            </w:r>
            <w:r w:rsidR="00BB74E6" w:rsidRPr="000708D6">
              <w:rPr>
                <w:b/>
                <w:iCs/>
                <w:sz w:val="16"/>
                <w:szCs w:val="16"/>
                <w:lang w:val="en-GB"/>
              </w:rPr>
              <w:t>Increase</w:t>
            </w:r>
            <w:r w:rsidR="006124BB" w:rsidRPr="000708D6">
              <w:rPr>
                <w:b/>
                <w:iCs/>
                <w:sz w:val="16"/>
                <w:szCs w:val="16"/>
                <w:lang w:val="en-GB"/>
              </w:rPr>
              <w:t>d</w:t>
            </w:r>
            <w:r w:rsidR="00BB74E6" w:rsidRPr="000708D6">
              <w:rPr>
                <w:b/>
                <w:iCs/>
                <w:sz w:val="16"/>
                <w:szCs w:val="16"/>
                <w:lang w:val="en-GB"/>
              </w:rPr>
              <w:t xml:space="preserve"> </w:t>
            </w:r>
            <w:r w:rsidR="00825DAE" w:rsidRPr="000708D6">
              <w:rPr>
                <w:b/>
                <w:iCs/>
                <w:sz w:val="16"/>
                <w:szCs w:val="16"/>
                <w:lang w:val="en-GB"/>
              </w:rPr>
              <w:t>participation of public, private and civil society partners in</w:t>
            </w:r>
            <w:r w:rsidR="0033622D" w:rsidRPr="000708D6">
              <w:rPr>
                <w:b/>
                <w:iCs/>
                <w:sz w:val="16"/>
                <w:szCs w:val="16"/>
                <w:lang w:val="en-GB"/>
              </w:rPr>
              <w:t xml:space="preserve"> climate resilience programming</w:t>
            </w:r>
            <w:r w:rsidR="00291534" w:rsidRPr="000708D6">
              <w:rPr>
                <w:b/>
                <w:iCs/>
                <w:sz w:val="16"/>
                <w:szCs w:val="16"/>
                <w:lang w:val="en-GB"/>
              </w:rPr>
              <w:t>.</w:t>
            </w:r>
          </w:p>
          <w:p w14:paraId="0BBAC2A7" w14:textId="77777777" w:rsidR="00825DAE" w:rsidRPr="000708D6" w:rsidRDefault="00825DAE" w:rsidP="00282AFA">
            <w:pPr>
              <w:tabs>
                <w:tab w:val="left" w:pos="0"/>
                <w:tab w:val="left" w:pos="160"/>
              </w:tabs>
              <w:ind w:hanging="380"/>
              <w:jc w:val="both"/>
              <w:rPr>
                <w:iCs/>
                <w:sz w:val="16"/>
                <w:szCs w:val="16"/>
                <w:lang w:val="en-GB"/>
              </w:rPr>
            </w:pPr>
          </w:p>
          <w:p w14:paraId="16CA2649" w14:textId="77777777" w:rsidR="00825DAE" w:rsidRPr="000708D6" w:rsidRDefault="002620E8" w:rsidP="000708D6">
            <w:pPr>
              <w:tabs>
                <w:tab w:val="left" w:pos="0"/>
                <w:tab w:val="left" w:pos="160"/>
              </w:tabs>
              <w:jc w:val="both"/>
              <w:rPr>
                <w:iCs/>
                <w:sz w:val="16"/>
                <w:szCs w:val="16"/>
                <w:lang w:val="en-GB"/>
              </w:rPr>
            </w:pPr>
            <w:r w:rsidRPr="00A56C57">
              <w:rPr>
                <w:bCs/>
                <w:sz w:val="16"/>
                <w:szCs w:val="16"/>
                <w:lang w:val="en-GB"/>
              </w:rPr>
              <w:t xml:space="preserve">Indicator: </w:t>
            </w:r>
            <w:r w:rsidR="00BB74E6" w:rsidRPr="000708D6">
              <w:rPr>
                <w:iCs/>
                <w:sz w:val="16"/>
                <w:szCs w:val="16"/>
                <w:lang w:val="en-GB"/>
              </w:rPr>
              <w:t>Number of c</w:t>
            </w:r>
            <w:r w:rsidR="00825DAE" w:rsidRPr="000708D6">
              <w:rPr>
                <w:iCs/>
                <w:sz w:val="16"/>
                <w:szCs w:val="16"/>
                <w:lang w:val="en-GB"/>
              </w:rPr>
              <w:t xml:space="preserve">ivic participation platforms established on climate </w:t>
            </w:r>
            <w:r w:rsidR="00517302" w:rsidRPr="000708D6">
              <w:rPr>
                <w:iCs/>
                <w:sz w:val="16"/>
                <w:szCs w:val="16"/>
                <w:lang w:val="en-GB"/>
              </w:rPr>
              <w:t xml:space="preserve">  </w:t>
            </w:r>
            <w:r w:rsidR="00825DAE" w:rsidRPr="000708D6">
              <w:rPr>
                <w:iCs/>
                <w:sz w:val="16"/>
                <w:szCs w:val="16"/>
                <w:lang w:val="en-GB"/>
              </w:rPr>
              <w:t>resilience.</w:t>
            </w:r>
          </w:p>
          <w:p w14:paraId="642B7909" w14:textId="1B380AAC" w:rsidR="00825DAE" w:rsidRPr="000708D6" w:rsidRDefault="00E90F9A" w:rsidP="00282AFA">
            <w:pPr>
              <w:tabs>
                <w:tab w:val="left" w:pos="0"/>
                <w:tab w:val="left" w:pos="160"/>
              </w:tabs>
              <w:ind w:left="484" w:hanging="380"/>
              <w:jc w:val="both"/>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Pr>
                <w:iCs/>
                <w:sz w:val="16"/>
                <w:szCs w:val="16"/>
                <w:lang w:val="en-GB"/>
              </w:rPr>
              <w:t xml:space="preserve"> </w:t>
            </w:r>
            <w:r w:rsidR="00825DAE" w:rsidRPr="000708D6">
              <w:rPr>
                <w:iCs/>
                <w:sz w:val="16"/>
                <w:szCs w:val="16"/>
                <w:lang w:val="en-GB"/>
              </w:rPr>
              <w:t>0</w:t>
            </w:r>
          </w:p>
          <w:p w14:paraId="72CF4926" w14:textId="66D90C1E" w:rsidR="00825DAE" w:rsidRPr="000708D6" w:rsidRDefault="00E90F9A" w:rsidP="00282AFA">
            <w:pPr>
              <w:tabs>
                <w:tab w:val="left" w:pos="0"/>
                <w:tab w:val="left" w:pos="160"/>
              </w:tabs>
              <w:ind w:left="484" w:hanging="380"/>
              <w:jc w:val="both"/>
              <w:rPr>
                <w:iCs/>
                <w:sz w:val="16"/>
                <w:szCs w:val="16"/>
                <w:lang w:val="en-GB"/>
              </w:rPr>
            </w:pPr>
            <w:r>
              <w:rPr>
                <w:iCs/>
                <w:sz w:val="16"/>
                <w:szCs w:val="16"/>
                <w:lang w:val="en-GB"/>
              </w:rPr>
              <w:lastRenderedPageBreak/>
              <w:t xml:space="preserve">Target: </w:t>
            </w:r>
            <w:r w:rsidR="00825DAE" w:rsidRPr="000708D6">
              <w:rPr>
                <w:iCs/>
                <w:sz w:val="16"/>
                <w:szCs w:val="16"/>
                <w:lang w:val="en-GB"/>
              </w:rPr>
              <w:t>2</w:t>
            </w:r>
          </w:p>
          <w:p w14:paraId="153632D0" w14:textId="515288CB" w:rsidR="00825DAE" w:rsidRPr="000708D6" w:rsidRDefault="00825DAE" w:rsidP="00282AFA">
            <w:pPr>
              <w:tabs>
                <w:tab w:val="left" w:pos="0"/>
                <w:tab w:val="left" w:pos="160"/>
              </w:tabs>
              <w:ind w:left="484" w:hanging="380"/>
              <w:jc w:val="both"/>
              <w:rPr>
                <w:iCs/>
                <w:sz w:val="16"/>
                <w:szCs w:val="16"/>
                <w:lang w:val="en-GB"/>
              </w:rPr>
            </w:pPr>
            <w:r w:rsidRPr="000708D6">
              <w:rPr>
                <w:iCs/>
                <w:sz w:val="16"/>
                <w:szCs w:val="16"/>
                <w:lang w:val="en-GB"/>
              </w:rPr>
              <w:t xml:space="preserve">UNDP </w:t>
            </w:r>
            <w:r w:rsidR="00221433" w:rsidRPr="005C7E82">
              <w:rPr>
                <w:iCs/>
                <w:sz w:val="16"/>
                <w:szCs w:val="16"/>
                <w:lang w:val="en-GB"/>
              </w:rPr>
              <w:t>Trinidad and Tobago</w:t>
            </w:r>
            <w:r w:rsidRPr="000708D6">
              <w:rPr>
                <w:iCs/>
                <w:sz w:val="16"/>
                <w:szCs w:val="16"/>
                <w:lang w:val="en-GB"/>
              </w:rPr>
              <w:t xml:space="preserve"> </w:t>
            </w:r>
            <w:r w:rsidR="007F23FB">
              <w:rPr>
                <w:iCs/>
                <w:sz w:val="16"/>
                <w:szCs w:val="16"/>
                <w:lang w:val="en-GB"/>
              </w:rPr>
              <w:t>n</w:t>
            </w:r>
            <w:r w:rsidRPr="000708D6">
              <w:rPr>
                <w:iCs/>
                <w:sz w:val="16"/>
                <w:szCs w:val="16"/>
                <w:lang w:val="en-GB"/>
              </w:rPr>
              <w:t>ewsletter</w:t>
            </w:r>
            <w:r w:rsidR="0062773F" w:rsidRPr="000708D6">
              <w:rPr>
                <w:iCs/>
                <w:sz w:val="16"/>
                <w:szCs w:val="16"/>
                <w:lang w:val="en-GB"/>
              </w:rPr>
              <w:t xml:space="preserve">, </w:t>
            </w:r>
            <w:r w:rsidR="007F23FB">
              <w:rPr>
                <w:iCs/>
                <w:sz w:val="16"/>
                <w:szCs w:val="16"/>
                <w:lang w:val="en-GB"/>
              </w:rPr>
              <w:t>q</w:t>
            </w:r>
            <w:r w:rsidRPr="000708D6">
              <w:rPr>
                <w:iCs/>
                <w:sz w:val="16"/>
                <w:szCs w:val="16"/>
                <w:lang w:val="en-GB"/>
              </w:rPr>
              <w:t>uarterly</w:t>
            </w:r>
          </w:p>
          <w:p w14:paraId="5B4820B7" w14:textId="77777777" w:rsidR="00825DAE" w:rsidRPr="000708D6" w:rsidRDefault="00825DAE" w:rsidP="00282AFA">
            <w:pPr>
              <w:tabs>
                <w:tab w:val="left" w:pos="0"/>
                <w:tab w:val="left" w:pos="160"/>
              </w:tabs>
              <w:ind w:hanging="380"/>
              <w:jc w:val="both"/>
              <w:rPr>
                <w:iCs/>
                <w:sz w:val="16"/>
                <w:szCs w:val="16"/>
                <w:lang w:val="en-GB"/>
              </w:rPr>
            </w:pPr>
          </w:p>
          <w:p w14:paraId="791BED6F" w14:textId="6656B84C" w:rsidR="00825DAE" w:rsidRPr="000708D6" w:rsidRDefault="0028107E" w:rsidP="007F23FB">
            <w:pPr>
              <w:tabs>
                <w:tab w:val="left" w:pos="70"/>
                <w:tab w:val="left" w:pos="160"/>
              </w:tabs>
              <w:ind w:left="70"/>
              <w:jc w:val="both"/>
              <w:rPr>
                <w:b/>
                <w:iCs/>
                <w:sz w:val="16"/>
                <w:szCs w:val="16"/>
                <w:lang w:val="en-GB"/>
              </w:rPr>
            </w:pPr>
            <w:r w:rsidRPr="000708D6">
              <w:rPr>
                <w:b/>
                <w:iCs/>
                <w:sz w:val="16"/>
                <w:szCs w:val="16"/>
                <w:lang w:val="en-GB"/>
              </w:rPr>
              <w:t xml:space="preserve">4.4 </w:t>
            </w:r>
            <w:r w:rsidR="00BB74E6" w:rsidRPr="000708D6">
              <w:rPr>
                <w:b/>
                <w:iCs/>
                <w:sz w:val="16"/>
                <w:szCs w:val="16"/>
                <w:lang w:val="en-GB"/>
              </w:rPr>
              <w:t>C</w:t>
            </w:r>
            <w:r w:rsidR="00825DAE" w:rsidRPr="000708D6">
              <w:rPr>
                <w:b/>
                <w:iCs/>
                <w:sz w:val="16"/>
                <w:szCs w:val="16"/>
                <w:lang w:val="en-GB"/>
              </w:rPr>
              <w:t>ommunity</w:t>
            </w:r>
            <w:r w:rsidR="007F23FB">
              <w:rPr>
                <w:b/>
                <w:iCs/>
                <w:sz w:val="16"/>
                <w:szCs w:val="16"/>
                <w:lang w:val="en-GB"/>
              </w:rPr>
              <w:t>-</w:t>
            </w:r>
            <w:r w:rsidR="00825DAE" w:rsidRPr="000708D6">
              <w:rPr>
                <w:b/>
                <w:iCs/>
                <w:sz w:val="16"/>
                <w:szCs w:val="16"/>
                <w:lang w:val="en-GB"/>
              </w:rPr>
              <w:t>based approac</w:t>
            </w:r>
            <w:r w:rsidR="0067484C" w:rsidRPr="000708D6">
              <w:rPr>
                <w:b/>
                <w:iCs/>
                <w:sz w:val="16"/>
                <w:szCs w:val="16"/>
                <w:lang w:val="en-GB"/>
              </w:rPr>
              <w:t xml:space="preserve">hes to enhance </w:t>
            </w:r>
            <w:r w:rsidRPr="000708D6">
              <w:rPr>
                <w:b/>
                <w:iCs/>
                <w:sz w:val="16"/>
                <w:szCs w:val="16"/>
                <w:lang w:val="en-GB"/>
              </w:rPr>
              <w:t xml:space="preserve">climate resilience are </w:t>
            </w:r>
            <w:r w:rsidR="00BB74E6" w:rsidRPr="000708D6">
              <w:rPr>
                <w:b/>
                <w:iCs/>
                <w:sz w:val="16"/>
                <w:szCs w:val="16"/>
                <w:lang w:val="en-GB"/>
              </w:rPr>
              <w:t xml:space="preserve">piloted </w:t>
            </w:r>
            <w:r w:rsidR="0067484C" w:rsidRPr="000708D6">
              <w:rPr>
                <w:b/>
                <w:iCs/>
                <w:sz w:val="16"/>
                <w:szCs w:val="16"/>
                <w:lang w:val="en-GB"/>
              </w:rPr>
              <w:t xml:space="preserve">in vulnerable communities </w:t>
            </w:r>
            <w:r w:rsidR="00BB74E6" w:rsidRPr="000708D6">
              <w:rPr>
                <w:b/>
                <w:iCs/>
                <w:sz w:val="16"/>
                <w:szCs w:val="16"/>
                <w:lang w:val="en-GB"/>
              </w:rPr>
              <w:t>and replicated.</w:t>
            </w:r>
          </w:p>
          <w:p w14:paraId="3F70BD2D" w14:textId="77777777" w:rsidR="0028107E" w:rsidRPr="000708D6" w:rsidRDefault="0028107E" w:rsidP="00282AFA">
            <w:pPr>
              <w:tabs>
                <w:tab w:val="left" w:pos="0"/>
                <w:tab w:val="left" w:pos="160"/>
              </w:tabs>
              <w:ind w:hanging="380"/>
              <w:jc w:val="both"/>
              <w:rPr>
                <w:iCs/>
                <w:sz w:val="16"/>
                <w:szCs w:val="16"/>
                <w:lang w:val="en-GB"/>
              </w:rPr>
            </w:pPr>
          </w:p>
          <w:p w14:paraId="631638F1" w14:textId="3849BC03" w:rsidR="00825DAE" w:rsidRPr="000708D6" w:rsidRDefault="002620E8" w:rsidP="000708D6">
            <w:pPr>
              <w:tabs>
                <w:tab w:val="left" w:pos="0"/>
                <w:tab w:val="left" w:pos="160"/>
              </w:tabs>
              <w:jc w:val="both"/>
              <w:rPr>
                <w:iCs/>
                <w:sz w:val="16"/>
                <w:szCs w:val="16"/>
                <w:lang w:val="en-GB"/>
              </w:rPr>
            </w:pPr>
            <w:r w:rsidRPr="00A56C57">
              <w:rPr>
                <w:bCs/>
                <w:sz w:val="16"/>
                <w:szCs w:val="16"/>
                <w:lang w:val="en-GB"/>
              </w:rPr>
              <w:t xml:space="preserve">Indicator: </w:t>
            </w:r>
            <w:r w:rsidR="001A7769" w:rsidRPr="000708D6">
              <w:rPr>
                <w:iCs/>
                <w:sz w:val="16"/>
                <w:szCs w:val="16"/>
                <w:lang w:val="en-GB"/>
              </w:rPr>
              <w:t>Number of pilot and demonstration projects initiated or scaled up by national partners</w:t>
            </w:r>
            <w:r w:rsidR="004E1E9F" w:rsidRPr="000708D6">
              <w:rPr>
                <w:iCs/>
                <w:sz w:val="16"/>
                <w:szCs w:val="16"/>
                <w:lang w:val="en-GB"/>
              </w:rPr>
              <w:t>, in</w:t>
            </w:r>
            <w:r w:rsidR="00307D30" w:rsidRPr="000708D6">
              <w:rPr>
                <w:iCs/>
                <w:sz w:val="16"/>
                <w:szCs w:val="16"/>
                <w:lang w:val="en-GB"/>
              </w:rPr>
              <w:t>cluding women’s organizations</w:t>
            </w:r>
            <w:r w:rsidR="001A7769" w:rsidRPr="000708D6">
              <w:rPr>
                <w:iCs/>
                <w:sz w:val="16"/>
                <w:szCs w:val="16"/>
                <w:lang w:val="en-GB"/>
              </w:rPr>
              <w:t xml:space="preserve"> (SP</w:t>
            </w:r>
            <w:r w:rsidR="00585389" w:rsidRPr="000708D6">
              <w:rPr>
                <w:iCs/>
                <w:sz w:val="16"/>
                <w:szCs w:val="16"/>
                <w:lang w:val="en-GB"/>
              </w:rPr>
              <w:t xml:space="preserve"> </w:t>
            </w:r>
            <w:r w:rsidR="001A7769" w:rsidRPr="000708D6">
              <w:rPr>
                <w:iCs/>
                <w:sz w:val="16"/>
                <w:szCs w:val="16"/>
                <w:lang w:val="en-GB"/>
              </w:rPr>
              <w:t>7.6.2)</w:t>
            </w:r>
            <w:r w:rsidR="003C7109" w:rsidRPr="000708D6">
              <w:rPr>
                <w:iCs/>
                <w:sz w:val="16"/>
                <w:szCs w:val="16"/>
                <w:u w:val="single"/>
                <w:lang w:val="en-GB"/>
              </w:rPr>
              <w:t xml:space="preserve"> </w:t>
            </w:r>
          </w:p>
          <w:p w14:paraId="66936E55" w14:textId="4E87ADED" w:rsidR="00825DAE" w:rsidRPr="000708D6" w:rsidRDefault="00E90F9A" w:rsidP="00282AFA">
            <w:pPr>
              <w:tabs>
                <w:tab w:val="left" w:pos="0"/>
                <w:tab w:val="left" w:pos="160"/>
              </w:tabs>
              <w:ind w:left="394" w:hanging="380"/>
              <w:jc w:val="both"/>
              <w:rPr>
                <w:iCs/>
                <w:sz w:val="16"/>
                <w:szCs w:val="16"/>
                <w:lang w:val="en-GB"/>
              </w:rPr>
            </w:pPr>
            <w:r w:rsidRPr="00A56C57">
              <w:rPr>
                <w:iCs/>
                <w:sz w:val="16"/>
                <w:szCs w:val="16"/>
                <w:lang w:val="en-GB"/>
              </w:rPr>
              <w:t>B</w:t>
            </w:r>
            <w:r>
              <w:rPr>
                <w:iCs/>
                <w:sz w:val="16"/>
                <w:szCs w:val="16"/>
                <w:lang w:val="en-GB"/>
              </w:rPr>
              <w:t>aseline</w:t>
            </w:r>
            <w:r w:rsidRPr="00A56C57">
              <w:rPr>
                <w:iCs/>
                <w:sz w:val="16"/>
                <w:szCs w:val="16"/>
                <w:lang w:val="en-GB"/>
              </w:rPr>
              <w:t>:</w:t>
            </w:r>
            <w:r>
              <w:rPr>
                <w:iCs/>
                <w:sz w:val="16"/>
                <w:szCs w:val="16"/>
                <w:lang w:val="en-GB"/>
              </w:rPr>
              <w:t xml:space="preserve"> </w:t>
            </w:r>
            <w:r w:rsidR="00825DAE" w:rsidRPr="000708D6">
              <w:rPr>
                <w:iCs/>
                <w:sz w:val="16"/>
                <w:szCs w:val="16"/>
                <w:lang w:val="en-GB"/>
              </w:rPr>
              <w:t>1</w:t>
            </w:r>
          </w:p>
          <w:p w14:paraId="40FCAB97" w14:textId="0EDEF1BA" w:rsidR="00825DAE" w:rsidRPr="000708D6" w:rsidRDefault="00E90F9A" w:rsidP="00282AFA">
            <w:pPr>
              <w:tabs>
                <w:tab w:val="left" w:pos="0"/>
                <w:tab w:val="left" w:pos="160"/>
              </w:tabs>
              <w:ind w:left="394" w:hanging="380"/>
              <w:jc w:val="both"/>
              <w:rPr>
                <w:iCs/>
                <w:sz w:val="16"/>
                <w:szCs w:val="16"/>
                <w:lang w:val="en-GB"/>
              </w:rPr>
            </w:pPr>
            <w:r>
              <w:rPr>
                <w:iCs/>
                <w:sz w:val="16"/>
                <w:szCs w:val="16"/>
                <w:lang w:val="en-GB"/>
              </w:rPr>
              <w:t>Target:</w:t>
            </w:r>
            <w:r w:rsidR="00825DAE" w:rsidRPr="000708D6">
              <w:rPr>
                <w:iCs/>
                <w:sz w:val="16"/>
                <w:szCs w:val="16"/>
                <w:lang w:val="en-GB"/>
              </w:rPr>
              <w:t xml:space="preserve"> 2</w:t>
            </w:r>
          </w:p>
          <w:p w14:paraId="384F8B3C" w14:textId="4B0C018D" w:rsidR="00C03735" w:rsidRPr="000708D6" w:rsidRDefault="00825DAE">
            <w:pPr>
              <w:tabs>
                <w:tab w:val="left" w:pos="0"/>
                <w:tab w:val="left" w:pos="160"/>
              </w:tabs>
              <w:ind w:left="394" w:hanging="380"/>
              <w:jc w:val="both"/>
              <w:rPr>
                <w:iCs/>
                <w:sz w:val="16"/>
                <w:szCs w:val="16"/>
                <w:lang w:val="en-GB"/>
              </w:rPr>
            </w:pPr>
            <w:r w:rsidRPr="000708D6">
              <w:rPr>
                <w:iCs/>
                <w:sz w:val="16"/>
                <w:szCs w:val="16"/>
                <w:lang w:val="en-GB"/>
              </w:rPr>
              <w:t>GEF</w:t>
            </w:r>
            <w:r w:rsidR="00C859FC">
              <w:rPr>
                <w:iCs/>
                <w:sz w:val="16"/>
                <w:szCs w:val="16"/>
                <w:lang w:val="en-GB"/>
              </w:rPr>
              <w:t>/</w:t>
            </w:r>
            <w:r w:rsidRPr="000708D6">
              <w:rPr>
                <w:iCs/>
                <w:sz w:val="16"/>
                <w:szCs w:val="16"/>
                <w:lang w:val="en-GB"/>
              </w:rPr>
              <w:t xml:space="preserve">SGP </w:t>
            </w:r>
            <w:r w:rsidR="00E90F9A">
              <w:rPr>
                <w:iCs/>
                <w:sz w:val="16"/>
                <w:szCs w:val="16"/>
                <w:lang w:val="en-GB"/>
              </w:rPr>
              <w:t>r</w:t>
            </w:r>
            <w:r w:rsidRPr="000708D6">
              <w:rPr>
                <w:iCs/>
                <w:sz w:val="16"/>
                <w:szCs w:val="16"/>
                <w:lang w:val="en-GB"/>
              </w:rPr>
              <w:t>eports</w:t>
            </w:r>
            <w:r w:rsidR="0062773F" w:rsidRPr="000708D6">
              <w:rPr>
                <w:iCs/>
                <w:sz w:val="16"/>
                <w:szCs w:val="16"/>
                <w:lang w:val="en-GB"/>
              </w:rPr>
              <w:t xml:space="preserve">, </w:t>
            </w:r>
            <w:r w:rsidR="00E90F9A">
              <w:rPr>
                <w:iCs/>
                <w:sz w:val="16"/>
                <w:szCs w:val="16"/>
                <w:lang w:val="en-GB"/>
              </w:rPr>
              <w:t>q</w:t>
            </w:r>
            <w:r w:rsidRPr="000708D6">
              <w:rPr>
                <w:iCs/>
                <w:sz w:val="16"/>
                <w:szCs w:val="16"/>
                <w:lang w:val="en-GB"/>
              </w:rPr>
              <w:t>uarterly</w:t>
            </w:r>
          </w:p>
        </w:tc>
        <w:tc>
          <w:tcPr>
            <w:tcW w:w="821" w:type="pct"/>
            <w:vMerge w:val="restart"/>
            <w:tcBorders>
              <w:top w:val="single" w:sz="4" w:space="0" w:color="auto"/>
              <w:bottom w:val="single" w:sz="4" w:space="0" w:color="auto"/>
            </w:tcBorders>
          </w:tcPr>
          <w:p w14:paraId="5E9D4C4B" w14:textId="26A46A59" w:rsidR="00A36FD5" w:rsidRPr="000708D6" w:rsidRDefault="00A36FD5" w:rsidP="000708D6">
            <w:pPr>
              <w:spacing w:after="60"/>
              <w:rPr>
                <w:b/>
                <w:i/>
                <w:iCs/>
                <w:sz w:val="16"/>
                <w:szCs w:val="16"/>
                <w:lang w:val="en-GB"/>
              </w:rPr>
            </w:pPr>
            <w:r w:rsidRPr="000708D6">
              <w:rPr>
                <w:b/>
                <w:i/>
                <w:iCs/>
                <w:sz w:val="16"/>
                <w:szCs w:val="16"/>
                <w:lang w:val="en-GB"/>
              </w:rPr>
              <w:lastRenderedPageBreak/>
              <w:t>Government ministries</w:t>
            </w:r>
          </w:p>
          <w:p w14:paraId="5384CEBC" w14:textId="77777777" w:rsidR="00A36FD5" w:rsidRPr="000708D6" w:rsidRDefault="007D6F07" w:rsidP="000708D6">
            <w:pPr>
              <w:ind w:left="239"/>
              <w:rPr>
                <w:iCs/>
                <w:sz w:val="16"/>
                <w:szCs w:val="16"/>
                <w:lang w:val="en-GB"/>
              </w:rPr>
            </w:pPr>
            <w:r w:rsidRPr="000708D6">
              <w:rPr>
                <w:iCs/>
                <w:sz w:val="16"/>
                <w:szCs w:val="16"/>
                <w:lang w:val="en-GB"/>
              </w:rPr>
              <w:t>MPD</w:t>
            </w:r>
          </w:p>
          <w:p w14:paraId="5918D1D4" w14:textId="77777777" w:rsidR="00C50818" w:rsidRDefault="0054690D" w:rsidP="000708D6">
            <w:pPr>
              <w:ind w:left="239"/>
              <w:rPr>
                <w:iCs/>
                <w:sz w:val="16"/>
                <w:szCs w:val="16"/>
                <w:lang w:val="en-GB"/>
              </w:rPr>
            </w:pPr>
            <w:r w:rsidRPr="000708D6">
              <w:rPr>
                <w:iCs/>
                <w:sz w:val="16"/>
                <w:szCs w:val="16"/>
                <w:lang w:val="en-GB"/>
              </w:rPr>
              <w:t xml:space="preserve">Ministry of </w:t>
            </w:r>
            <w:r w:rsidR="00A36FD5" w:rsidRPr="000708D6">
              <w:rPr>
                <w:iCs/>
                <w:sz w:val="16"/>
                <w:szCs w:val="16"/>
                <w:lang w:val="en-GB"/>
              </w:rPr>
              <w:t xml:space="preserve">Energy &amp; Energy </w:t>
            </w:r>
            <w:r w:rsidRPr="000708D6">
              <w:rPr>
                <w:iCs/>
                <w:sz w:val="16"/>
                <w:szCs w:val="16"/>
                <w:lang w:val="en-GB"/>
              </w:rPr>
              <w:t>Affairs (MEEA)</w:t>
            </w:r>
          </w:p>
          <w:p w14:paraId="28FBD4F2" w14:textId="28368F3A" w:rsidR="00A36FD5" w:rsidRPr="000708D6" w:rsidRDefault="00A36FD5" w:rsidP="000708D6">
            <w:pPr>
              <w:ind w:left="239"/>
              <w:rPr>
                <w:iCs/>
                <w:sz w:val="16"/>
                <w:szCs w:val="16"/>
                <w:lang w:val="en-GB"/>
              </w:rPr>
            </w:pPr>
            <w:r w:rsidRPr="000708D6">
              <w:rPr>
                <w:iCs/>
                <w:sz w:val="16"/>
                <w:szCs w:val="16"/>
                <w:lang w:val="en-GB"/>
              </w:rPr>
              <w:t>Industries</w:t>
            </w:r>
          </w:p>
          <w:p w14:paraId="602508CD" w14:textId="77777777" w:rsidR="00A36FD5" w:rsidRPr="000708D6" w:rsidRDefault="007D6F07" w:rsidP="000708D6">
            <w:pPr>
              <w:ind w:left="239"/>
              <w:rPr>
                <w:iCs/>
                <w:sz w:val="16"/>
                <w:szCs w:val="16"/>
                <w:lang w:val="en-GB"/>
              </w:rPr>
            </w:pPr>
            <w:r w:rsidRPr="000708D6">
              <w:rPr>
                <w:iCs/>
                <w:sz w:val="16"/>
                <w:szCs w:val="16"/>
                <w:lang w:val="en-GB"/>
              </w:rPr>
              <w:lastRenderedPageBreak/>
              <w:t>MNS</w:t>
            </w:r>
          </w:p>
          <w:p w14:paraId="07CF85DB" w14:textId="761BE562" w:rsidR="00A36FD5" w:rsidRPr="000708D6" w:rsidRDefault="00A36FD5" w:rsidP="000708D6">
            <w:pPr>
              <w:ind w:left="239"/>
              <w:rPr>
                <w:iCs/>
                <w:sz w:val="16"/>
                <w:szCs w:val="16"/>
                <w:lang w:val="en-GB"/>
              </w:rPr>
            </w:pPr>
            <w:r w:rsidRPr="000708D6">
              <w:rPr>
                <w:iCs/>
                <w:sz w:val="16"/>
                <w:szCs w:val="16"/>
                <w:lang w:val="en-GB"/>
              </w:rPr>
              <w:t xml:space="preserve">Rural Development </w:t>
            </w:r>
            <w:r w:rsidR="00264A69">
              <w:rPr>
                <w:iCs/>
                <w:sz w:val="16"/>
                <w:szCs w:val="16"/>
                <w:lang w:val="en-GB"/>
              </w:rPr>
              <w:t>and</w:t>
            </w:r>
            <w:r w:rsidRPr="000708D6">
              <w:rPr>
                <w:iCs/>
                <w:sz w:val="16"/>
                <w:szCs w:val="16"/>
                <w:lang w:val="en-GB"/>
              </w:rPr>
              <w:t xml:space="preserve"> </w:t>
            </w:r>
            <w:r w:rsidR="00C50818">
              <w:rPr>
                <w:iCs/>
                <w:sz w:val="16"/>
                <w:szCs w:val="16"/>
                <w:lang w:val="en-GB"/>
              </w:rPr>
              <w:t>L</w:t>
            </w:r>
            <w:r w:rsidRPr="000708D6">
              <w:rPr>
                <w:iCs/>
                <w:sz w:val="16"/>
                <w:szCs w:val="16"/>
                <w:lang w:val="en-GB"/>
              </w:rPr>
              <w:t xml:space="preserve">ocal </w:t>
            </w:r>
            <w:r w:rsidR="00C50818">
              <w:rPr>
                <w:iCs/>
                <w:sz w:val="16"/>
                <w:szCs w:val="16"/>
                <w:lang w:val="en-GB"/>
              </w:rPr>
              <w:t>G</w:t>
            </w:r>
            <w:r w:rsidRPr="000708D6">
              <w:rPr>
                <w:iCs/>
                <w:sz w:val="16"/>
                <w:szCs w:val="16"/>
                <w:lang w:val="en-GB"/>
              </w:rPr>
              <w:t>overnment</w:t>
            </w:r>
          </w:p>
          <w:p w14:paraId="3F4ECCD2" w14:textId="77777777" w:rsidR="00A36FD5" w:rsidRPr="000708D6" w:rsidRDefault="00A36FD5" w:rsidP="00A36FD5">
            <w:pPr>
              <w:rPr>
                <w:iCs/>
                <w:sz w:val="16"/>
                <w:szCs w:val="16"/>
                <w:lang w:val="en-GB"/>
              </w:rPr>
            </w:pPr>
          </w:p>
          <w:p w14:paraId="4D1458D9" w14:textId="40850110" w:rsidR="00A36FD5" w:rsidRPr="000708D6" w:rsidRDefault="00A36FD5" w:rsidP="000708D6">
            <w:pPr>
              <w:spacing w:after="60"/>
              <w:rPr>
                <w:b/>
                <w:i/>
                <w:iCs/>
                <w:sz w:val="16"/>
                <w:szCs w:val="16"/>
                <w:lang w:val="en-GB"/>
              </w:rPr>
            </w:pPr>
            <w:r w:rsidRPr="000708D6">
              <w:rPr>
                <w:b/>
                <w:i/>
                <w:iCs/>
                <w:sz w:val="16"/>
                <w:szCs w:val="16"/>
                <w:lang w:val="en-GB"/>
              </w:rPr>
              <w:t>Government organi</w:t>
            </w:r>
            <w:r w:rsidR="00E152B1" w:rsidRPr="000708D6">
              <w:rPr>
                <w:b/>
                <w:i/>
                <w:iCs/>
                <w:sz w:val="16"/>
                <w:szCs w:val="16"/>
                <w:lang w:val="en-GB"/>
              </w:rPr>
              <w:t>z</w:t>
            </w:r>
            <w:r w:rsidRPr="000708D6">
              <w:rPr>
                <w:b/>
                <w:i/>
                <w:iCs/>
                <w:sz w:val="16"/>
                <w:szCs w:val="16"/>
                <w:lang w:val="en-GB"/>
              </w:rPr>
              <w:t>ations</w:t>
            </w:r>
          </w:p>
          <w:p w14:paraId="20A15E64" w14:textId="77777777" w:rsidR="00A36FD5" w:rsidRPr="000708D6" w:rsidRDefault="00A36FD5" w:rsidP="000708D6">
            <w:pPr>
              <w:spacing w:after="60"/>
              <w:ind w:left="245"/>
              <w:rPr>
                <w:iCs/>
                <w:sz w:val="16"/>
                <w:szCs w:val="16"/>
                <w:lang w:val="en-GB"/>
              </w:rPr>
            </w:pPr>
            <w:r w:rsidRPr="000708D6">
              <w:rPr>
                <w:iCs/>
                <w:sz w:val="16"/>
                <w:szCs w:val="16"/>
                <w:lang w:val="en-GB"/>
              </w:rPr>
              <w:t>Regulated Industries Commission</w:t>
            </w:r>
          </w:p>
          <w:p w14:paraId="69AEE8D5" w14:textId="77777777" w:rsidR="00A36FD5" w:rsidRPr="000708D6" w:rsidRDefault="00A36FD5" w:rsidP="000708D6">
            <w:pPr>
              <w:spacing w:after="60"/>
              <w:ind w:left="245"/>
              <w:rPr>
                <w:iCs/>
                <w:sz w:val="16"/>
                <w:szCs w:val="16"/>
                <w:lang w:val="en-GB"/>
              </w:rPr>
            </w:pPr>
            <w:r w:rsidRPr="000708D6">
              <w:rPr>
                <w:iCs/>
                <w:sz w:val="16"/>
                <w:szCs w:val="16"/>
                <w:lang w:val="en-GB"/>
              </w:rPr>
              <w:t>Environmental Management Authority</w:t>
            </w:r>
          </w:p>
          <w:p w14:paraId="762730A8" w14:textId="77777777" w:rsidR="00A36FD5" w:rsidRPr="000708D6" w:rsidRDefault="00A36FD5" w:rsidP="000708D6">
            <w:pPr>
              <w:spacing w:after="60"/>
              <w:ind w:left="245"/>
              <w:rPr>
                <w:iCs/>
                <w:sz w:val="16"/>
                <w:szCs w:val="16"/>
                <w:lang w:val="en-GB"/>
              </w:rPr>
            </w:pPr>
            <w:r w:rsidRPr="000708D6">
              <w:rPr>
                <w:iCs/>
                <w:sz w:val="16"/>
                <w:szCs w:val="16"/>
                <w:lang w:val="en-GB"/>
              </w:rPr>
              <w:t>Institute of Marine Affairs</w:t>
            </w:r>
          </w:p>
          <w:p w14:paraId="588291D8" w14:textId="4DCF91D8" w:rsidR="00A36FD5" w:rsidRPr="000708D6" w:rsidRDefault="00A36FD5" w:rsidP="000708D6">
            <w:pPr>
              <w:spacing w:after="60"/>
              <w:ind w:left="245"/>
              <w:rPr>
                <w:iCs/>
                <w:sz w:val="16"/>
                <w:szCs w:val="16"/>
                <w:lang w:val="en-GB"/>
              </w:rPr>
            </w:pPr>
            <w:r w:rsidRPr="000708D6">
              <w:rPr>
                <w:iCs/>
                <w:sz w:val="16"/>
                <w:szCs w:val="16"/>
                <w:lang w:val="en-GB"/>
              </w:rPr>
              <w:t xml:space="preserve">Petroleum Company of </w:t>
            </w:r>
            <w:r w:rsidR="00221433" w:rsidRPr="005C7E82">
              <w:rPr>
                <w:iCs/>
                <w:sz w:val="16"/>
                <w:szCs w:val="16"/>
                <w:lang w:val="en-GB"/>
              </w:rPr>
              <w:t>Trinidad and Tobago</w:t>
            </w:r>
            <w:r w:rsidRPr="000708D6">
              <w:rPr>
                <w:iCs/>
                <w:sz w:val="16"/>
                <w:szCs w:val="16"/>
                <w:lang w:val="en-GB"/>
              </w:rPr>
              <w:t xml:space="preserve"> Limited</w:t>
            </w:r>
          </w:p>
          <w:p w14:paraId="2421EC34" w14:textId="77777777" w:rsidR="00A36FD5" w:rsidRPr="000708D6" w:rsidRDefault="00A36FD5" w:rsidP="000708D6">
            <w:pPr>
              <w:ind w:left="239"/>
              <w:rPr>
                <w:iCs/>
                <w:sz w:val="16"/>
                <w:szCs w:val="16"/>
                <w:lang w:val="en-GB"/>
              </w:rPr>
            </w:pPr>
            <w:r w:rsidRPr="000708D6">
              <w:rPr>
                <w:iCs/>
                <w:sz w:val="16"/>
                <w:szCs w:val="16"/>
                <w:lang w:val="en-GB"/>
              </w:rPr>
              <w:t xml:space="preserve">Point Lisas Industrial Port Development Corporation Limited </w:t>
            </w:r>
          </w:p>
          <w:p w14:paraId="446F4D79" w14:textId="77777777" w:rsidR="00A36FD5" w:rsidRPr="005C7E82" w:rsidRDefault="00A36FD5" w:rsidP="00A36FD5">
            <w:pPr>
              <w:rPr>
                <w:iCs/>
                <w:sz w:val="16"/>
                <w:szCs w:val="16"/>
                <w:lang w:val="en-GB"/>
              </w:rPr>
            </w:pPr>
          </w:p>
          <w:p w14:paraId="7CFBF8D7" w14:textId="39768FDC" w:rsidR="00A36FD5" w:rsidRPr="000708D6" w:rsidRDefault="00A36FD5" w:rsidP="000708D6">
            <w:pPr>
              <w:spacing w:after="60"/>
              <w:rPr>
                <w:b/>
                <w:i/>
                <w:iCs/>
                <w:sz w:val="16"/>
                <w:szCs w:val="16"/>
                <w:lang w:val="en-GB"/>
              </w:rPr>
            </w:pPr>
            <w:r w:rsidRPr="000708D6">
              <w:rPr>
                <w:b/>
                <w:i/>
                <w:iCs/>
                <w:sz w:val="16"/>
                <w:szCs w:val="16"/>
                <w:lang w:val="en-GB"/>
              </w:rPr>
              <w:t xml:space="preserve">Private </w:t>
            </w:r>
            <w:r w:rsidR="00E152B1" w:rsidRPr="000708D6">
              <w:rPr>
                <w:b/>
                <w:i/>
                <w:iCs/>
                <w:sz w:val="16"/>
                <w:szCs w:val="16"/>
                <w:lang w:val="en-GB"/>
              </w:rPr>
              <w:t>s</w:t>
            </w:r>
            <w:r w:rsidRPr="000708D6">
              <w:rPr>
                <w:b/>
                <w:i/>
                <w:iCs/>
                <w:sz w:val="16"/>
                <w:szCs w:val="16"/>
                <w:lang w:val="en-GB"/>
              </w:rPr>
              <w:t>ector</w:t>
            </w:r>
          </w:p>
          <w:p w14:paraId="698640CC" w14:textId="1479B1CF" w:rsidR="00A36FD5" w:rsidRPr="000708D6" w:rsidRDefault="00A36FD5" w:rsidP="000708D6">
            <w:pPr>
              <w:ind w:left="206"/>
              <w:rPr>
                <w:iCs/>
                <w:sz w:val="16"/>
                <w:szCs w:val="16"/>
                <w:lang w:val="en-GB"/>
              </w:rPr>
            </w:pPr>
            <w:r w:rsidRPr="000708D6">
              <w:rPr>
                <w:iCs/>
                <w:sz w:val="16"/>
                <w:szCs w:val="16"/>
                <w:lang w:val="en-GB"/>
              </w:rPr>
              <w:t>BP</w:t>
            </w:r>
            <w:r w:rsidR="00AB0FE9" w:rsidRPr="000708D6">
              <w:rPr>
                <w:iCs/>
                <w:sz w:val="16"/>
                <w:szCs w:val="16"/>
                <w:lang w:val="en-GB"/>
              </w:rPr>
              <w:t xml:space="preserve"> Trinidad and Tobago</w:t>
            </w:r>
          </w:p>
          <w:p w14:paraId="5E70B324" w14:textId="77777777" w:rsidR="00A36FD5" w:rsidRPr="000708D6" w:rsidRDefault="00A36FD5" w:rsidP="000708D6">
            <w:pPr>
              <w:ind w:left="206"/>
              <w:rPr>
                <w:iCs/>
                <w:sz w:val="16"/>
                <w:szCs w:val="16"/>
                <w:lang w:val="en-GB"/>
              </w:rPr>
            </w:pPr>
            <w:r w:rsidRPr="000708D6">
              <w:rPr>
                <w:iCs/>
                <w:sz w:val="16"/>
                <w:szCs w:val="16"/>
                <w:lang w:val="en-GB"/>
              </w:rPr>
              <w:t>BHP Billiton</w:t>
            </w:r>
          </w:p>
          <w:p w14:paraId="24954E89" w14:textId="1BA6FF3C" w:rsidR="00A36FD5" w:rsidRPr="000708D6" w:rsidRDefault="00AB0FE9" w:rsidP="000708D6">
            <w:pPr>
              <w:ind w:left="206"/>
              <w:rPr>
                <w:iCs/>
                <w:sz w:val="16"/>
                <w:szCs w:val="16"/>
                <w:lang w:val="en-GB"/>
              </w:rPr>
            </w:pPr>
            <w:r w:rsidRPr="00AB0FE9">
              <w:rPr>
                <w:iCs/>
                <w:sz w:val="16"/>
                <w:szCs w:val="16"/>
                <w:lang w:val="en-GB"/>
              </w:rPr>
              <w:t xml:space="preserve">British Gas of </w:t>
            </w:r>
            <w:r w:rsidRPr="000708D6">
              <w:rPr>
                <w:iCs/>
                <w:sz w:val="16"/>
                <w:szCs w:val="16"/>
                <w:lang w:val="en-GB"/>
              </w:rPr>
              <w:t>Trinidad and Tobago</w:t>
            </w:r>
          </w:p>
          <w:p w14:paraId="0EF2AB2C" w14:textId="77777777" w:rsidR="00A36FD5" w:rsidRPr="000708D6" w:rsidRDefault="00A36FD5" w:rsidP="000708D6">
            <w:pPr>
              <w:ind w:left="206"/>
              <w:rPr>
                <w:iCs/>
                <w:sz w:val="16"/>
                <w:szCs w:val="16"/>
                <w:lang w:val="en-GB"/>
              </w:rPr>
            </w:pPr>
            <w:r w:rsidRPr="000708D6">
              <w:rPr>
                <w:iCs/>
                <w:sz w:val="16"/>
                <w:szCs w:val="16"/>
                <w:lang w:val="en-GB"/>
              </w:rPr>
              <w:t>Repsol</w:t>
            </w:r>
          </w:p>
          <w:p w14:paraId="0E9D82D1" w14:textId="77777777" w:rsidR="00A36FD5" w:rsidRPr="000708D6" w:rsidRDefault="00A36FD5" w:rsidP="000708D6">
            <w:pPr>
              <w:ind w:left="206"/>
              <w:rPr>
                <w:iCs/>
                <w:sz w:val="16"/>
                <w:szCs w:val="16"/>
                <w:lang w:val="en-GB"/>
              </w:rPr>
            </w:pPr>
            <w:r w:rsidRPr="000708D6">
              <w:rPr>
                <w:iCs/>
                <w:sz w:val="16"/>
                <w:szCs w:val="16"/>
                <w:lang w:val="en-GB"/>
              </w:rPr>
              <w:t>Energy Chamber</w:t>
            </w:r>
          </w:p>
          <w:p w14:paraId="4BB03882" w14:textId="77777777" w:rsidR="00A36FD5" w:rsidRPr="005C7E82" w:rsidRDefault="00A36FD5" w:rsidP="007F23FB">
            <w:pPr>
              <w:ind w:left="206"/>
              <w:rPr>
                <w:iCs/>
                <w:sz w:val="16"/>
                <w:szCs w:val="16"/>
                <w:lang w:val="en-GB"/>
              </w:rPr>
            </w:pPr>
          </w:p>
          <w:p w14:paraId="4274AFFD" w14:textId="709A5AA4" w:rsidR="00A36FD5" w:rsidRPr="000708D6" w:rsidRDefault="00A36FD5" w:rsidP="000708D6">
            <w:pPr>
              <w:spacing w:after="60"/>
              <w:rPr>
                <w:b/>
                <w:i/>
                <w:iCs/>
                <w:sz w:val="16"/>
                <w:szCs w:val="16"/>
                <w:lang w:val="en-GB"/>
              </w:rPr>
            </w:pPr>
            <w:r w:rsidRPr="000708D6">
              <w:rPr>
                <w:b/>
                <w:i/>
                <w:iCs/>
                <w:sz w:val="16"/>
                <w:szCs w:val="16"/>
                <w:lang w:val="en-GB"/>
              </w:rPr>
              <w:t xml:space="preserve">Civil </w:t>
            </w:r>
            <w:r w:rsidR="00E152B1" w:rsidRPr="000708D6">
              <w:rPr>
                <w:b/>
                <w:i/>
                <w:iCs/>
                <w:sz w:val="16"/>
                <w:szCs w:val="16"/>
                <w:lang w:val="en-GB"/>
              </w:rPr>
              <w:t>s</w:t>
            </w:r>
            <w:r w:rsidRPr="000708D6">
              <w:rPr>
                <w:b/>
                <w:i/>
                <w:iCs/>
                <w:sz w:val="16"/>
                <w:szCs w:val="16"/>
                <w:lang w:val="en-GB"/>
              </w:rPr>
              <w:t>ociety</w:t>
            </w:r>
          </w:p>
          <w:p w14:paraId="119051CF" w14:textId="77777777" w:rsidR="00A36FD5" w:rsidRPr="000708D6" w:rsidRDefault="00A36FD5" w:rsidP="000708D6">
            <w:pPr>
              <w:ind w:left="239"/>
              <w:rPr>
                <w:iCs/>
                <w:sz w:val="16"/>
                <w:szCs w:val="16"/>
                <w:lang w:val="en-GB"/>
              </w:rPr>
            </w:pPr>
            <w:r w:rsidRPr="000708D6">
              <w:rPr>
                <w:iCs/>
                <w:sz w:val="16"/>
                <w:szCs w:val="16"/>
                <w:lang w:val="en-GB"/>
              </w:rPr>
              <w:t>Caribbean Natural Resources Institute</w:t>
            </w:r>
          </w:p>
          <w:p w14:paraId="689F1DF5" w14:textId="77777777" w:rsidR="00A36FD5" w:rsidRPr="000708D6" w:rsidRDefault="00A36FD5" w:rsidP="000708D6">
            <w:pPr>
              <w:ind w:left="239"/>
              <w:rPr>
                <w:iCs/>
                <w:sz w:val="16"/>
                <w:szCs w:val="16"/>
                <w:lang w:val="en-GB"/>
              </w:rPr>
            </w:pPr>
            <w:r w:rsidRPr="000708D6">
              <w:rPr>
                <w:iCs/>
                <w:sz w:val="16"/>
                <w:szCs w:val="16"/>
                <w:lang w:val="en-GB"/>
              </w:rPr>
              <w:t>CSR Network</w:t>
            </w:r>
          </w:p>
          <w:p w14:paraId="3B4D1CD7" w14:textId="77777777" w:rsidR="00A36FD5" w:rsidRPr="000708D6" w:rsidRDefault="00A36FD5" w:rsidP="000708D6">
            <w:pPr>
              <w:ind w:left="239"/>
              <w:rPr>
                <w:iCs/>
                <w:sz w:val="16"/>
                <w:szCs w:val="16"/>
                <w:lang w:val="en-GB"/>
              </w:rPr>
            </w:pPr>
            <w:r w:rsidRPr="000708D6">
              <w:rPr>
                <w:iCs/>
                <w:sz w:val="16"/>
                <w:szCs w:val="16"/>
                <w:lang w:val="en-GB"/>
              </w:rPr>
              <w:t>National Centre for Persons with Disabilities</w:t>
            </w:r>
          </w:p>
          <w:p w14:paraId="18583FF8" w14:textId="77777777" w:rsidR="00A36FD5" w:rsidRPr="005C7E82" w:rsidRDefault="00C24076" w:rsidP="000708D6">
            <w:pPr>
              <w:ind w:left="239"/>
              <w:rPr>
                <w:iCs/>
                <w:sz w:val="16"/>
                <w:szCs w:val="16"/>
                <w:lang w:val="en-GB"/>
              </w:rPr>
            </w:pPr>
            <w:r w:rsidRPr="000708D6">
              <w:rPr>
                <w:iCs/>
                <w:sz w:val="16"/>
                <w:szCs w:val="16"/>
                <w:lang w:val="en-GB"/>
              </w:rPr>
              <w:t>Network of NGOs</w:t>
            </w:r>
          </w:p>
          <w:p w14:paraId="0C9ADB19" w14:textId="77777777" w:rsidR="000D149B" w:rsidRPr="002807FF" w:rsidRDefault="000D149B" w:rsidP="000D149B">
            <w:pPr>
              <w:ind w:left="360"/>
              <w:rPr>
                <w:iCs/>
                <w:sz w:val="16"/>
                <w:szCs w:val="16"/>
                <w:lang w:val="en-GB"/>
              </w:rPr>
            </w:pPr>
          </w:p>
          <w:p w14:paraId="2BD404EE" w14:textId="6C94281B" w:rsidR="00A36FD5" w:rsidRPr="000708D6" w:rsidRDefault="00A36FD5" w:rsidP="000708D6">
            <w:pPr>
              <w:spacing w:after="60"/>
              <w:rPr>
                <w:b/>
                <w:i/>
                <w:iCs/>
                <w:sz w:val="16"/>
                <w:szCs w:val="16"/>
                <w:lang w:val="en-GB"/>
              </w:rPr>
            </w:pPr>
            <w:r w:rsidRPr="000708D6">
              <w:rPr>
                <w:b/>
                <w:i/>
                <w:iCs/>
                <w:sz w:val="16"/>
                <w:szCs w:val="16"/>
                <w:lang w:val="en-GB"/>
              </w:rPr>
              <w:t xml:space="preserve">Development </w:t>
            </w:r>
            <w:r w:rsidR="00E152B1">
              <w:rPr>
                <w:b/>
                <w:i/>
                <w:iCs/>
                <w:sz w:val="16"/>
                <w:szCs w:val="16"/>
                <w:lang w:val="en-GB"/>
              </w:rPr>
              <w:t>p</w:t>
            </w:r>
            <w:r w:rsidRPr="000708D6">
              <w:rPr>
                <w:b/>
                <w:i/>
                <w:iCs/>
                <w:sz w:val="16"/>
                <w:szCs w:val="16"/>
                <w:lang w:val="en-GB"/>
              </w:rPr>
              <w:t>artners</w:t>
            </w:r>
          </w:p>
          <w:p w14:paraId="7FCDF6CC" w14:textId="0AD38E9F" w:rsidR="00A36FD5" w:rsidRPr="000708D6" w:rsidRDefault="0062773F" w:rsidP="000708D6">
            <w:pPr>
              <w:ind w:left="239"/>
              <w:rPr>
                <w:iCs/>
                <w:sz w:val="16"/>
                <w:szCs w:val="16"/>
                <w:lang w:val="en-GB"/>
              </w:rPr>
            </w:pPr>
            <w:r w:rsidRPr="000708D6">
              <w:rPr>
                <w:iCs/>
                <w:sz w:val="16"/>
                <w:szCs w:val="16"/>
                <w:lang w:val="en-GB"/>
              </w:rPr>
              <w:t>E</w:t>
            </w:r>
            <w:r w:rsidR="00E152B1">
              <w:rPr>
                <w:iCs/>
                <w:sz w:val="16"/>
                <w:szCs w:val="16"/>
                <w:lang w:val="en-GB"/>
              </w:rPr>
              <w:t>uropean Union</w:t>
            </w:r>
          </w:p>
          <w:p w14:paraId="1B81F63C" w14:textId="77777777" w:rsidR="00812EB1" w:rsidRPr="005C7E82" w:rsidRDefault="00812EB1" w:rsidP="000708D6">
            <w:pPr>
              <w:ind w:left="239"/>
              <w:rPr>
                <w:iCs/>
                <w:sz w:val="16"/>
                <w:szCs w:val="16"/>
                <w:lang w:val="en-GB"/>
              </w:rPr>
            </w:pPr>
            <w:r w:rsidRPr="000708D6">
              <w:rPr>
                <w:iCs/>
                <w:sz w:val="16"/>
                <w:szCs w:val="16"/>
                <w:lang w:val="en-GB"/>
              </w:rPr>
              <w:t>International Development Bank</w:t>
            </w:r>
          </w:p>
          <w:p w14:paraId="40B5B8CA" w14:textId="77777777" w:rsidR="00A36FD5" w:rsidRPr="000708D6" w:rsidRDefault="00A36FD5" w:rsidP="000708D6">
            <w:pPr>
              <w:ind w:left="239"/>
              <w:rPr>
                <w:iCs/>
                <w:sz w:val="16"/>
                <w:szCs w:val="16"/>
                <w:lang w:val="en-GB"/>
              </w:rPr>
            </w:pPr>
            <w:r w:rsidRPr="000708D6">
              <w:rPr>
                <w:iCs/>
                <w:sz w:val="16"/>
                <w:szCs w:val="16"/>
                <w:lang w:val="en-GB"/>
              </w:rPr>
              <w:t>USAID</w:t>
            </w:r>
          </w:p>
          <w:p w14:paraId="167F00F7" w14:textId="03AC11FA" w:rsidR="00A36FD5" w:rsidRPr="000708D6" w:rsidRDefault="00A36FD5" w:rsidP="000708D6">
            <w:pPr>
              <w:ind w:left="239"/>
              <w:rPr>
                <w:iCs/>
                <w:sz w:val="16"/>
                <w:szCs w:val="16"/>
                <w:lang w:val="en-GB"/>
              </w:rPr>
            </w:pPr>
            <w:r w:rsidRPr="000708D6">
              <w:rPr>
                <w:iCs/>
                <w:sz w:val="16"/>
                <w:szCs w:val="16"/>
                <w:lang w:val="en-GB"/>
              </w:rPr>
              <w:t>D</w:t>
            </w:r>
            <w:r w:rsidR="00AB0FE9" w:rsidRPr="000708D6">
              <w:rPr>
                <w:iCs/>
                <w:sz w:val="16"/>
                <w:szCs w:val="16"/>
                <w:lang w:val="en-GB"/>
              </w:rPr>
              <w:t xml:space="preserve">isaster Preparedness </w:t>
            </w:r>
            <w:r w:rsidRPr="000708D6">
              <w:rPr>
                <w:iCs/>
                <w:sz w:val="16"/>
                <w:szCs w:val="16"/>
                <w:lang w:val="en-GB"/>
              </w:rPr>
              <w:t>ECHO</w:t>
            </w:r>
          </w:p>
          <w:p w14:paraId="2154C692" w14:textId="77777777" w:rsidR="00A36FD5" w:rsidRPr="005C7E82" w:rsidRDefault="00A36FD5" w:rsidP="00A36FD5">
            <w:pPr>
              <w:rPr>
                <w:iCs/>
                <w:sz w:val="16"/>
                <w:szCs w:val="16"/>
                <w:lang w:val="en-GB"/>
              </w:rPr>
            </w:pPr>
            <w:r w:rsidRPr="005C7E82">
              <w:rPr>
                <w:iCs/>
                <w:sz w:val="16"/>
                <w:szCs w:val="16"/>
                <w:lang w:val="en-GB"/>
              </w:rPr>
              <w:t xml:space="preserve"> </w:t>
            </w:r>
          </w:p>
          <w:p w14:paraId="4C52836A" w14:textId="0792D787" w:rsidR="00A36FD5" w:rsidRPr="000708D6" w:rsidRDefault="00A36FD5" w:rsidP="000708D6">
            <w:pPr>
              <w:spacing w:after="60"/>
              <w:rPr>
                <w:b/>
                <w:i/>
                <w:iCs/>
                <w:sz w:val="16"/>
                <w:szCs w:val="16"/>
                <w:lang w:val="en-GB"/>
              </w:rPr>
            </w:pPr>
            <w:r w:rsidRPr="000708D6">
              <w:rPr>
                <w:b/>
                <w:i/>
                <w:iCs/>
                <w:sz w:val="16"/>
                <w:szCs w:val="16"/>
                <w:lang w:val="en-GB"/>
              </w:rPr>
              <w:t xml:space="preserve">Regional </w:t>
            </w:r>
            <w:r w:rsidR="00E152B1" w:rsidRPr="000708D6">
              <w:rPr>
                <w:b/>
                <w:i/>
                <w:iCs/>
                <w:sz w:val="16"/>
                <w:szCs w:val="16"/>
                <w:lang w:val="en-GB"/>
              </w:rPr>
              <w:t>o</w:t>
            </w:r>
            <w:r w:rsidRPr="000708D6">
              <w:rPr>
                <w:b/>
                <w:i/>
                <w:iCs/>
                <w:sz w:val="16"/>
                <w:szCs w:val="16"/>
                <w:lang w:val="en-GB"/>
              </w:rPr>
              <w:t>rgani</w:t>
            </w:r>
            <w:r w:rsidR="00E152B1" w:rsidRPr="000708D6">
              <w:rPr>
                <w:b/>
                <w:i/>
                <w:iCs/>
                <w:sz w:val="16"/>
                <w:szCs w:val="16"/>
                <w:lang w:val="en-GB"/>
              </w:rPr>
              <w:t>z</w:t>
            </w:r>
            <w:r w:rsidRPr="000708D6">
              <w:rPr>
                <w:b/>
                <w:i/>
                <w:iCs/>
                <w:sz w:val="16"/>
                <w:szCs w:val="16"/>
                <w:lang w:val="en-GB"/>
              </w:rPr>
              <w:t>ation</w:t>
            </w:r>
          </w:p>
          <w:p w14:paraId="14885213" w14:textId="77777777" w:rsidR="00A36FD5" w:rsidRPr="000708D6" w:rsidRDefault="00A36FD5" w:rsidP="000708D6">
            <w:pPr>
              <w:ind w:left="239"/>
              <w:rPr>
                <w:iCs/>
                <w:sz w:val="16"/>
                <w:szCs w:val="16"/>
                <w:lang w:val="en-GB"/>
              </w:rPr>
            </w:pPr>
            <w:r w:rsidRPr="000708D6">
              <w:rPr>
                <w:iCs/>
                <w:sz w:val="16"/>
                <w:szCs w:val="16"/>
                <w:lang w:val="en-GB"/>
              </w:rPr>
              <w:t>CDEMA</w:t>
            </w:r>
          </w:p>
          <w:p w14:paraId="4CC17134" w14:textId="77777777" w:rsidR="00A36FD5" w:rsidRPr="005C7E82" w:rsidRDefault="00A36FD5" w:rsidP="00A36FD5">
            <w:pPr>
              <w:rPr>
                <w:iCs/>
                <w:sz w:val="16"/>
                <w:szCs w:val="16"/>
                <w:lang w:val="en-GB"/>
              </w:rPr>
            </w:pPr>
          </w:p>
          <w:p w14:paraId="3420AA9D" w14:textId="276309D2" w:rsidR="00A36FD5" w:rsidRPr="000708D6" w:rsidRDefault="00E152B1" w:rsidP="000708D6">
            <w:pPr>
              <w:spacing w:after="60"/>
              <w:rPr>
                <w:b/>
                <w:i/>
                <w:iCs/>
                <w:sz w:val="16"/>
                <w:szCs w:val="16"/>
                <w:lang w:val="en-GB"/>
              </w:rPr>
            </w:pPr>
            <w:r w:rsidRPr="000708D6">
              <w:rPr>
                <w:b/>
                <w:i/>
                <w:iCs/>
                <w:sz w:val="16"/>
                <w:szCs w:val="16"/>
                <w:lang w:val="en-GB"/>
              </w:rPr>
              <w:t>United Nations organizations</w:t>
            </w:r>
          </w:p>
          <w:p w14:paraId="15A6039F" w14:textId="4CF2DEDD" w:rsidR="00AB0FE9" w:rsidRPr="000708D6" w:rsidRDefault="00AB0FE9" w:rsidP="000708D6">
            <w:pPr>
              <w:ind w:left="239"/>
              <w:rPr>
                <w:iCs/>
                <w:sz w:val="16"/>
                <w:szCs w:val="16"/>
                <w:lang w:val="en-GB"/>
              </w:rPr>
            </w:pPr>
            <w:r w:rsidRPr="000708D6">
              <w:rPr>
                <w:iCs/>
                <w:sz w:val="16"/>
                <w:szCs w:val="16"/>
                <w:lang w:val="en-GB"/>
              </w:rPr>
              <w:lastRenderedPageBreak/>
              <w:t>Office for the Coordination of Humanitarian Affairs</w:t>
            </w:r>
          </w:p>
          <w:p w14:paraId="3C1ADC16" w14:textId="1C5C9403" w:rsidR="00A36FD5" w:rsidRPr="000708D6" w:rsidRDefault="00AB0FE9" w:rsidP="000708D6">
            <w:pPr>
              <w:ind w:left="239"/>
              <w:rPr>
                <w:iCs/>
                <w:sz w:val="16"/>
                <w:szCs w:val="16"/>
                <w:lang w:val="en-GB"/>
              </w:rPr>
            </w:pPr>
            <w:r w:rsidRPr="000708D6">
              <w:rPr>
                <w:iCs/>
                <w:sz w:val="16"/>
                <w:szCs w:val="16"/>
                <w:lang w:val="en-GB"/>
              </w:rPr>
              <w:t>United Nations Office for Disaster Risk Reduction</w:t>
            </w:r>
          </w:p>
          <w:p w14:paraId="6D7A08FD" w14:textId="77777777" w:rsidR="0054690D" w:rsidRPr="000708D6" w:rsidRDefault="0054690D" w:rsidP="000708D6">
            <w:pPr>
              <w:ind w:left="239"/>
              <w:rPr>
                <w:iCs/>
                <w:sz w:val="16"/>
                <w:szCs w:val="16"/>
                <w:lang w:val="en-GB"/>
              </w:rPr>
            </w:pPr>
            <w:r w:rsidRPr="000708D6">
              <w:rPr>
                <w:iCs/>
                <w:sz w:val="16"/>
                <w:szCs w:val="16"/>
                <w:lang w:val="en-GB"/>
              </w:rPr>
              <w:t>GEF</w:t>
            </w:r>
          </w:p>
          <w:p w14:paraId="7DB7B94F" w14:textId="4141659B" w:rsidR="0054690D" w:rsidRPr="005C7E82" w:rsidRDefault="0054690D" w:rsidP="00A36FD5">
            <w:pPr>
              <w:rPr>
                <w:iCs/>
                <w:sz w:val="16"/>
                <w:szCs w:val="16"/>
                <w:lang w:val="en-GB"/>
              </w:rPr>
            </w:pPr>
          </w:p>
          <w:p w14:paraId="0C4CFF04" w14:textId="77777777" w:rsidR="00A36FD5" w:rsidRPr="000708D6" w:rsidRDefault="00A36FD5" w:rsidP="000708D6">
            <w:pPr>
              <w:spacing w:after="60"/>
              <w:rPr>
                <w:b/>
                <w:i/>
                <w:iCs/>
                <w:sz w:val="16"/>
                <w:szCs w:val="16"/>
                <w:lang w:val="en-GB"/>
              </w:rPr>
            </w:pPr>
            <w:r w:rsidRPr="000708D6">
              <w:rPr>
                <w:b/>
                <w:i/>
                <w:iCs/>
                <w:sz w:val="16"/>
                <w:szCs w:val="16"/>
                <w:lang w:val="en-GB"/>
              </w:rPr>
              <w:t>Academia</w:t>
            </w:r>
          </w:p>
          <w:p w14:paraId="00E004EA" w14:textId="77777777" w:rsidR="00A36FD5" w:rsidRPr="000708D6" w:rsidRDefault="00A36FD5" w:rsidP="000708D6">
            <w:pPr>
              <w:ind w:left="239"/>
              <w:rPr>
                <w:iCs/>
                <w:sz w:val="16"/>
                <w:szCs w:val="16"/>
                <w:lang w:val="en-GB"/>
              </w:rPr>
            </w:pPr>
            <w:r w:rsidRPr="000708D6">
              <w:rPr>
                <w:iCs/>
                <w:sz w:val="16"/>
                <w:szCs w:val="16"/>
                <w:lang w:val="en-GB"/>
              </w:rPr>
              <w:t>U</w:t>
            </w:r>
            <w:r w:rsidR="0062773F" w:rsidRPr="000708D6">
              <w:rPr>
                <w:iCs/>
                <w:sz w:val="16"/>
                <w:szCs w:val="16"/>
                <w:lang w:val="en-GB"/>
              </w:rPr>
              <w:t>WI</w:t>
            </w:r>
          </w:p>
          <w:p w14:paraId="2D292AEC" w14:textId="77777777" w:rsidR="00A36FD5" w:rsidRPr="000708D6" w:rsidRDefault="0062773F" w:rsidP="000708D6">
            <w:pPr>
              <w:ind w:left="239"/>
              <w:rPr>
                <w:iCs/>
                <w:sz w:val="16"/>
                <w:szCs w:val="16"/>
                <w:lang w:val="en-GB"/>
              </w:rPr>
            </w:pPr>
            <w:r w:rsidRPr="000708D6">
              <w:rPr>
                <w:iCs/>
                <w:sz w:val="16"/>
                <w:szCs w:val="16"/>
                <w:lang w:val="en-GB"/>
              </w:rPr>
              <w:t>UTT</w:t>
            </w:r>
          </w:p>
          <w:p w14:paraId="1F607621" w14:textId="77777777" w:rsidR="008A5D9C" w:rsidRPr="000708D6" w:rsidRDefault="00A36FD5" w:rsidP="000708D6">
            <w:pPr>
              <w:ind w:left="239"/>
              <w:rPr>
                <w:iCs/>
                <w:sz w:val="16"/>
                <w:szCs w:val="16"/>
                <w:lang w:val="en-GB"/>
              </w:rPr>
            </w:pPr>
            <w:r w:rsidRPr="005C7E82">
              <w:rPr>
                <w:iCs/>
                <w:sz w:val="16"/>
                <w:szCs w:val="16"/>
                <w:lang w:val="en-GB"/>
              </w:rPr>
              <w:t>Institute for Gender and Development Studies</w:t>
            </w:r>
          </w:p>
        </w:tc>
        <w:tc>
          <w:tcPr>
            <w:tcW w:w="676" w:type="pct"/>
            <w:tcBorders>
              <w:top w:val="single" w:sz="4" w:space="0" w:color="auto"/>
              <w:bottom w:val="single" w:sz="4" w:space="0" w:color="auto"/>
              <w:right w:val="single" w:sz="4" w:space="0" w:color="auto"/>
            </w:tcBorders>
            <w:tcMar>
              <w:top w:w="15" w:type="dxa"/>
              <w:left w:w="108" w:type="dxa"/>
              <w:bottom w:w="0" w:type="dxa"/>
              <w:right w:w="108" w:type="dxa"/>
            </w:tcMar>
          </w:tcPr>
          <w:p w14:paraId="52A09F86" w14:textId="77777777" w:rsidR="008A5D9C" w:rsidRPr="000708D6" w:rsidRDefault="008A5D9C" w:rsidP="00652EFC">
            <w:pPr>
              <w:rPr>
                <w:b/>
                <w:sz w:val="16"/>
                <w:szCs w:val="16"/>
                <w:lang w:val="en-GB"/>
              </w:rPr>
            </w:pPr>
            <w:r w:rsidRPr="000708D6">
              <w:rPr>
                <w:b/>
                <w:sz w:val="16"/>
                <w:szCs w:val="16"/>
                <w:lang w:val="en-GB"/>
              </w:rPr>
              <w:lastRenderedPageBreak/>
              <w:t>Regular: 0</w:t>
            </w:r>
          </w:p>
        </w:tc>
      </w:tr>
      <w:tr w:rsidR="008A5D9C" w:rsidRPr="005C7E82" w14:paraId="64295114" w14:textId="77777777" w:rsidTr="00B00C6B">
        <w:trPr>
          <w:trHeight w:val="461"/>
        </w:trPr>
        <w:tc>
          <w:tcPr>
            <w:tcW w:w="1038" w:type="pct"/>
            <w:vMerge/>
            <w:tcBorders>
              <w:top w:val="single" w:sz="4" w:space="0" w:color="auto"/>
              <w:left w:val="single" w:sz="4" w:space="0" w:color="auto"/>
              <w:bottom w:val="single" w:sz="4" w:space="0" w:color="auto"/>
            </w:tcBorders>
            <w:tcMar>
              <w:top w:w="72" w:type="dxa"/>
              <w:left w:w="144" w:type="dxa"/>
              <w:bottom w:w="72" w:type="dxa"/>
              <w:right w:w="144" w:type="dxa"/>
            </w:tcMar>
          </w:tcPr>
          <w:p w14:paraId="71B58865" w14:textId="7261F7B5" w:rsidR="008A5D9C" w:rsidRPr="000708D6" w:rsidRDefault="008A5D9C" w:rsidP="004B5A2C">
            <w:pPr>
              <w:rPr>
                <w:iCs/>
                <w:sz w:val="16"/>
                <w:szCs w:val="16"/>
                <w:lang w:val="en-GB"/>
              </w:rPr>
            </w:pPr>
          </w:p>
        </w:tc>
        <w:tc>
          <w:tcPr>
            <w:tcW w:w="592" w:type="pct"/>
            <w:vMerge/>
            <w:tcBorders>
              <w:top w:val="single" w:sz="4" w:space="0" w:color="auto"/>
              <w:bottom w:val="single" w:sz="4" w:space="0" w:color="auto"/>
            </w:tcBorders>
          </w:tcPr>
          <w:p w14:paraId="5C3E88CB" w14:textId="77777777" w:rsidR="008A5D9C" w:rsidRPr="000708D6" w:rsidRDefault="008A5D9C" w:rsidP="004B5A2C">
            <w:pPr>
              <w:rPr>
                <w:iCs/>
                <w:sz w:val="16"/>
                <w:szCs w:val="16"/>
                <w:lang w:val="en-GB"/>
              </w:rPr>
            </w:pPr>
          </w:p>
        </w:tc>
        <w:tc>
          <w:tcPr>
            <w:tcW w:w="1872" w:type="pct"/>
            <w:vMerge/>
            <w:tcBorders>
              <w:top w:val="single" w:sz="4" w:space="0" w:color="auto"/>
              <w:bottom w:val="single" w:sz="4" w:space="0" w:color="auto"/>
            </w:tcBorders>
            <w:tcMar>
              <w:top w:w="72" w:type="dxa"/>
              <w:left w:w="144" w:type="dxa"/>
              <w:bottom w:w="72" w:type="dxa"/>
              <w:right w:w="144" w:type="dxa"/>
            </w:tcMar>
          </w:tcPr>
          <w:p w14:paraId="6612C88F" w14:textId="77777777" w:rsidR="008A5D9C" w:rsidRPr="000708D6" w:rsidRDefault="008A5D9C" w:rsidP="004B5A2C">
            <w:pPr>
              <w:rPr>
                <w:iCs/>
                <w:sz w:val="16"/>
                <w:szCs w:val="16"/>
                <w:lang w:val="en-GB"/>
              </w:rPr>
            </w:pPr>
          </w:p>
        </w:tc>
        <w:tc>
          <w:tcPr>
            <w:tcW w:w="821" w:type="pct"/>
            <w:vMerge/>
            <w:tcBorders>
              <w:top w:val="single" w:sz="4" w:space="0" w:color="auto"/>
              <w:bottom w:val="single" w:sz="4" w:space="0" w:color="auto"/>
            </w:tcBorders>
          </w:tcPr>
          <w:p w14:paraId="79A4F69B" w14:textId="77777777" w:rsidR="008A5D9C" w:rsidRPr="000708D6" w:rsidRDefault="008A5D9C" w:rsidP="004B5A2C">
            <w:pPr>
              <w:rPr>
                <w:iCs/>
                <w:sz w:val="16"/>
                <w:szCs w:val="16"/>
                <w:lang w:val="en-GB"/>
              </w:rPr>
            </w:pPr>
          </w:p>
        </w:tc>
        <w:tc>
          <w:tcPr>
            <w:tcW w:w="676" w:type="pct"/>
            <w:tcBorders>
              <w:top w:val="single" w:sz="4" w:space="0" w:color="auto"/>
              <w:bottom w:val="single" w:sz="4" w:space="0" w:color="auto"/>
              <w:right w:val="single" w:sz="4" w:space="0" w:color="auto"/>
            </w:tcBorders>
            <w:tcMar>
              <w:top w:w="15" w:type="dxa"/>
              <w:left w:w="108" w:type="dxa"/>
              <w:bottom w:w="0" w:type="dxa"/>
              <w:right w:w="108" w:type="dxa"/>
            </w:tcMar>
          </w:tcPr>
          <w:p w14:paraId="48957E49" w14:textId="77777777" w:rsidR="008A5D9C" w:rsidRPr="000708D6" w:rsidRDefault="008A5D9C" w:rsidP="004B5A2C">
            <w:pPr>
              <w:rPr>
                <w:b/>
                <w:sz w:val="16"/>
                <w:szCs w:val="16"/>
                <w:lang w:val="en-GB"/>
              </w:rPr>
            </w:pPr>
            <w:r w:rsidRPr="000708D6">
              <w:rPr>
                <w:b/>
                <w:sz w:val="16"/>
                <w:szCs w:val="16"/>
                <w:lang w:val="en-GB"/>
              </w:rPr>
              <w:t>Other</w:t>
            </w:r>
          </w:p>
          <w:p w14:paraId="2A1A989A" w14:textId="468FA7D9" w:rsidR="00825DAE" w:rsidRPr="000708D6" w:rsidRDefault="007207B3" w:rsidP="004B5A2C">
            <w:pPr>
              <w:rPr>
                <w:b/>
                <w:sz w:val="16"/>
                <w:szCs w:val="16"/>
                <w:lang w:val="en-GB"/>
              </w:rPr>
            </w:pPr>
            <w:r w:rsidRPr="000708D6">
              <w:rPr>
                <w:b/>
                <w:sz w:val="16"/>
                <w:szCs w:val="16"/>
                <w:lang w:val="en-GB"/>
              </w:rPr>
              <w:t>4,</w:t>
            </w:r>
            <w:r w:rsidR="00825DAE" w:rsidRPr="000708D6">
              <w:rPr>
                <w:b/>
                <w:sz w:val="16"/>
                <w:szCs w:val="16"/>
                <w:lang w:val="en-GB"/>
              </w:rPr>
              <w:t>000</w:t>
            </w:r>
          </w:p>
          <w:p w14:paraId="595D1CDE" w14:textId="77777777" w:rsidR="00114470" w:rsidRPr="000708D6" w:rsidRDefault="00114470" w:rsidP="004B5A2C">
            <w:pPr>
              <w:rPr>
                <w:b/>
                <w:sz w:val="16"/>
                <w:szCs w:val="16"/>
                <w:lang w:val="en-GB"/>
              </w:rPr>
            </w:pPr>
          </w:p>
        </w:tc>
      </w:tr>
      <w:tr w:rsidR="008A5D9C" w:rsidRPr="005C7E82" w14:paraId="1E76CBEB" w14:textId="77777777" w:rsidTr="00B00C6B">
        <w:trPr>
          <w:trHeight w:val="232"/>
        </w:trPr>
        <w:tc>
          <w:tcPr>
            <w:tcW w:w="1038" w:type="pct"/>
            <w:vMerge/>
            <w:tcBorders>
              <w:top w:val="single" w:sz="4" w:space="0" w:color="auto"/>
              <w:left w:val="single" w:sz="4" w:space="0" w:color="auto"/>
              <w:bottom w:val="single" w:sz="4" w:space="0" w:color="auto"/>
            </w:tcBorders>
            <w:tcMar>
              <w:top w:w="72" w:type="dxa"/>
              <w:left w:w="144" w:type="dxa"/>
              <w:bottom w:w="72" w:type="dxa"/>
              <w:right w:w="144" w:type="dxa"/>
            </w:tcMar>
          </w:tcPr>
          <w:p w14:paraId="201863B4" w14:textId="77777777" w:rsidR="008A5D9C" w:rsidRPr="000708D6" w:rsidRDefault="008A5D9C" w:rsidP="004B5A2C">
            <w:pPr>
              <w:rPr>
                <w:iCs/>
                <w:sz w:val="16"/>
                <w:szCs w:val="16"/>
                <w:lang w:val="en-GB"/>
              </w:rPr>
            </w:pPr>
          </w:p>
        </w:tc>
        <w:tc>
          <w:tcPr>
            <w:tcW w:w="592" w:type="pct"/>
            <w:vMerge/>
            <w:tcBorders>
              <w:top w:val="single" w:sz="4" w:space="0" w:color="auto"/>
              <w:bottom w:val="single" w:sz="4" w:space="0" w:color="auto"/>
            </w:tcBorders>
          </w:tcPr>
          <w:p w14:paraId="62B5B865" w14:textId="77777777" w:rsidR="008A5D9C" w:rsidRPr="000708D6" w:rsidRDefault="008A5D9C" w:rsidP="004B5A2C">
            <w:pPr>
              <w:rPr>
                <w:iCs/>
                <w:sz w:val="16"/>
                <w:szCs w:val="16"/>
                <w:lang w:val="en-GB"/>
              </w:rPr>
            </w:pPr>
          </w:p>
        </w:tc>
        <w:tc>
          <w:tcPr>
            <w:tcW w:w="1872" w:type="pct"/>
            <w:vMerge/>
            <w:tcBorders>
              <w:top w:val="single" w:sz="4" w:space="0" w:color="auto"/>
              <w:bottom w:val="single" w:sz="4" w:space="0" w:color="auto"/>
            </w:tcBorders>
            <w:tcMar>
              <w:top w:w="72" w:type="dxa"/>
              <w:left w:w="144" w:type="dxa"/>
              <w:bottom w:w="72" w:type="dxa"/>
              <w:right w:w="144" w:type="dxa"/>
            </w:tcMar>
          </w:tcPr>
          <w:p w14:paraId="706FE9E2" w14:textId="77777777" w:rsidR="008A5D9C" w:rsidRPr="000708D6" w:rsidRDefault="008A5D9C" w:rsidP="004B5A2C">
            <w:pPr>
              <w:rPr>
                <w:iCs/>
                <w:sz w:val="16"/>
                <w:szCs w:val="16"/>
                <w:lang w:val="en-GB"/>
              </w:rPr>
            </w:pPr>
          </w:p>
        </w:tc>
        <w:tc>
          <w:tcPr>
            <w:tcW w:w="821" w:type="pct"/>
            <w:vMerge/>
            <w:tcBorders>
              <w:top w:val="single" w:sz="4" w:space="0" w:color="auto"/>
              <w:bottom w:val="single" w:sz="4" w:space="0" w:color="auto"/>
            </w:tcBorders>
          </w:tcPr>
          <w:p w14:paraId="106C7239" w14:textId="77777777" w:rsidR="008A5D9C" w:rsidRPr="000708D6" w:rsidRDefault="008A5D9C" w:rsidP="004B5A2C">
            <w:pPr>
              <w:rPr>
                <w:iCs/>
                <w:sz w:val="16"/>
                <w:szCs w:val="16"/>
                <w:lang w:val="en-GB"/>
              </w:rPr>
            </w:pPr>
          </w:p>
        </w:tc>
        <w:tc>
          <w:tcPr>
            <w:tcW w:w="676" w:type="pct"/>
            <w:tcBorders>
              <w:top w:val="single" w:sz="4" w:space="0" w:color="auto"/>
              <w:bottom w:val="single" w:sz="4" w:space="0" w:color="auto"/>
              <w:right w:val="single" w:sz="4" w:space="0" w:color="auto"/>
            </w:tcBorders>
            <w:tcMar>
              <w:top w:w="15" w:type="dxa"/>
              <w:left w:w="108" w:type="dxa"/>
              <w:bottom w:w="0" w:type="dxa"/>
              <w:right w:w="108" w:type="dxa"/>
            </w:tcMar>
          </w:tcPr>
          <w:p w14:paraId="2B66B692" w14:textId="77777777" w:rsidR="008A5D9C" w:rsidRPr="000708D6" w:rsidRDefault="008A5D9C" w:rsidP="004B5A2C">
            <w:pPr>
              <w:rPr>
                <w:b/>
                <w:sz w:val="16"/>
                <w:szCs w:val="16"/>
                <w:lang w:val="en-GB"/>
              </w:rPr>
            </w:pPr>
          </w:p>
        </w:tc>
      </w:tr>
    </w:tbl>
    <w:p w14:paraId="4E79B7C8" w14:textId="77777777" w:rsidR="00CD01C1" w:rsidRPr="005C7E82" w:rsidRDefault="00CD01C1" w:rsidP="00CD01C1">
      <w:pPr>
        <w:jc w:val="center"/>
        <w:rPr>
          <w:b/>
          <w:bCs/>
          <w:color w:val="000000"/>
          <w:lang w:val="en-GB"/>
        </w:rPr>
      </w:pPr>
    </w:p>
    <w:p w14:paraId="2E8C6373" w14:textId="77777777" w:rsidR="00CD01C1" w:rsidRPr="002807FF" w:rsidRDefault="00CD01C1" w:rsidP="00CD01C1">
      <w:pPr>
        <w:jc w:val="center"/>
        <w:rPr>
          <w:b/>
          <w:bCs/>
          <w:color w:val="000000"/>
          <w:lang w:val="en-GB"/>
        </w:rPr>
      </w:pPr>
      <w:r w:rsidRPr="002807FF">
        <w:rPr>
          <w:b/>
          <w:bCs/>
          <w:color w:val="000000"/>
          <w:lang w:val="en-GB"/>
        </w:rPr>
        <w:t>_______________</w:t>
      </w:r>
    </w:p>
    <w:p w14:paraId="5AD00CEA" w14:textId="77777777" w:rsidR="00A86AC2" w:rsidRPr="000708D6" w:rsidRDefault="00A86AC2" w:rsidP="00295371">
      <w:pPr>
        <w:rPr>
          <w:lang w:val="en-GB"/>
        </w:rPr>
      </w:pPr>
    </w:p>
    <w:sectPr w:rsidR="00A86AC2" w:rsidRPr="000708D6" w:rsidSect="00C35A40">
      <w:headerReference w:type="even" r:id="rId19"/>
      <w:headerReference w:type="default" r:id="rId20"/>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60D62" w14:textId="77777777" w:rsidR="009A419E" w:rsidRDefault="009A419E" w:rsidP="00441061">
      <w:r>
        <w:separator/>
      </w:r>
    </w:p>
  </w:endnote>
  <w:endnote w:type="continuationSeparator" w:id="0">
    <w:p w14:paraId="09C41634" w14:textId="77777777" w:rsidR="009A419E" w:rsidRDefault="009A419E"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17"/>
        <w:szCs w:val="17"/>
      </w:rPr>
      <w:id w:val="-143045692"/>
      <w:docPartObj>
        <w:docPartGallery w:val="Page Numbers (Bottom of Page)"/>
        <w:docPartUnique/>
      </w:docPartObj>
    </w:sdtPr>
    <w:sdtEndPr>
      <w:rPr>
        <w:noProof/>
      </w:rPr>
    </w:sdtEndPr>
    <w:sdtContent>
      <w:p w14:paraId="024893D3" w14:textId="77777777" w:rsidR="001B0F48" w:rsidRPr="008D57EA" w:rsidRDefault="001B0F48" w:rsidP="008D57EA">
        <w:pPr>
          <w:pStyle w:val="Footer"/>
          <w:rPr>
            <w:b/>
            <w:sz w:val="17"/>
            <w:szCs w:val="17"/>
          </w:rPr>
        </w:pPr>
        <w:r w:rsidRPr="008D57EA">
          <w:rPr>
            <w:b/>
            <w:sz w:val="17"/>
            <w:szCs w:val="17"/>
          </w:rPr>
          <w:fldChar w:fldCharType="begin"/>
        </w:r>
        <w:r w:rsidRPr="008D57EA">
          <w:rPr>
            <w:b/>
            <w:sz w:val="17"/>
            <w:szCs w:val="17"/>
          </w:rPr>
          <w:instrText xml:space="preserve"> PAGE   \* MERGEFORMAT </w:instrText>
        </w:r>
        <w:r w:rsidRPr="008D57EA">
          <w:rPr>
            <w:b/>
            <w:sz w:val="17"/>
            <w:szCs w:val="17"/>
          </w:rPr>
          <w:fldChar w:fldCharType="separate"/>
        </w:r>
        <w:r w:rsidR="004033D3">
          <w:rPr>
            <w:b/>
            <w:noProof/>
            <w:sz w:val="17"/>
            <w:szCs w:val="17"/>
          </w:rPr>
          <w:t>12</w:t>
        </w:r>
        <w:r w:rsidRPr="008D57EA">
          <w:rPr>
            <w:b/>
            <w:noProof/>
            <w:sz w:val="17"/>
            <w:szCs w:val="17"/>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757849"/>
      <w:docPartObj>
        <w:docPartGallery w:val="Page Numbers (Bottom of Page)"/>
        <w:docPartUnique/>
      </w:docPartObj>
    </w:sdtPr>
    <w:sdtEndPr>
      <w:rPr>
        <w:noProof/>
      </w:rPr>
    </w:sdtEndPr>
    <w:sdtContent>
      <w:p w14:paraId="18B7D13D" w14:textId="77777777" w:rsidR="001B0F48" w:rsidRDefault="001B0F48" w:rsidP="008D57EA">
        <w:pPr>
          <w:pStyle w:val="Footer"/>
          <w:jc w:val="right"/>
        </w:pPr>
        <w:r w:rsidRPr="008D57EA">
          <w:rPr>
            <w:b/>
            <w:sz w:val="17"/>
            <w:szCs w:val="17"/>
          </w:rPr>
          <w:fldChar w:fldCharType="begin"/>
        </w:r>
        <w:r w:rsidRPr="008D57EA">
          <w:rPr>
            <w:b/>
            <w:sz w:val="17"/>
            <w:szCs w:val="17"/>
          </w:rPr>
          <w:instrText xml:space="preserve"> PAGE   \* MERGEFORMAT </w:instrText>
        </w:r>
        <w:r w:rsidRPr="008D57EA">
          <w:rPr>
            <w:b/>
            <w:sz w:val="17"/>
            <w:szCs w:val="17"/>
          </w:rPr>
          <w:fldChar w:fldCharType="separate"/>
        </w:r>
        <w:r w:rsidR="004033D3">
          <w:rPr>
            <w:b/>
            <w:noProof/>
            <w:sz w:val="17"/>
            <w:szCs w:val="17"/>
          </w:rPr>
          <w:t>11</w:t>
        </w:r>
        <w:r w:rsidRPr="008D57EA">
          <w:rPr>
            <w:b/>
            <w:noProof/>
            <w:sz w:val="17"/>
            <w:szCs w:val="17"/>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8695D" w14:textId="77777777" w:rsidR="009A419E" w:rsidRDefault="009A419E" w:rsidP="00441061">
      <w:r>
        <w:separator/>
      </w:r>
    </w:p>
  </w:footnote>
  <w:footnote w:type="continuationSeparator" w:id="0">
    <w:p w14:paraId="33D6A848" w14:textId="77777777" w:rsidR="009A419E" w:rsidRDefault="009A419E" w:rsidP="00441061">
      <w:r>
        <w:continuationSeparator/>
      </w:r>
    </w:p>
  </w:footnote>
  <w:footnote w:id="1">
    <w:p w14:paraId="19CA7640" w14:textId="4D9E15EE" w:rsidR="001B0F48" w:rsidRPr="00C35A40" w:rsidRDefault="001B0F48" w:rsidP="00C35A40">
      <w:pPr>
        <w:pStyle w:val="FootnoteText"/>
        <w:jc w:val="both"/>
        <w:rPr>
          <w:rFonts w:ascii="Times New Roman" w:hAnsi="Times New Roman"/>
          <w:sz w:val="16"/>
          <w:szCs w:val="16"/>
        </w:rPr>
      </w:pPr>
      <w:r w:rsidRPr="00C35A40">
        <w:rPr>
          <w:rStyle w:val="FootnoteReference"/>
          <w:rFonts w:ascii="Times New Roman" w:hAnsi="Times New Roman"/>
          <w:sz w:val="16"/>
          <w:szCs w:val="16"/>
        </w:rPr>
        <w:footnoteRef/>
      </w:r>
      <w:r w:rsidRPr="00C35A40">
        <w:rPr>
          <w:rFonts w:ascii="Times New Roman" w:hAnsi="Times New Roman"/>
          <w:sz w:val="16"/>
          <w:szCs w:val="16"/>
        </w:rPr>
        <w:t xml:space="preserve"> Central Bank of </w:t>
      </w:r>
      <w:r w:rsidRPr="000708D6">
        <w:rPr>
          <w:rFonts w:ascii="Times New Roman" w:hAnsi="Times New Roman"/>
          <w:sz w:val="16"/>
          <w:szCs w:val="16"/>
        </w:rPr>
        <w:t>Trinidad and Tobago</w:t>
      </w:r>
      <w:r>
        <w:rPr>
          <w:rFonts w:ascii="Times New Roman" w:hAnsi="Times New Roman"/>
          <w:sz w:val="16"/>
          <w:szCs w:val="16"/>
        </w:rPr>
        <w:t xml:space="preserve"> Annual Economic Survey, 2014.</w:t>
      </w:r>
    </w:p>
  </w:footnote>
  <w:footnote w:id="2">
    <w:p w14:paraId="07273F0F" w14:textId="4401AE37" w:rsidR="001B0F48" w:rsidRPr="00B63E18" w:rsidRDefault="001B0F48" w:rsidP="00C35A40">
      <w:pPr>
        <w:pStyle w:val="FootnoteText"/>
        <w:jc w:val="both"/>
        <w:rPr>
          <w:rFonts w:ascii="Times New Roman" w:hAnsi="Times New Roman"/>
          <w:sz w:val="16"/>
          <w:szCs w:val="16"/>
        </w:rPr>
      </w:pPr>
      <w:r w:rsidRPr="00C35A40">
        <w:rPr>
          <w:rStyle w:val="FootnoteReference"/>
          <w:rFonts w:ascii="Times New Roman" w:hAnsi="Times New Roman"/>
          <w:sz w:val="16"/>
          <w:szCs w:val="16"/>
        </w:rPr>
        <w:footnoteRef/>
      </w:r>
      <w:r w:rsidRPr="00C35A40">
        <w:rPr>
          <w:rFonts w:ascii="Times New Roman" w:hAnsi="Times New Roman"/>
          <w:sz w:val="16"/>
          <w:szCs w:val="16"/>
        </w:rPr>
        <w:t xml:space="preserve"> </w:t>
      </w:r>
      <w:r w:rsidRPr="009928E1">
        <w:rPr>
          <w:rFonts w:ascii="Times New Roman" w:hAnsi="Times New Roman"/>
          <w:sz w:val="16"/>
          <w:szCs w:val="16"/>
        </w:rPr>
        <w:t>R</w:t>
      </w:r>
      <w:r>
        <w:rPr>
          <w:rFonts w:ascii="Times New Roman" w:hAnsi="Times New Roman"/>
          <w:sz w:val="16"/>
          <w:szCs w:val="16"/>
        </w:rPr>
        <w:t>oyal Bank of the Caribbean,</w:t>
      </w:r>
      <w:r w:rsidRPr="00B63E18">
        <w:rPr>
          <w:rFonts w:ascii="Times New Roman" w:hAnsi="Times New Roman"/>
          <w:sz w:val="16"/>
          <w:szCs w:val="16"/>
        </w:rPr>
        <w:t xml:space="preserve"> </w:t>
      </w:r>
      <w:r w:rsidRPr="000708D6">
        <w:rPr>
          <w:rFonts w:ascii="Times New Roman" w:hAnsi="Times New Roman"/>
          <w:i/>
          <w:sz w:val="16"/>
          <w:szCs w:val="16"/>
        </w:rPr>
        <w:t>Trinidad and Tobago Economic Outlook</w:t>
      </w:r>
      <w:r>
        <w:rPr>
          <w:rFonts w:ascii="Times New Roman" w:hAnsi="Times New Roman"/>
          <w:sz w:val="16"/>
          <w:szCs w:val="16"/>
        </w:rPr>
        <w:t>,</w:t>
      </w:r>
      <w:r w:rsidRPr="00B63E18">
        <w:rPr>
          <w:rFonts w:ascii="Times New Roman" w:hAnsi="Times New Roman"/>
          <w:sz w:val="16"/>
          <w:szCs w:val="16"/>
        </w:rPr>
        <w:t xml:space="preserve"> 2016</w:t>
      </w:r>
    </w:p>
  </w:footnote>
  <w:footnote w:id="3">
    <w:p w14:paraId="07AAD2B5" w14:textId="14F1AA27" w:rsidR="001B0F48" w:rsidRPr="00B63E18" w:rsidRDefault="001B0F48">
      <w:pPr>
        <w:pStyle w:val="FootnoteText"/>
        <w:rPr>
          <w:rFonts w:ascii="Times New Roman" w:hAnsi="Times New Roman"/>
          <w:sz w:val="16"/>
          <w:szCs w:val="16"/>
        </w:rPr>
      </w:pPr>
      <w:r w:rsidRPr="000708D6">
        <w:rPr>
          <w:rStyle w:val="FootnoteReference"/>
          <w:rFonts w:ascii="Times New Roman" w:hAnsi="Times New Roman"/>
          <w:sz w:val="16"/>
          <w:szCs w:val="16"/>
        </w:rPr>
        <w:footnoteRef/>
      </w:r>
      <w:r w:rsidRPr="000708D6">
        <w:rPr>
          <w:rStyle w:val="FootnoteReference"/>
          <w:rFonts w:ascii="Times New Roman" w:hAnsi="Times New Roman"/>
          <w:sz w:val="16"/>
          <w:szCs w:val="16"/>
        </w:rPr>
        <w:t xml:space="preserve"> </w:t>
      </w:r>
      <w:r w:rsidRPr="00B63E18">
        <w:rPr>
          <w:rFonts w:ascii="Times New Roman" w:hAnsi="Times New Roman"/>
          <w:sz w:val="16"/>
          <w:szCs w:val="16"/>
        </w:rPr>
        <w:t xml:space="preserve">World Bank </w:t>
      </w:r>
      <w:r>
        <w:rPr>
          <w:rFonts w:ascii="Times New Roman" w:hAnsi="Times New Roman"/>
          <w:sz w:val="16"/>
          <w:szCs w:val="16"/>
        </w:rPr>
        <w:t>r</w:t>
      </w:r>
      <w:r w:rsidRPr="00B63E18">
        <w:rPr>
          <w:rFonts w:ascii="Times New Roman" w:hAnsi="Times New Roman"/>
          <w:sz w:val="16"/>
          <w:szCs w:val="16"/>
        </w:rPr>
        <w:t xml:space="preserve">eport </w:t>
      </w:r>
      <w:r w:rsidRPr="000708D6">
        <w:rPr>
          <w:rFonts w:ascii="Times New Roman" w:hAnsi="Times New Roman"/>
          <w:i/>
          <w:sz w:val="16"/>
          <w:szCs w:val="16"/>
        </w:rPr>
        <w:t>Trinidad and Tobago: Poverty and Unemployment in an Oil-Based Economy Profile</w:t>
      </w:r>
      <w:r>
        <w:rPr>
          <w:rFonts w:ascii="Times New Roman" w:hAnsi="Times New Roman"/>
          <w:sz w:val="16"/>
          <w:szCs w:val="16"/>
        </w:rPr>
        <w:t>,</w:t>
      </w:r>
      <w:r w:rsidRPr="00B63E18">
        <w:rPr>
          <w:rFonts w:ascii="Times New Roman" w:hAnsi="Times New Roman"/>
          <w:sz w:val="16"/>
          <w:szCs w:val="16"/>
        </w:rPr>
        <w:t xml:space="preserve"> 1996; </w:t>
      </w:r>
      <w:r w:rsidRPr="000708D6">
        <w:rPr>
          <w:rFonts w:ascii="Times New Roman" w:hAnsi="Times New Roman"/>
          <w:sz w:val="16"/>
          <w:szCs w:val="16"/>
        </w:rPr>
        <w:t>Survey of Living Conditions</w:t>
      </w:r>
      <w:r>
        <w:rPr>
          <w:rFonts w:ascii="Times New Roman" w:hAnsi="Times New Roman"/>
          <w:sz w:val="16"/>
          <w:szCs w:val="16"/>
        </w:rPr>
        <w:t>,</w:t>
      </w:r>
      <w:r w:rsidRPr="00B63E18" w:rsidDel="00056AF6">
        <w:rPr>
          <w:rFonts w:ascii="Times New Roman" w:hAnsi="Times New Roman"/>
          <w:sz w:val="16"/>
          <w:szCs w:val="16"/>
        </w:rPr>
        <w:t xml:space="preserve"> </w:t>
      </w:r>
      <w:r w:rsidRPr="00B63E18">
        <w:rPr>
          <w:rFonts w:ascii="Times New Roman" w:hAnsi="Times New Roman"/>
          <w:sz w:val="16"/>
          <w:szCs w:val="16"/>
        </w:rPr>
        <w:t>2005; Ministry of Social Development and Family Services, 2016; Household Budget Survey</w:t>
      </w:r>
      <w:r>
        <w:rPr>
          <w:rFonts w:ascii="Times New Roman" w:hAnsi="Times New Roman"/>
          <w:sz w:val="16"/>
          <w:szCs w:val="16"/>
        </w:rPr>
        <w:t>,</w:t>
      </w:r>
      <w:r w:rsidRPr="00B63E18">
        <w:rPr>
          <w:rFonts w:ascii="Times New Roman" w:hAnsi="Times New Roman"/>
          <w:sz w:val="16"/>
          <w:szCs w:val="16"/>
        </w:rPr>
        <w:t xml:space="preserve"> 2008</w:t>
      </w:r>
      <w:r>
        <w:rPr>
          <w:rFonts w:ascii="Times New Roman" w:hAnsi="Times New Roman"/>
          <w:sz w:val="16"/>
          <w:szCs w:val="16"/>
        </w:rPr>
        <w:t>-</w:t>
      </w:r>
      <w:r w:rsidRPr="00B63E18">
        <w:rPr>
          <w:rFonts w:ascii="Times New Roman" w:hAnsi="Times New Roman"/>
          <w:sz w:val="16"/>
          <w:szCs w:val="16"/>
        </w:rPr>
        <w:t>2009.</w:t>
      </w:r>
    </w:p>
  </w:footnote>
  <w:footnote w:id="4">
    <w:p w14:paraId="3F621C55" w14:textId="28107E7B" w:rsidR="001B0F48" w:rsidRPr="009506EE" w:rsidRDefault="001B0F48" w:rsidP="00C35A40">
      <w:pPr>
        <w:pStyle w:val="FootnoteText"/>
        <w:jc w:val="both"/>
        <w:rPr>
          <w:rFonts w:ascii="Times New Roman" w:hAnsi="Times New Roman"/>
          <w:sz w:val="16"/>
          <w:szCs w:val="16"/>
        </w:rPr>
      </w:pPr>
      <w:r w:rsidRPr="00B63E18">
        <w:rPr>
          <w:rStyle w:val="FootnoteReference"/>
          <w:rFonts w:ascii="Times New Roman" w:hAnsi="Times New Roman"/>
          <w:sz w:val="16"/>
          <w:szCs w:val="16"/>
        </w:rPr>
        <w:footnoteRef/>
      </w:r>
      <w:r w:rsidRPr="00B63E18">
        <w:rPr>
          <w:rFonts w:ascii="Times New Roman" w:hAnsi="Times New Roman"/>
          <w:sz w:val="16"/>
          <w:szCs w:val="16"/>
        </w:rPr>
        <w:t xml:space="preserve"> </w:t>
      </w:r>
      <w:r w:rsidRPr="000708D6">
        <w:rPr>
          <w:rFonts w:ascii="Times New Roman" w:hAnsi="Times New Roman"/>
          <w:i/>
          <w:sz w:val="16"/>
          <w:szCs w:val="16"/>
        </w:rPr>
        <w:t>Perspectives on Well-Being, Progress and Vulnerability in Trinidad and Tobago</w:t>
      </w:r>
      <w:r w:rsidRPr="00B63E18">
        <w:rPr>
          <w:rFonts w:ascii="Times New Roman" w:hAnsi="Times New Roman"/>
          <w:sz w:val="16"/>
          <w:szCs w:val="16"/>
        </w:rPr>
        <w:t xml:space="preserve">, p.10. UNDP </w:t>
      </w:r>
      <w:r w:rsidRPr="007D4263">
        <w:rPr>
          <w:rFonts w:ascii="Times New Roman" w:hAnsi="Times New Roman"/>
          <w:sz w:val="16"/>
          <w:szCs w:val="16"/>
        </w:rPr>
        <w:t>Trinidad and Tobago</w:t>
      </w:r>
      <w:r>
        <w:rPr>
          <w:rFonts w:ascii="Times New Roman" w:hAnsi="Times New Roman"/>
          <w:sz w:val="16"/>
          <w:szCs w:val="16"/>
        </w:rPr>
        <w:t>,</w:t>
      </w:r>
      <w:r w:rsidRPr="00B63E18">
        <w:rPr>
          <w:rFonts w:ascii="Times New Roman" w:hAnsi="Times New Roman"/>
          <w:sz w:val="16"/>
          <w:szCs w:val="16"/>
        </w:rPr>
        <w:t xml:space="preserve"> 2015</w:t>
      </w:r>
      <w:r w:rsidRPr="009506EE">
        <w:rPr>
          <w:rFonts w:ascii="Times New Roman" w:hAnsi="Times New Roman"/>
          <w:sz w:val="16"/>
          <w:szCs w:val="16"/>
        </w:rPr>
        <w:t xml:space="preserve">. </w:t>
      </w:r>
    </w:p>
  </w:footnote>
  <w:footnote w:id="5">
    <w:p w14:paraId="31E5B3A9" w14:textId="1CF8DA0E" w:rsidR="001B0F48" w:rsidRPr="00C35A40" w:rsidRDefault="001B0F48" w:rsidP="00C35A40">
      <w:pPr>
        <w:pStyle w:val="FootnoteText"/>
        <w:jc w:val="both"/>
        <w:rPr>
          <w:rFonts w:ascii="Times New Roman" w:hAnsi="Times New Roman"/>
          <w:sz w:val="16"/>
          <w:szCs w:val="16"/>
          <w:lang w:val="en-TT"/>
        </w:rPr>
      </w:pPr>
      <w:r w:rsidRPr="00C35A40">
        <w:rPr>
          <w:rStyle w:val="FootnoteReference"/>
          <w:rFonts w:ascii="Times New Roman" w:hAnsi="Times New Roman"/>
          <w:sz w:val="16"/>
          <w:szCs w:val="16"/>
        </w:rPr>
        <w:footnoteRef/>
      </w:r>
      <w:r w:rsidRPr="00C35A40">
        <w:rPr>
          <w:rFonts w:ascii="Times New Roman" w:hAnsi="Times New Roman"/>
          <w:sz w:val="16"/>
          <w:szCs w:val="16"/>
        </w:rPr>
        <w:t xml:space="preserve"> </w:t>
      </w:r>
      <w:r w:rsidRPr="007D4263">
        <w:rPr>
          <w:rFonts w:ascii="Times New Roman" w:hAnsi="Times New Roman"/>
          <w:sz w:val="16"/>
          <w:szCs w:val="16"/>
        </w:rPr>
        <w:t>Trinidad and Tobago</w:t>
      </w:r>
      <w:r w:rsidRPr="00C35A40">
        <w:rPr>
          <w:rFonts w:ascii="Times New Roman" w:hAnsi="Times New Roman"/>
          <w:sz w:val="16"/>
          <w:szCs w:val="16"/>
          <w:lang w:val="en-TT"/>
        </w:rPr>
        <w:t xml:space="preserve"> Police Service</w:t>
      </w:r>
      <w:r>
        <w:rPr>
          <w:rFonts w:ascii="Times New Roman" w:hAnsi="Times New Roman"/>
          <w:sz w:val="16"/>
          <w:szCs w:val="16"/>
          <w:lang w:val="en-TT"/>
        </w:rPr>
        <w:t xml:space="preserve">, </w:t>
      </w:r>
      <w:r w:rsidRPr="00C35A40">
        <w:rPr>
          <w:rFonts w:ascii="Times New Roman" w:hAnsi="Times New Roman"/>
          <w:sz w:val="16"/>
          <w:szCs w:val="16"/>
          <w:lang w:val="en-TT"/>
        </w:rPr>
        <w:t>Crime and Safety Report</w:t>
      </w:r>
      <w:r>
        <w:rPr>
          <w:rFonts w:ascii="Times New Roman" w:hAnsi="Times New Roman"/>
          <w:sz w:val="16"/>
          <w:szCs w:val="16"/>
          <w:lang w:val="en-TT"/>
        </w:rPr>
        <w:t>, 2014.</w:t>
      </w:r>
    </w:p>
  </w:footnote>
  <w:footnote w:id="6">
    <w:p w14:paraId="542A1882" w14:textId="3CF9AF48" w:rsidR="001B0F48" w:rsidRPr="00C35A40" w:rsidRDefault="001B0F48" w:rsidP="00EA3147">
      <w:pPr>
        <w:pStyle w:val="FootnoteText"/>
        <w:jc w:val="both"/>
        <w:rPr>
          <w:rFonts w:ascii="Times New Roman" w:hAnsi="Times New Roman"/>
          <w:sz w:val="16"/>
          <w:szCs w:val="16"/>
          <w:lang w:val="en-TT"/>
        </w:rPr>
      </w:pPr>
      <w:r w:rsidRPr="00C35A40">
        <w:rPr>
          <w:rStyle w:val="FootnoteReference"/>
          <w:rFonts w:ascii="Times New Roman" w:hAnsi="Times New Roman"/>
          <w:sz w:val="16"/>
          <w:szCs w:val="16"/>
        </w:rPr>
        <w:footnoteRef/>
      </w:r>
      <w:r w:rsidRPr="00C35A40">
        <w:rPr>
          <w:rFonts w:ascii="Times New Roman" w:hAnsi="Times New Roman"/>
          <w:sz w:val="16"/>
          <w:szCs w:val="16"/>
        </w:rPr>
        <w:t xml:space="preserve"> </w:t>
      </w:r>
      <w:r w:rsidRPr="000708D6">
        <w:rPr>
          <w:rFonts w:ascii="Times New Roman" w:hAnsi="Times New Roman"/>
          <w:i/>
          <w:sz w:val="16"/>
          <w:szCs w:val="16"/>
          <w:lang w:val="en-TT"/>
        </w:rPr>
        <w:t>No Time to Quit: Engaging Youth at Risk Report</w:t>
      </w:r>
      <w:r w:rsidRPr="00C35A40">
        <w:rPr>
          <w:rFonts w:ascii="Times New Roman" w:hAnsi="Times New Roman"/>
          <w:sz w:val="16"/>
          <w:szCs w:val="16"/>
          <w:lang w:val="en-TT"/>
        </w:rPr>
        <w:t xml:space="preserve">, Committee on Young Males and Crime in </w:t>
      </w:r>
      <w:r w:rsidRPr="007D4263">
        <w:rPr>
          <w:rFonts w:ascii="Times New Roman" w:hAnsi="Times New Roman"/>
          <w:sz w:val="16"/>
          <w:szCs w:val="16"/>
        </w:rPr>
        <w:t>Trinidad and Tobago</w:t>
      </w:r>
      <w:r>
        <w:rPr>
          <w:rFonts w:ascii="Times New Roman" w:hAnsi="Times New Roman"/>
          <w:sz w:val="16"/>
          <w:szCs w:val="16"/>
        </w:rPr>
        <w:t>,</w:t>
      </w:r>
      <w:r w:rsidRPr="00C35A40">
        <w:rPr>
          <w:rFonts w:ascii="Times New Roman" w:hAnsi="Times New Roman"/>
          <w:sz w:val="16"/>
          <w:szCs w:val="16"/>
          <w:lang w:val="en-TT"/>
        </w:rPr>
        <w:t xml:space="preserve"> 2013</w:t>
      </w:r>
    </w:p>
  </w:footnote>
  <w:footnote w:id="7">
    <w:p w14:paraId="6DFB2351" w14:textId="3D0A7CDE" w:rsidR="001B0F48" w:rsidRPr="00C35A40" w:rsidRDefault="001B0F48" w:rsidP="00C35A40">
      <w:pPr>
        <w:pStyle w:val="FootnoteText"/>
        <w:jc w:val="both"/>
        <w:rPr>
          <w:rFonts w:ascii="Times New Roman" w:hAnsi="Times New Roman"/>
          <w:sz w:val="16"/>
          <w:szCs w:val="16"/>
          <w:lang w:val="en-TT"/>
        </w:rPr>
      </w:pPr>
      <w:r w:rsidRPr="00C35A40">
        <w:rPr>
          <w:rStyle w:val="FootnoteReference"/>
          <w:rFonts w:ascii="Times New Roman" w:hAnsi="Times New Roman"/>
          <w:sz w:val="16"/>
          <w:szCs w:val="16"/>
        </w:rPr>
        <w:footnoteRef/>
      </w:r>
      <w:r w:rsidRPr="00C35A40">
        <w:rPr>
          <w:rFonts w:ascii="Times New Roman" w:hAnsi="Times New Roman"/>
          <w:sz w:val="16"/>
          <w:szCs w:val="16"/>
        </w:rPr>
        <w:t xml:space="preserve"> </w:t>
      </w:r>
      <w:r w:rsidRPr="007D4263">
        <w:rPr>
          <w:rFonts w:ascii="Times New Roman" w:hAnsi="Times New Roman"/>
          <w:sz w:val="16"/>
          <w:szCs w:val="16"/>
        </w:rPr>
        <w:t>Trinidad and Tobago</w:t>
      </w:r>
      <w:r>
        <w:rPr>
          <w:rFonts w:ascii="Times New Roman" w:hAnsi="Times New Roman"/>
          <w:sz w:val="16"/>
          <w:szCs w:val="16"/>
        </w:rPr>
        <w:t xml:space="preserve"> </w:t>
      </w:r>
      <w:r w:rsidRPr="00C35A40">
        <w:rPr>
          <w:rFonts w:ascii="Times New Roman" w:hAnsi="Times New Roman"/>
          <w:sz w:val="16"/>
          <w:szCs w:val="16"/>
          <w:lang w:val="en-TT"/>
        </w:rPr>
        <w:t>Police Service Crime and Safety Report</w:t>
      </w:r>
      <w:r>
        <w:rPr>
          <w:rFonts w:ascii="Times New Roman" w:hAnsi="Times New Roman"/>
          <w:sz w:val="16"/>
          <w:szCs w:val="16"/>
          <w:lang w:val="en-TT"/>
        </w:rPr>
        <w:t xml:space="preserve">, </w:t>
      </w:r>
      <w:r w:rsidRPr="00C35A40">
        <w:rPr>
          <w:rFonts w:ascii="Times New Roman" w:hAnsi="Times New Roman"/>
          <w:sz w:val="16"/>
          <w:szCs w:val="16"/>
          <w:lang w:val="en-TT"/>
        </w:rPr>
        <w:t>2014</w:t>
      </w:r>
    </w:p>
  </w:footnote>
  <w:footnote w:id="8">
    <w:p w14:paraId="5686D070" w14:textId="5DF51437" w:rsidR="001B0F48" w:rsidRPr="000708D6" w:rsidRDefault="001B0F48" w:rsidP="00607342">
      <w:pPr>
        <w:pStyle w:val="FootnoteText"/>
        <w:ind w:right="940"/>
        <w:jc w:val="both"/>
        <w:rPr>
          <w:rFonts w:ascii="Times New Roman" w:hAnsi="Times New Roman"/>
          <w:sz w:val="16"/>
          <w:szCs w:val="16"/>
          <w:lang w:val="en-TT"/>
        </w:rPr>
      </w:pPr>
      <w:r w:rsidRPr="00C35A40">
        <w:rPr>
          <w:rStyle w:val="FootnoteReference"/>
          <w:rFonts w:ascii="Times New Roman" w:hAnsi="Times New Roman"/>
          <w:sz w:val="16"/>
          <w:szCs w:val="16"/>
        </w:rPr>
        <w:footnoteRef/>
      </w:r>
      <w:r w:rsidRPr="00C35A40">
        <w:rPr>
          <w:rFonts w:ascii="Times New Roman" w:hAnsi="Times New Roman"/>
          <w:sz w:val="16"/>
          <w:szCs w:val="16"/>
        </w:rPr>
        <w:t xml:space="preserve"> </w:t>
      </w:r>
      <w:r w:rsidRPr="000708D6">
        <w:rPr>
          <w:rFonts w:ascii="Times New Roman" w:hAnsi="Times New Roman"/>
          <w:i/>
          <w:sz w:val="16"/>
          <w:szCs w:val="16"/>
        </w:rPr>
        <w:t xml:space="preserve">Trinidad and Tobago’s </w:t>
      </w:r>
      <w:r w:rsidRPr="000708D6">
        <w:rPr>
          <w:rFonts w:ascii="Times New Roman" w:hAnsi="Times New Roman"/>
          <w:i/>
          <w:sz w:val="16"/>
          <w:szCs w:val="16"/>
          <w:lang w:val="en-TT"/>
        </w:rPr>
        <w:t>Intended Nationally Determined Contribution and the Paris Agreements in 2015</w:t>
      </w:r>
      <w:r>
        <w:rPr>
          <w:rFonts w:ascii="Times New Roman" w:hAnsi="Times New Roman"/>
          <w:sz w:val="16"/>
          <w:szCs w:val="16"/>
          <w:lang w:val="en-TT"/>
        </w:rPr>
        <w:t>,</w:t>
      </w:r>
      <w:r w:rsidRPr="000708D6">
        <w:rPr>
          <w:rFonts w:ascii="Times New Roman" w:hAnsi="Times New Roman"/>
          <w:sz w:val="16"/>
          <w:szCs w:val="16"/>
          <w:lang w:val="en-TT"/>
        </w:rPr>
        <w:t xml:space="preserve"> Government presentation at </w:t>
      </w:r>
      <w:r>
        <w:rPr>
          <w:rFonts w:ascii="Times New Roman" w:hAnsi="Times New Roman"/>
          <w:sz w:val="16"/>
          <w:szCs w:val="16"/>
          <w:lang w:val="en-TT"/>
        </w:rPr>
        <w:t xml:space="preserve">the </w:t>
      </w:r>
      <w:r w:rsidRPr="000708D6">
        <w:rPr>
          <w:rFonts w:ascii="Times New Roman" w:hAnsi="Times New Roman"/>
          <w:sz w:val="16"/>
          <w:szCs w:val="16"/>
          <w:lang w:val="en-TT"/>
        </w:rPr>
        <w:t>Trinidad and Tobago Energy Conference</w:t>
      </w:r>
      <w:r>
        <w:rPr>
          <w:rFonts w:ascii="Times New Roman" w:hAnsi="Times New Roman"/>
          <w:sz w:val="16"/>
          <w:szCs w:val="16"/>
          <w:lang w:val="en-TT"/>
        </w:rPr>
        <w:t>,</w:t>
      </w:r>
      <w:r w:rsidRPr="000708D6">
        <w:rPr>
          <w:rFonts w:ascii="Times New Roman" w:hAnsi="Times New Roman"/>
          <w:sz w:val="16"/>
          <w:szCs w:val="16"/>
          <w:lang w:val="en-TT"/>
        </w:rPr>
        <w:t xml:space="preserve"> Jan</w:t>
      </w:r>
      <w:r>
        <w:rPr>
          <w:rFonts w:ascii="Times New Roman" w:hAnsi="Times New Roman"/>
          <w:sz w:val="16"/>
          <w:szCs w:val="16"/>
          <w:lang w:val="en-TT"/>
        </w:rPr>
        <w:t xml:space="preserve">uary </w:t>
      </w:r>
      <w:r w:rsidRPr="000708D6">
        <w:rPr>
          <w:rFonts w:ascii="Times New Roman" w:hAnsi="Times New Roman"/>
          <w:sz w:val="16"/>
          <w:szCs w:val="16"/>
          <w:lang w:val="en-TT"/>
        </w:rPr>
        <w:t>2016)</w:t>
      </w:r>
    </w:p>
  </w:footnote>
  <w:footnote w:id="9">
    <w:p w14:paraId="0CF735D4" w14:textId="77777777" w:rsidR="001B0F48" w:rsidRPr="00C35A40" w:rsidRDefault="001B0F48" w:rsidP="00C35A40">
      <w:pPr>
        <w:pStyle w:val="FootnoteText"/>
        <w:jc w:val="both"/>
        <w:rPr>
          <w:rFonts w:ascii="Times New Roman" w:hAnsi="Times New Roman"/>
          <w:sz w:val="16"/>
          <w:szCs w:val="16"/>
        </w:rPr>
      </w:pPr>
      <w:r w:rsidRPr="00C35A40">
        <w:rPr>
          <w:rStyle w:val="FootnoteReference"/>
          <w:rFonts w:ascii="Times New Roman" w:hAnsi="Times New Roman"/>
          <w:sz w:val="16"/>
          <w:szCs w:val="16"/>
        </w:rPr>
        <w:footnoteRef/>
      </w:r>
      <w:r w:rsidRPr="00C35A40">
        <w:rPr>
          <w:rFonts w:ascii="Times New Roman" w:hAnsi="Times New Roman"/>
          <w:sz w:val="16"/>
          <w:szCs w:val="16"/>
        </w:rPr>
        <w:t xml:space="preserve"> Caribbean Climate Innovation Centre, 2013</w:t>
      </w:r>
    </w:p>
  </w:footnote>
  <w:footnote w:id="10">
    <w:p w14:paraId="02D8B107" w14:textId="5AC27D95" w:rsidR="001B0F48" w:rsidRPr="00E20CF7" w:rsidRDefault="001B0F48">
      <w:pPr>
        <w:pStyle w:val="FootnoteText"/>
        <w:rPr>
          <w:rStyle w:val="FootnoteReference"/>
          <w:rFonts w:ascii="Times New Roman" w:hAnsi="Times New Roman"/>
          <w:sz w:val="16"/>
          <w:szCs w:val="16"/>
          <w:vertAlign w:val="baseline"/>
        </w:rPr>
      </w:pPr>
      <w:r w:rsidRPr="00C85AE2">
        <w:rPr>
          <w:rStyle w:val="FootnoteReference"/>
          <w:rFonts w:ascii="Times New Roman" w:hAnsi="Times New Roman"/>
          <w:sz w:val="16"/>
          <w:szCs w:val="16"/>
        </w:rPr>
        <w:footnoteRef/>
      </w:r>
      <w:r w:rsidRPr="00C85AE2">
        <w:rPr>
          <w:rStyle w:val="FootnoteReference"/>
          <w:rFonts w:ascii="Times New Roman" w:hAnsi="Times New Roman"/>
          <w:sz w:val="16"/>
          <w:szCs w:val="16"/>
        </w:rPr>
        <w:t xml:space="preserve"> </w:t>
      </w:r>
      <w:r>
        <w:rPr>
          <w:rFonts w:ascii="Times New Roman" w:hAnsi="Times New Roman"/>
          <w:sz w:val="16"/>
          <w:szCs w:val="16"/>
        </w:rPr>
        <w:t xml:space="preserve">Report of the outcome evaluation of the UNDP </w:t>
      </w:r>
      <w:r w:rsidRPr="007D4263">
        <w:rPr>
          <w:rFonts w:ascii="Times New Roman" w:hAnsi="Times New Roman"/>
          <w:sz w:val="16"/>
          <w:szCs w:val="16"/>
        </w:rPr>
        <w:t>Trinidad and Tobago</w:t>
      </w:r>
      <w:r>
        <w:rPr>
          <w:rFonts w:ascii="Times New Roman" w:hAnsi="Times New Roman"/>
          <w:sz w:val="16"/>
          <w:szCs w:val="16"/>
        </w:rPr>
        <w:t xml:space="preserve"> country programme, 2012-2015, November 2015</w:t>
      </w:r>
    </w:p>
  </w:footnote>
  <w:footnote w:id="11">
    <w:p w14:paraId="4E0C170F" w14:textId="24A0E29D" w:rsidR="001B0F48" w:rsidRPr="00591678" w:rsidRDefault="001B0F48">
      <w:pPr>
        <w:pStyle w:val="FootnoteText"/>
        <w:rPr>
          <w:rFonts w:ascii="Times New Roman" w:hAnsi="Times New Roman"/>
          <w:sz w:val="16"/>
          <w:szCs w:val="16"/>
        </w:rPr>
      </w:pPr>
      <w:r w:rsidRPr="00591678">
        <w:rPr>
          <w:rStyle w:val="FootnoteReference"/>
          <w:rFonts w:ascii="Times New Roman" w:hAnsi="Times New Roman"/>
          <w:sz w:val="16"/>
          <w:szCs w:val="16"/>
        </w:rPr>
        <w:footnoteRef/>
      </w:r>
      <w:r w:rsidRPr="00591678">
        <w:rPr>
          <w:rFonts w:ascii="Times New Roman" w:hAnsi="Times New Roman"/>
          <w:sz w:val="16"/>
          <w:szCs w:val="16"/>
        </w:rPr>
        <w:t xml:space="preserve"> </w:t>
      </w:r>
      <w:r>
        <w:rPr>
          <w:rFonts w:ascii="Times New Roman" w:hAnsi="Times New Roman"/>
          <w:sz w:val="16"/>
          <w:szCs w:val="16"/>
        </w:rPr>
        <w:t xml:space="preserve">The </w:t>
      </w:r>
      <w:r w:rsidRPr="000708D6">
        <w:rPr>
          <w:rFonts w:ascii="Times New Roman" w:hAnsi="Times New Roman"/>
          <w:i/>
          <w:sz w:val="16"/>
          <w:szCs w:val="16"/>
        </w:rPr>
        <w:t>Subjective Well-Being</w:t>
      </w:r>
      <w:r w:rsidRPr="00591678">
        <w:rPr>
          <w:rFonts w:ascii="Times New Roman" w:hAnsi="Times New Roman"/>
          <w:sz w:val="16"/>
          <w:szCs w:val="16"/>
        </w:rPr>
        <w:t xml:space="preserve"> study</w:t>
      </w:r>
      <w:r>
        <w:rPr>
          <w:rFonts w:ascii="Times New Roman" w:hAnsi="Times New Roman"/>
          <w:sz w:val="16"/>
          <w:szCs w:val="16"/>
        </w:rPr>
        <w:t>, 2015</w:t>
      </w:r>
      <w:r w:rsidRPr="002236CB">
        <w:rPr>
          <w:rFonts w:ascii="Times New Roman" w:hAnsi="Times New Roman"/>
          <w:sz w:val="16"/>
          <w:szCs w:val="16"/>
          <w:lang w:val="en-GB"/>
        </w:rPr>
        <w:t>, analysed citizens’</w:t>
      </w:r>
      <w:r w:rsidRPr="00591678">
        <w:rPr>
          <w:rFonts w:ascii="Times New Roman" w:hAnsi="Times New Roman"/>
          <w:sz w:val="16"/>
          <w:szCs w:val="16"/>
        </w:rPr>
        <w:t xml:space="preserve"> perspectives and experiences related to progress and well-being</w:t>
      </w:r>
      <w:r>
        <w:rPr>
          <w:rFonts w:ascii="Times New Roman" w:hAnsi="Times New Roman"/>
          <w:sz w:val="16"/>
          <w:szCs w:val="16"/>
        </w:rPr>
        <w:t>.</w:t>
      </w:r>
    </w:p>
  </w:footnote>
  <w:footnote w:id="12">
    <w:p w14:paraId="40DD7929" w14:textId="1F67444F" w:rsidR="001B0F48" w:rsidRPr="00C35A40" w:rsidRDefault="001B0F48" w:rsidP="00DC45DB">
      <w:pPr>
        <w:pStyle w:val="FootnoteText"/>
        <w:jc w:val="both"/>
        <w:rPr>
          <w:rFonts w:ascii="Times New Roman" w:hAnsi="Times New Roman"/>
          <w:sz w:val="16"/>
          <w:szCs w:val="16"/>
        </w:rPr>
      </w:pPr>
      <w:r w:rsidRPr="00C35A40">
        <w:rPr>
          <w:rStyle w:val="FootnoteReference"/>
          <w:rFonts w:ascii="Times New Roman" w:hAnsi="Times New Roman"/>
          <w:sz w:val="16"/>
          <w:szCs w:val="16"/>
        </w:rPr>
        <w:footnoteRef/>
      </w:r>
      <w:r w:rsidRPr="00C35A40">
        <w:rPr>
          <w:rFonts w:ascii="Times New Roman" w:hAnsi="Times New Roman"/>
          <w:sz w:val="16"/>
          <w:szCs w:val="16"/>
        </w:rPr>
        <w:t xml:space="preserve"> </w:t>
      </w:r>
      <w:r>
        <w:rPr>
          <w:rFonts w:ascii="Times New Roman" w:hAnsi="Times New Roman"/>
          <w:sz w:val="16"/>
          <w:szCs w:val="16"/>
        </w:rPr>
        <w:t xml:space="preserve">From a </w:t>
      </w:r>
      <w:r w:rsidRPr="00A26A90">
        <w:rPr>
          <w:rFonts w:ascii="Times New Roman" w:hAnsi="Times New Roman"/>
          <w:sz w:val="16"/>
          <w:szCs w:val="16"/>
        </w:rPr>
        <w:t>budgeted estimation of 2.7</w:t>
      </w:r>
      <w:r>
        <w:rPr>
          <w:rFonts w:ascii="Times New Roman" w:hAnsi="Times New Roman"/>
          <w:sz w:val="16"/>
          <w:szCs w:val="16"/>
        </w:rPr>
        <w:t xml:space="preserve"> per cent to </w:t>
      </w:r>
      <w:r w:rsidRPr="00A26A90">
        <w:rPr>
          <w:rFonts w:ascii="Times New Roman" w:hAnsi="Times New Roman"/>
          <w:sz w:val="16"/>
          <w:szCs w:val="16"/>
        </w:rPr>
        <w:t>4.2</w:t>
      </w:r>
      <w:r>
        <w:rPr>
          <w:rFonts w:ascii="Times New Roman" w:hAnsi="Times New Roman"/>
          <w:sz w:val="16"/>
          <w:szCs w:val="16"/>
        </w:rPr>
        <w:t xml:space="preserve"> per cent</w:t>
      </w:r>
      <w:r w:rsidRPr="00A26A90">
        <w:rPr>
          <w:rFonts w:ascii="Times New Roman" w:hAnsi="Times New Roman"/>
          <w:sz w:val="16"/>
          <w:szCs w:val="16"/>
        </w:rPr>
        <w:t xml:space="preserve"> of </w:t>
      </w:r>
      <w:r w:rsidRPr="000708D6">
        <w:rPr>
          <w:rFonts w:ascii="Times New Roman" w:hAnsi="Times New Roman"/>
          <w:sz w:val="16"/>
          <w:szCs w:val="16"/>
        </w:rPr>
        <w:t>gross domestic product</w:t>
      </w:r>
      <w:r w:rsidRPr="00A26A90">
        <w:rPr>
          <w:rFonts w:ascii="Times New Roman" w:hAnsi="Times New Roman"/>
          <w:sz w:val="16"/>
          <w:szCs w:val="16"/>
        </w:rPr>
        <w:t xml:space="preserve">. </w:t>
      </w:r>
      <w:r w:rsidRPr="00C35A40">
        <w:rPr>
          <w:rFonts w:ascii="Times New Roman" w:hAnsi="Times New Roman"/>
          <w:sz w:val="16"/>
          <w:szCs w:val="16"/>
        </w:rPr>
        <w:t xml:space="preserve">Budget </w:t>
      </w:r>
      <w:r>
        <w:rPr>
          <w:rFonts w:ascii="Times New Roman" w:hAnsi="Times New Roman"/>
          <w:sz w:val="16"/>
          <w:szCs w:val="16"/>
        </w:rPr>
        <w:t>s</w:t>
      </w:r>
      <w:r w:rsidRPr="00C35A40">
        <w:rPr>
          <w:rFonts w:ascii="Times New Roman" w:hAnsi="Times New Roman"/>
          <w:sz w:val="16"/>
          <w:szCs w:val="16"/>
        </w:rPr>
        <w:t>tatement</w:t>
      </w:r>
      <w:r>
        <w:rPr>
          <w:rFonts w:ascii="Times New Roman" w:hAnsi="Times New Roman"/>
          <w:sz w:val="16"/>
          <w:szCs w:val="16"/>
        </w:rPr>
        <w:t>,</w:t>
      </w:r>
      <w:r w:rsidRPr="00C35A40">
        <w:rPr>
          <w:rFonts w:ascii="Times New Roman" w:hAnsi="Times New Roman"/>
          <w:sz w:val="16"/>
          <w:szCs w:val="16"/>
        </w:rPr>
        <w:t xml:space="preserve"> 2016</w:t>
      </w:r>
      <w:r>
        <w:rPr>
          <w:rFonts w:ascii="Times New Roman" w:hAnsi="Times New Roman"/>
          <w:sz w:val="16"/>
          <w:szCs w:val="16"/>
        </w:rPr>
        <w:t xml:space="preserve">, </w:t>
      </w:r>
      <w:r w:rsidRPr="00C35A40">
        <w:rPr>
          <w:rFonts w:ascii="Times New Roman" w:hAnsi="Times New Roman"/>
          <w:sz w:val="16"/>
          <w:szCs w:val="16"/>
        </w:rPr>
        <w:t>p.9</w:t>
      </w:r>
      <w:r>
        <w:rPr>
          <w:rFonts w:ascii="Times New Roman" w:hAnsi="Times New Roman"/>
          <w:sz w:val="16"/>
          <w:szCs w:val="16"/>
        </w:rPr>
        <w:t>.</w:t>
      </w:r>
    </w:p>
  </w:footnote>
  <w:footnote w:id="13">
    <w:p w14:paraId="0B7DFB28" w14:textId="77777777" w:rsidR="001B0F48" w:rsidRPr="000708D6" w:rsidRDefault="001B0F48">
      <w:pPr>
        <w:rPr>
          <w:sz w:val="16"/>
          <w:szCs w:val="16"/>
        </w:rPr>
      </w:pPr>
    </w:p>
    <w:p w14:paraId="7B18D82A" w14:textId="77777777" w:rsidR="001B0F48" w:rsidRPr="00C35A40" w:rsidRDefault="001B0F48" w:rsidP="009A0A24">
      <w:pPr>
        <w:pStyle w:val="FootnoteText"/>
        <w:jc w:val="both"/>
        <w:rPr>
          <w:rFonts w:ascii="Times New Roman" w:hAnsi="Times New Roman"/>
          <w:sz w:val="16"/>
          <w:szCs w:val="16"/>
        </w:rPr>
      </w:pPr>
    </w:p>
  </w:footnote>
  <w:footnote w:id="14">
    <w:p w14:paraId="0329AAAA" w14:textId="77777777" w:rsidR="001B0F48" w:rsidRPr="00F62D31" w:rsidRDefault="001B0F48">
      <w:pPr>
        <w:pStyle w:val="FootnoteText"/>
        <w:rPr>
          <w:rFonts w:ascii="Times New Roman" w:hAnsi="Times New Roman"/>
          <w:sz w:val="16"/>
          <w:szCs w:val="16"/>
        </w:rPr>
      </w:pPr>
      <w:r w:rsidRPr="00F62D31">
        <w:rPr>
          <w:rStyle w:val="FootnoteReference"/>
          <w:rFonts w:ascii="Times New Roman" w:hAnsi="Times New Roman"/>
          <w:sz w:val="16"/>
          <w:szCs w:val="16"/>
        </w:rPr>
        <w:footnoteRef/>
      </w:r>
      <w:r w:rsidRPr="00F62D31">
        <w:rPr>
          <w:rFonts w:ascii="Times New Roman" w:hAnsi="Times New Roman"/>
          <w:sz w:val="16"/>
          <w:szCs w:val="16"/>
        </w:rPr>
        <w:t xml:space="preserve"> Such as the </w:t>
      </w:r>
      <w:r w:rsidRPr="00F62D31">
        <w:rPr>
          <w:rFonts w:ascii="Times New Roman" w:hAnsi="Times New Roman"/>
          <w:sz w:val="16"/>
          <w:szCs w:val="16"/>
          <w:lang w:val="en-TT"/>
        </w:rPr>
        <w:t>Arima Poverty Profile project.</w:t>
      </w:r>
    </w:p>
  </w:footnote>
  <w:footnote w:id="15">
    <w:p w14:paraId="7084E258" w14:textId="5F94AF23" w:rsidR="001B0F48" w:rsidRPr="00C35A40" w:rsidRDefault="001B0F48" w:rsidP="00607342">
      <w:pPr>
        <w:pStyle w:val="FootnoteText"/>
        <w:ind w:right="940"/>
        <w:jc w:val="both"/>
        <w:rPr>
          <w:rFonts w:ascii="Times New Roman" w:hAnsi="Times New Roman"/>
          <w:sz w:val="16"/>
          <w:szCs w:val="16"/>
        </w:rPr>
      </w:pPr>
      <w:r w:rsidRPr="00C35A40">
        <w:rPr>
          <w:rStyle w:val="FootnoteReference"/>
          <w:rFonts w:ascii="Times New Roman" w:hAnsi="Times New Roman"/>
          <w:sz w:val="16"/>
          <w:szCs w:val="16"/>
        </w:rPr>
        <w:footnoteRef/>
      </w:r>
      <w:r>
        <w:rPr>
          <w:rFonts w:ascii="Times New Roman" w:hAnsi="Times New Roman"/>
          <w:sz w:val="16"/>
          <w:szCs w:val="16"/>
        </w:rPr>
        <w:t xml:space="preserve"> I</w:t>
      </w:r>
      <w:r w:rsidRPr="00C35A40">
        <w:rPr>
          <w:rFonts w:ascii="Times New Roman" w:hAnsi="Times New Roman"/>
          <w:sz w:val="16"/>
          <w:szCs w:val="16"/>
        </w:rPr>
        <w:t xml:space="preserve">n </w:t>
      </w:r>
      <w:r>
        <w:rPr>
          <w:rFonts w:ascii="Times New Roman" w:hAnsi="Times New Roman"/>
          <w:sz w:val="16"/>
          <w:szCs w:val="16"/>
        </w:rPr>
        <w:t>the 2015/6</w:t>
      </w:r>
      <w:r w:rsidRPr="00C35A40">
        <w:rPr>
          <w:rFonts w:ascii="Times New Roman" w:hAnsi="Times New Roman"/>
          <w:sz w:val="16"/>
          <w:szCs w:val="16"/>
        </w:rPr>
        <w:t xml:space="preserve"> national budget</w:t>
      </w:r>
      <w:r>
        <w:rPr>
          <w:rFonts w:ascii="Times New Roman" w:hAnsi="Times New Roman"/>
          <w:sz w:val="16"/>
          <w:szCs w:val="16"/>
        </w:rPr>
        <w:t>, n</w:t>
      </w:r>
      <w:r w:rsidRPr="00C35A40">
        <w:rPr>
          <w:rFonts w:ascii="Times New Roman" w:hAnsi="Times New Roman"/>
          <w:sz w:val="16"/>
          <w:szCs w:val="16"/>
        </w:rPr>
        <w:t xml:space="preserve">ational </w:t>
      </w:r>
      <w:r>
        <w:rPr>
          <w:rFonts w:ascii="Times New Roman" w:hAnsi="Times New Roman"/>
          <w:sz w:val="16"/>
          <w:szCs w:val="16"/>
        </w:rPr>
        <w:t>s</w:t>
      </w:r>
      <w:r w:rsidRPr="00C35A40">
        <w:rPr>
          <w:rFonts w:ascii="Times New Roman" w:hAnsi="Times New Roman"/>
          <w:sz w:val="16"/>
          <w:szCs w:val="16"/>
        </w:rPr>
        <w:t>ecurity</w:t>
      </w:r>
      <w:r>
        <w:rPr>
          <w:rFonts w:ascii="Times New Roman" w:hAnsi="Times New Roman"/>
          <w:sz w:val="16"/>
          <w:szCs w:val="16"/>
        </w:rPr>
        <w:t xml:space="preserve"> received the highest allocation: </w:t>
      </w:r>
      <w:r w:rsidRPr="00E93CE5">
        <w:rPr>
          <w:rFonts w:ascii="Times New Roman" w:hAnsi="Times New Roman"/>
          <w:sz w:val="16"/>
          <w:szCs w:val="16"/>
        </w:rPr>
        <w:t>TT$</w:t>
      </w:r>
      <w:r w:rsidRPr="00C35A40">
        <w:rPr>
          <w:rFonts w:ascii="Times New Roman" w:hAnsi="Times New Roman"/>
          <w:sz w:val="16"/>
          <w:szCs w:val="16"/>
        </w:rPr>
        <w:t xml:space="preserve">10.81 billion (National </w:t>
      </w:r>
      <w:r>
        <w:rPr>
          <w:rFonts w:ascii="Times New Roman" w:hAnsi="Times New Roman"/>
          <w:sz w:val="16"/>
          <w:szCs w:val="16"/>
        </w:rPr>
        <w:t>b</w:t>
      </w:r>
      <w:r w:rsidRPr="00C35A40">
        <w:rPr>
          <w:rFonts w:ascii="Times New Roman" w:hAnsi="Times New Roman"/>
          <w:sz w:val="16"/>
          <w:szCs w:val="16"/>
        </w:rPr>
        <w:t xml:space="preserve">udget </w:t>
      </w:r>
      <w:r>
        <w:rPr>
          <w:rFonts w:ascii="Times New Roman" w:hAnsi="Times New Roman"/>
          <w:sz w:val="16"/>
          <w:szCs w:val="16"/>
        </w:rPr>
        <w:t>s</w:t>
      </w:r>
      <w:r w:rsidRPr="00C35A40">
        <w:rPr>
          <w:rFonts w:ascii="Times New Roman" w:hAnsi="Times New Roman"/>
          <w:sz w:val="16"/>
          <w:szCs w:val="16"/>
        </w:rPr>
        <w:t>tatement, p.35</w:t>
      </w:r>
      <w:r w:rsidRPr="00612304">
        <w:rPr>
          <w:rFonts w:ascii="Times New Roman" w:hAnsi="Times New Roman"/>
          <w:sz w:val="16"/>
          <w:szCs w:val="16"/>
        </w:rPr>
        <w:t xml:space="preserve">). In the absence of a formal </w:t>
      </w:r>
      <w:r w:rsidRPr="00295371">
        <w:rPr>
          <w:rFonts w:ascii="Times New Roman" w:hAnsi="Times New Roman"/>
          <w:sz w:val="16"/>
          <w:szCs w:val="16"/>
        </w:rPr>
        <w:t xml:space="preserve">national security policy, this represents an indicator of the strategic </w:t>
      </w:r>
      <w:r>
        <w:rPr>
          <w:rFonts w:ascii="Times New Roman" w:hAnsi="Times New Roman"/>
          <w:sz w:val="16"/>
          <w:szCs w:val="16"/>
        </w:rPr>
        <w:t>government</w:t>
      </w:r>
      <w:r w:rsidRPr="00295371">
        <w:rPr>
          <w:rFonts w:ascii="Times New Roman" w:hAnsi="Times New Roman"/>
          <w:sz w:val="16"/>
          <w:szCs w:val="16"/>
        </w:rPr>
        <w:t xml:space="preserve"> priority </w:t>
      </w:r>
      <w:r>
        <w:rPr>
          <w:rFonts w:ascii="Times New Roman" w:hAnsi="Times New Roman"/>
          <w:sz w:val="16"/>
          <w:szCs w:val="16"/>
        </w:rPr>
        <w:t>of</w:t>
      </w:r>
      <w:r w:rsidRPr="00295371">
        <w:rPr>
          <w:rFonts w:ascii="Times New Roman" w:hAnsi="Times New Roman"/>
          <w:sz w:val="16"/>
          <w:szCs w:val="16"/>
        </w:rPr>
        <w:t xml:space="preserve"> addressing crime.</w:t>
      </w:r>
    </w:p>
  </w:footnote>
  <w:footnote w:id="16">
    <w:p w14:paraId="34EC38B7" w14:textId="2AADFA5C" w:rsidR="001B0F48" w:rsidRPr="007575CD" w:rsidRDefault="001B0F48" w:rsidP="002D372D">
      <w:pPr>
        <w:pStyle w:val="FootnoteText"/>
        <w:rPr>
          <w:rFonts w:ascii="Times New Roman" w:hAnsi="Times New Roman"/>
          <w:sz w:val="16"/>
          <w:szCs w:val="16"/>
        </w:rPr>
      </w:pPr>
      <w:r w:rsidRPr="007575CD">
        <w:rPr>
          <w:rStyle w:val="FootnoteReference"/>
          <w:rFonts w:ascii="Times New Roman" w:hAnsi="Times New Roman"/>
          <w:sz w:val="16"/>
          <w:szCs w:val="16"/>
        </w:rPr>
        <w:footnoteRef/>
      </w:r>
      <w:r w:rsidRPr="007575CD">
        <w:rPr>
          <w:rFonts w:ascii="Times New Roman" w:hAnsi="Times New Roman"/>
          <w:sz w:val="16"/>
          <w:szCs w:val="16"/>
        </w:rPr>
        <w:t xml:space="preserve"> A</w:t>
      </w:r>
      <w:r>
        <w:rPr>
          <w:rFonts w:ascii="Times New Roman" w:hAnsi="Times New Roman"/>
          <w:sz w:val="16"/>
          <w:szCs w:val="16"/>
        </w:rPr>
        <w:t xml:space="preserve"> </w:t>
      </w:r>
      <w:r w:rsidRPr="007575CD">
        <w:rPr>
          <w:rFonts w:ascii="Times New Roman" w:hAnsi="Times New Roman"/>
          <w:sz w:val="16"/>
          <w:szCs w:val="16"/>
        </w:rPr>
        <w:t>complementarities matrix</w:t>
      </w:r>
      <w:r>
        <w:rPr>
          <w:rFonts w:ascii="Times New Roman" w:hAnsi="Times New Roman"/>
          <w:sz w:val="16"/>
          <w:szCs w:val="16"/>
        </w:rPr>
        <w:t>, available upon request,</w:t>
      </w:r>
      <w:r w:rsidRPr="007575CD">
        <w:rPr>
          <w:rFonts w:ascii="Times New Roman" w:hAnsi="Times New Roman"/>
          <w:sz w:val="16"/>
          <w:szCs w:val="16"/>
        </w:rPr>
        <w:t xml:space="preserve"> show</w:t>
      </w:r>
      <w:r>
        <w:rPr>
          <w:rFonts w:ascii="Times New Roman" w:hAnsi="Times New Roman"/>
          <w:sz w:val="16"/>
          <w:szCs w:val="16"/>
        </w:rPr>
        <w:t>s</w:t>
      </w:r>
      <w:r w:rsidRPr="007575CD">
        <w:rPr>
          <w:rFonts w:ascii="Times New Roman" w:hAnsi="Times New Roman"/>
          <w:sz w:val="16"/>
          <w:szCs w:val="16"/>
        </w:rPr>
        <w:t xml:space="preserve"> multiple instances of contributions across work areas (and few </w:t>
      </w:r>
      <w:r>
        <w:rPr>
          <w:rFonts w:ascii="Times New Roman" w:hAnsi="Times New Roman"/>
          <w:sz w:val="16"/>
          <w:szCs w:val="16"/>
        </w:rPr>
        <w:t>‘</w:t>
      </w:r>
      <w:r w:rsidRPr="007575CD">
        <w:rPr>
          <w:rFonts w:ascii="Times New Roman" w:hAnsi="Times New Roman"/>
          <w:sz w:val="16"/>
          <w:szCs w:val="16"/>
        </w:rPr>
        <w:t>programming silos’).</w:t>
      </w:r>
    </w:p>
  </w:footnote>
  <w:footnote w:id="17">
    <w:p w14:paraId="6548A0DD" w14:textId="18755C3D" w:rsidR="001B0F48" w:rsidRPr="00C35A40" w:rsidRDefault="001B0F48" w:rsidP="006E64AB">
      <w:pPr>
        <w:pStyle w:val="FootnoteText"/>
        <w:ind w:right="400"/>
        <w:jc w:val="both"/>
        <w:rPr>
          <w:rFonts w:ascii="Times New Roman" w:hAnsi="Times New Roman"/>
          <w:sz w:val="16"/>
          <w:szCs w:val="16"/>
        </w:rPr>
      </w:pPr>
      <w:r w:rsidRPr="00C35A40">
        <w:rPr>
          <w:rStyle w:val="FootnoteReference"/>
          <w:rFonts w:ascii="Times New Roman" w:hAnsi="Times New Roman"/>
          <w:sz w:val="16"/>
          <w:szCs w:val="16"/>
        </w:rPr>
        <w:footnoteRef/>
      </w:r>
      <w:r w:rsidRPr="00C35A40">
        <w:rPr>
          <w:rFonts w:ascii="Times New Roman" w:hAnsi="Times New Roman"/>
          <w:sz w:val="16"/>
          <w:szCs w:val="16"/>
        </w:rPr>
        <w:t xml:space="preserve"> </w:t>
      </w:r>
      <w:r>
        <w:rPr>
          <w:rFonts w:ascii="Times New Roman" w:hAnsi="Times New Roman"/>
          <w:sz w:val="16"/>
          <w:szCs w:val="16"/>
        </w:rPr>
        <w:t>Drawing,</w:t>
      </w:r>
      <w:r w:rsidRPr="0000535A">
        <w:rPr>
          <w:rFonts w:ascii="Times New Roman" w:hAnsi="Times New Roman"/>
          <w:sz w:val="16"/>
          <w:szCs w:val="16"/>
        </w:rPr>
        <w:t xml:space="preserve"> </w:t>
      </w:r>
      <w:r>
        <w:rPr>
          <w:rFonts w:ascii="Times New Roman" w:hAnsi="Times New Roman"/>
          <w:sz w:val="16"/>
          <w:szCs w:val="16"/>
        </w:rPr>
        <w:t>for example,</w:t>
      </w:r>
      <w:r w:rsidRPr="00C35A40">
        <w:rPr>
          <w:rFonts w:ascii="Times New Roman" w:hAnsi="Times New Roman"/>
          <w:sz w:val="16"/>
          <w:szCs w:val="16"/>
        </w:rPr>
        <w:t xml:space="preserve"> </w:t>
      </w:r>
      <w:r>
        <w:rPr>
          <w:rFonts w:ascii="Times New Roman" w:hAnsi="Times New Roman"/>
          <w:sz w:val="16"/>
          <w:szCs w:val="16"/>
        </w:rPr>
        <w:t>on</w:t>
      </w:r>
      <w:r w:rsidRPr="00C35A40">
        <w:rPr>
          <w:rFonts w:ascii="Times New Roman" w:hAnsi="Times New Roman"/>
          <w:sz w:val="16"/>
          <w:szCs w:val="16"/>
        </w:rPr>
        <w:t xml:space="preserve"> the successful experience with </w:t>
      </w:r>
      <w:r>
        <w:rPr>
          <w:rFonts w:ascii="Times New Roman" w:hAnsi="Times New Roman"/>
          <w:sz w:val="16"/>
          <w:szCs w:val="16"/>
        </w:rPr>
        <w:t xml:space="preserve">the </w:t>
      </w:r>
      <w:r w:rsidRPr="00C35A40">
        <w:rPr>
          <w:rFonts w:ascii="Times New Roman" w:hAnsi="Times New Roman"/>
          <w:sz w:val="16"/>
          <w:szCs w:val="16"/>
        </w:rPr>
        <w:t>U</w:t>
      </w:r>
      <w:r>
        <w:rPr>
          <w:rFonts w:ascii="Times New Roman" w:hAnsi="Times New Roman"/>
          <w:sz w:val="16"/>
          <w:szCs w:val="16"/>
        </w:rPr>
        <w:t>nited States Agency for International Development-funded</w:t>
      </w:r>
      <w:r w:rsidRPr="00C35A40">
        <w:rPr>
          <w:rFonts w:ascii="Times New Roman" w:hAnsi="Times New Roman"/>
          <w:sz w:val="16"/>
          <w:szCs w:val="16"/>
        </w:rPr>
        <w:t xml:space="preserve"> Juvenile Court</w:t>
      </w:r>
      <w:r>
        <w:rPr>
          <w:rFonts w:ascii="Times New Roman" w:hAnsi="Times New Roman"/>
          <w:sz w:val="16"/>
          <w:szCs w:val="16"/>
        </w:rPr>
        <w:t xml:space="preserve"> Project in </w:t>
      </w:r>
      <w:r w:rsidRPr="007D4263">
        <w:rPr>
          <w:rFonts w:ascii="Times New Roman" w:hAnsi="Times New Roman"/>
          <w:sz w:val="16"/>
          <w:szCs w:val="16"/>
        </w:rPr>
        <w:t>Trinidad and Tobago</w:t>
      </w:r>
      <w:r>
        <w:rPr>
          <w:rFonts w:ascii="Times New Roman" w:hAnsi="Times New Roman"/>
          <w:sz w:val="16"/>
          <w:szCs w:val="16"/>
        </w:rPr>
        <w:t>;</w:t>
      </w:r>
      <w:r w:rsidRPr="00C35A40">
        <w:rPr>
          <w:rFonts w:ascii="Times New Roman" w:hAnsi="Times New Roman"/>
          <w:sz w:val="16"/>
          <w:szCs w:val="16"/>
        </w:rPr>
        <w:t xml:space="preserve"> the ongoing dialogue with </w:t>
      </w:r>
      <w:r>
        <w:rPr>
          <w:rFonts w:ascii="Times New Roman" w:hAnsi="Times New Roman"/>
          <w:sz w:val="16"/>
          <w:szCs w:val="16"/>
        </w:rPr>
        <w:t xml:space="preserve">private sector </w:t>
      </w:r>
      <w:r w:rsidRPr="00C35A40">
        <w:rPr>
          <w:rFonts w:ascii="Times New Roman" w:hAnsi="Times New Roman"/>
          <w:sz w:val="16"/>
          <w:szCs w:val="16"/>
        </w:rPr>
        <w:t xml:space="preserve">companies exploring </w:t>
      </w:r>
      <w:r>
        <w:rPr>
          <w:rFonts w:ascii="Times New Roman" w:hAnsi="Times New Roman"/>
          <w:sz w:val="16"/>
          <w:szCs w:val="16"/>
        </w:rPr>
        <w:t>collaboration</w:t>
      </w:r>
      <w:r w:rsidRPr="00C35A40">
        <w:rPr>
          <w:rFonts w:ascii="Times New Roman" w:hAnsi="Times New Roman"/>
          <w:sz w:val="16"/>
          <w:szCs w:val="16"/>
        </w:rPr>
        <w:t xml:space="preserve"> through </w:t>
      </w:r>
      <w:r>
        <w:rPr>
          <w:rFonts w:ascii="Times New Roman" w:hAnsi="Times New Roman"/>
          <w:sz w:val="16"/>
          <w:szCs w:val="16"/>
        </w:rPr>
        <w:t>c</w:t>
      </w:r>
      <w:r w:rsidRPr="00C35A40">
        <w:rPr>
          <w:rFonts w:ascii="Times New Roman" w:hAnsi="Times New Roman"/>
          <w:sz w:val="16"/>
          <w:szCs w:val="16"/>
        </w:rPr>
        <w:t xml:space="preserve">orporate </w:t>
      </w:r>
      <w:r>
        <w:rPr>
          <w:rFonts w:ascii="Times New Roman" w:hAnsi="Times New Roman"/>
          <w:sz w:val="16"/>
          <w:szCs w:val="16"/>
        </w:rPr>
        <w:t>s</w:t>
      </w:r>
      <w:r w:rsidRPr="00C35A40">
        <w:rPr>
          <w:rFonts w:ascii="Times New Roman" w:hAnsi="Times New Roman"/>
          <w:sz w:val="16"/>
          <w:szCs w:val="16"/>
        </w:rPr>
        <w:t>o</w:t>
      </w:r>
      <w:r>
        <w:rPr>
          <w:rFonts w:ascii="Times New Roman" w:hAnsi="Times New Roman"/>
          <w:sz w:val="16"/>
          <w:szCs w:val="16"/>
        </w:rPr>
        <w:t>cial responsibility mechanisms; and greater emphasis on South-South cooperation initiatives</w:t>
      </w:r>
    </w:p>
  </w:footnote>
  <w:footnote w:id="18">
    <w:p w14:paraId="2E503D11" w14:textId="5CE9F06D" w:rsidR="001B0F48" w:rsidRDefault="001B0F48" w:rsidP="00C35A40">
      <w:pPr>
        <w:pStyle w:val="FootnoteText"/>
        <w:jc w:val="both"/>
      </w:pPr>
      <w:r w:rsidRPr="00C35A40">
        <w:rPr>
          <w:rStyle w:val="FootnoteReference"/>
          <w:rFonts w:ascii="Times New Roman" w:hAnsi="Times New Roman"/>
          <w:sz w:val="16"/>
          <w:szCs w:val="16"/>
        </w:rPr>
        <w:footnoteRef/>
      </w:r>
      <w:r w:rsidRPr="00C35A40">
        <w:rPr>
          <w:rFonts w:ascii="Times New Roman" w:hAnsi="Times New Roman"/>
          <w:sz w:val="16"/>
          <w:szCs w:val="16"/>
        </w:rPr>
        <w:t xml:space="preserve"> </w:t>
      </w:r>
      <w:r>
        <w:rPr>
          <w:rFonts w:ascii="Times New Roman" w:hAnsi="Times New Roman"/>
          <w:sz w:val="16"/>
          <w:szCs w:val="16"/>
        </w:rPr>
        <w:t>Effective February</w:t>
      </w:r>
      <w:r w:rsidRPr="00C35A40">
        <w:rPr>
          <w:rFonts w:ascii="Times New Roman" w:hAnsi="Times New Roman"/>
          <w:sz w:val="16"/>
          <w:szCs w:val="16"/>
        </w:rPr>
        <w:t xml:space="preserve"> 2015</w:t>
      </w:r>
    </w:p>
  </w:footnote>
  <w:footnote w:id="19">
    <w:p w14:paraId="5743758A" w14:textId="65DC07B1" w:rsidR="001B0F48" w:rsidRPr="000708D6" w:rsidRDefault="001B0F48">
      <w:pPr>
        <w:pStyle w:val="FootnoteText"/>
        <w:rPr>
          <w:rFonts w:ascii="Times New Roman" w:hAnsi="Times New Roman"/>
          <w:sz w:val="14"/>
          <w:szCs w:val="14"/>
        </w:rPr>
      </w:pPr>
      <w:r w:rsidRPr="000708D6">
        <w:rPr>
          <w:rStyle w:val="FootnoteReference"/>
          <w:rFonts w:ascii="Times New Roman" w:hAnsi="Times New Roman"/>
          <w:sz w:val="14"/>
          <w:szCs w:val="14"/>
        </w:rPr>
        <w:footnoteRef/>
      </w:r>
      <w:r w:rsidRPr="000708D6">
        <w:rPr>
          <w:rFonts w:ascii="Times New Roman" w:hAnsi="Times New Roman"/>
          <w:sz w:val="14"/>
          <w:szCs w:val="14"/>
        </w:rPr>
        <w:t xml:space="preserve"> This is an estimate</w:t>
      </w:r>
      <w:r>
        <w:rPr>
          <w:rFonts w:ascii="Times New Roman" w:hAnsi="Times New Roman"/>
          <w:sz w:val="14"/>
          <w:szCs w:val="14"/>
        </w:rPr>
        <w:t xml:space="preserve">, </w:t>
      </w:r>
      <w:r w:rsidRPr="000708D6">
        <w:rPr>
          <w:rFonts w:ascii="Times New Roman" w:hAnsi="Times New Roman"/>
          <w:sz w:val="14"/>
          <w:szCs w:val="14"/>
        </w:rPr>
        <w:t xml:space="preserve">as there is no national centralized database system in Trinidad and Tobago. </w:t>
      </w:r>
    </w:p>
  </w:footnote>
  <w:footnote w:id="20">
    <w:p w14:paraId="52010A18" w14:textId="77777777" w:rsidR="001B0F48" w:rsidRPr="00C86324" w:rsidRDefault="001B0F48" w:rsidP="00BE4E0C">
      <w:pPr>
        <w:pStyle w:val="FootnoteText"/>
        <w:rPr>
          <w:rFonts w:ascii="Times New Roman" w:hAnsi="Times New Roman"/>
          <w:sz w:val="18"/>
          <w:szCs w:val="18"/>
        </w:rPr>
      </w:pPr>
      <w:r w:rsidRPr="000708D6">
        <w:rPr>
          <w:rStyle w:val="FootnoteReference"/>
          <w:rFonts w:ascii="Times New Roman" w:hAnsi="Times New Roman"/>
          <w:sz w:val="14"/>
          <w:szCs w:val="14"/>
        </w:rPr>
        <w:footnoteRef/>
      </w:r>
      <w:r w:rsidRPr="000708D6">
        <w:rPr>
          <w:rFonts w:ascii="Times New Roman" w:hAnsi="Times New Roman"/>
          <w:sz w:val="14"/>
          <w:szCs w:val="14"/>
        </w:rPr>
        <w:t xml:space="preserve"> T</w:t>
      </w:r>
      <w:r w:rsidRPr="000708D6">
        <w:rPr>
          <w:rFonts w:ascii="Times New Roman" w:hAnsi="Times New Roman"/>
          <w:iCs/>
          <w:sz w:val="14"/>
          <w:szCs w:val="14"/>
          <w:lang w:val="en-GB"/>
        </w:rPr>
        <w:t>he census collects sex-disaggregated data, but little gender analysis has been applied to it.</w:t>
      </w:r>
    </w:p>
  </w:footnote>
  <w:footnote w:id="21">
    <w:p w14:paraId="0CED2831" w14:textId="41D260A0" w:rsidR="001B0F48" w:rsidRPr="000708D6" w:rsidRDefault="001B0F48" w:rsidP="0077048A">
      <w:pPr>
        <w:pStyle w:val="FootnoteText"/>
        <w:rPr>
          <w:rFonts w:ascii="Times New Roman" w:hAnsi="Times New Roman"/>
          <w:sz w:val="14"/>
          <w:szCs w:val="14"/>
          <w:lang w:val="en-TT"/>
        </w:rPr>
      </w:pPr>
      <w:r w:rsidRPr="000708D6">
        <w:rPr>
          <w:rStyle w:val="FootnoteReference"/>
          <w:rFonts w:ascii="Times New Roman" w:hAnsi="Times New Roman"/>
          <w:sz w:val="14"/>
          <w:szCs w:val="14"/>
        </w:rPr>
        <w:footnoteRef/>
      </w:r>
      <w:r w:rsidRPr="000708D6">
        <w:rPr>
          <w:rFonts w:ascii="Times New Roman" w:hAnsi="Times New Roman"/>
          <w:sz w:val="14"/>
          <w:szCs w:val="14"/>
        </w:rPr>
        <w:t xml:space="preserve"> </w:t>
      </w:r>
      <w:r>
        <w:rPr>
          <w:rFonts w:ascii="Times New Roman" w:hAnsi="Times New Roman"/>
          <w:sz w:val="14"/>
          <w:szCs w:val="14"/>
        </w:rPr>
        <w:t>MNS m</w:t>
      </w:r>
      <w:r w:rsidRPr="000708D6">
        <w:rPr>
          <w:rFonts w:ascii="Times New Roman" w:hAnsi="Times New Roman"/>
          <w:sz w:val="14"/>
          <w:szCs w:val="14"/>
        </w:rPr>
        <w:t xml:space="preserve">ission </w:t>
      </w:r>
      <w:r>
        <w:rPr>
          <w:rFonts w:ascii="Times New Roman" w:hAnsi="Times New Roman"/>
          <w:sz w:val="14"/>
          <w:szCs w:val="14"/>
        </w:rPr>
        <w:t>s</w:t>
      </w:r>
      <w:r w:rsidRPr="000708D6">
        <w:rPr>
          <w:rFonts w:ascii="Times New Roman" w:hAnsi="Times New Roman"/>
          <w:sz w:val="14"/>
          <w:szCs w:val="14"/>
        </w:rPr>
        <w:t>tatement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Ind w:w="-17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1B0F48" w:rsidRPr="00870FE7" w14:paraId="6D11AD77" w14:textId="77777777" w:rsidTr="00CF1355">
      <w:trPr>
        <w:trHeight w:hRule="exact" w:val="864"/>
      </w:trPr>
      <w:tc>
        <w:tcPr>
          <w:tcW w:w="4838" w:type="dxa"/>
          <w:shd w:val="clear" w:color="auto" w:fill="auto"/>
          <w:vAlign w:val="bottom"/>
        </w:tcPr>
        <w:p w14:paraId="66C3B57F" w14:textId="77777777" w:rsidR="001B0F48" w:rsidRPr="00870FE7" w:rsidRDefault="001B0F48" w:rsidP="008D57EA">
          <w:pPr>
            <w:tabs>
              <w:tab w:val="center" w:pos="4320"/>
              <w:tab w:val="right" w:pos="8640"/>
            </w:tabs>
            <w:spacing w:after="80"/>
            <w:rPr>
              <w:b/>
              <w:noProof/>
              <w:sz w:val="17"/>
            </w:rPr>
          </w:pPr>
          <w:r w:rsidRPr="00870FE7">
            <w:rPr>
              <w:b/>
              <w:noProof/>
              <w:sz w:val="17"/>
            </w:rPr>
            <w:t>DP/DCP/</w:t>
          </w:r>
          <w:r>
            <w:rPr>
              <w:b/>
              <w:noProof/>
              <w:sz w:val="17"/>
            </w:rPr>
            <w:t>TTO</w:t>
          </w:r>
          <w:r w:rsidRPr="00870FE7">
            <w:rPr>
              <w:b/>
              <w:noProof/>
              <w:sz w:val="17"/>
            </w:rPr>
            <w:t>/3</w:t>
          </w:r>
        </w:p>
      </w:tc>
      <w:tc>
        <w:tcPr>
          <w:tcW w:w="5033" w:type="dxa"/>
          <w:shd w:val="clear" w:color="auto" w:fill="auto"/>
          <w:vAlign w:val="bottom"/>
        </w:tcPr>
        <w:p w14:paraId="7D16C1B1" w14:textId="77777777" w:rsidR="001B0F48" w:rsidRPr="00870FE7" w:rsidRDefault="001B0F48" w:rsidP="008D57EA">
          <w:pPr>
            <w:tabs>
              <w:tab w:val="center" w:pos="4320"/>
              <w:tab w:val="right" w:pos="8640"/>
            </w:tabs>
            <w:jc w:val="right"/>
            <w:rPr>
              <w:b/>
              <w:noProof/>
              <w:sz w:val="17"/>
            </w:rPr>
          </w:pPr>
        </w:p>
      </w:tc>
    </w:tr>
  </w:tbl>
  <w:p w14:paraId="5A38AC55" w14:textId="77777777" w:rsidR="001B0F48" w:rsidRPr="008D57EA" w:rsidRDefault="001B0F48">
    <w:pPr>
      <w:pStyle w:val="Header"/>
      <w:rPr>
        <w:b/>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4522"/>
    </w:tblGrid>
    <w:tr w:rsidR="001B0F48" w:rsidRPr="00123AF2" w14:paraId="4DDE2230" w14:textId="77777777" w:rsidTr="00CF1355">
      <w:trPr>
        <w:trHeight w:hRule="exact" w:val="864"/>
      </w:trPr>
      <w:tc>
        <w:tcPr>
          <w:tcW w:w="4838" w:type="dxa"/>
          <w:tcBorders>
            <w:bottom w:val="single" w:sz="4" w:space="0" w:color="auto"/>
          </w:tcBorders>
          <w:vAlign w:val="bottom"/>
        </w:tcPr>
        <w:p w14:paraId="453DBFF5" w14:textId="77777777" w:rsidR="001B0F48" w:rsidRPr="00123AF2" w:rsidRDefault="001B0F48" w:rsidP="008D57EA">
          <w:pPr>
            <w:widowControl w:val="0"/>
            <w:tabs>
              <w:tab w:val="center" w:pos="4320"/>
              <w:tab w:val="right" w:pos="8640"/>
            </w:tabs>
            <w:spacing w:after="80"/>
            <w:rPr>
              <w:b/>
              <w:sz w:val="17"/>
              <w:szCs w:val="17"/>
            </w:rPr>
          </w:pPr>
        </w:p>
      </w:tc>
      <w:tc>
        <w:tcPr>
          <w:tcW w:w="4522" w:type="dxa"/>
          <w:tcBorders>
            <w:bottom w:val="single" w:sz="4" w:space="0" w:color="auto"/>
          </w:tcBorders>
          <w:vAlign w:val="bottom"/>
        </w:tcPr>
        <w:p w14:paraId="6CF9FFFB" w14:textId="77777777" w:rsidR="001B0F48" w:rsidRPr="00123AF2" w:rsidRDefault="001B0F48" w:rsidP="008D57EA">
          <w:pPr>
            <w:widowControl w:val="0"/>
            <w:tabs>
              <w:tab w:val="center" w:pos="4320"/>
              <w:tab w:val="right" w:pos="8640"/>
            </w:tabs>
            <w:jc w:val="right"/>
            <w:rPr>
              <w:sz w:val="17"/>
              <w:szCs w:val="17"/>
            </w:rPr>
          </w:pPr>
          <w:r w:rsidRPr="00123AF2">
            <w:rPr>
              <w:b/>
              <w:sz w:val="17"/>
              <w:szCs w:val="17"/>
            </w:rPr>
            <w:t>DP/DCP/</w:t>
          </w:r>
          <w:r>
            <w:rPr>
              <w:b/>
              <w:sz w:val="17"/>
              <w:szCs w:val="17"/>
            </w:rPr>
            <w:t>TTO</w:t>
          </w:r>
          <w:r w:rsidRPr="00123AF2">
            <w:rPr>
              <w:b/>
              <w:sz w:val="17"/>
              <w:szCs w:val="17"/>
            </w:rPr>
            <w:t>/3</w:t>
          </w:r>
        </w:p>
      </w:tc>
    </w:tr>
  </w:tbl>
  <w:p w14:paraId="5DD27BC1" w14:textId="77777777" w:rsidR="001B0F48" w:rsidRPr="008D57EA" w:rsidRDefault="001B0F48">
    <w:pPr>
      <w:pStyle w:val="Header"/>
      <w:rPr>
        <w:b/>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1B0F48" w:rsidRPr="00A226B9" w14:paraId="7F1770FF" w14:textId="77777777" w:rsidTr="00866161">
      <w:trPr>
        <w:trHeight w:hRule="exact" w:val="864"/>
      </w:trPr>
      <w:tc>
        <w:tcPr>
          <w:tcW w:w="1267" w:type="dxa"/>
          <w:tcBorders>
            <w:bottom w:val="single" w:sz="4" w:space="0" w:color="auto"/>
          </w:tcBorders>
          <w:shd w:val="clear" w:color="auto" w:fill="auto"/>
          <w:vAlign w:val="bottom"/>
        </w:tcPr>
        <w:p w14:paraId="3C9B9304" w14:textId="77777777" w:rsidR="001B0F48" w:rsidRPr="00A226B9" w:rsidRDefault="001B0F48" w:rsidP="00866161">
          <w:pPr>
            <w:tabs>
              <w:tab w:val="center" w:pos="4320"/>
              <w:tab w:val="right" w:pos="8640"/>
            </w:tabs>
            <w:spacing w:after="120"/>
            <w:rPr>
              <w:noProof/>
              <w:sz w:val="17"/>
            </w:rPr>
          </w:pPr>
        </w:p>
      </w:tc>
      <w:tc>
        <w:tcPr>
          <w:tcW w:w="1872" w:type="dxa"/>
          <w:tcBorders>
            <w:bottom w:val="single" w:sz="4" w:space="0" w:color="auto"/>
          </w:tcBorders>
          <w:shd w:val="clear" w:color="auto" w:fill="auto"/>
          <w:vAlign w:val="bottom"/>
        </w:tcPr>
        <w:p w14:paraId="3763DDF7" w14:textId="77777777" w:rsidR="001B0F48" w:rsidRPr="00A226B9" w:rsidRDefault="001B0F48" w:rsidP="0086616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lang w:val="en-GB"/>
            </w:rPr>
          </w:pPr>
          <w:r w:rsidRPr="00A226B9">
            <w:rPr>
              <w:spacing w:val="2"/>
              <w:w w:val="96"/>
              <w:kern w:val="14"/>
              <w:sz w:val="28"/>
              <w:lang w:val="en-GB"/>
            </w:rPr>
            <w:t>United Nations</w:t>
          </w:r>
        </w:p>
      </w:tc>
      <w:tc>
        <w:tcPr>
          <w:tcW w:w="245" w:type="dxa"/>
          <w:tcBorders>
            <w:bottom w:val="single" w:sz="4" w:space="0" w:color="auto"/>
          </w:tcBorders>
          <w:shd w:val="clear" w:color="auto" w:fill="auto"/>
          <w:vAlign w:val="bottom"/>
        </w:tcPr>
        <w:p w14:paraId="0D471A96" w14:textId="77777777" w:rsidR="001B0F48" w:rsidRPr="00A226B9" w:rsidRDefault="001B0F48" w:rsidP="00866161">
          <w:pPr>
            <w:tabs>
              <w:tab w:val="center" w:pos="4320"/>
              <w:tab w:val="right" w:pos="8640"/>
            </w:tabs>
            <w:spacing w:after="120"/>
            <w:rPr>
              <w:noProof/>
              <w:sz w:val="17"/>
            </w:rPr>
          </w:pPr>
        </w:p>
      </w:tc>
      <w:tc>
        <w:tcPr>
          <w:tcW w:w="6523" w:type="dxa"/>
          <w:gridSpan w:val="4"/>
          <w:tcBorders>
            <w:bottom w:val="single" w:sz="4" w:space="0" w:color="auto"/>
          </w:tcBorders>
          <w:shd w:val="clear" w:color="auto" w:fill="auto"/>
          <w:vAlign w:val="bottom"/>
        </w:tcPr>
        <w:p w14:paraId="7BD39566" w14:textId="77777777" w:rsidR="001B0F48" w:rsidRPr="00A226B9" w:rsidRDefault="001B0F48" w:rsidP="00866161">
          <w:pPr>
            <w:suppressAutoHyphens/>
            <w:spacing w:after="80"/>
            <w:jc w:val="right"/>
            <w:rPr>
              <w:spacing w:val="4"/>
              <w:w w:val="103"/>
              <w:kern w:val="14"/>
              <w:position w:val="-4"/>
              <w:lang w:val="en-GB"/>
            </w:rPr>
          </w:pPr>
          <w:r w:rsidRPr="00A226B9">
            <w:rPr>
              <w:spacing w:val="4"/>
              <w:w w:val="103"/>
              <w:kern w:val="14"/>
              <w:position w:val="-4"/>
              <w:sz w:val="40"/>
              <w:lang w:val="en-GB"/>
            </w:rPr>
            <w:t>DP</w:t>
          </w:r>
          <w:r w:rsidRPr="00A226B9">
            <w:rPr>
              <w:spacing w:val="4"/>
              <w:w w:val="103"/>
              <w:kern w:val="14"/>
              <w:position w:val="-4"/>
              <w:lang w:val="en-GB"/>
            </w:rPr>
            <w:t>/DCP/</w:t>
          </w:r>
          <w:r>
            <w:rPr>
              <w:spacing w:val="4"/>
              <w:w w:val="103"/>
              <w:kern w:val="14"/>
              <w:position w:val="-4"/>
              <w:lang w:val="en-GB"/>
            </w:rPr>
            <w:t>TTO</w:t>
          </w:r>
          <w:r w:rsidRPr="00A226B9">
            <w:rPr>
              <w:spacing w:val="4"/>
              <w:w w:val="103"/>
              <w:kern w:val="14"/>
              <w:position w:val="-4"/>
              <w:lang w:val="en-GB"/>
            </w:rPr>
            <w:t>/3</w:t>
          </w:r>
        </w:p>
      </w:tc>
    </w:tr>
    <w:tr w:rsidR="001B0F48" w:rsidRPr="00A226B9" w14:paraId="42F430ED" w14:textId="77777777" w:rsidTr="00866161">
      <w:trPr>
        <w:gridAfter w:val="1"/>
        <w:wAfter w:w="28" w:type="dxa"/>
        <w:trHeight w:hRule="exact" w:val="2880"/>
      </w:trPr>
      <w:tc>
        <w:tcPr>
          <w:tcW w:w="1267" w:type="dxa"/>
          <w:tcBorders>
            <w:top w:val="single" w:sz="4" w:space="0" w:color="auto"/>
            <w:bottom w:val="single" w:sz="12" w:space="0" w:color="auto"/>
          </w:tcBorders>
          <w:shd w:val="clear" w:color="auto" w:fill="auto"/>
        </w:tcPr>
        <w:p w14:paraId="4156EC16" w14:textId="77777777" w:rsidR="001B0F48" w:rsidRPr="00A226B9" w:rsidRDefault="001B0F48" w:rsidP="00866161">
          <w:pPr>
            <w:tabs>
              <w:tab w:val="center" w:pos="4320"/>
              <w:tab w:val="right" w:pos="8640"/>
            </w:tabs>
            <w:spacing w:before="109"/>
            <w:rPr>
              <w:noProof/>
              <w:sz w:val="17"/>
            </w:rPr>
          </w:pPr>
          <w:r w:rsidRPr="00A226B9">
            <w:rPr>
              <w:noProof/>
              <w:sz w:val="17"/>
            </w:rPr>
            <w:t xml:space="preserve"> </w:t>
          </w:r>
          <w:r w:rsidRPr="00A226B9">
            <w:rPr>
              <w:noProof/>
              <w:sz w:val="17"/>
            </w:rPr>
            <w:drawing>
              <wp:inline distT="0" distB="0" distL="0" distR="0" wp14:anchorId="48A219F0" wp14:editId="0DC9D698">
                <wp:extent cx="702945" cy="592455"/>
                <wp:effectExtent l="0" t="0" r="1905" b="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592455"/>
                        </a:xfrm>
                        <a:prstGeom prst="rect">
                          <a:avLst/>
                        </a:prstGeom>
                        <a:noFill/>
                        <a:ln>
                          <a:noFill/>
                        </a:ln>
                      </pic:spPr>
                    </pic:pic>
                  </a:graphicData>
                </a:graphic>
              </wp:inline>
            </w:drawing>
          </w:r>
        </w:p>
        <w:p w14:paraId="3EABCECD" w14:textId="77777777" w:rsidR="001B0F48" w:rsidRPr="00A226B9" w:rsidRDefault="001B0F48" w:rsidP="00866161">
          <w:pPr>
            <w:tabs>
              <w:tab w:val="center" w:pos="4320"/>
              <w:tab w:val="right" w:pos="8640"/>
            </w:tabs>
            <w:spacing w:before="109"/>
            <w:rPr>
              <w:noProof/>
              <w:sz w:val="17"/>
            </w:rPr>
          </w:pPr>
        </w:p>
      </w:tc>
      <w:tc>
        <w:tcPr>
          <w:tcW w:w="5227" w:type="dxa"/>
          <w:gridSpan w:val="3"/>
          <w:tcBorders>
            <w:top w:val="single" w:sz="4" w:space="0" w:color="auto"/>
            <w:bottom w:val="single" w:sz="12" w:space="0" w:color="auto"/>
          </w:tcBorders>
          <w:shd w:val="clear" w:color="auto" w:fill="auto"/>
        </w:tcPr>
        <w:p w14:paraId="60295AE6" w14:textId="77777777" w:rsidR="001B0F48" w:rsidRPr="00A226B9" w:rsidRDefault="001B0F48" w:rsidP="0086616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z w:val="34"/>
            </w:rPr>
          </w:pPr>
          <w:r w:rsidRPr="00A226B9">
            <w:rPr>
              <w:b/>
              <w:sz w:val="34"/>
            </w:rPr>
            <w:t>Executive Board of the</w:t>
          </w:r>
          <w:r w:rsidRPr="00A226B9">
            <w:rPr>
              <w:b/>
              <w:sz w:val="34"/>
            </w:rPr>
            <w:br/>
            <w:t>United Nations Development</w:t>
          </w:r>
          <w:r w:rsidRPr="00A226B9">
            <w:rPr>
              <w:b/>
              <w:sz w:val="34"/>
            </w:rPr>
            <w:br/>
            <w:t xml:space="preserve">Programme, the United Nations Population Fund and the </w:t>
          </w:r>
        </w:p>
        <w:p w14:paraId="2D910DE3" w14:textId="77777777" w:rsidR="001B0F48" w:rsidRPr="00A226B9" w:rsidRDefault="001B0F48" w:rsidP="0086616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b/>
              <w:sz w:val="34"/>
            </w:rPr>
          </w:pPr>
          <w:r w:rsidRPr="00A226B9">
            <w:rPr>
              <w:b/>
              <w:sz w:val="34"/>
            </w:rPr>
            <w:t xml:space="preserve">United Nations Office for </w:t>
          </w:r>
        </w:p>
        <w:p w14:paraId="30CE7942" w14:textId="77777777" w:rsidR="001B0F48" w:rsidRPr="00A226B9" w:rsidRDefault="001B0F48" w:rsidP="0086616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b/>
              <w:spacing w:val="-4"/>
              <w:w w:val="98"/>
              <w:kern w:val="14"/>
              <w:sz w:val="34"/>
              <w:lang w:val="en-GB"/>
            </w:rPr>
          </w:pPr>
          <w:r w:rsidRPr="00A226B9">
            <w:rPr>
              <w:b/>
              <w:sz w:val="34"/>
            </w:rPr>
            <w:t>Project Services</w:t>
          </w:r>
        </w:p>
      </w:tc>
      <w:tc>
        <w:tcPr>
          <w:tcW w:w="245" w:type="dxa"/>
          <w:tcBorders>
            <w:top w:val="single" w:sz="4" w:space="0" w:color="auto"/>
            <w:bottom w:val="single" w:sz="12" w:space="0" w:color="auto"/>
          </w:tcBorders>
          <w:shd w:val="clear" w:color="auto" w:fill="auto"/>
        </w:tcPr>
        <w:p w14:paraId="7C0EB0DD" w14:textId="77777777" w:rsidR="001B0F48" w:rsidRPr="00A226B9" w:rsidRDefault="001B0F48" w:rsidP="00866161">
          <w:pPr>
            <w:tabs>
              <w:tab w:val="center" w:pos="4320"/>
              <w:tab w:val="right" w:pos="8640"/>
            </w:tabs>
            <w:spacing w:before="109"/>
            <w:rPr>
              <w:noProof/>
              <w:sz w:val="17"/>
            </w:rPr>
          </w:pPr>
        </w:p>
      </w:tc>
      <w:tc>
        <w:tcPr>
          <w:tcW w:w="3140" w:type="dxa"/>
          <w:tcBorders>
            <w:top w:val="single" w:sz="4" w:space="0" w:color="auto"/>
            <w:bottom w:val="single" w:sz="12" w:space="0" w:color="auto"/>
          </w:tcBorders>
          <w:shd w:val="clear" w:color="auto" w:fill="auto"/>
        </w:tcPr>
        <w:p w14:paraId="5AA410F5" w14:textId="77777777" w:rsidR="001B0F48" w:rsidRPr="00A226B9" w:rsidRDefault="001B0F48" w:rsidP="00866161">
          <w:pPr>
            <w:suppressAutoHyphens/>
            <w:spacing w:before="240" w:line="240" w:lineRule="exact"/>
            <w:rPr>
              <w:spacing w:val="4"/>
              <w:w w:val="103"/>
              <w:kern w:val="14"/>
              <w:lang w:val="en-GB"/>
            </w:rPr>
          </w:pPr>
          <w:r w:rsidRPr="00A226B9">
            <w:rPr>
              <w:spacing w:val="4"/>
              <w:w w:val="103"/>
              <w:kern w:val="14"/>
              <w:lang w:val="en-GB"/>
            </w:rPr>
            <w:t>Distr.: General</w:t>
          </w:r>
        </w:p>
        <w:p w14:paraId="632B7ED0" w14:textId="2B647874" w:rsidR="001B0F48" w:rsidRPr="00A226B9" w:rsidRDefault="008426A5" w:rsidP="00866161">
          <w:pPr>
            <w:suppressAutoHyphens/>
            <w:spacing w:line="240" w:lineRule="exact"/>
            <w:rPr>
              <w:spacing w:val="4"/>
              <w:w w:val="103"/>
              <w:kern w:val="14"/>
              <w:lang w:val="en-GB"/>
            </w:rPr>
          </w:pPr>
          <w:r>
            <w:rPr>
              <w:spacing w:val="4"/>
              <w:w w:val="103"/>
              <w:kern w:val="14"/>
              <w:lang w:val="en-GB"/>
            </w:rPr>
            <w:t>13</w:t>
          </w:r>
          <w:r w:rsidR="001B0F48">
            <w:rPr>
              <w:spacing w:val="4"/>
              <w:w w:val="103"/>
              <w:kern w:val="14"/>
              <w:lang w:val="en-GB"/>
            </w:rPr>
            <w:t xml:space="preserve"> June</w:t>
          </w:r>
          <w:r w:rsidR="001B0F48" w:rsidRPr="00A226B9">
            <w:rPr>
              <w:spacing w:val="4"/>
              <w:w w:val="103"/>
              <w:kern w:val="14"/>
              <w:lang w:val="en-GB"/>
            </w:rPr>
            <w:t xml:space="preserve"> 2016</w:t>
          </w:r>
        </w:p>
        <w:p w14:paraId="16ACDC6A" w14:textId="77777777" w:rsidR="001B0F48" w:rsidRPr="00A226B9" w:rsidRDefault="001B0F48" w:rsidP="00866161">
          <w:pPr>
            <w:suppressAutoHyphens/>
            <w:spacing w:line="240" w:lineRule="exact"/>
            <w:rPr>
              <w:spacing w:val="4"/>
              <w:w w:val="103"/>
              <w:kern w:val="14"/>
              <w:lang w:val="en-GB"/>
            </w:rPr>
          </w:pPr>
        </w:p>
        <w:p w14:paraId="009082BD" w14:textId="77777777" w:rsidR="001B0F48" w:rsidRPr="00A226B9" w:rsidRDefault="001B0F48" w:rsidP="00866161">
          <w:pPr>
            <w:suppressAutoHyphens/>
            <w:spacing w:line="240" w:lineRule="exact"/>
            <w:rPr>
              <w:spacing w:val="4"/>
              <w:w w:val="103"/>
              <w:kern w:val="14"/>
              <w:lang w:val="en-GB"/>
            </w:rPr>
          </w:pPr>
          <w:r w:rsidRPr="00A226B9">
            <w:rPr>
              <w:spacing w:val="4"/>
              <w:w w:val="103"/>
              <w:kern w:val="14"/>
              <w:lang w:val="en-GB"/>
            </w:rPr>
            <w:t>Original: English</w:t>
          </w:r>
        </w:p>
      </w:tc>
    </w:tr>
  </w:tbl>
  <w:p w14:paraId="2D05CAA4" w14:textId="77777777" w:rsidR="001B0F48" w:rsidRPr="00866161" w:rsidRDefault="001B0F48">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1B0F48" w:rsidRPr="005841A3" w14:paraId="42E3EA6C" w14:textId="77777777" w:rsidTr="00CF1355">
      <w:trPr>
        <w:trHeight w:hRule="exact" w:val="864"/>
      </w:trPr>
      <w:tc>
        <w:tcPr>
          <w:tcW w:w="4838" w:type="dxa"/>
          <w:tcBorders>
            <w:bottom w:val="single" w:sz="4" w:space="0" w:color="auto"/>
          </w:tcBorders>
          <w:vAlign w:val="bottom"/>
        </w:tcPr>
        <w:p w14:paraId="5C1B0755" w14:textId="77777777" w:rsidR="001B0F48" w:rsidRPr="007C6F85" w:rsidRDefault="001B0F48" w:rsidP="00683D3C">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TTO/3</w:t>
          </w:r>
        </w:p>
      </w:tc>
      <w:tc>
        <w:tcPr>
          <w:tcW w:w="8276" w:type="dxa"/>
          <w:tcBorders>
            <w:bottom w:val="single" w:sz="4" w:space="0" w:color="auto"/>
          </w:tcBorders>
          <w:vAlign w:val="bottom"/>
        </w:tcPr>
        <w:p w14:paraId="13F541A4" w14:textId="77777777" w:rsidR="001B0F48" w:rsidRPr="007C6F85" w:rsidRDefault="001B0F48" w:rsidP="00683D3C">
          <w:pPr>
            <w:pStyle w:val="Header"/>
            <w:rPr>
              <w:rFonts w:ascii="Times New Roman" w:hAnsi="Times New Roman"/>
              <w:sz w:val="17"/>
              <w:szCs w:val="17"/>
              <w:lang w:val="en-US" w:eastAsia="en-US"/>
            </w:rPr>
          </w:pPr>
        </w:p>
      </w:tc>
    </w:tr>
  </w:tbl>
  <w:p w14:paraId="3CA513C4" w14:textId="77777777" w:rsidR="001B0F48" w:rsidRDefault="001B0F4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41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572"/>
    </w:tblGrid>
    <w:tr w:rsidR="001B0F48" w:rsidRPr="00123AF2" w14:paraId="3F489503" w14:textId="77777777" w:rsidTr="00683D3C">
      <w:trPr>
        <w:trHeight w:hRule="exact" w:val="864"/>
      </w:trPr>
      <w:tc>
        <w:tcPr>
          <w:tcW w:w="4838" w:type="dxa"/>
          <w:tcBorders>
            <w:bottom w:val="single" w:sz="4" w:space="0" w:color="auto"/>
          </w:tcBorders>
          <w:vAlign w:val="bottom"/>
        </w:tcPr>
        <w:p w14:paraId="66AC411B" w14:textId="77777777" w:rsidR="001B0F48" w:rsidRPr="00123AF2" w:rsidRDefault="001B0F48" w:rsidP="008D57EA">
          <w:pPr>
            <w:widowControl w:val="0"/>
            <w:tabs>
              <w:tab w:val="center" w:pos="4320"/>
              <w:tab w:val="right" w:pos="8640"/>
            </w:tabs>
            <w:spacing w:after="80"/>
            <w:rPr>
              <w:b/>
              <w:sz w:val="17"/>
              <w:szCs w:val="17"/>
            </w:rPr>
          </w:pPr>
        </w:p>
      </w:tc>
      <w:tc>
        <w:tcPr>
          <w:tcW w:w="8572" w:type="dxa"/>
          <w:tcBorders>
            <w:bottom w:val="single" w:sz="4" w:space="0" w:color="auto"/>
          </w:tcBorders>
          <w:vAlign w:val="bottom"/>
        </w:tcPr>
        <w:p w14:paraId="794AA27D" w14:textId="77777777" w:rsidR="001B0F48" w:rsidRPr="00123AF2" w:rsidRDefault="001B0F48" w:rsidP="008D57EA">
          <w:pPr>
            <w:widowControl w:val="0"/>
            <w:tabs>
              <w:tab w:val="center" w:pos="4320"/>
              <w:tab w:val="right" w:pos="8640"/>
            </w:tabs>
            <w:jc w:val="right"/>
            <w:rPr>
              <w:sz w:val="17"/>
              <w:szCs w:val="17"/>
            </w:rPr>
          </w:pPr>
          <w:r w:rsidRPr="00123AF2">
            <w:rPr>
              <w:b/>
              <w:sz w:val="17"/>
              <w:szCs w:val="17"/>
            </w:rPr>
            <w:t>DP/DCP/</w:t>
          </w:r>
          <w:r>
            <w:rPr>
              <w:b/>
              <w:sz w:val="17"/>
              <w:szCs w:val="17"/>
            </w:rPr>
            <w:t>TTO</w:t>
          </w:r>
          <w:r w:rsidRPr="00123AF2">
            <w:rPr>
              <w:b/>
              <w:sz w:val="17"/>
              <w:szCs w:val="17"/>
            </w:rPr>
            <w:t>/3</w:t>
          </w:r>
        </w:p>
      </w:tc>
    </w:tr>
  </w:tbl>
  <w:p w14:paraId="5E897AD1" w14:textId="77777777" w:rsidR="001B0F48" w:rsidRPr="008D57EA" w:rsidRDefault="001B0F48">
    <w:pPr>
      <w:pStyle w:val="Header"/>
      <w:rPr>
        <w:b/>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5E6"/>
    <w:multiLevelType w:val="hybridMultilevel"/>
    <w:tmpl w:val="516C29BA"/>
    <w:lvl w:ilvl="0" w:tplc="98464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D2F33"/>
    <w:multiLevelType w:val="hybridMultilevel"/>
    <w:tmpl w:val="045EDDB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10984C52"/>
    <w:multiLevelType w:val="hybridMultilevel"/>
    <w:tmpl w:val="53B0E1E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11896313"/>
    <w:multiLevelType w:val="hybridMultilevel"/>
    <w:tmpl w:val="85FA69D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17A706D1"/>
    <w:multiLevelType w:val="multilevel"/>
    <w:tmpl w:val="FAD2F1D8"/>
    <w:lvl w:ilvl="0">
      <w:start w:val="1"/>
      <w:numFmt w:val="upperRoman"/>
      <w:lvlText w:val="%1."/>
      <w:lvlJc w:val="left"/>
      <w:pPr>
        <w:ind w:left="1987" w:hanging="720"/>
      </w:pPr>
      <w:rPr>
        <w:rFonts w:hint="default"/>
      </w:rPr>
    </w:lvl>
    <w:lvl w:ilvl="1">
      <w:start w:val="1"/>
      <w:numFmt w:val="decimal"/>
      <w:isLgl/>
      <w:lvlText w:val="%1.%2"/>
      <w:lvlJc w:val="left"/>
      <w:pPr>
        <w:ind w:left="1627" w:hanging="360"/>
      </w:pPr>
      <w:rPr>
        <w:rFonts w:hint="default"/>
        <w:color w:val="auto"/>
      </w:rPr>
    </w:lvl>
    <w:lvl w:ilvl="2">
      <w:start w:val="1"/>
      <w:numFmt w:val="decimal"/>
      <w:isLgl/>
      <w:lvlText w:val="%1.%2.%3"/>
      <w:lvlJc w:val="left"/>
      <w:pPr>
        <w:ind w:left="1627" w:hanging="360"/>
      </w:pPr>
      <w:rPr>
        <w:rFonts w:hint="default"/>
        <w:color w:val="auto"/>
      </w:rPr>
    </w:lvl>
    <w:lvl w:ilvl="3">
      <w:start w:val="1"/>
      <w:numFmt w:val="decimal"/>
      <w:isLgl/>
      <w:lvlText w:val="%1.%2.%3.%4"/>
      <w:lvlJc w:val="left"/>
      <w:pPr>
        <w:ind w:left="1987" w:hanging="720"/>
      </w:pPr>
      <w:rPr>
        <w:rFonts w:hint="default"/>
        <w:color w:val="auto"/>
      </w:rPr>
    </w:lvl>
    <w:lvl w:ilvl="4">
      <w:start w:val="1"/>
      <w:numFmt w:val="decimal"/>
      <w:isLgl/>
      <w:lvlText w:val="%1.%2.%3.%4.%5"/>
      <w:lvlJc w:val="left"/>
      <w:pPr>
        <w:ind w:left="1987" w:hanging="720"/>
      </w:pPr>
      <w:rPr>
        <w:rFonts w:hint="default"/>
        <w:color w:val="auto"/>
      </w:rPr>
    </w:lvl>
    <w:lvl w:ilvl="5">
      <w:start w:val="1"/>
      <w:numFmt w:val="decimal"/>
      <w:isLgl/>
      <w:lvlText w:val="%1.%2.%3.%4.%5.%6"/>
      <w:lvlJc w:val="left"/>
      <w:pPr>
        <w:ind w:left="1987" w:hanging="720"/>
      </w:pPr>
      <w:rPr>
        <w:rFonts w:hint="default"/>
        <w:color w:val="auto"/>
      </w:rPr>
    </w:lvl>
    <w:lvl w:ilvl="6">
      <w:start w:val="1"/>
      <w:numFmt w:val="decimal"/>
      <w:isLgl/>
      <w:lvlText w:val="%1.%2.%3.%4.%5.%6.%7"/>
      <w:lvlJc w:val="left"/>
      <w:pPr>
        <w:ind w:left="2347" w:hanging="1080"/>
      </w:pPr>
      <w:rPr>
        <w:rFonts w:hint="default"/>
        <w:color w:val="auto"/>
      </w:rPr>
    </w:lvl>
    <w:lvl w:ilvl="7">
      <w:start w:val="1"/>
      <w:numFmt w:val="decimal"/>
      <w:isLgl/>
      <w:lvlText w:val="%1.%2.%3.%4.%5.%6.%7.%8"/>
      <w:lvlJc w:val="left"/>
      <w:pPr>
        <w:ind w:left="2347" w:hanging="1080"/>
      </w:pPr>
      <w:rPr>
        <w:rFonts w:hint="default"/>
        <w:color w:val="auto"/>
      </w:rPr>
    </w:lvl>
    <w:lvl w:ilvl="8">
      <w:start w:val="1"/>
      <w:numFmt w:val="decimal"/>
      <w:isLgl/>
      <w:lvlText w:val="%1.%2.%3.%4.%5.%6.%7.%8.%9"/>
      <w:lvlJc w:val="left"/>
      <w:pPr>
        <w:ind w:left="2347" w:hanging="1080"/>
      </w:pPr>
      <w:rPr>
        <w:rFonts w:hint="default"/>
        <w:color w:val="auto"/>
      </w:rPr>
    </w:lvl>
  </w:abstractNum>
  <w:abstractNum w:abstractNumId="5" w15:restartNumberingAfterBreak="0">
    <w:nsid w:val="197023D8"/>
    <w:multiLevelType w:val="hybridMultilevel"/>
    <w:tmpl w:val="94BA0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0B32F2"/>
    <w:multiLevelType w:val="hybridMultilevel"/>
    <w:tmpl w:val="2376B1BC"/>
    <w:lvl w:ilvl="0" w:tplc="98464484">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7" w15:restartNumberingAfterBreak="0">
    <w:nsid w:val="1F5F2BA2"/>
    <w:multiLevelType w:val="hybridMultilevel"/>
    <w:tmpl w:val="60D654D0"/>
    <w:lvl w:ilvl="0" w:tplc="98464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24C8"/>
    <w:multiLevelType w:val="hybridMultilevel"/>
    <w:tmpl w:val="7AA44F9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257E019A"/>
    <w:multiLevelType w:val="hybridMultilevel"/>
    <w:tmpl w:val="2A960DD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282C626A"/>
    <w:multiLevelType w:val="hybridMultilevel"/>
    <w:tmpl w:val="98CE97DA"/>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11" w15:restartNumberingAfterBreak="0">
    <w:nsid w:val="28D65432"/>
    <w:multiLevelType w:val="hybridMultilevel"/>
    <w:tmpl w:val="ABE295B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2" w15:restartNumberingAfterBreak="0">
    <w:nsid w:val="3219208B"/>
    <w:multiLevelType w:val="hybridMultilevel"/>
    <w:tmpl w:val="DAE649BE"/>
    <w:lvl w:ilvl="0" w:tplc="A6DCF37A">
      <w:start w:val="1"/>
      <w:numFmt w:val="decimal"/>
      <w:lvlText w:val="%1."/>
      <w:lvlJc w:val="left"/>
      <w:pPr>
        <w:ind w:left="1260" w:hanging="360"/>
      </w:pPr>
      <w:rPr>
        <w:rFonts w:hint="default"/>
        <w:strike w:val="0"/>
        <w:color w:val="auto"/>
      </w:rPr>
    </w:lvl>
    <w:lvl w:ilvl="1" w:tplc="2C090019">
      <w:start w:val="1"/>
      <w:numFmt w:val="lowerLetter"/>
      <w:lvlText w:val="%2."/>
      <w:lvlJc w:val="left"/>
      <w:pPr>
        <w:ind w:left="2520" w:hanging="360"/>
      </w:pPr>
    </w:lvl>
    <w:lvl w:ilvl="2" w:tplc="2C09001B" w:tentative="1">
      <w:start w:val="1"/>
      <w:numFmt w:val="lowerRoman"/>
      <w:lvlText w:val="%3."/>
      <w:lvlJc w:val="right"/>
      <w:pPr>
        <w:ind w:left="3240" w:hanging="180"/>
      </w:pPr>
    </w:lvl>
    <w:lvl w:ilvl="3" w:tplc="2C09000F" w:tentative="1">
      <w:start w:val="1"/>
      <w:numFmt w:val="decimal"/>
      <w:lvlText w:val="%4."/>
      <w:lvlJc w:val="left"/>
      <w:pPr>
        <w:ind w:left="3960" w:hanging="360"/>
      </w:pPr>
    </w:lvl>
    <w:lvl w:ilvl="4" w:tplc="2C090019" w:tentative="1">
      <w:start w:val="1"/>
      <w:numFmt w:val="lowerLetter"/>
      <w:lvlText w:val="%5."/>
      <w:lvlJc w:val="left"/>
      <w:pPr>
        <w:ind w:left="4680" w:hanging="360"/>
      </w:pPr>
    </w:lvl>
    <w:lvl w:ilvl="5" w:tplc="2C09001B" w:tentative="1">
      <w:start w:val="1"/>
      <w:numFmt w:val="lowerRoman"/>
      <w:lvlText w:val="%6."/>
      <w:lvlJc w:val="right"/>
      <w:pPr>
        <w:ind w:left="5400" w:hanging="180"/>
      </w:pPr>
    </w:lvl>
    <w:lvl w:ilvl="6" w:tplc="2C09000F" w:tentative="1">
      <w:start w:val="1"/>
      <w:numFmt w:val="decimal"/>
      <w:lvlText w:val="%7."/>
      <w:lvlJc w:val="left"/>
      <w:pPr>
        <w:ind w:left="6120" w:hanging="360"/>
      </w:pPr>
    </w:lvl>
    <w:lvl w:ilvl="7" w:tplc="2C090019" w:tentative="1">
      <w:start w:val="1"/>
      <w:numFmt w:val="lowerLetter"/>
      <w:lvlText w:val="%8."/>
      <w:lvlJc w:val="left"/>
      <w:pPr>
        <w:ind w:left="6840" w:hanging="360"/>
      </w:pPr>
    </w:lvl>
    <w:lvl w:ilvl="8" w:tplc="2C09001B" w:tentative="1">
      <w:start w:val="1"/>
      <w:numFmt w:val="lowerRoman"/>
      <w:lvlText w:val="%9."/>
      <w:lvlJc w:val="right"/>
      <w:pPr>
        <w:ind w:left="7560" w:hanging="180"/>
      </w:pPr>
    </w:lvl>
  </w:abstractNum>
  <w:abstractNum w:abstractNumId="13" w15:restartNumberingAfterBreak="0">
    <w:nsid w:val="3A04742B"/>
    <w:multiLevelType w:val="hybridMultilevel"/>
    <w:tmpl w:val="7F30E272"/>
    <w:lvl w:ilvl="0" w:tplc="98464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F131B"/>
    <w:multiLevelType w:val="hybridMultilevel"/>
    <w:tmpl w:val="3D52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D10C9"/>
    <w:multiLevelType w:val="hybridMultilevel"/>
    <w:tmpl w:val="A0F8EAD8"/>
    <w:lvl w:ilvl="0" w:tplc="98464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92693"/>
    <w:multiLevelType w:val="hybridMultilevel"/>
    <w:tmpl w:val="D130BF66"/>
    <w:lvl w:ilvl="0" w:tplc="04090017">
      <w:start w:val="1"/>
      <w:numFmt w:val="low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7" w15:restartNumberingAfterBreak="0">
    <w:nsid w:val="46375E0F"/>
    <w:multiLevelType w:val="multilevel"/>
    <w:tmpl w:val="0D5E116E"/>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1242"/>
        </w:tabs>
        <w:ind w:left="1242" w:hanging="432"/>
      </w:pPr>
      <w:rPr>
        <w:rFonts w:ascii="Times New Roman" w:hAnsi="Times New Roman" w:cs="Times New Roman" w:hint="default"/>
        <w:b w:val="0"/>
        <w:i w:val="0"/>
        <w:sz w:val="20"/>
        <w:szCs w:val="20"/>
      </w:r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709718B"/>
    <w:multiLevelType w:val="hybridMultilevel"/>
    <w:tmpl w:val="EA0C9198"/>
    <w:lvl w:ilvl="0" w:tplc="BF0EFDF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472C2F0B"/>
    <w:multiLevelType w:val="hybridMultilevel"/>
    <w:tmpl w:val="7DA82AB6"/>
    <w:lvl w:ilvl="0" w:tplc="98464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66545"/>
    <w:multiLevelType w:val="hybridMultilevel"/>
    <w:tmpl w:val="C81EA8C2"/>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1" w15:restartNumberingAfterBreak="0">
    <w:nsid w:val="47E60529"/>
    <w:multiLevelType w:val="hybridMultilevel"/>
    <w:tmpl w:val="38547F1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2" w15:restartNumberingAfterBreak="0">
    <w:nsid w:val="4A3D5503"/>
    <w:multiLevelType w:val="hybridMultilevel"/>
    <w:tmpl w:val="7A5A5530"/>
    <w:lvl w:ilvl="0" w:tplc="5CB4CE7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872D6"/>
    <w:multiLevelType w:val="hybridMultilevel"/>
    <w:tmpl w:val="9DBCD0E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4" w15:restartNumberingAfterBreak="0">
    <w:nsid w:val="4EE31F8E"/>
    <w:multiLevelType w:val="hybridMultilevel"/>
    <w:tmpl w:val="99A26D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F2C1235"/>
    <w:multiLevelType w:val="hybridMultilevel"/>
    <w:tmpl w:val="422E70A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6" w15:restartNumberingAfterBreak="0">
    <w:nsid w:val="5A2873C4"/>
    <w:multiLevelType w:val="hybridMultilevel"/>
    <w:tmpl w:val="FB62678A"/>
    <w:lvl w:ilvl="0" w:tplc="2C090001">
      <w:start w:val="1"/>
      <w:numFmt w:val="bullet"/>
      <w:lvlText w:val=""/>
      <w:lvlJc w:val="left"/>
      <w:pPr>
        <w:ind w:left="927" w:hanging="360"/>
      </w:pPr>
      <w:rPr>
        <w:rFonts w:ascii="Symbol" w:hAnsi="Symbol" w:hint="default"/>
      </w:rPr>
    </w:lvl>
    <w:lvl w:ilvl="1" w:tplc="2C090003" w:tentative="1">
      <w:start w:val="1"/>
      <w:numFmt w:val="bullet"/>
      <w:lvlText w:val="o"/>
      <w:lvlJc w:val="left"/>
      <w:pPr>
        <w:ind w:left="1647" w:hanging="360"/>
      </w:pPr>
      <w:rPr>
        <w:rFonts w:ascii="Courier New" w:hAnsi="Courier New" w:cs="Courier New" w:hint="default"/>
      </w:rPr>
    </w:lvl>
    <w:lvl w:ilvl="2" w:tplc="2C090005" w:tentative="1">
      <w:start w:val="1"/>
      <w:numFmt w:val="bullet"/>
      <w:lvlText w:val=""/>
      <w:lvlJc w:val="left"/>
      <w:pPr>
        <w:ind w:left="2367" w:hanging="360"/>
      </w:pPr>
      <w:rPr>
        <w:rFonts w:ascii="Wingdings" w:hAnsi="Wingdings" w:hint="default"/>
      </w:rPr>
    </w:lvl>
    <w:lvl w:ilvl="3" w:tplc="2C090001" w:tentative="1">
      <w:start w:val="1"/>
      <w:numFmt w:val="bullet"/>
      <w:lvlText w:val=""/>
      <w:lvlJc w:val="left"/>
      <w:pPr>
        <w:ind w:left="3087" w:hanging="360"/>
      </w:pPr>
      <w:rPr>
        <w:rFonts w:ascii="Symbol" w:hAnsi="Symbol" w:hint="default"/>
      </w:rPr>
    </w:lvl>
    <w:lvl w:ilvl="4" w:tplc="2C090003" w:tentative="1">
      <w:start w:val="1"/>
      <w:numFmt w:val="bullet"/>
      <w:lvlText w:val="o"/>
      <w:lvlJc w:val="left"/>
      <w:pPr>
        <w:ind w:left="3807" w:hanging="360"/>
      </w:pPr>
      <w:rPr>
        <w:rFonts w:ascii="Courier New" w:hAnsi="Courier New" w:cs="Courier New" w:hint="default"/>
      </w:rPr>
    </w:lvl>
    <w:lvl w:ilvl="5" w:tplc="2C090005" w:tentative="1">
      <w:start w:val="1"/>
      <w:numFmt w:val="bullet"/>
      <w:lvlText w:val=""/>
      <w:lvlJc w:val="left"/>
      <w:pPr>
        <w:ind w:left="4527" w:hanging="360"/>
      </w:pPr>
      <w:rPr>
        <w:rFonts w:ascii="Wingdings" w:hAnsi="Wingdings" w:hint="default"/>
      </w:rPr>
    </w:lvl>
    <w:lvl w:ilvl="6" w:tplc="2C090001" w:tentative="1">
      <w:start w:val="1"/>
      <w:numFmt w:val="bullet"/>
      <w:lvlText w:val=""/>
      <w:lvlJc w:val="left"/>
      <w:pPr>
        <w:ind w:left="5247" w:hanging="360"/>
      </w:pPr>
      <w:rPr>
        <w:rFonts w:ascii="Symbol" w:hAnsi="Symbol" w:hint="default"/>
      </w:rPr>
    </w:lvl>
    <w:lvl w:ilvl="7" w:tplc="2C090003" w:tentative="1">
      <w:start w:val="1"/>
      <w:numFmt w:val="bullet"/>
      <w:lvlText w:val="o"/>
      <w:lvlJc w:val="left"/>
      <w:pPr>
        <w:ind w:left="5967" w:hanging="360"/>
      </w:pPr>
      <w:rPr>
        <w:rFonts w:ascii="Courier New" w:hAnsi="Courier New" w:cs="Courier New" w:hint="default"/>
      </w:rPr>
    </w:lvl>
    <w:lvl w:ilvl="8" w:tplc="2C090005" w:tentative="1">
      <w:start w:val="1"/>
      <w:numFmt w:val="bullet"/>
      <w:lvlText w:val=""/>
      <w:lvlJc w:val="left"/>
      <w:pPr>
        <w:ind w:left="6687" w:hanging="360"/>
      </w:pPr>
      <w:rPr>
        <w:rFonts w:ascii="Wingdings" w:hAnsi="Wingdings" w:hint="default"/>
      </w:rPr>
    </w:lvl>
  </w:abstractNum>
  <w:abstractNum w:abstractNumId="27" w15:restartNumberingAfterBreak="0">
    <w:nsid w:val="62245770"/>
    <w:multiLevelType w:val="hybridMultilevel"/>
    <w:tmpl w:val="7DA82AB6"/>
    <w:lvl w:ilvl="0" w:tplc="98464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16F5B"/>
    <w:multiLevelType w:val="hybridMultilevel"/>
    <w:tmpl w:val="E514E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F3B85"/>
    <w:multiLevelType w:val="hybridMultilevel"/>
    <w:tmpl w:val="45AE776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0" w15:restartNumberingAfterBreak="0">
    <w:nsid w:val="6A575711"/>
    <w:multiLevelType w:val="hybridMultilevel"/>
    <w:tmpl w:val="DA267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712ADE"/>
    <w:multiLevelType w:val="hybridMultilevel"/>
    <w:tmpl w:val="FFC24818"/>
    <w:lvl w:ilvl="0" w:tplc="5A9CA8FC">
      <w:start w:val="1"/>
      <w:numFmt w:val="lowerLetter"/>
      <w:lvlText w:val="%1)"/>
      <w:lvlJc w:val="left"/>
      <w:pPr>
        <w:ind w:left="630" w:hanging="360"/>
      </w:pPr>
      <w:rPr>
        <w:rFonts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32" w15:restartNumberingAfterBreak="0">
    <w:nsid w:val="6B794659"/>
    <w:multiLevelType w:val="hybridMultilevel"/>
    <w:tmpl w:val="F72E2E7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3"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06C28"/>
    <w:multiLevelType w:val="hybridMultilevel"/>
    <w:tmpl w:val="CC3E16D0"/>
    <w:lvl w:ilvl="0" w:tplc="B8D09A3E">
      <w:start w:val="1"/>
      <w:numFmt w:val="lowerLetter"/>
      <w:lvlText w:val="%1)"/>
      <w:lvlJc w:val="left"/>
      <w:pPr>
        <w:ind w:left="484" w:hanging="360"/>
      </w:pPr>
      <w:rPr>
        <w:rFonts w:hint="default"/>
        <w:u w:val="none"/>
      </w:rPr>
    </w:lvl>
    <w:lvl w:ilvl="1" w:tplc="2C090019" w:tentative="1">
      <w:start w:val="1"/>
      <w:numFmt w:val="lowerLetter"/>
      <w:lvlText w:val="%2."/>
      <w:lvlJc w:val="left"/>
      <w:pPr>
        <w:ind w:left="1204" w:hanging="360"/>
      </w:pPr>
    </w:lvl>
    <w:lvl w:ilvl="2" w:tplc="2C09001B" w:tentative="1">
      <w:start w:val="1"/>
      <w:numFmt w:val="lowerRoman"/>
      <w:lvlText w:val="%3."/>
      <w:lvlJc w:val="right"/>
      <w:pPr>
        <w:ind w:left="1924" w:hanging="180"/>
      </w:pPr>
    </w:lvl>
    <w:lvl w:ilvl="3" w:tplc="2C09000F" w:tentative="1">
      <w:start w:val="1"/>
      <w:numFmt w:val="decimal"/>
      <w:lvlText w:val="%4."/>
      <w:lvlJc w:val="left"/>
      <w:pPr>
        <w:ind w:left="2644" w:hanging="360"/>
      </w:pPr>
    </w:lvl>
    <w:lvl w:ilvl="4" w:tplc="2C090019" w:tentative="1">
      <w:start w:val="1"/>
      <w:numFmt w:val="lowerLetter"/>
      <w:lvlText w:val="%5."/>
      <w:lvlJc w:val="left"/>
      <w:pPr>
        <w:ind w:left="3364" w:hanging="360"/>
      </w:pPr>
    </w:lvl>
    <w:lvl w:ilvl="5" w:tplc="2C09001B" w:tentative="1">
      <w:start w:val="1"/>
      <w:numFmt w:val="lowerRoman"/>
      <w:lvlText w:val="%6."/>
      <w:lvlJc w:val="right"/>
      <w:pPr>
        <w:ind w:left="4084" w:hanging="180"/>
      </w:pPr>
    </w:lvl>
    <w:lvl w:ilvl="6" w:tplc="2C09000F" w:tentative="1">
      <w:start w:val="1"/>
      <w:numFmt w:val="decimal"/>
      <w:lvlText w:val="%7."/>
      <w:lvlJc w:val="left"/>
      <w:pPr>
        <w:ind w:left="4804" w:hanging="360"/>
      </w:pPr>
    </w:lvl>
    <w:lvl w:ilvl="7" w:tplc="2C090019" w:tentative="1">
      <w:start w:val="1"/>
      <w:numFmt w:val="lowerLetter"/>
      <w:lvlText w:val="%8."/>
      <w:lvlJc w:val="left"/>
      <w:pPr>
        <w:ind w:left="5524" w:hanging="360"/>
      </w:pPr>
    </w:lvl>
    <w:lvl w:ilvl="8" w:tplc="2C09001B" w:tentative="1">
      <w:start w:val="1"/>
      <w:numFmt w:val="lowerRoman"/>
      <w:lvlText w:val="%9."/>
      <w:lvlJc w:val="right"/>
      <w:pPr>
        <w:ind w:left="6244" w:hanging="180"/>
      </w:pPr>
    </w:lvl>
  </w:abstractNum>
  <w:abstractNum w:abstractNumId="35" w15:restartNumberingAfterBreak="0">
    <w:nsid w:val="76026CD4"/>
    <w:multiLevelType w:val="hybridMultilevel"/>
    <w:tmpl w:val="BDF8524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6" w15:restartNumberingAfterBreak="0">
    <w:nsid w:val="7A7B23AD"/>
    <w:multiLevelType w:val="hybridMultilevel"/>
    <w:tmpl w:val="B0624488"/>
    <w:lvl w:ilvl="0" w:tplc="2C090001">
      <w:start w:val="1"/>
      <w:numFmt w:val="bullet"/>
      <w:lvlText w:val=""/>
      <w:lvlJc w:val="left"/>
      <w:pPr>
        <w:ind w:left="540" w:hanging="360"/>
      </w:pPr>
      <w:rPr>
        <w:rFonts w:ascii="Symbol" w:hAnsi="Symbol" w:hint="default"/>
      </w:rPr>
    </w:lvl>
    <w:lvl w:ilvl="1" w:tplc="2C090003" w:tentative="1">
      <w:start w:val="1"/>
      <w:numFmt w:val="bullet"/>
      <w:lvlText w:val="o"/>
      <w:lvlJc w:val="left"/>
      <w:pPr>
        <w:ind w:left="1260" w:hanging="360"/>
      </w:pPr>
      <w:rPr>
        <w:rFonts w:ascii="Courier New" w:hAnsi="Courier New" w:cs="Courier New" w:hint="default"/>
      </w:rPr>
    </w:lvl>
    <w:lvl w:ilvl="2" w:tplc="2C090005" w:tentative="1">
      <w:start w:val="1"/>
      <w:numFmt w:val="bullet"/>
      <w:lvlText w:val=""/>
      <w:lvlJc w:val="left"/>
      <w:pPr>
        <w:ind w:left="1980" w:hanging="360"/>
      </w:pPr>
      <w:rPr>
        <w:rFonts w:ascii="Wingdings" w:hAnsi="Wingdings" w:hint="default"/>
      </w:rPr>
    </w:lvl>
    <w:lvl w:ilvl="3" w:tplc="2C090001" w:tentative="1">
      <w:start w:val="1"/>
      <w:numFmt w:val="bullet"/>
      <w:lvlText w:val=""/>
      <w:lvlJc w:val="left"/>
      <w:pPr>
        <w:ind w:left="2700" w:hanging="360"/>
      </w:pPr>
      <w:rPr>
        <w:rFonts w:ascii="Symbol" w:hAnsi="Symbol" w:hint="default"/>
      </w:rPr>
    </w:lvl>
    <w:lvl w:ilvl="4" w:tplc="2C090003" w:tentative="1">
      <w:start w:val="1"/>
      <w:numFmt w:val="bullet"/>
      <w:lvlText w:val="o"/>
      <w:lvlJc w:val="left"/>
      <w:pPr>
        <w:ind w:left="3420" w:hanging="360"/>
      </w:pPr>
      <w:rPr>
        <w:rFonts w:ascii="Courier New" w:hAnsi="Courier New" w:cs="Courier New" w:hint="default"/>
      </w:rPr>
    </w:lvl>
    <w:lvl w:ilvl="5" w:tplc="2C090005" w:tentative="1">
      <w:start w:val="1"/>
      <w:numFmt w:val="bullet"/>
      <w:lvlText w:val=""/>
      <w:lvlJc w:val="left"/>
      <w:pPr>
        <w:ind w:left="4140" w:hanging="360"/>
      </w:pPr>
      <w:rPr>
        <w:rFonts w:ascii="Wingdings" w:hAnsi="Wingdings" w:hint="default"/>
      </w:rPr>
    </w:lvl>
    <w:lvl w:ilvl="6" w:tplc="2C090001" w:tentative="1">
      <w:start w:val="1"/>
      <w:numFmt w:val="bullet"/>
      <w:lvlText w:val=""/>
      <w:lvlJc w:val="left"/>
      <w:pPr>
        <w:ind w:left="4860" w:hanging="360"/>
      </w:pPr>
      <w:rPr>
        <w:rFonts w:ascii="Symbol" w:hAnsi="Symbol" w:hint="default"/>
      </w:rPr>
    </w:lvl>
    <w:lvl w:ilvl="7" w:tplc="2C090003" w:tentative="1">
      <w:start w:val="1"/>
      <w:numFmt w:val="bullet"/>
      <w:lvlText w:val="o"/>
      <w:lvlJc w:val="left"/>
      <w:pPr>
        <w:ind w:left="5580" w:hanging="360"/>
      </w:pPr>
      <w:rPr>
        <w:rFonts w:ascii="Courier New" w:hAnsi="Courier New" w:cs="Courier New" w:hint="default"/>
      </w:rPr>
    </w:lvl>
    <w:lvl w:ilvl="8" w:tplc="2C090005" w:tentative="1">
      <w:start w:val="1"/>
      <w:numFmt w:val="bullet"/>
      <w:lvlText w:val=""/>
      <w:lvlJc w:val="left"/>
      <w:pPr>
        <w:ind w:left="6300" w:hanging="360"/>
      </w:pPr>
      <w:rPr>
        <w:rFonts w:ascii="Wingdings" w:hAnsi="Wingdings" w:hint="default"/>
      </w:rPr>
    </w:lvl>
  </w:abstractNum>
  <w:abstractNum w:abstractNumId="37" w15:restartNumberingAfterBreak="0">
    <w:nsid w:val="7C6E6C1A"/>
    <w:multiLevelType w:val="hybridMultilevel"/>
    <w:tmpl w:val="E44002EA"/>
    <w:lvl w:ilvl="0" w:tplc="2C090001">
      <w:start w:val="1"/>
      <w:numFmt w:val="bullet"/>
      <w:lvlText w:val=""/>
      <w:lvlJc w:val="left"/>
      <w:pPr>
        <w:ind w:left="540" w:hanging="360"/>
      </w:pPr>
      <w:rPr>
        <w:rFonts w:ascii="Symbol" w:hAnsi="Symbol" w:hint="default"/>
      </w:rPr>
    </w:lvl>
    <w:lvl w:ilvl="1" w:tplc="2C090003" w:tentative="1">
      <w:start w:val="1"/>
      <w:numFmt w:val="bullet"/>
      <w:lvlText w:val="o"/>
      <w:lvlJc w:val="left"/>
      <w:pPr>
        <w:ind w:left="1260" w:hanging="360"/>
      </w:pPr>
      <w:rPr>
        <w:rFonts w:ascii="Courier New" w:hAnsi="Courier New" w:cs="Courier New" w:hint="default"/>
      </w:rPr>
    </w:lvl>
    <w:lvl w:ilvl="2" w:tplc="2C090005" w:tentative="1">
      <w:start w:val="1"/>
      <w:numFmt w:val="bullet"/>
      <w:lvlText w:val=""/>
      <w:lvlJc w:val="left"/>
      <w:pPr>
        <w:ind w:left="1980" w:hanging="360"/>
      </w:pPr>
      <w:rPr>
        <w:rFonts w:ascii="Wingdings" w:hAnsi="Wingdings" w:hint="default"/>
      </w:rPr>
    </w:lvl>
    <w:lvl w:ilvl="3" w:tplc="2C090001" w:tentative="1">
      <w:start w:val="1"/>
      <w:numFmt w:val="bullet"/>
      <w:lvlText w:val=""/>
      <w:lvlJc w:val="left"/>
      <w:pPr>
        <w:ind w:left="2700" w:hanging="360"/>
      </w:pPr>
      <w:rPr>
        <w:rFonts w:ascii="Symbol" w:hAnsi="Symbol" w:hint="default"/>
      </w:rPr>
    </w:lvl>
    <w:lvl w:ilvl="4" w:tplc="2C090003" w:tentative="1">
      <w:start w:val="1"/>
      <w:numFmt w:val="bullet"/>
      <w:lvlText w:val="o"/>
      <w:lvlJc w:val="left"/>
      <w:pPr>
        <w:ind w:left="3420" w:hanging="360"/>
      </w:pPr>
      <w:rPr>
        <w:rFonts w:ascii="Courier New" w:hAnsi="Courier New" w:cs="Courier New" w:hint="default"/>
      </w:rPr>
    </w:lvl>
    <w:lvl w:ilvl="5" w:tplc="2C090005" w:tentative="1">
      <w:start w:val="1"/>
      <w:numFmt w:val="bullet"/>
      <w:lvlText w:val=""/>
      <w:lvlJc w:val="left"/>
      <w:pPr>
        <w:ind w:left="4140" w:hanging="360"/>
      </w:pPr>
      <w:rPr>
        <w:rFonts w:ascii="Wingdings" w:hAnsi="Wingdings" w:hint="default"/>
      </w:rPr>
    </w:lvl>
    <w:lvl w:ilvl="6" w:tplc="2C090001" w:tentative="1">
      <w:start w:val="1"/>
      <w:numFmt w:val="bullet"/>
      <w:lvlText w:val=""/>
      <w:lvlJc w:val="left"/>
      <w:pPr>
        <w:ind w:left="4860" w:hanging="360"/>
      </w:pPr>
      <w:rPr>
        <w:rFonts w:ascii="Symbol" w:hAnsi="Symbol" w:hint="default"/>
      </w:rPr>
    </w:lvl>
    <w:lvl w:ilvl="7" w:tplc="2C090003" w:tentative="1">
      <w:start w:val="1"/>
      <w:numFmt w:val="bullet"/>
      <w:lvlText w:val="o"/>
      <w:lvlJc w:val="left"/>
      <w:pPr>
        <w:ind w:left="5580" w:hanging="360"/>
      </w:pPr>
      <w:rPr>
        <w:rFonts w:ascii="Courier New" w:hAnsi="Courier New" w:cs="Courier New" w:hint="default"/>
      </w:rPr>
    </w:lvl>
    <w:lvl w:ilvl="8" w:tplc="2C090005" w:tentative="1">
      <w:start w:val="1"/>
      <w:numFmt w:val="bullet"/>
      <w:lvlText w:val=""/>
      <w:lvlJc w:val="left"/>
      <w:pPr>
        <w:ind w:left="6300" w:hanging="360"/>
      </w:pPr>
      <w:rPr>
        <w:rFonts w:ascii="Wingdings" w:hAnsi="Wingdings" w:hint="default"/>
      </w:rPr>
    </w:lvl>
  </w:abstractNum>
  <w:num w:numId="1">
    <w:abstractNumId w:val="33"/>
  </w:num>
  <w:num w:numId="2">
    <w:abstractNumId w:val="30"/>
  </w:num>
  <w:num w:numId="3">
    <w:abstractNumId w:val="5"/>
  </w:num>
  <w:num w:numId="4">
    <w:abstractNumId w:val="4"/>
  </w:num>
  <w:num w:numId="5">
    <w:abstractNumId w:val="28"/>
  </w:num>
  <w:num w:numId="6">
    <w:abstractNumId w:val="14"/>
  </w:num>
  <w:num w:numId="7">
    <w:abstractNumId w:val="24"/>
  </w:num>
  <w:num w:numId="8">
    <w:abstractNumId w:val="9"/>
  </w:num>
  <w:num w:numId="9">
    <w:abstractNumId w:val="1"/>
  </w:num>
  <w:num w:numId="10">
    <w:abstractNumId w:val="8"/>
  </w:num>
  <w:num w:numId="11">
    <w:abstractNumId w:val="35"/>
  </w:num>
  <w:num w:numId="12">
    <w:abstractNumId w:val="2"/>
  </w:num>
  <w:num w:numId="13">
    <w:abstractNumId w:val="20"/>
  </w:num>
  <w:num w:numId="14">
    <w:abstractNumId w:val="37"/>
  </w:num>
  <w:num w:numId="15">
    <w:abstractNumId w:val="36"/>
  </w:num>
  <w:num w:numId="16">
    <w:abstractNumId w:val="21"/>
  </w:num>
  <w:num w:numId="17">
    <w:abstractNumId w:val="29"/>
  </w:num>
  <w:num w:numId="18">
    <w:abstractNumId w:val="25"/>
  </w:num>
  <w:num w:numId="19">
    <w:abstractNumId w:val="3"/>
  </w:num>
  <w:num w:numId="20">
    <w:abstractNumId w:val="11"/>
  </w:num>
  <w:num w:numId="21">
    <w:abstractNumId w:val="32"/>
  </w:num>
  <w:num w:numId="22">
    <w:abstractNumId w:val="23"/>
  </w:num>
  <w:num w:numId="23">
    <w:abstractNumId w:val="10"/>
  </w:num>
  <w:num w:numId="24">
    <w:abstractNumId w:val="26"/>
  </w:num>
  <w:num w:numId="25">
    <w:abstractNumId w:val="22"/>
  </w:num>
  <w:num w:numId="26">
    <w:abstractNumId w:val="6"/>
  </w:num>
  <w:num w:numId="27">
    <w:abstractNumId w:val="31"/>
  </w:num>
  <w:num w:numId="28">
    <w:abstractNumId w:val="18"/>
  </w:num>
  <w:num w:numId="29">
    <w:abstractNumId w:val="0"/>
  </w:num>
  <w:num w:numId="30">
    <w:abstractNumId w:val="13"/>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4"/>
  </w:num>
  <w:num w:numId="35">
    <w:abstractNumId w:val="7"/>
  </w:num>
  <w:num w:numId="36">
    <w:abstractNumId w:val="15"/>
  </w:num>
  <w:num w:numId="37">
    <w:abstractNumId w:val="27"/>
  </w:num>
  <w:num w:numId="38">
    <w:abstractNumId w:val="19"/>
  </w:num>
  <w:num w:numId="3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008"/>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3B"/>
    <w:rsid w:val="000007D1"/>
    <w:rsid w:val="00000A00"/>
    <w:rsid w:val="000010B5"/>
    <w:rsid w:val="0000118A"/>
    <w:rsid w:val="000011BB"/>
    <w:rsid w:val="000027BC"/>
    <w:rsid w:val="000027D2"/>
    <w:rsid w:val="0000297E"/>
    <w:rsid w:val="00002D45"/>
    <w:rsid w:val="000033E1"/>
    <w:rsid w:val="0000535A"/>
    <w:rsid w:val="00005E26"/>
    <w:rsid w:val="00006B45"/>
    <w:rsid w:val="00006BB4"/>
    <w:rsid w:val="00007525"/>
    <w:rsid w:val="00013F1E"/>
    <w:rsid w:val="00015425"/>
    <w:rsid w:val="00015FDE"/>
    <w:rsid w:val="00016217"/>
    <w:rsid w:val="000165E6"/>
    <w:rsid w:val="00016861"/>
    <w:rsid w:val="000200CF"/>
    <w:rsid w:val="000205F1"/>
    <w:rsid w:val="00021A2A"/>
    <w:rsid w:val="00022047"/>
    <w:rsid w:val="00024F1F"/>
    <w:rsid w:val="00025617"/>
    <w:rsid w:val="000271BD"/>
    <w:rsid w:val="000274B9"/>
    <w:rsid w:val="0002758B"/>
    <w:rsid w:val="000276A0"/>
    <w:rsid w:val="000277D8"/>
    <w:rsid w:val="00030913"/>
    <w:rsid w:val="00030B44"/>
    <w:rsid w:val="000320EA"/>
    <w:rsid w:val="00032657"/>
    <w:rsid w:val="000330DB"/>
    <w:rsid w:val="00034026"/>
    <w:rsid w:val="000340DB"/>
    <w:rsid w:val="0003429F"/>
    <w:rsid w:val="0003562A"/>
    <w:rsid w:val="00036095"/>
    <w:rsid w:val="00036AF4"/>
    <w:rsid w:val="000405FA"/>
    <w:rsid w:val="00041C10"/>
    <w:rsid w:val="00041E99"/>
    <w:rsid w:val="00042095"/>
    <w:rsid w:val="00043804"/>
    <w:rsid w:val="000441A1"/>
    <w:rsid w:val="0004749D"/>
    <w:rsid w:val="00050869"/>
    <w:rsid w:val="00050A49"/>
    <w:rsid w:val="00054F4E"/>
    <w:rsid w:val="000561C1"/>
    <w:rsid w:val="00056204"/>
    <w:rsid w:val="00056AF6"/>
    <w:rsid w:val="000570D1"/>
    <w:rsid w:val="000571A9"/>
    <w:rsid w:val="0006027F"/>
    <w:rsid w:val="00060290"/>
    <w:rsid w:val="00063E24"/>
    <w:rsid w:val="00066DC3"/>
    <w:rsid w:val="000708D6"/>
    <w:rsid w:val="00072229"/>
    <w:rsid w:val="00073CF1"/>
    <w:rsid w:val="00074BD0"/>
    <w:rsid w:val="00074D9A"/>
    <w:rsid w:val="00074DB9"/>
    <w:rsid w:val="000753C4"/>
    <w:rsid w:val="00075DF0"/>
    <w:rsid w:val="000762CA"/>
    <w:rsid w:val="000803A4"/>
    <w:rsid w:val="000806E3"/>
    <w:rsid w:val="00080CF4"/>
    <w:rsid w:val="00081CC6"/>
    <w:rsid w:val="0008339E"/>
    <w:rsid w:val="000841EB"/>
    <w:rsid w:val="00090AD1"/>
    <w:rsid w:val="00090F4F"/>
    <w:rsid w:val="00091476"/>
    <w:rsid w:val="00091BA8"/>
    <w:rsid w:val="00092879"/>
    <w:rsid w:val="000928C0"/>
    <w:rsid w:val="00093ADE"/>
    <w:rsid w:val="000947DE"/>
    <w:rsid w:val="00094E87"/>
    <w:rsid w:val="00097FB2"/>
    <w:rsid w:val="000A151D"/>
    <w:rsid w:val="000A1665"/>
    <w:rsid w:val="000A166F"/>
    <w:rsid w:val="000A24BB"/>
    <w:rsid w:val="000A24C5"/>
    <w:rsid w:val="000A2935"/>
    <w:rsid w:val="000A3F7F"/>
    <w:rsid w:val="000B04A1"/>
    <w:rsid w:val="000B061F"/>
    <w:rsid w:val="000B218B"/>
    <w:rsid w:val="000B3A13"/>
    <w:rsid w:val="000B43FE"/>
    <w:rsid w:val="000B47B8"/>
    <w:rsid w:val="000B4BB2"/>
    <w:rsid w:val="000B75E9"/>
    <w:rsid w:val="000C5987"/>
    <w:rsid w:val="000C76B0"/>
    <w:rsid w:val="000C7BBE"/>
    <w:rsid w:val="000C7E24"/>
    <w:rsid w:val="000D149B"/>
    <w:rsid w:val="000D201A"/>
    <w:rsid w:val="000D2475"/>
    <w:rsid w:val="000D442C"/>
    <w:rsid w:val="000D4DC4"/>
    <w:rsid w:val="000E0B3C"/>
    <w:rsid w:val="000E2972"/>
    <w:rsid w:val="000E467E"/>
    <w:rsid w:val="000E4DDC"/>
    <w:rsid w:val="000E612D"/>
    <w:rsid w:val="000E745A"/>
    <w:rsid w:val="000E7E9E"/>
    <w:rsid w:val="000F0044"/>
    <w:rsid w:val="000F1E83"/>
    <w:rsid w:val="000F28F7"/>
    <w:rsid w:val="000F3AA9"/>
    <w:rsid w:val="000F488B"/>
    <w:rsid w:val="000F5934"/>
    <w:rsid w:val="000F703B"/>
    <w:rsid w:val="000F718B"/>
    <w:rsid w:val="0010266D"/>
    <w:rsid w:val="0010329A"/>
    <w:rsid w:val="00106C9E"/>
    <w:rsid w:val="00106EF8"/>
    <w:rsid w:val="001101A2"/>
    <w:rsid w:val="00111489"/>
    <w:rsid w:val="00111797"/>
    <w:rsid w:val="00111B19"/>
    <w:rsid w:val="00114470"/>
    <w:rsid w:val="00114A64"/>
    <w:rsid w:val="00115578"/>
    <w:rsid w:val="00115F59"/>
    <w:rsid w:val="00116C1A"/>
    <w:rsid w:val="00117486"/>
    <w:rsid w:val="00117DA1"/>
    <w:rsid w:val="00121F3E"/>
    <w:rsid w:val="0012229E"/>
    <w:rsid w:val="00123849"/>
    <w:rsid w:val="00123A5E"/>
    <w:rsid w:val="00124623"/>
    <w:rsid w:val="00125010"/>
    <w:rsid w:val="00125266"/>
    <w:rsid w:val="00125B82"/>
    <w:rsid w:val="00125CA6"/>
    <w:rsid w:val="00127FB7"/>
    <w:rsid w:val="001305E6"/>
    <w:rsid w:val="0013172F"/>
    <w:rsid w:val="0013202C"/>
    <w:rsid w:val="0013239A"/>
    <w:rsid w:val="00132730"/>
    <w:rsid w:val="00134353"/>
    <w:rsid w:val="00134A49"/>
    <w:rsid w:val="0013761A"/>
    <w:rsid w:val="0013764C"/>
    <w:rsid w:val="00142213"/>
    <w:rsid w:val="00142F5E"/>
    <w:rsid w:val="001434FA"/>
    <w:rsid w:val="0014423A"/>
    <w:rsid w:val="001444A7"/>
    <w:rsid w:val="001449DC"/>
    <w:rsid w:val="00144FFB"/>
    <w:rsid w:val="00146E85"/>
    <w:rsid w:val="00147042"/>
    <w:rsid w:val="001471A7"/>
    <w:rsid w:val="001506F6"/>
    <w:rsid w:val="0015075F"/>
    <w:rsid w:val="00152345"/>
    <w:rsid w:val="00152FF7"/>
    <w:rsid w:val="00154032"/>
    <w:rsid w:val="0015475A"/>
    <w:rsid w:val="001547D3"/>
    <w:rsid w:val="001559BD"/>
    <w:rsid w:val="00157F79"/>
    <w:rsid w:val="00163BDD"/>
    <w:rsid w:val="00163E84"/>
    <w:rsid w:val="001660B4"/>
    <w:rsid w:val="001668AA"/>
    <w:rsid w:val="001675B1"/>
    <w:rsid w:val="0016789D"/>
    <w:rsid w:val="00167C87"/>
    <w:rsid w:val="00172EE3"/>
    <w:rsid w:val="00174855"/>
    <w:rsid w:val="00175FA1"/>
    <w:rsid w:val="00177E7E"/>
    <w:rsid w:val="0018356F"/>
    <w:rsid w:val="00183B02"/>
    <w:rsid w:val="001876C5"/>
    <w:rsid w:val="00187D68"/>
    <w:rsid w:val="00190155"/>
    <w:rsid w:val="001906B5"/>
    <w:rsid w:val="00194163"/>
    <w:rsid w:val="001945F8"/>
    <w:rsid w:val="00194E70"/>
    <w:rsid w:val="00194FEB"/>
    <w:rsid w:val="001970A4"/>
    <w:rsid w:val="00197AD1"/>
    <w:rsid w:val="001A5CAE"/>
    <w:rsid w:val="001A7769"/>
    <w:rsid w:val="001B0020"/>
    <w:rsid w:val="001B0F48"/>
    <w:rsid w:val="001B1C32"/>
    <w:rsid w:val="001B3F87"/>
    <w:rsid w:val="001B4026"/>
    <w:rsid w:val="001B4A6A"/>
    <w:rsid w:val="001B598C"/>
    <w:rsid w:val="001B6945"/>
    <w:rsid w:val="001B76A6"/>
    <w:rsid w:val="001B7DA5"/>
    <w:rsid w:val="001C07F8"/>
    <w:rsid w:val="001C2F59"/>
    <w:rsid w:val="001C6C08"/>
    <w:rsid w:val="001D2056"/>
    <w:rsid w:val="001D2EA0"/>
    <w:rsid w:val="001D3E14"/>
    <w:rsid w:val="001D42D1"/>
    <w:rsid w:val="001D50AD"/>
    <w:rsid w:val="001D64E5"/>
    <w:rsid w:val="001D6EB8"/>
    <w:rsid w:val="001E05EC"/>
    <w:rsid w:val="001E0AC7"/>
    <w:rsid w:val="001E4809"/>
    <w:rsid w:val="001E4F4F"/>
    <w:rsid w:val="001E6DF4"/>
    <w:rsid w:val="001F014B"/>
    <w:rsid w:val="001F0573"/>
    <w:rsid w:val="001F27F4"/>
    <w:rsid w:val="001F3DC0"/>
    <w:rsid w:val="001F434C"/>
    <w:rsid w:val="001F4C5A"/>
    <w:rsid w:val="001F4EA9"/>
    <w:rsid w:val="001F4F73"/>
    <w:rsid w:val="001F6425"/>
    <w:rsid w:val="001F6772"/>
    <w:rsid w:val="001F7421"/>
    <w:rsid w:val="00200195"/>
    <w:rsid w:val="00200B5F"/>
    <w:rsid w:val="002014C4"/>
    <w:rsid w:val="00201614"/>
    <w:rsid w:val="00201EEF"/>
    <w:rsid w:val="002047C8"/>
    <w:rsid w:val="00204E3F"/>
    <w:rsid w:val="002052B3"/>
    <w:rsid w:val="002058F9"/>
    <w:rsid w:val="0020637E"/>
    <w:rsid w:val="00206E73"/>
    <w:rsid w:val="0021126D"/>
    <w:rsid w:val="002112FA"/>
    <w:rsid w:val="00212B1F"/>
    <w:rsid w:val="00213356"/>
    <w:rsid w:val="00213D7C"/>
    <w:rsid w:val="00214513"/>
    <w:rsid w:val="002155B7"/>
    <w:rsid w:val="0021766A"/>
    <w:rsid w:val="002202B3"/>
    <w:rsid w:val="00221217"/>
    <w:rsid w:val="00221433"/>
    <w:rsid w:val="002225D3"/>
    <w:rsid w:val="00222A35"/>
    <w:rsid w:val="0022301D"/>
    <w:rsid w:val="0022313C"/>
    <w:rsid w:val="002236CB"/>
    <w:rsid w:val="002241E5"/>
    <w:rsid w:val="00224B2C"/>
    <w:rsid w:val="00224F56"/>
    <w:rsid w:val="00226460"/>
    <w:rsid w:val="0022673A"/>
    <w:rsid w:val="00227E55"/>
    <w:rsid w:val="002327C0"/>
    <w:rsid w:val="00232AA0"/>
    <w:rsid w:val="00232CA5"/>
    <w:rsid w:val="002336E8"/>
    <w:rsid w:val="00234CDF"/>
    <w:rsid w:val="0023568E"/>
    <w:rsid w:val="0023690E"/>
    <w:rsid w:val="00236B91"/>
    <w:rsid w:val="00241DC1"/>
    <w:rsid w:val="002424C0"/>
    <w:rsid w:val="00242CAA"/>
    <w:rsid w:val="00245D74"/>
    <w:rsid w:val="00246130"/>
    <w:rsid w:val="00246D03"/>
    <w:rsid w:val="00246DDF"/>
    <w:rsid w:val="00251A76"/>
    <w:rsid w:val="0025613B"/>
    <w:rsid w:val="002573CC"/>
    <w:rsid w:val="00260FAA"/>
    <w:rsid w:val="002620E8"/>
    <w:rsid w:val="00262338"/>
    <w:rsid w:val="00263462"/>
    <w:rsid w:val="00263938"/>
    <w:rsid w:val="002646D7"/>
    <w:rsid w:val="00264A69"/>
    <w:rsid w:val="002651BE"/>
    <w:rsid w:val="002655BE"/>
    <w:rsid w:val="00266AEF"/>
    <w:rsid w:val="002671D7"/>
    <w:rsid w:val="00267475"/>
    <w:rsid w:val="0027259C"/>
    <w:rsid w:val="0027319C"/>
    <w:rsid w:val="00273543"/>
    <w:rsid w:val="002741B5"/>
    <w:rsid w:val="00274C82"/>
    <w:rsid w:val="0027654D"/>
    <w:rsid w:val="002801CA"/>
    <w:rsid w:val="002807FF"/>
    <w:rsid w:val="00280AF0"/>
    <w:rsid w:val="0028107E"/>
    <w:rsid w:val="002810DF"/>
    <w:rsid w:val="002812AB"/>
    <w:rsid w:val="002816D8"/>
    <w:rsid w:val="00281A3A"/>
    <w:rsid w:val="00282A8C"/>
    <w:rsid w:val="00282AFA"/>
    <w:rsid w:val="00282E39"/>
    <w:rsid w:val="00283284"/>
    <w:rsid w:val="002854EE"/>
    <w:rsid w:val="0028565C"/>
    <w:rsid w:val="002872B2"/>
    <w:rsid w:val="002875DE"/>
    <w:rsid w:val="00287814"/>
    <w:rsid w:val="00287D1C"/>
    <w:rsid w:val="00287E07"/>
    <w:rsid w:val="00290EB3"/>
    <w:rsid w:val="00291534"/>
    <w:rsid w:val="00291FE6"/>
    <w:rsid w:val="00292846"/>
    <w:rsid w:val="00292A90"/>
    <w:rsid w:val="00292C88"/>
    <w:rsid w:val="00293981"/>
    <w:rsid w:val="00294F93"/>
    <w:rsid w:val="00295371"/>
    <w:rsid w:val="00295491"/>
    <w:rsid w:val="002971D6"/>
    <w:rsid w:val="002A2F08"/>
    <w:rsid w:val="002A334C"/>
    <w:rsid w:val="002A3641"/>
    <w:rsid w:val="002A495F"/>
    <w:rsid w:val="002A67F5"/>
    <w:rsid w:val="002A6EEA"/>
    <w:rsid w:val="002A706F"/>
    <w:rsid w:val="002A70EA"/>
    <w:rsid w:val="002A7363"/>
    <w:rsid w:val="002A7F43"/>
    <w:rsid w:val="002B1262"/>
    <w:rsid w:val="002B1B12"/>
    <w:rsid w:val="002B365E"/>
    <w:rsid w:val="002B489A"/>
    <w:rsid w:val="002B6341"/>
    <w:rsid w:val="002C0526"/>
    <w:rsid w:val="002C27A8"/>
    <w:rsid w:val="002C333E"/>
    <w:rsid w:val="002C36C8"/>
    <w:rsid w:val="002C51A0"/>
    <w:rsid w:val="002C68F3"/>
    <w:rsid w:val="002C6AE1"/>
    <w:rsid w:val="002C7971"/>
    <w:rsid w:val="002D0584"/>
    <w:rsid w:val="002D2E2A"/>
    <w:rsid w:val="002D372D"/>
    <w:rsid w:val="002D4274"/>
    <w:rsid w:val="002D4F61"/>
    <w:rsid w:val="002D5295"/>
    <w:rsid w:val="002D52BF"/>
    <w:rsid w:val="002D5B2E"/>
    <w:rsid w:val="002D6510"/>
    <w:rsid w:val="002D68FA"/>
    <w:rsid w:val="002D7ECA"/>
    <w:rsid w:val="002E0141"/>
    <w:rsid w:val="002E0B5D"/>
    <w:rsid w:val="002E0B76"/>
    <w:rsid w:val="002E1495"/>
    <w:rsid w:val="002E2900"/>
    <w:rsid w:val="002E3C0D"/>
    <w:rsid w:val="002E43EC"/>
    <w:rsid w:val="002E5B3C"/>
    <w:rsid w:val="002E7A79"/>
    <w:rsid w:val="002F058C"/>
    <w:rsid w:val="002F2C6E"/>
    <w:rsid w:val="002F3C88"/>
    <w:rsid w:val="002F4067"/>
    <w:rsid w:val="002F47EB"/>
    <w:rsid w:val="002F7339"/>
    <w:rsid w:val="002F7461"/>
    <w:rsid w:val="002F7AB0"/>
    <w:rsid w:val="00302544"/>
    <w:rsid w:val="003025CC"/>
    <w:rsid w:val="003025E2"/>
    <w:rsid w:val="00303B4A"/>
    <w:rsid w:val="003041E4"/>
    <w:rsid w:val="00305075"/>
    <w:rsid w:val="00305189"/>
    <w:rsid w:val="00306D24"/>
    <w:rsid w:val="0030705D"/>
    <w:rsid w:val="00307712"/>
    <w:rsid w:val="00307D30"/>
    <w:rsid w:val="00307FAD"/>
    <w:rsid w:val="00310D5B"/>
    <w:rsid w:val="003112E1"/>
    <w:rsid w:val="00312A3D"/>
    <w:rsid w:val="00313268"/>
    <w:rsid w:val="0031404A"/>
    <w:rsid w:val="00314B7C"/>
    <w:rsid w:val="00314E49"/>
    <w:rsid w:val="00315445"/>
    <w:rsid w:val="00316258"/>
    <w:rsid w:val="003168D4"/>
    <w:rsid w:val="00316B6F"/>
    <w:rsid w:val="00317183"/>
    <w:rsid w:val="00320258"/>
    <w:rsid w:val="003204AE"/>
    <w:rsid w:val="003208E7"/>
    <w:rsid w:val="003208EF"/>
    <w:rsid w:val="00322233"/>
    <w:rsid w:val="00324846"/>
    <w:rsid w:val="00324ABD"/>
    <w:rsid w:val="00324D9B"/>
    <w:rsid w:val="0032510A"/>
    <w:rsid w:val="003272A6"/>
    <w:rsid w:val="003273CB"/>
    <w:rsid w:val="0033125E"/>
    <w:rsid w:val="003326E0"/>
    <w:rsid w:val="0033622D"/>
    <w:rsid w:val="00336913"/>
    <w:rsid w:val="0033718C"/>
    <w:rsid w:val="00337407"/>
    <w:rsid w:val="00340E02"/>
    <w:rsid w:val="00343E6E"/>
    <w:rsid w:val="00344957"/>
    <w:rsid w:val="003450C8"/>
    <w:rsid w:val="0034782B"/>
    <w:rsid w:val="00347CBC"/>
    <w:rsid w:val="003515C9"/>
    <w:rsid w:val="00351E5C"/>
    <w:rsid w:val="00351F52"/>
    <w:rsid w:val="0035240A"/>
    <w:rsid w:val="00352C31"/>
    <w:rsid w:val="00353F69"/>
    <w:rsid w:val="0035580F"/>
    <w:rsid w:val="00355A23"/>
    <w:rsid w:val="003574AC"/>
    <w:rsid w:val="00357CB4"/>
    <w:rsid w:val="003604EE"/>
    <w:rsid w:val="00361590"/>
    <w:rsid w:val="00361A88"/>
    <w:rsid w:val="003620C9"/>
    <w:rsid w:val="00362598"/>
    <w:rsid w:val="0036286B"/>
    <w:rsid w:val="00363371"/>
    <w:rsid w:val="00363503"/>
    <w:rsid w:val="00363917"/>
    <w:rsid w:val="00364989"/>
    <w:rsid w:val="003664C0"/>
    <w:rsid w:val="00366769"/>
    <w:rsid w:val="00367E04"/>
    <w:rsid w:val="0037101B"/>
    <w:rsid w:val="00371F5C"/>
    <w:rsid w:val="003761F2"/>
    <w:rsid w:val="00376A05"/>
    <w:rsid w:val="00377299"/>
    <w:rsid w:val="003774FE"/>
    <w:rsid w:val="00377A25"/>
    <w:rsid w:val="003808D8"/>
    <w:rsid w:val="003808E8"/>
    <w:rsid w:val="00380F28"/>
    <w:rsid w:val="003820E3"/>
    <w:rsid w:val="00382186"/>
    <w:rsid w:val="0038738A"/>
    <w:rsid w:val="003878A4"/>
    <w:rsid w:val="00390004"/>
    <w:rsid w:val="00390E30"/>
    <w:rsid w:val="00390ED9"/>
    <w:rsid w:val="00393ABE"/>
    <w:rsid w:val="0039458D"/>
    <w:rsid w:val="00394D61"/>
    <w:rsid w:val="00396083"/>
    <w:rsid w:val="003A1F5A"/>
    <w:rsid w:val="003A2ECE"/>
    <w:rsid w:val="003A2F5B"/>
    <w:rsid w:val="003A3272"/>
    <w:rsid w:val="003A4252"/>
    <w:rsid w:val="003A522B"/>
    <w:rsid w:val="003A539A"/>
    <w:rsid w:val="003A62A4"/>
    <w:rsid w:val="003A7476"/>
    <w:rsid w:val="003A7502"/>
    <w:rsid w:val="003A7D86"/>
    <w:rsid w:val="003B06AF"/>
    <w:rsid w:val="003B0AA1"/>
    <w:rsid w:val="003B243D"/>
    <w:rsid w:val="003B304F"/>
    <w:rsid w:val="003B39A6"/>
    <w:rsid w:val="003B4482"/>
    <w:rsid w:val="003B565E"/>
    <w:rsid w:val="003B5D18"/>
    <w:rsid w:val="003B6600"/>
    <w:rsid w:val="003B7085"/>
    <w:rsid w:val="003B795D"/>
    <w:rsid w:val="003C0C24"/>
    <w:rsid w:val="003C196B"/>
    <w:rsid w:val="003C26A6"/>
    <w:rsid w:val="003C26C1"/>
    <w:rsid w:val="003C2C86"/>
    <w:rsid w:val="003C3F51"/>
    <w:rsid w:val="003C4355"/>
    <w:rsid w:val="003C5C11"/>
    <w:rsid w:val="003C6606"/>
    <w:rsid w:val="003C6A5A"/>
    <w:rsid w:val="003C6AAD"/>
    <w:rsid w:val="003C7109"/>
    <w:rsid w:val="003D1D4D"/>
    <w:rsid w:val="003D37DD"/>
    <w:rsid w:val="003D4362"/>
    <w:rsid w:val="003D45DF"/>
    <w:rsid w:val="003D47C6"/>
    <w:rsid w:val="003D7E38"/>
    <w:rsid w:val="003D7EAC"/>
    <w:rsid w:val="003D7FA6"/>
    <w:rsid w:val="003E149C"/>
    <w:rsid w:val="003E379A"/>
    <w:rsid w:val="003E52B0"/>
    <w:rsid w:val="003E613B"/>
    <w:rsid w:val="003E64DC"/>
    <w:rsid w:val="003E73BE"/>
    <w:rsid w:val="003E7A43"/>
    <w:rsid w:val="003F0995"/>
    <w:rsid w:val="003F0B58"/>
    <w:rsid w:val="003F0D40"/>
    <w:rsid w:val="003F2058"/>
    <w:rsid w:val="003F20BC"/>
    <w:rsid w:val="003F2236"/>
    <w:rsid w:val="003F27B7"/>
    <w:rsid w:val="003F3E13"/>
    <w:rsid w:val="003F4051"/>
    <w:rsid w:val="003F5812"/>
    <w:rsid w:val="003F6AA4"/>
    <w:rsid w:val="003F6EA1"/>
    <w:rsid w:val="003F7BBE"/>
    <w:rsid w:val="00400E4A"/>
    <w:rsid w:val="00401674"/>
    <w:rsid w:val="00402E9A"/>
    <w:rsid w:val="004033D3"/>
    <w:rsid w:val="00403FA8"/>
    <w:rsid w:val="00404040"/>
    <w:rsid w:val="00404213"/>
    <w:rsid w:val="004048AC"/>
    <w:rsid w:val="00404B8E"/>
    <w:rsid w:val="004068C2"/>
    <w:rsid w:val="004101D6"/>
    <w:rsid w:val="00411C2B"/>
    <w:rsid w:val="00413851"/>
    <w:rsid w:val="004148F6"/>
    <w:rsid w:val="00414BD6"/>
    <w:rsid w:val="00414E3E"/>
    <w:rsid w:val="00415501"/>
    <w:rsid w:val="00415E7F"/>
    <w:rsid w:val="004170DA"/>
    <w:rsid w:val="004179BC"/>
    <w:rsid w:val="00420288"/>
    <w:rsid w:val="00421C78"/>
    <w:rsid w:val="00421D09"/>
    <w:rsid w:val="004224CE"/>
    <w:rsid w:val="00423982"/>
    <w:rsid w:val="00424A78"/>
    <w:rsid w:val="004254DB"/>
    <w:rsid w:val="00426B50"/>
    <w:rsid w:val="00427EEA"/>
    <w:rsid w:val="00430E83"/>
    <w:rsid w:val="00431836"/>
    <w:rsid w:val="004321E6"/>
    <w:rsid w:val="004324AC"/>
    <w:rsid w:val="0043278E"/>
    <w:rsid w:val="00433F53"/>
    <w:rsid w:val="004360AC"/>
    <w:rsid w:val="00436B83"/>
    <w:rsid w:val="00436FC5"/>
    <w:rsid w:val="00440828"/>
    <w:rsid w:val="00441061"/>
    <w:rsid w:val="00442393"/>
    <w:rsid w:val="004427E6"/>
    <w:rsid w:val="00445D56"/>
    <w:rsid w:val="00450C70"/>
    <w:rsid w:val="00452336"/>
    <w:rsid w:val="00453344"/>
    <w:rsid w:val="00454E76"/>
    <w:rsid w:val="00455306"/>
    <w:rsid w:val="00456A26"/>
    <w:rsid w:val="00457080"/>
    <w:rsid w:val="00460343"/>
    <w:rsid w:val="00460891"/>
    <w:rsid w:val="0046101D"/>
    <w:rsid w:val="00461284"/>
    <w:rsid w:val="004618AE"/>
    <w:rsid w:val="004643DC"/>
    <w:rsid w:val="00464999"/>
    <w:rsid w:val="00464FB2"/>
    <w:rsid w:val="004665D3"/>
    <w:rsid w:val="00466CDC"/>
    <w:rsid w:val="0046745E"/>
    <w:rsid w:val="004736BE"/>
    <w:rsid w:val="00473930"/>
    <w:rsid w:val="0047556D"/>
    <w:rsid w:val="00475789"/>
    <w:rsid w:val="00476170"/>
    <w:rsid w:val="00477BDA"/>
    <w:rsid w:val="00477E10"/>
    <w:rsid w:val="00480C84"/>
    <w:rsid w:val="004820B0"/>
    <w:rsid w:val="00482A1D"/>
    <w:rsid w:val="00482E2F"/>
    <w:rsid w:val="00483230"/>
    <w:rsid w:val="004859B4"/>
    <w:rsid w:val="00486ACD"/>
    <w:rsid w:val="0049035D"/>
    <w:rsid w:val="004904CB"/>
    <w:rsid w:val="00492C65"/>
    <w:rsid w:val="00492EE7"/>
    <w:rsid w:val="0049380A"/>
    <w:rsid w:val="0049401F"/>
    <w:rsid w:val="0049403F"/>
    <w:rsid w:val="00494323"/>
    <w:rsid w:val="00494349"/>
    <w:rsid w:val="00494485"/>
    <w:rsid w:val="004944D8"/>
    <w:rsid w:val="004A01AA"/>
    <w:rsid w:val="004A0F27"/>
    <w:rsid w:val="004A0F37"/>
    <w:rsid w:val="004A0F68"/>
    <w:rsid w:val="004A2191"/>
    <w:rsid w:val="004A3608"/>
    <w:rsid w:val="004A4286"/>
    <w:rsid w:val="004A4FBD"/>
    <w:rsid w:val="004A50B1"/>
    <w:rsid w:val="004A644C"/>
    <w:rsid w:val="004A7810"/>
    <w:rsid w:val="004A78AE"/>
    <w:rsid w:val="004A7E93"/>
    <w:rsid w:val="004B0567"/>
    <w:rsid w:val="004B1C93"/>
    <w:rsid w:val="004B3CFB"/>
    <w:rsid w:val="004B5289"/>
    <w:rsid w:val="004B5943"/>
    <w:rsid w:val="004B5A2C"/>
    <w:rsid w:val="004B5D6B"/>
    <w:rsid w:val="004B76F8"/>
    <w:rsid w:val="004C1FA6"/>
    <w:rsid w:val="004C3039"/>
    <w:rsid w:val="004C354F"/>
    <w:rsid w:val="004C5847"/>
    <w:rsid w:val="004C5AAF"/>
    <w:rsid w:val="004C5CFD"/>
    <w:rsid w:val="004C642D"/>
    <w:rsid w:val="004C70B9"/>
    <w:rsid w:val="004D0BB5"/>
    <w:rsid w:val="004D12C0"/>
    <w:rsid w:val="004D18EA"/>
    <w:rsid w:val="004D22FC"/>
    <w:rsid w:val="004D2B14"/>
    <w:rsid w:val="004D3615"/>
    <w:rsid w:val="004D3713"/>
    <w:rsid w:val="004D40AA"/>
    <w:rsid w:val="004D6254"/>
    <w:rsid w:val="004D7E99"/>
    <w:rsid w:val="004E00CE"/>
    <w:rsid w:val="004E04B0"/>
    <w:rsid w:val="004E057D"/>
    <w:rsid w:val="004E0AD5"/>
    <w:rsid w:val="004E1E9F"/>
    <w:rsid w:val="004E22FE"/>
    <w:rsid w:val="004E24BE"/>
    <w:rsid w:val="004E2B7A"/>
    <w:rsid w:val="004E2BDB"/>
    <w:rsid w:val="004E4CC7"/>
    <w:rsid w:val="004F3B35"/>
    <w:rsid w:val="004F4C15"/>
    <w:rsid w:val="004F50AF"/>
    <w:rsid w:val="004F681D"/>
    <w:rsid w:val="004F6E14"/>
    <w:rsid w:val="0050228C"/>
    <w:rsid w:val="00502390"/>
    <w:rsid w:val="00502857"/>
    <w:rsid w:val="00503181"/>
    <w:rsid w:val="005044A9"/>
    <w:rsid w:val="005055C6"/>
    <w:rsid w:val="00505994"/>
    <w:rsid w:val="00505FD4"/>
    <w:rsid w:val="00506E25"/>
    <w:rsid w:val="0051132C"/>
    <w:rsid w:val="0051291E"/>
    <w:rsid w:val="00513483"/>
    <w:rsid w:val="0051411A"/>
    <w:rsid w:val="0051413F"/>
    <w:rsid w:val="00514987"/>
    <w:rsid w:val="00514A55"/>
    <w:rsid w:val="00514EF5"/>
    <w:rsid w:val="00517302"/>
    <w:rsid w:val="0051782D"/>
    <w:rsid w:val="00517B0B"/>
    <w:rsid w:val="00517EEB"/>
    <w:rsid w:val="0052077D"/>
    <w:rsid w:val="0052087E"/>
    <w:rsid w:val="0052315E"/>
    <w:rsid w:val="005261DE"/>
    <w:rsid w:val="00530ED3"/>
    <w:rsid w:val="00531F3F"/>
    <w:rsid w:val="005330FB"/>
    <w:rsid w:val="00533953"/>
    <w:rsid w:val="0053438E"/>
    <w:rsid w:val="005355EE"/>
    <w:rsid w:val="00535B16"/>
    <w:rsid w:val="005366D0"/>
    <w:rsid w:val="00537C6C"/>
    <w:rsid w:val="00537E27"/>
    <w:rsid w:val="0054021E"/>
    <w:rsid w:val="00540B4D"/>
    <w:rsid w:val="00540FFA"/>
    <w:rsid w:val="00542930"/>
    <w:rsid w:val="005435B3"/>
    <w:rsid w:val="00543B61"/>
    <w:rsid w:val="005448A1"/>
    <w:rsid w:val="0054690D"/>
    <w:rsid w:val="005471BE"/>
    <w:rsid w:val="00550849"/>
    <w:rsid w:val="00550A3D"/>
    <w:rsid w:val="005533EB"/>
    <w:rsid w:val="00554BF3"/>
    <w:rsid w:val="00555961"/>
    <w:rsid w:val="0055655F"/>
    <w:rsid w:val="0055657D"/>
    <w:rsid w:val="00560015"/>
    <w:rsid w:val="00560D0D"/>
    <w:rsid w:val="005611B8"/>
    <w:rsid w:val="00561B63"/>
    <w:rsid w:val="00561ED7"/>
    <w:rsid w:val="005629E0"/>
    <w:rsid w:val="00562E43"/>
    <w:rsid w:val="0056382F"/>
    <w:rsid w:val="00563A00"/>
    <w:rsid w:val="00563D08"/>
    <w:rsid w:val="005646A6"/>
    <w:rsid w:val="00565FB1"/>
    <w:rsid w:val="005662FB"/>
    <w:rsid w:val="00566ED5"/>
    <w:rsid w:val="0056765F"/>
    <w:rsid w:val="00567781"/>
    <w:rsid w:val="00567ECC"/>
    <w:rsid w:val="0057116C"/>
    <w:rsid w:val="005713B1"/>
    <w:rsid w:val="005717CF"/>
    <w:rsid w:val="0057613E"/>
    <w:rsid w:val="0057623F"/>
    <w:rsid w:val="0058082E"/>
    <w:rsid w:val="00582A86"/>
    <w:rsid w:val="00583090"/>
    <w:rsid w:val="005835F4"/>
    <w:rsid w:val="00583EFE"/>
    <w:rsid w:val="005841A3"/>
    <w:rsid w:val="00585389"/>
    <w:rsid w:val="005857B9"/>
    <w:rsid w:val="005867E2"/>
    <w:rsid w:val="005877A6"/>
    <w:rsid w:val="00587CA7"/>
    <w:rsid w:val="00590E1B"/>
    <w:rsid w:val="00590EAE"/>
    <w:rsid w:val="0059112A"/>
    <w:rsid w:val="00591678"/>
    <w:rsid w:val="005919AA"/>
    <w:rsid w:val="00591EA0"/>
    <w:rsid w:val="00592B5E"/>
    <w:rsid w:val="00593216"/>
    <w:rsid w:val="00594A47"/>
    <w:rsid w:val="00594BC3"/>
    <w:rsid w:val="00595C3D"/>
    <w:rsid w:val="005962BF"/>
    <w:rsid w:val="00596852"/>
    <w:rsid w:val="00596CA7"/>
    <w:rsid w:val="00596DC8"/>
    <w:rsid w:val="00596E16"/>
    <w:rsid w:val="005A159E"/>
    <w:rsid w:val="005A16A3"/>
    <w:rsid w:val="005A1C48"/>
    <w:rsid w:val="005A253A"/>
    <w:rsid w:val="005A4EA0"/>
    <w:rsid w:val="005B106E"/>
    <w:rsid w:val="005B4068"/>
    <w:rsid w:val="005B4421"/>
    <w:rsid w:val="005B726F"/>
    <w:rsid w:val="005B7929"/>
    <w:rsid w:val="005C15DC"/>
    <w:rsid w:val="005C2393"/>
    <w:rsid w:val="005C25D1"/>
    <w:rsid w:val="005C35A9"/>
    <w:rsid w:val="005C464B"/>
    <w:rsid w:val="005C5104"/>
    <w:rsid w:val="005C638C"/>
    <w:rsid w:val="005C660F"/>
    <w:rsid w:val="005C74A0"/>
    <w:rsid w:val="005C7E82"/>
    <w:rsid w:val="005D052C"/>
    <w:rsid w:val="005D16FE"/>
    <w:rsid w:val="005D4084"/>
    <w:rsid w:val="005D4777"/>
    <w:rsid w:val="005D4C2B"/>
    <w:rsid w:val="005D4DDA"/>
    <w:rsid w:val="005D73BE"/>
    <w:rsid w:val="005E035C"/>
    <w:rsid w:val="005E110E"/>
    <w:rsid w:val="005E1171"/>
    <w:rsid w:val="005E1296"/>
    <w:rsid w:val="005E4931"/>
    <w:rsid w:val="005E7953"/>
    <w:rsid w:val="005E7E82"/>
    <w:rsid w:val="005F1671"/>
    <w:rsid w:val="005F1B57"/>
    <w:rsid w:val="005F1E1C"/>
    <w:rsid w:val="005F2593"/>
    <w:rsid w:val="005F6C28"/>
    <w:rsid w:val="005F7AB6"/>
    <w:rsid w:val="005F7E3C"/>
    <w:rsid w:val="00600FA8"/>
    <w:rsid w:val="0060199E"/>
    <w:rsid w:val="006063DA"/>
    <w:rsid w:val="00606CE3"/>
    <w:rsid w:val="00607342"/>
    <w:rsid w:val="00611DD3"/>
    <w:rsid w:val="00611EF0"/>
    <w:rsid w:val="00612219"/>
    <w:rsid w:val="00612304"/>
    <w:rsid w:val="006124BB"/>
    <w:rsid w:val="006124CF"/>
    <w:rsid w:val="00612E04"/>
    <w:rsid w:val="00613736"/>
    <w:rsid w:val="00614FC7"/>
    <w:rsid w:val="00617199"/>
    <w:rsid w:val="006173A4"/>
    <w:rsid w:val="00617C44"/>
    <w:rsid w:val="00621C63"/>
    <w:rsid w:val="00622CE4"/>
    <w:rsid w:val="006234A7"/>
    <w:rsid w:val="00625917"/>
    <w:rsid w:val="00626E36"/>
    <w:rsid w:val="0062773F"/>
    <w:rsid w:val="0062789F"/>
    <w:rsid w:val="006301BE"/>
    <w:rsid w:val="0063096E"/>
    <w:rsid w:val="00632D7F"/>
    <w:rsid w:val="00633349"/>
    <w:rsid w:val="00633D61"/>
    <w:rsid w:val="0063402B"/>
    <w:rsid w:val="00636570"/>
    <w:rsid w:val="00637330"/>
    <w:rsid w:val="006375F4"/>
    <w:rsid w:val="00637901"/>
    <w:rsid w:val="00637C92"/>
    <w:rsid w:val="00637E1B"/>
    <w:rsid w:val="006402DF"/>
    <w:rsid w:val="00640BD4"/>
    <w:rsid w:val="0064164B"/>
    <w:rsid w:val="00643C0C"/>
    <w:rsid w:val="00644468"/>
    <w:rsid w:val="00644B92"/>
    <w:rsid w:val="00644F57"/>
    <w:rsid w:val="00645AE2"/>
    <w:rsid w:val="00645D79"/>
    <w:rsid w:val="00645F5E"/>
    <w:rsid w:val="00647B1E"/>
    <w:rsid w:val="00647C55"/>
    <w:rsid w:val="0065008B"/>
    <w:rsid w:val="00650F9E"/>
    <w:rsid w:val="00652D62"/>
    <w:rsid w:val="00652EFC"/>
    <w:rsid w:val="00653A3B"/>
    <w:rsid w:val="00653FD9"/>
    <w:rsid w:val="00654430"/>
    <w:rsid w:val="00654D42"/>
    <w:rsid w:val="00655B8D"/>
    <w:rsid w:val="00656328"/>
    <w:rsid w:val="00660279"/>
    <w:rsid w:val="006619CD"/>
    <w:rsid w:val="006622B9"/>
    <w:rsid w:val="00662E1E"/>
    <w:rsid w:val="0066371E"/>
    <w:rsid w:val="00663AC1"/>
    <w:rsid w:val="00665234"/>
    <w:rsid w:val="00665D22"/>
    <w:rsid w:val="0067184C"/>
    <w:rsid w:val="00671FC2"/>
    <w:rsid w:val="006724AD"/>
    <w:rsid w:val="00672BAB"/>
    <w:rsid w:val="0067314A"/>
    <w:rsid w:val="00673D1E"/>
    <w:rsid w:val="0067484C"/>
    <w:rsid w:val="0067579C"/>
    <w:rsid w:val="006779CF"/>
    <w:rsid w:val="00677A8F"/>
    <w:rsid w:val="00677CA0"/>
    <w:rsid w:val="00677F8A"/>
    <w:rsid w:val="0068080E"/>
    <w:rsid w:val="006821E3"/>
    <w:rsid w:val="00682259"/>
    <w:rsid w:val="00683AD6"/>
    <w:rsid w:val="00683D3C"/>
    <w:rsid w:val="006842AE"/>
    <w:rsid w:val="00684427"/>
    <w:rsid w:val="00685BB3"/>
    <w:rsid w:val="006867F2"/>
    <w:rsid w:val="00686BD4"/>
    <w:rsid w:val="006870EF"/>
    <w:rsid w:val="00687508"/>
    <w:rsid w:val="00690417"/>
    <w:rsid w:val="0069097D"/>
    <w:rsid w:val="006971F6"/>
    <w:rsid w:val="006A01A4"/>
    <w:rsid w:val="006A5773"/>
    <w:rsid w:val="006A5804"/>
    <w:rsid w:val="006A58F0"/>
    <w:rsid w:val="006A5A2D"/>
    <w:rsid w:val="006A664B"/>
    <w:rsid w:val="006A6C49"/>
    <w:rsid w:val="006A7383"/>
    <w:rsid w:val="006B0372"/>
    <w:rsid w:val="006B0764"/>
    <w:rsid w:val="006B0E2D"/>
    <w:rsid w:val="006B23A8"/>
    <w:rsid w:val="006B4467"/>
    <w:rsid w:val="006B4468"/>
    <w:rsid w:val="006B5492"/>
    <w:rsid w:val="006B6C46"/>
    <w:rsid w:val="006B6E78"/>
    <w:rsid w:val="006B7B32"/>
    <w:rsid w:val="006C0039"/>
    <w:rsid w:val="006C0822"/>
    <w:rsid w:val="006C1927"/>
    <w:rsid w:val="006C2585"/>
    <w:rsid w:val="006C2871"/>
    <w:rsid w:val="006C4008"/>
    <w:rsid w:val="006C5420"/>
    <w:rsid w:val="006C5931"/>
    <w:rsid w:val="006C73EF"/>
    <w:rsid w:val="006C7EAC"/>
    <w:rsid w:val="006D1723"/>
    <w:rsid w:val="006D2D39"/>
    <w:rsid w:val="006D3AB6"/>
    <w:rsid w:val="006D3BD0"/>
    <w:rsid w:val="006D4A32"/>
    <w:rsid w:val="006D5D3F"/>
    <w:rsid w:val="006D60ED"/>
    <w:rsid w:val="006D61F7"/>
    <w:rsid w:val="006D73E8"/>
    <w:rsid w:val="006E0F11"/>
    <w:rsid w:val="006E1166"/>
    <w:rsid w:val="006E2CFB"/>
    <w:rsid w:val="006E350B"/>
    <w:rsid w:val="006E4F2C"/>
    <w:rsid w:val="006E596E"/>
    <w:rsid w:val="006E64AB"/>
    <w:rsid w:val="006F033F"/>
    <w:rsid w:val="006F24D8"/>
    <w:rsid w:val="006F2772"/>
    <w:rsid w:val="006F33B8"/>
    <w:rsid w:val="006F4C9C"/>
    <w:rsid w:val="006F5FEB"/>
    <w:rsid w:val="006F640F"/>
    <w:rsid w:val="006F762A"/>
    <w:rsid w:val="00701B6B"/>
    <w:rsid w:val="007024FB"/>
    <w:rsid w:val="0070384F"/>
    <w:rsid w:val="00703A9E"/>
    <w:rsid w:val="00703D6D"/>
    <w:rsid w:val="00704152"/>
    <w:rsid w:val="00704FB5"/>
    <w:rsid w:val="00705E48"/>
    <w:rsid w:val="00706B71"/>
    <w:rsid w:val="0070773F"/>
    <w:rsid w:val="00711FB9"/>
    <w:rsid w:val="0071277A"/>
    <w:rsid w:val="00712980"/>
    <w:rsid w:val="00712EE5"/>
    <w:rsid w:val="00713493"/>
    <w:rsid w:val="00713494"/>
    <w:rsid w:val="00713B80"/>
    <w:rsid w:val="00714031"/>
    <w:rsid w:val="0071466E"/>
    <w:rsid w:val="00714A6C"/>
    <w:rsid w:val="00714CD3"/>
    <w:rsid w:val="00714D57"/>
    <w:rsid w:val="00717EB3"/>
    <w:rsid w:val="007206A8"/>
    <w:rsid w:val="007207B3"/>
    <w:rsid w:val="0072116D"/>
    <w:rsid w:val="0072226F"/>
    <w:rsid w:val="00725B78"/>
    <w:rsid w:val="007269AA"/>
    <w:rsid w:val="00727082"/>
    <w:rsid w:val="0073233C"/>
    <w:rsid w:val="00732D0C"/>
    <w:rsid w:val="00732EE0"/>
    <w:rsid w:val="00733EAD"/>
    <w:rsid w:val="00734AF1"/>
    <w:rsid w:val="00734F54"/>
    <w:rsid w:val="007350C2"/>
    <w:rsid w:val="007378E3"/>
    <w:rsid w:val="00737C04"/>
    <w:rsid w:val="00741767"/>
    <w:rsid w:val="00744110"/>
    <w:rsid w:val="007442A5"/>
    <w:rsid w:val="00744595"/>
    <w:rsid w:val="00745517"/>
    <w:rsid w:val="00747A52"/>
    <w:rsid w:val="00750F1E"/>
    <w:rsid w:val="00751C12"/>
    <w:rsid w:val="00752691"/>
    <w:rsid w:val="007528F2"/>
    <w:rsid w:val="00755752"/>
    <w:rsid w:val="00757530"/>
    <w:rsid w:val="007575C4"/>
    <w:rsid w:val="007575CD"/>
    <w:rsid w:val="0076226C"/>
    <w:rsid w:val="00763700"/>
    <w:rsid w:val="0076427C"/>
    <w:rsid w:val="00765217"/>
    <w:rsid w:val="007659AA"/>
    <w:rsid w:val="00766F59"/>
    <w:rsid w:val="00767C65"/>
    <w:rsid w:val="0077048A"/>
    <w:rsid w:val="00770FD2"/>
    <w:rsid w:val="00771B64"/>
    <w:rsid w:val="00771E8C"/>
    <w:rsid w:val="0077252B"/>
    <w:rsid w:val="0077266C"/>
    <w:rsid w:val="00772802"/>
    <w:rsid w:val="00775066"/>
    <w:rsid w:val="00776406"/>
    <w:rsid w:val="007777E8"/>
    <w:rsid w:val="00777ACB"/>
    <w:rsid w:val="0078005A"/>
    <w:rsid w:val="00781B6F"/>
    <w:rsid w:val="00781F9C"/>
    <w:rsid w:val="00782DFD"/>
    <w:rsid w:val="00784424"/>
    <w:rsid w:val="00785474"/>
    <w:rsid w:val="00787B99"/>
    <w:rsid w:val="007936AC"/>
    <w:rsid w:val="0079421C"/>
    <w:rsid w:val="0079526D"/>
    <w:rsid w:val="00795A2C"/>
    <w:rsid w:val="00797035"/>
    <w:rsid w:val="00797390"/>
    <w:rsid w:val="007A05B6"/>
    <w:rsid w:val="007A0D78"/>
    <w:rsid w:val="007A16E3"/>
    <w:rsid w:val="007A1C0A"/>
    <w:rsid w:val="007A1C59"/>
    <w:rsid w:val="007A57B9"/>
    <w:rsid w:val="007A5B41"/>
    <w:rsid w:val="007A6818"/>
    <w:rsid w:val="007B46E0"/>
    <w:rsid w:val="007B52BB"/>
    <w:rsid w:val="007B5792"/>
    <w:rsid w:val="007B6E7F"/>
    <w:rsid w:val="007C31E2"/>
    <w:rsid w:val="007C3A43"/>
    <w:rsid w:val="007C41C1"/>
    <w:rsid w:val="007C460A"/>
    <w:rsid w:val="007C49A9"/>
    <w:rsid w:val="007C4A7C"/>
    <w:rsid w:val="007C5CE1"/>
    <w:rsid w:val="007C697A"/>
    <w:rsid w:val="007C6F85"/>
    <w:rsid w:val="007C7A8F"/>
    <w:rsid w:val="007D020C"/>
    <w:rsid w:val="007D0569"/>
    <w:rsid w:val="007D101D"/>
    <w:rsid w:val="007D13E1"/>
    <w:rsid w:val="007D16B1"/>
    <w:rsid w:val="007D19E4"/>
    <w:rsid w:val="007D38C2"/>
    <w:rsid w:val="007D4357"/>
    <w:rsid w:val="007D51B7"/>
    <w:rsid w:val="007D6C5F"/>
    <w:rsid w:val="007D6F07"/>
    <w:rsid w:val="007D7400"/>
    <w:rsid w:val="007D7761"/>
    <w:rsid w:val="007D79FF"/>
    <w:rsid w:val="007E02A7"/>
    <w:rsid w:val="007E468A"/>
    <w:rsid w:val="007E4D82"/>
    <w:rsid w:val="007E51A5"/>
    <w:rsid w:val="007E7F4C"/>
    <w:rsid w:val="007F23FB"/>
    <w:rsid w:val="007F3018"/>
    <w:rsid w:val="007F30D0"/>
    <w:rsid w:val="007F4C7E"/>
    <w:rsid w:val="007F5056"/>
    <w:rsid w:val="007F5303"/>
    <w:rsid w:val="007F66B3"/>
    <w:rsid w:val="007F7111"/>
    <w:rsid w:val="007F748C"/>
    <w:rsid w:val="007F7DDD"/>
    <w:rsid w:val="00802A82"/>
    <w:rsid w:val="0080483C"/>
    <w:rsid w:val="008060C3"/>
    <w:rsid w:val="008063A1"/>
    <w:rsid w:val="00807F00"/>
    <w:rsid w:val="00810E61"/>
    <w:rsid w:val="0081192F"/>
    <w:rsid w:val="00812095"/>
    <w:rsid w:val="00812EB1"/>
    <w:rsid w:val="00812FC2"/>
    <w:rsid w:val="008131FE"/>
    <w:rsid w:val="008134BD"/>
    <w:rsid w:val="00814656"/>
    <w:rsid w:val="00814DF3"/>
    <w:rsid w:val="00820E45"/>
    <w:rsid w:val="00821E2C"/>
    <w:rsid w:val="00822835"/>
    <w:rsid w:val="00825DAE"/>
    <w:rsid w:val="00826758"/>
    <w:rsid w:val="00827534"/>
    <w:rsid w:val="00827816"/>
    <w:rsid w:val="0082784F"/>
    <w:rsid w:val="00830869"/>
    <w:rsid w:val="008331E5"/>
    <w:rsid w:val="00834088"/>
    <w:rsid w:val="00834326"/>
    <w:rsid w:val="00834906"/>
    <w:rsid w:val="008353E0"/>
    <w:rsid w:val="008365F0"/>
    <w:rsid w:val="00836B47"/>
    <w:rsid w:val="00836BF2"/>
    <w:rsid w:val="00841056"/>
    <w:rsid w:val="00841534"/>
    <w:rsid w:val="008426A5"/>
    <w:rsid w:val="00842DA7"/>
    <w:rsid w:val="00843BDB"/>
    <w:rsid w:val="00843EB8"/>
    <w:rsid w:val="00845632"/>
    <w:rsid w:val="008462F1"/>
    <w:rsid w:val="00846930"/>
    <w:rsid w:val="00846DE6"/>
    <w:rsid w:val="00847B21"/>
    <w:rsid w:val="00850BD7"/>
    <w:rsid w:val="00850FDE"/>
    <w:rsid w:val="00852876"/>
    <w:rsid w:val="0085405F"/>
    <w:rsid w:val="008543F5"/>
    <w:rsid w:val="00855004"/>
    <w:rsid w:val="00855A1B"/>
    <w:rsid w:val="00856E33"/>
    <w:rsid w:val="008572C4"/>
    <w:rsid w:val="0085733E"/>
    <w:rsid w:val="008604A8"/>
    <w:rsid w:val="00860CA0"/>
    <w:rsid w:val="00861AFA"/>
    <w:rsid w:val="008631EA"/>
    <w:rsid w:val="008639E3"/>
    <w:rsid w:val="00863C61"/>
    <w:rsid w:val="0086402B"/>
    <w:rsid w:val="00865522"/>
    <w:rsid w:val="00865ADF"/>
    <w:rsid w:val="00866161"/>
    <w:rsid w:val="0086644C"/>
    <w:rsid w:val="008666B5"/>
    <w:rsid w:val="0086765F"/>
    <w:rsid w:val="00870227"/>
    <w:rsid w:val="008703B3"/>
    <w:rsid w:val="00876985"/>
    <w:rsid w:val="00876F91"/>
    <w:rsid w:val="0087728D"/>
    <w:rsid w:val="008814B0"/>
    <w:rsid w:val="00883780"/>
    <w:rsid w:val="00883B99"/>
    <w:rsid w:val="00884669"/>
    <w:rsid w:val="00885066"/>
    <w:rsid w:val="00885F85"/>
    <w:rsid w:val="008861B8"/>
    <w:rsid w:val="0088665E"/>
    <w:rsid w:val="008872CE"/>
    <w:rsid w:val="00887A79"/>
    <w:rsid w:val="00891464"/>
    <w:rsid w:val="00891581"/>
    <w:rsid w:val="008923C8"/>
    <w:rsid w:val="00892506"/>
    <w:rsid w:val="00893260"/>
    <w:rsid w:val="008932A8"/>
    <w:rsid w:val="00893756"/>
    <w:rsid w:val="00894A9E"/>
    <w:rsid w:val="008950F6"/>
    <w:rsid w:val="008959F5"/>
    <w:rsid w:val="008965C9"/>
    <w:rsid w:val="00896815"/>
    <w:rsid w:val="00897C2A"/>
    <w:rsid w:val="008A0744"/>
    <w:rsid w:val="008A0A6E"/>
    <w:rsid w:val="008A0D0F"/>
    <w:rsid w:val="008A237F"/>
    <w:rsid w:val="008A2415"/>
    <w:rsid w:val="008A2FB3"/>
    <w:rsid w:val="008A398B"/>
    <w:rsid w:val="008A5601"/>
    <w:rsid w:val="008A59AD"/>
    <w:rsid w:val="008A5D9C"/>
    <w:rsid w:val="008A64EF"/>
    <w:rsid w:val="008A6F38"/>
    <w:rsid w:val="008B0291"/>
    <w:rsid w:val="008B0327"/>
    <w:rsid w:val="008B0EEB"/>
    <w:rsid w:val="008B2EA4"/>
    <w:rsid w:val="008B3272"/>
    <w:rsid w:val="008B431D"/>
    <w:rsid w:val="008B51FD"/>
    <w:rsid w:val="008B7186"/>
    <w:rsid w:val="008C1939"/>
    <w:rsid w:val="008C28E6"/>
    <w:rsid w:val="008C3396"/>
    <w:rsid w:val="008C3B8E"/>
    <w:rsid w:val="008C621C"/>
    <w:rsid w:val="008C697C"/>
    <w:rsid w:val="008C6F7E"/>
    <w:rsid w:val="008C75ED"/>
    <w:rsid w:val="008C7649"/>
    <w:rsid w:val="008D4542"/>
    <w:rsid w:val="008D57EA"/>
    <w:rsid w:val="008D5FBB"/>
    <w:rsid w:val="008E0991"/>
    <w:rsid w:val="008E09A1"/>
    <w:rsid w:val="008E338E"/>
    <w:rsid w:val="008E57FE"/>
    <w:rsid w:val="008F063A"/>
    <w:rsid w:val="008F0727"/>
    <w:rsid w:val="008F2665"/>
    <w:rsid w:val="008F507E"/>
    <w:rsid w:val="008F5C5F"/>
    <w:rsid w:val="008F6376"/>
    <w:rsid w:val="008F67DF"/>
    <w:rsid w:val="00900002"/>
    <w:rsid w:val="00900CC2"/>
    <w:rsid w:val="00901107"/>
    <w:rsid w:val="009019FB"/>
    <w:rsid w:val="009059E5"/>
    <w:rsid w:val="00905B05"/>
    <w:rsid w:val="0090637E"/>
    <w:rsid w:val="0090753C"/>
    <w:rsid w:val="00911447"/>
    <w:rsid w:val="00911B66"/>
    <w:rsid w:val="00911E1C"/>
    <w:rsid w:val="00912A7E"/>
    <w:rsid w:val="009132D8"/>
    <w:rsid w:val="00915330"/>
    <w:rsid w:val="009156FD"/>
    <w:rsid w:val="009162B1"/>
    <w:rsid w:val="00916E69"/>
    <w:rsid w:val="00917525"/>
    <w:rsid w:val="0091777D"/>
    <w:rsid w:val="00917DC5"/>
    <w:rsid w:val="00917E6A"/>
    <w:rsid w:val="0092057D"/>
    <w:rsid w:val="00920F40"/>
    <w:rsid w:val="00921578"/>
    <w:rsid w:val="009218DE"/>
    <w:rsid w:val="00921F1C"/>
    <w:rsid w:val="00922D00"/>
    <w:rsid w:val="00923F17"/>
    <w:rsid w:val="00924A0E"/>
    <w:rsid w:val="009266DA"/>
    <w:rsid w:val="009277DE"/>
    <w:rsid w:val="00930DE8"/>
    <w:rsid w:val="009318DD"/>
    <w:rsid w:val="009328E1"/>
    <w:rsid w:val="00933904"/>
    <w:rsid w:val="00935413"/>
    <w:rsid w:val="00935F5D"/>
    <w:rsid w:val="009365C2"/>
    <w:rsid w:val="009368E0"/>
    <w:rsid w:val="0093714F"/>
    <w:rsid w:val="00940CC1"/>
    <w:rsid w:val="0094260B"/>
    <w:rsid w:val="00942661"/>
    <w:rsid w:val="00944A79"/>
    <w:rsid w:val="00945307"/>
    <w:rsid w:val="0094558D"/>
    <w:rsid w:val="00946FCE"/>
    <w:rsid w:val="009506EE"/>
    <w:rsid w:val="009515BC"/>
    <w:rsid w:val="00953118"/>
    <w:rsid w:val="009535C4"/>
    <w:rsid w:val="00953ED0"/>
    <w:rsid w:val="0095492E"/>
    <w:rsid w:val="00955F7D"/>
    <w:rsid w:val="009567B5"/>
    <w:rsid w:val="0096242F"/>
    <w:rsid w:val="00962E3B"/>
    <w:rsid w:val="00962FF5"/>
    <w:rsid w:val="00964A4E"/>
    <w:rsid w:val="0096541A"/>
    <w:rsid w:val="009658AF"/>
    <w:rsid w:val="00965B02"/>
    <w:rsid w:val="00965C07"/>
    <w:rsid w:val="00965D2D"/>
    <w:rsid w:val="009660E9"/>
    <w:rsid w:val="009676DB"/>
    <w:rsid w:val="00970CFE"/>
    <w:rsid w:val="00971847"/>
    <w:rsid w:val="00972964"/>
    <w:rsid w:val="0097762F"/>
    <w:rsid w:val="00977780"/>
    <w:rsid w:val="00977972"/>
    <w:rsid w:val="009801A8"/>
    <w:rsid w:val="0098084B"/>
    <w:rsid w:val="009816B8"/>
    <w:rsid w:val="0098236F"/>
    <w:rsid w:val="00983B45"/>
    <w:rsid w:val="00986B6F"/>
    <w:rsid w:val="0098766F"/>
    <w:rsid w:val="0099285D"/>
    <w:rsid w:val="009928E1"/>
    <w:rsid w:val="00992DCE"/>
    <w:rsid w:val="00993912"/>
    <w:rsid w:val="00994050"/>
    <w:rsid w:val="0099617C"/>
    <w:rsid w:val="009962CF"/>
    <w:rsid w:val="009969D6"/>
    <w:rsid w:val="00997C0E"/>
    <w:rsid w:val="009A0A24"/>
    <w:rsid w:val="009A12E9"/>
    <w:rsid w:val="009A1C07"/>
    <w:rsid w:val="009A3EAE"/>
    <w:rsid w:val="009A419E"/>
    <w:rsid w:val="009A4543"/>
    <w:rsid w:val="009A4899"/>
    <w:rsid w:val="009A5DB1"/>
    <w:rsid w:val="009A6279"/>
    <w:rsid w:val="009A65C3"/>
    <w:rsid w:val="009A7C5A"/>
    <w:rsid w:val="009A7E51"/>
    <w:rsid w:val="009B0652"/>
    <w:rsid w:val="009B21B9"/>
    <w:rsid w:val="009B32FF"/>
    <w:rsid w:val="009B4CD0"/>
    <w:rsid w:val="009B4DA7"/>
    <w:rsid w:val="009B55E2"/>
    <w:rsid w:val="009B6887"/>
    <w:rsid w:val="009B7CD8"/>
    <w:rsid w:val="009C0101"/>
    <w:rsid w:val="009C21C6"/>
    <w:rsid w:val="009C2E7F"/>
    <w:rsid w:val="009C383B"/>
    <w:rsid w:val="009C3A80"/>
    <w:rsid w:val="009C43F9"/>
    <w:rsid w:val="009C46EF"/>
    <w:rsid w:val="009C5238"/>
    <w:rsid w:val="009C523D"/>
    <w:rsid w:val="009D12B4"/>
    <w:rsid w:val="009D1E70"/>
    <w:rsid w:val="009D2135"/>
    <w:rsid w:val="009D2446"/>
    <w:rsid w:val="009D2F2C"/>
    <w:rsid w:val="009D2FA7"/>
    <w:rsid w:val="009D4CAE"/>
    <w:rsid w:val="009D55F9"/>
    <w:rsid w:val="009D5A11"/>
    <w:rsid w:val="009D688B"/>
    <w:rsid w:val="009D7760"/>
    <w:rsid w:val="009E16E6"/>
    <w:rsid w:val="009E1ECE"/>
    <w:rsid w:val="009E2953"/>
    <w:rsid w:val="009E297D"/>
    <w:rsid w:val="009E30CE"/>
    <w:rsid w:val="009F04C3"/>
    <w:rsid w:val="009F0760"/>
    <w:rsid w:val="009F1F80"/>
    <w:rsid w:val="009F29CC"/>
    <w:rsid w:val="009F3B29"/>
    <w:rsid w:val="009F4860"/>
    <w:rsid w:val="009F78B1"/>
    <w:rsid w:val="00A00057"/>
    <w:rsid w:val="00A00485"/>
    <w:rsid w:val="00A0115C"/>
    <w:rsid w:val="00A015A8"/>
    <w:rsid w:val="00A01A5F"/>
    <w:rsid w:val="00A01FDA"/>
    <w:rsid w:val="00A02C96"/>
    <w:rsid w:val="00A02E31"/>
    <w:rsid w:val="00A02E65"/>
    <w:rsid w:val="00A0340A"/>
    <w:rsid w:val="00A03E0F"/>
    <w:rsid w:val="00A0440C"/>
    <w:rsid w:val="00A0585F"/>
    <w:rsid w:val="00A066EE"/>
    <w:rsid w:val="00A0694A"/>
    <w:rsid w:val="00A10A30"/>
    <w:rsid w:val="00A110ED"/>
    <w:rsid w:val="00A1137C"/>
    <w:rsid w:val="00A113D7"/>
    <w:rsid w:val="00A11F0F"/>
    <w:rsid w:val="00A16126"/>
    <w:rsid w:val="00A21CB2"/>
    <w:rsid w:val="00A21D26"/>
    <w:rsid w:val="00A24133"/>
    <w:rsid w:val="00A257BC"/>
    <w:rsid w:val="00A259E4"/>
    <w:rsid w:val="00A262BF"/>
    <w:rsid w:val="00A26A90"/>
    <w:rsid w:val="00A27006"/>
    <w:rsid w:val="00A27809"/>
    <w:rsid w:val="00A30533"/>
    <w:rsid w:val="00A317B0"/>
    <w:rsid w:val="00A324A4"/>
    <w:rsid w:val="00A32B9E"/>
    <w:rsid w:val="00A32F02"/>
    <w:rsid w:val="00A34591"/>
    <w:rsid w:val="00A34E44"/>
    <w:rsid w:val="00A35270"/>
    <w:rsid w:val="00A35BBA"/>
    <w:rsid w:val="00A3640F"/>
    <w:rsid w:val="00A36FD5"/>
    <w:rsid w:val="00A40CE2"/>
    <w:rsid w:val="00A4124E"/>
    <w:rsid w:val="00A4436A"/>
    <w:rsid w:val="00A47176"/>
    <w:rsid w:val="00A475C5"/>
    <w:rsid w:val="00A4768C"/>
    <w:rsid w:val="00A50A68"/>
    <w:rsid w:val="00A50D3B"/>
    <w:rsid w:val="00A518AA"/>
    <w:rsid w:val="00A52286"/>
    <w:rsid w:val="00A56348"/>
    <w:rsid w:val="00A56CEC"/>
    <w:rsid w:val="00A5703F"/>
    <w:rsid w:val="00A57D39"/>
    <w:rsid w:val="00A602CD"/>
    <w:rsid w:val="00A60335"/>
    <w:rsid w:val="00A612EB"/>
    <w:rsid w:val="00A6316B"/>
    <w:rsid w:val="00A64F7B"/>
    <w:rsid w:val="00A65316"/>
    <w:rsid w:val="00A674FF"/>
    <w:rsid w:val="00A70F69"/>
    <w:rsid w:val="00A72611"/>
    <w:rsid w:val="00A73ABB"/>
    <w:rsid w:val="00A76AB4"/>
    <w:rsid w:val="00A76D26"/>
    <w:rsid w:val="00A76D2C"/>
    <w:rsid w:val="00A77746"/>
    <w:rsid w:val="00A806AA"/>
    <w:rsid w:val="00A82AB0"/>
    <w:rsid w:val="00A83104"/>
    <w:rsid w:val="00A83BF6"/>
    <w:rsid w:val="00A846AE"/>
    <w:rsid w:val="00A84846"/>
    <w:rsid w:val="00A86AC2"/>
    <w:rsid w:val="00A87F31"/>
    <w:rsid w:val="00A90A3E"/>
    <w:rsid w:val="00A90D27"/>
    <w:rsid w:val="00A9103B"/>
    <w:rsid w:val="00A91284"/>
    <w:rsid w:val="00A918A7"/>
    <w:rsid w:val="00A924CF"/>
    <w:rsid w:val="00A926C4"/>
    <w:rsid w:val="00A92871"/>
    <w:rsid w:val="00A92F0E"/>
    <w:rsid w:val="00A94A38"/>
    <w:rsid w:val="00A94FCB"/>
    <w:rsid w:val="00A955EB"/>
    <w:rsid w:val="00A964CF"/>
    <w:rsid w:val="00AA0C49"/>
    <w:rsid w:val="00AA1EB0"/>
    <w:rsid w:val="00AA1F49"/>
    <w:rsid w:val="00AA399C"/>
    <w:rsid w:val="00AA3A2E"/>
    <w:rsid w:val="00AA4099"/>
    <w:rsid w:val="00AA444C"/>
    <w:rsid w:val="00AA6913"/>
    <w:rsid w:val="00AA7A8B"/>
    <w:rsid w:val="00AB0FB2"/>
    <w:rsid w:val="00AB0FE9"/>
    <w:rsid w:val="00AB2190"/>
    <w:rsid w:val="00AB39EB"/>
    <w:rsid w:val="00AB3F27"/>
    <w:rsid w:val="00AB3FD9"/>
    <w:rsid w:val="00AB4ABF"/>
    <w:rsid w:val="00AB7795"/>
    <w:rsid w:val="00AB7DE7"/>
    <w:rsid w:val="00AC1BE7"/>
    <w:rsid w:val="00AC275F"/>
    <w:rsid w:val="00AC2957"/>
    <w:rsid w:val="00AC495E"/>
    <w:rsid w:val="00AC50A4"/>
    <w:rsid w:val="00AC5A95"/>
    <w:rsid w:val="00AC6074"/>
    <w:rsid w:val="00AC6471"/>
    <w:rsid w:val="00AD1751"/>
    <w:rsid w:val="00AD2B6E"/>
    <w:rsid w:val="00AD3443"/>
    <w:rsid w:val="00AD47ED"/>
    <w:rsid w:val="00AD4B3C"/>
    <w:rsid w:val="00AD580F"/>
    <w:rsid w:val="00AD68A5"/>
    <w:rsid w:val="00AE00B9"/>
    <w:rsid w:val="00AE12F8"/>
    <w:rsid w:val="00AE185D"/>
    <w:rsid w:val="00AE1BFE"/>
    <w:rsid w:val="00AE3842"/>
    <w:rsid w:val="00AE3967"/>
    <w:rsid w:val="00AE3D83"/>
    <w:rsid w:val="00AE4374"/>
    <w:rsid w:val="00AE485C"/>
    <w:rsid w:val="00AE4AE7"/>
    <w:rsid w:val="00AE6257"/>
    <w:rsid w:val="00AE7D4F"/>
    <w:rsid w:val="00AE7FE4"/>
    <w:rsid w:val="00AF17D3"/>
    <w:rsid w:val="00AF1D77"/>
    <w:rsid w:val="00AF38BA"/>
    <w:rsid w:val="00AF41F8"/>
    <w:rsid w:val="00AF4E18"/>
    <w:rsid w:val="00AF4F67"/>
    <w:rsid w:val="00AF5043"/>
    <w:rsid w:val="00AF5811"/>
    <w:rsid w:val="00AF5D01"/>
    <w:rsid w:val="00AF6509"/>
    <w:rsid w:val="00AF749E"/>
    <w:rsid w:val="00AF7602"/>
    <w:rsid w:val="00B00583"/>
    <w:rsid w:val="00B00BBE"/>
    <w:rsid w:val="00B00C6B"/>
    <w:rsid w:val="00B0287B"/>
    <w:rsid w:val="00B03B0B"/>
    <w:rsid w:val="00B0456E"/>
    <w:rsid w:val="00B0651F"/>
    <w:rsid w:val="00B06A05"/>
    <w:rsid w:val="00B06BF6"/>
    <w:rsid w:val="00B06F7F"/>
    <w:rsid w:val="00B07395"/>
    <w:rsid w:val="00B074E0"/>
    <w:rsid w:val="00B100F0"/>
    <w:rsid w:val="00B10B2C"/>
    <w:rsid w:val="00B119AB"/>
    <w:rsid w:val="00B11DB2"/>
    <w:rsid w:val="00B1402E"/>
    <w:rsid w:val="00B14865"/>
    <w:rsid w:val="00B21715"/>
    <w:rsid w:val="00B21D50"/>
    <w:rsid w:val="00B22F9B"/>
    <w:rsid w:val="00B23747"/>
    <w:rsid w:val="00B24090"/>
    <w:rsid w:val="00B241D9"/>
    <w:rsid w:val="00B24DB1"/>
    <w:rsid w:val="00B257E3"/>
    <w:rsid w:val="00B260C7"/>
    <w:rsid w:val="00B27494"/>
    <w:rsid w:val="00B279B9"/>
    <w:rsid w:val="00B27BFD"/>
    <w:rsid w:val="00B34695"/>
    <w:rsid w:val="00B34E31"/>
    <w:rsid w:val="00B34F48"/>
    <w:rsid w:val="00B359F6"/>
    <w:rsid w:val="00B3602A"/>
    <w:rsid w:val="00B377B1"/>
    <w:rsid w:val="00B42407"/>
    <w:rsid w:val="00B44BB2"/>
    <w:rsid w:val="00B44CDD"/>
    <w:rsid w:val="00B51BA0"/>
    <w:rsid w:val="00B535BD"/>
    <w:rsid w:val="00B53701"/>
    <w:rsid w:val="00B56A26"/>
    <w:rsid w:val="00B6110A"/>
    <w:rsid w:val="00B6176A"/>
    <w:rsid w:val="00B6301A"/>
    <w:rsid w:val="00B63D4F"/>
    <w:rsid w:val="00B63E18"/>
    <w:rsid w:val="00B64CAD"/>
    <w:rsid w:val="00B658B4"/>
    <w:rsid w:val="00B6670D"/>
    <w:rsid w:val="00B66751"/>
    <w:rsid w:val="00B67AA6"/>
    <w:rsid w:val="00B7066C"/>
    <w:rsid w:val="00B717D8"/>
    <w:rsid w:val="00B72DF3"/>
    <w:rsid w:val="00B74146"/>
    <w:rsid w:val="00B74B0C"/>
    <w:rsid w:val="00B76F5A"/>
    <w:rsid w:val="00B76F6C"/>
    <w:rsid w:val="00B801BC"/>
    <w:rsid w:val="00B8080B"/>
    <w:rsid w:val="00B80937"/>
    <w:rsid w:val="00B811EF"/>
    <w:rsid w:val="00B82A32"/>
    <w:rsid w:val="00B846CE"/>
    <w:rsid w:val="00B86EF1"/>
    <w:rsid w:val="00B90674"/>
    <w:rsid w:val="00B90AC4"/>
    <w:rsid w:val="00B934E3"/>
    <w:rsid w:val="00B94323"/>
    <w:rsid w:val="00B949B6"/>
    <w:rsid w:val="00B94CD4"/>
    <w:rsid w:val="00B9566B"/>
    <w:rsid w:val="00B961B7"/>
    <w:rsid w:val="00B963D4"/>
    <w:rsid w:val="00B9772B"/>
    <w:rsid w:val="00BA2DEF"/>
    <w:rsid w:val="00BA37C1"/>
    <w:rsid w:val="00BA3D23"/>
    <w:rsid w:val="00BA42FB"/>
    <w:rsid w:val="00BA4768"/>
    <w:rsid w:val="00BA5112"/>
    <w:rsid w:val="00BA516F"/>
    <w:rsid w:val="00BA628C"/>
    <w:rsid w:val="00BA7059"/>
    <w:rsid w:val="00BB0051"/>
    <w:rsid w:val="00BB02C6"/>
    <w:rsid w:val="00BB1045"/>
    <w:rsid w:val="00BB1082"/>
    <w:rsid w:val="00BB136B"/>
    <w:rsid w:val="00BB2127"/>
    <w:rsid w:val="00BB3805"/>
    <w:rsid w:val="00BB38F5"/>
    <w:rsid w:val="00BB52A5"/>
    <w:rsid w:val="00BB6740"/>
    <w:rsid w:val="00BB68D5"/>
    <w:rsid w:val="00BB74E6"/>
    <w:rsid w:val="00BB7EA1"/>
    <w:rsid w:val="00BB7F81"/>
    <w:rsid w:val="00BC1F04"/>
    <w:rsid w:val="00BC269B"/>
    <w:rsid w:val="00BC272E"/>
    <w:rsid w:val="00BC27D2"/>
    <w:rsid w:val="00BC6A79"/>
    <w:rsid w:val="00BD221B"/>
    <w:rsid w:val="00BD253A"/>
    <w:rsid w:val="00BD2A00"/>
    <w:rsid w:val="00BD35E1"/>
    <w:rsid w:val="00BD54FC"/>
    <w:rsid w:val="00BD63C3"/>
    <w:rsid w:val="00BD67CE"/>
    <w:rsid w:val="00BD76A4"/>
    <w:rsid w:val="00BE1C8A"/>
    <w:rsid w:val="00BE3596"/>
    <w:rsid w:val="00BE46C5"/>
    <w:rsid w:val="00BE4857"/>
    <w:rsid w:val="00BE4E0C"/>
    <w:rsid w:val="00BE5847"/>
    <w:rsid w:val="00BE5BE0"/>
    <w:rsid w:val="00BE70E8"/>
    <w:rsid w:val="00BF0241"/>
    <w:rsid w:val="00BF0E76"/>
    <w:rsid w:val="00BF19DC"/>
    <w:rsid w:val="00BF2B3E"/>
    <w:rsid w:val="00BF2DAF"/>
    <w:rsid w:val="00BF2F0B"/>
    <w:rsid w:val="00BF4E1B"/>
    <w:rsid w:val="00BF5133"/>
    <w:rsid w:val="00BF5BE7"/>
    <w:rsid w:val="00BF6685"/>
    <w:rsid w:val="00C00D8D"/>
    <w:rsid w:val="00C03735"/>
    <w:rsid w:val="00C0480F"/>
    <w:rsid w:val="00C0501C"/>
    <w:rsid w:val="00C061B2"/>
    <w:rsid w:val="00C063AC"/>
    <w:rsid w:val="00C065A3"/>
    <w:rsid w:val="00C06B16"/>
    <w:rsid w:val="00C1043C"/>
    <w:rsid w:val="00C118AA"/>
    <w:rsid w:val="00C11E83"/>
    <w:rsid w:val="00C12A51"/>
    <w:rsid w:val="00C12CD1"/>
    <w:rsid w:val="00C1591E"/>
    <w:rsid w:val="00C15CA1"/>
    <w:rsid w:val="00C20D36"/>
    <w:rsid w:val="00C21038"/>
    <w:rsid w:val="00C2396B"/>
    <w:rsid w:val="00C23AE5"/>
    <w:rsid w:val="00C24076"/>
    <w:rsid w:val="00C25B85"/>
    <w:rsid w:val="00C25EF7"/>
    <w:rsid w:val="00C270FC"/>
    <w:rsid w:val="00C2746C"/>
    <w:rsid w:val="00C27489"/>
    <w:rsid w:val="00C27502"/>
    <w:rsid w:val="00C2785F"/>
    <w:rsid w:val="00C27AAD"/>
    <w:rsid w:val="00C30BA6"/>
    <w:rsid w:val="00C31467"/>
    <w:rsid w:val="00C32BAC"/>
    <w:rsid w:val="00C32CE3"/>
    <w:rsid w:val="00C336CE"/>
    <w:rsid w:val="00C33993"/>
    <w:rsid w:val="00C341E0"/>
    <w:rsid w:val="00C34CCB"/>
    <w:rsid w:val="00C34D57"/>
    <w:rsid w:val="00C35515"/>
    <w:rsid w:val="00C35807"/>
    <w:rsid w:val="00C35A40"/>
    <w:rsid w:val="00C35A4B"/>
    <w:rsid w:val="00C36696"/>
    <w:rsid w:val="00C36720"/>
    <w:rsid w:val="00C37518"/>
    <w:rsid w:val="00C37F00"/>
    <w:rsid w:val="00C41FBC"/>
    <w:rsid w:val="00C421C9"/>
    <w:rsid w:val="00C42A3A"/>
    <w:rsid w:val="00C442F6"/>
    <w:rsid w:val="00C4517F"/>
    <w:rsid w:val="00C45232"/>
    <w:rsid w:val="00C46E94"/>
    <w:rsid w:val="00C501F4"/>
    <w:rsid w:val="00C50818"/>
    <w:rsid w:val="00C5102B"/>
    <w:rsid w:val="00C52010"/>
    <w:rsid w:val="00C52BA5"/>
    <w:rsid w:val="00C53323"/>
    <w:rsid w:val="00C539A9"/>
    <w:rsid w:val="00C53D6A"/>
    <w:rsid w:val="00C54D8C"/>
    <w:rsid w:val="00C553A2"/>
    <w:rsid w:val="00C6254B"/>
    <w:rsid w:val="00C64A88"/>
    <w:rsid w:val="00C655AB"/>
    <w:rsid w:val="00C657CD"/>
    <w:rsid w:val="00C66CEF"/>
    <w:rsid w:val="00C670FE"/>
    <w:rsid w:val="00C6769A"/>
    <w:rsid w:val="00C67E65"/>
    <w:rsid w:val="00C70374"/>
    <w:rsid w:val="00C70CA4"/>
    <w:rsid w:val="00C71087"/>
    <w:rsid w:val="00C71943"/>
    <w:rsid w:val="00C71E3C"/>
    <w:rsid w:val="00C747CA"/>
    <w:rsid w:val="00C74CEB"/>
    <w:rsid w:val="00C75492"/>
    <w:rsid w:val="00C773A7"/>
    <w:rsid w:val="00C77C78"/>
    <w:rsid w:val="00C8146C"/>
    <w:rsid w:val="00C822B9"/>
    <w:rsid w:val="00C846DD"/>
    <w:rsid w:val="00C8500B"/>
    <w:rsid w:val="00C859FC"/>
    <w:rsid w:val="00C85AE2"/>
    <w:rsid w:val="00C85CA6"/>
    <w:rsid w:val="00C86324"/>
    <w:rsid w:val="00C86F04"/>
    <w:rsid w:val="00C9147E"/>
    <w:rsid w:val="00C925ED"/>
    <w:rsid w:val="00C9262B"/>
    <w:rsid w:val="00C92CC6"/>
    <w:rsid w:val="00C9339F"/>
    <w:rsid w:val="00C96A10"/>
    <w:rsid w:val="00C9753B"/>
    <w:rsid w:val="00CA03B6"/>
    <w:rsid w:val="00CA0C87"/>
    <w:rsid w:val="00CA19CD"/>
    <w:rsid w:val="00CA2B2C"/>
    <w:rsid w:val="00CA43C9"/>
    <w:rsid w:val="00CA4A62"/>
    <w:rsid w:val="00CA5045"/>
    <w:rsid w:val="00CA561E"/>
    <w:rsid w:val="00CA6505"/>
    <w:rsid w:val="00CA659E"/>
    <w:rsid w:val="00CB14D7"/>
    <w:rsid w:val="00CB23DD"/>
    <w:rsid w:val="00CB2757"/>
    <w:rsid w:val="00CB2FE7"/>
    <w:rsid w:val="00CB3B57"/>
    <w:rsid w:val="00CB42AE"/>
    <w:rsid w:val="00CB56C2"/>
    <w:rsid w:val="00CB6768"/>
    <w:rsid w:val="00CC17DB"/>
    <w:rsid w:val="00CC24AF"/>
    <w:rsid w:val="00CC2F01"/>
    <w:rsid w:val="00CC368B"/>
    <w:rsid w:val="00CC45E7"/>
    <w:rsid w:val="00CC4E9A"/>
    <w:rsid w:val="00CC63BF"/>
    <w:rsid w:val="00CC6453"/>
    <w:rsid w:val="00CC771F"/>
    <w:rsid w:val="00CD01C1"/>
    <w:rsid w:val="00CD2683"/>
    <w:rsid w:val="00CD2D8A"/>
    <w:rsid w:val="00CD31EA"/>
    <w:rsid w:val="00CD6866"/>
    <w:rsid w:val="00CD692F"/>
    <w:rsid w:val="00CE0392"/>
    <w:rsid w:val="00CE10E2"/>
    <w:rsid w:val="00CE2858"/>
    <w:rsid w:val="00CE5481"/>
    <w:rsid w:val="00CE5866"/>
    <w:rsid w:val="00CF0045"/>
    <w:rsid w:val="00CF08BC"/>
    <w:rsid w:val="00CF1355"/>
    <w:rsid w:val="00CF45BE"/>
    <w:rsid w:val="00CF47A8"/>
    <w:rsid w:val="00CF7194"/>
    <w:rsid w:val="00CF7C90"/>
    <w:rsid w:val="00CF7EA0"/>
    <w:rsid w:val="00D00600"/>
    <w:rsid w:val="00D0329F"/>
    <w:rsid w:val="00D0362C"/>
    <w:rsid w:val="00D04984"/>
    <w:rsid w:val="00D06299"/>
    <w:rsid w:val="00D0659B"/>
    <w:rsid w:val="00D1045D"/>
    <w:rsid w:val="00D10B8A"/>
    <w:rsid w:val="00D10C19"/>
    <w:rsid w:val="00D11D28"/>
    <w:rsid w:val="00D12977"/>
    <w:rsid w:val="00D133AA"/>
    <w:rsid w:val="00D13B0B"/>
    <w:rsid w:val="00D13CCF"/>
    <w:rsid w:val="00D14337"/>
    <w:rsid w:val="00D14CF7"/>
    <w:rsid w:val="00D1507D"/>
    <w:rsid w:val="00D153ED"/>
    <w:rsid w:val="00D15E67"/>
    <w:rsid w:val="00D20ABB"/>
    <w:rsid w:val="00D24AEE"/>
    <w:rsid w:val="00D26700"/>
    <w:rsid w:val="00D26A33"/>
    <w:rsid w:val="00D3073E"/>
    <w:rsid w:val="00D31676"/>
    <w:rsid w:val="00D316C8"/>
    <w:rsid w:val="00D3266B"/>
    <w:rsid w:val="00D337D5"/>
    <w:rsid w:val="00D34817"/>
    <w:rsid w:val="00D365BB"/>
    <w:rsid w:val="00D3795A"/>
    <w:rsid w:val="00D37AB5"/>
    <w:rsid w:val="00D4002F"/>
    <w:rsid w:val="00D40C74"/>
    <w:rsid w:val="00D42004"/>
    <w:rsid w:val="00D43282"/>
    <w:rsid w:val="00D43EA4"/>
    <w:rsid w:val="00D43FEC"/>
    <w:rsid w:val="00D44508"/>
    <w:rsid w:val="00D44EAF"/>
    <w:rsid w:val="00D464A8"/>
    <w:rsid w:val="00D47810"/>
    <w:rsid w:val="00D47D3F"/>
    <w:rsid w:val="00D507EC"/>
    <w:rsid w:val="00D5128E"/>
    <w:rsid w:val="00D51DA5"/>
    <w:rsid w:val="00D5200F"/>
    <w:rsid w:val="00D524C2"/>
    <w:rsid w:val="00D52C4E"/>
    <w:rsid w:val="00D52FD0"/>
    <w:rsid w:val="00D54385"/>
    <w:rsid w:val="00D57222"/>
    <w:rsid w:val="00D5765B"/>
    <w:rsid w:val="00D6259C"/>
    <w:rsid w:val="00D627A1"/>
    <w:rsid w:val="00D63B91"/>
    <w:rsid w:val="00D647AD"/>
    <w:rsid w:val="00D64A4A"/>
    <w:rsid w:val="00D64B78"/>
    <w:rsid w:val="00D64EE4"/>
    <w:rsid w:val="00D65DAC"/>
    <w:rsid w:val="00D660BD"/>
    <w:rsid w:val="00D6679C"/>
    <w:rsid w:val="00D679FA"/>
    <w:rsid w:val="00D67AB1"/>
    <w:rsid w:val="00D70271"/>
    <w:rsid w:val="00D73EE6"/>
    <w:rsid w:val="00D742D2"/>
    <w:rsid w:val="00D744DC"/>
    <w:rsid w:val="00D75CF7"/>
    <w:rsid w:val="00D75F59"/>
    <w:rsid w:val="00D776C3"/>
    <w:rsid w:val="00D80153"/>
    <w:rsid w:val="00D81AC7"/>
    <w:rsid w:val="00D81FB9"/>
    <w:rsid w:val="00D8253A"/>
    <w:rsid w:val="00D826A4"/>
    <w:rsid w:val="00D8495C"/>
    <w:rsid w:val="00D86737"/>
    <w:rsid w:val="00D8696A"/>
    <w:rsid w:val="00D9153B"/>
    <w:rsid w:val="00D93DB9"/>
    <w:rsid w:val="00D95903"/>
    <w:rsid w:val="00D95D78"/>
    <w:rsid w:val="00D95EF3"/>
    <w:rsid w:val="00D968CC"/>
    <w:rsid w:val="00DA0810"/>
    <w:rsid w:val="00DA1B43"/>
    <w:rsid w:val="00DA3FCB"/>
    <w:rsid w:val="00DA3FCE"/>
    <w:rsid w:val="00DA497D"/>
    <w:rsid w:val="00DB0C36"/>
    <w:rsid w:val="00DB39D7"/>
    <w:rsid w:val="00DB4203"/>
    <w:rsid w:val="00DB4B48"/>
    <w:rsid w:val="00DB5A0C"/>
    <w:rsid w:val="00DB7CA1"/>
    <w:rsid w:val="00DC13A2"/>
    <w:rsid w:val="00DC25DA"/>
    <w:rsid w:val="00DC4249"/>
    <w:rsid w:val="00DC45DB"/>
    <w:rsid w:val="00DC4C59"/>
    <w:rsid w:val="00DC5149"/>
    <w:rsid w:val="00DD1B88"/>
    <w:rsid w:val="00DD271A"/>
    <w:rsid w:val="00DD3C08"/>
    <w:rsid w:val="00DD463E"/>
    <w:rsid w:val="00DD4C4B"/>
    <w:rsid w:val="00DE0476"/>
    <w:rsid w:val="00DE095C"/>
    <w:rsid w:val="00DE0F52"/>
    <w:rsid w:val="00DE1DC6"/>
    <w:rsid w:val="00DE22B9"/>
    <w:rsid w:val="00DE2AAC"/>
    <w:rsid w:val="00DE3396"/>
    <w:rsid w:val="00DE62E9"/>
    <w:rsid w:val="00DE71FE"/>
    <w:rsid w:val="00DF1125"/>
    <w:rsid w:val="00DF27AC"/>
    <w:rsid w:val="00DF28E7"/>
    <w:rsid w:val="00DF399A"/>
    <w:rsid w:val="00DF5A05"/>
    <w:rsid w:val="00DF609F"/>
    <w:rsid w:val="00DF6280"/>
    <w:rsid w:val="00DF746C"/>
    <w:rsid w:val="00DF7B14"/>
    <w:rsid w:val="00E00009"/>
    <w:rsid w:val="00E0132E"/>
    <w:rsid w:val="00E01EF4"/>
    <w:rsid w:val="00E023F2"/>
    <w:rsid w:val="00E02CF2"/>
    <w:rsid w:val="00E04947"/>
    <w:rsid w:val="00E069F7"/>
    <w:rsid w:val="00E06C35"/>
    <w:rsid w:val="00E06C95"/>
    <w:rsid w:val="00E0710D"/>
    <w:rsid w:val="00E07F71"/>
    <w:rsid w:val="00E114D8"/>
    <w:rsid w:val="00E1212E"/>
    <w:rsid w:val="00E1347F"/>
    <w:rsid w:val="00E152B1"/>
    <w:rsid w:val="00E1621B"/>
    <w:rsid w:val="00E16C3A"/>
    <w:rsid w:val="00E2078A"/>
    <w:rsid w:val="00E20CF7"/>
    <w:rsid w:val="00E21114"/>
    <w:rsid w:val="00E21C21"/>
    <w:rsid w:val="00E22B84"/>
    <w:rsid w:val="00E24381"/>
    <w:rsid w:val="00E25CD2"/>
    <w:rsid w:val="00E26045"/>
    <w:rsid w:val="00E26BDB"/>
    <w:rsid w:val="00E26E1A"/>
    <w:rsid w:val="00E27304"/>
    <w:rsid w:val="00E3032D"/>
    <w:rsid w:val="00E30D12"/>
    <w:rsid w:val="00E337F5"/>
    <w:rsid w:val="00E339E4"/>
    <w:rsid w:val="00E33B1E"/>
    <w:rsid w:val="00E34EBC"/>
    <w:rsid w:val="00E37211"/>
    <w:rsid w:val="00E375FE"/>
    <w:rsid w:val="00E37848"/>
    <w:rsid w:val="00E4034D"/>
    <w:rsid w:val="00E404B3"/>
    <w:rsid w:val="00E41EE7"/>
    <w:rsid w:val="00E42084"/>
    <w:rsid w:val="00E42D79"/>
    <w:rsid w:val="00E43053"/>
    <w:rsid w:val="00E44854"/>
    <w:rsid w:val="00E45894"/>
    <w:rsid w:val="00E4621E"/>
    <w:rsid w:val="00E470DE"/>
    <w:rsid w:val="00E50CED"/>
    <w:rsid w:val="00E54A54"/>
    <w:rsid w:val="00E55808"/>
    <w:rsid w:val="00E559EA"/>
    <w:rsid w:val="00E565DE"/>
    <w:rsid w:val="00E5696D"/>
    <w:rsid w:val="00E56E45"/>
    <w:rsid w:val="00E6161C"/>
    <w:rsid w:val="00E62DEC"/>
    <w:rsid w:val="00E62EDA"/>
    <w:rsid w:val="00E63233"/>
    <w:rsid w:val="00E638D0"/>
    <w:rsid w:val="00E638DC"/>
    <w:rsid w:val="00E63FDF"/>
    <w:rsid w:val="00E65F8A"/>
    <w:rsid w:val="00E66ECB"/>
    <w:rsid w:val="00E67486"/>
    <w:rsid w:val="00E67F2B"/>
    <w:rsid w:val="00E71047"/>
    <w:rsid w:val="00E71682"/>
    <w:rsid w:val="00E727CE"/>
    <w:rsid w:val="00E749E1"/>
    <w:rsid w:val="00E76209"/>
    <w:rsid w:val="00E77452"/>
    <w:rsid w:val="00E8007A"/>
    <w:rsid w:val="00E80578"/>
    <w:rsid w:val="00E808A3"/>
    <w:rsid w:val="00E80B43"/>
    <w:rsid w:val="00E833CB"/>
    <w:rsid w:val="00E83995"/>
    <w:rsid w:val="00E83CBA"/>
    <w:rsid w:val="00E83D2E"/>
    <w:rsid w:val="00E83FB2"/>
    <w:rsid w:val="00E8520F"/>
    <w:rsid w:val="00E90615"/>
    <w:rsid w:val="00E90F9A"/>
    <w:rsid w:val="00E91981"/>
    <w:rsid w:val="00E91FE0"/>
    <w:rsid w:val="00E93CE5"/>
    <w:rsid w:val="00E949F9"/>
    <w:rsid w:val="00E95AC2"/>
    <w:rsid w:val="00E97167"/>
    <w:rsid w:val="00E973ED"/>
    <w:rsid w:val="00E97DBB"/>
    <w:rsid w:val="00EA0169"/>
    <w:rsid w:val="00EA0615"/>
    <w:rsid w:val="00EA06E2"/>
    <w:rsid w:val="00EA3147"/>
    <w:rsid w:val="00EA3781"/>
    <w:rsid w:val="00EA5023"/>
    <w:rsid w:val="00EA5E90"/>
    <w:rsid w:val="00EA7061"/>
    <w:rsid w:val="00EA76D3"/>
    <w:rsid w:val="00EA7EF2"/>
    <w:rsid w:val="00EB02B1"/>
    <w:rsid w:val="00EB09D3"/>
    <w:rsid w:val="00EB13FE"/>
    <w:rsid w:val="00EB254B"/>
    <w:rsid w:val="00EB39F1"/>
    <w:rsid w:val="00EB472E"/>
    <w:rsid w:val="00EB49FD"/>
    <w:rsid w:val="00EB5434"/>
    <w:rsid w:val="00EB59C1"/>
    <w:rsid w:val="00EB5D6C"/>
    <w:rsid w:val="00EB6A9B"/>
    <w:rsid w:val="00EB76D6"/>
    <w:rsid w:val="00EC0178"/>
    <w:rsid w:val="00EC049F"/>
    <w:rsid w:val="00EC0C8F"/>
    <w:rsid w:val="00EC15C8"/>
    <w:rsid w:val="00EC20BC"/>
    <w:rsid w:val="00EC3678"/>
    <w:rsid w:val="00EC379E"/>
    <w:rsid w:val="00ED024E"/>
    <w:rsid w:val="00ED0314"/>
    <w:rsid w:val="00ED194C"/>
    <w:rsid w:val="00ED270C"/>
    <w:rsid w:val="00ED2C26"/>
    <w:rsid w:val="00ED3898"/>
    <w:rsid w:val="00ED3B5A"/>
    <w:rsid w:val="00ED54D7"/>
    <w:rsid w:val="00ED5EC2"/>
    <w:rsid w:val="00ED6CFD"/>
    <w:rsid w:val="00EE0DF2"/>
    <w:rsid w:val="00EE1618"/>
    <w:rsid w:val="00EE21DD"/>
    <w:rsid w:val="00EE38A0"/>
    <w:rsid w:val="00EE56DF"/>
    <w:rsid w:val="00EE5EB2"/>
    <w:rsid w:val="00EF1A24"/>
    <w:rsid w:val="00EF1BF1"/>
    <w:rsid w:val="00EF201F"/>
    <w:rsid w:val="00EF2D7B"/>
    <w:rsid w:val="00EF71E1"/>
    <w:rsid w:val="00F01BD5"/>
    <w:rsid w:val="00F0264E"/>
    <w:rsid w:val="00F04140"/>
    <w:rsid w:val="00F05EAF"/>
    <w:rsid w:val="00F06D7C"/>
    <w:rsid w:val="00F10435"/>
    <w:rsid w:val="00F1049D"/>
    <w:rsid w:val="00F10A22"/>
    <w:rsid w:val="00F10EB1"/>
    <w:rsid w:val="00F119F0"/>
    <w:rsid w:val="00F147FD"/>
    <w:rsid w:val="00F15FC1"/>
    <w:rsid w:val="00F16854"/>
    <w:rsid w:val="00F17762"/>
    <w:rsid w:val="00F17FB3"/>
    <w:rsid w:val="00F2289C"/>
    <w:rsid w:val="00F23C5A"/>
    <w:rsid w:val="00F23E91"/>
    <w:rsid w:val="00F23FFA"/>
    <w:rsid w:val="00F259DE"/>
    <w:rsid w:val="00F2688F"/>
    <w:rsid w:val="00F26B62"/>
    <w:rsid w:val="00F26BD0"/>
    <w:rsid w:val="00F277D4"/>
    <w:rsid w:val="00F31104"/>
    <w:rsid w:val="00F320BC"/>
    <w:rsid w:val="00F33E65"/>
    <w:rsid w:val="00F343C8"/>
    <w:rsid w:val="00F347D6"/>
    <w:rsid w:val="00F34E93"/>
    <w:rsid w:val="00F35002"/>
    <w:rsid w:val="00F36891"/>
    <w:rsid w:val="00F37DC5"/>
    <w:rsid w:val="00F4474B"/>
    <w:rsid w:val="00F44F75"/>
    <w:rsid w:val="00F45423"/>
    <w:rsid w:val="00F45944"/>
    <w:rsid w:val="00F45D40"/>
    <w:rsid w:val="00F513E5"/>
    <w:rsid w:val="00F5219B"/>
    <w:rsid w:val="00F53138"/>
    <w:rsid w:val="00F534C0"/>
    <w:rsid w:val="00F54930"/>
    <w:rsid w:val="00F55103"/>
    <w:rsid w:val="00F5523B"/>
    <w:rsid w:val="00F57C3A"/>
    <w:rsid w:val="00F623B6"/>
    <w:rsid w:val="00F6280F"/>
    <w:rsid w:val="00F62819"/>
    <w:rsid w:val="00F62D31"/>
    <w:rsid w:val="00F6394B"/>
    <w:rsid w:val="00F64E20"/>
    <w:rsid w:val="00F65799"/>
    <w:rsid w:val="00F6653B"/>
    <w:rsid w:val="00F66EC6"/>
    <w:rsid w:val="00F705B3"/>
    <w:rsid w:val="00F708D9"/>
    <w:rsid w:val="00F71549"/>
    <w:rsid w:val="00F720FB"/>
    <w:rsid w:val="00F721C2"/>
    <w:rsid w:val="00F737A4"/>
    <w:rsid w:val="00F73905"/>
    <w:rsid w:val="00F739ED"/>
    <w:rsid w:val="00F75492"/>
    <w:rsid w:val="00F80151"/>
    <w:rsid w:val="00F80602"/>
    <w:rsid w:val="00F81376"/>
    <w:rsid w:val="00F82362"/>
    <w:rsid w:val="00F84C20"/>
    <w:rsid w:val="00F85001"/>
    <w:rsid w:val="00F85393"/>
    <w:rsid w:val="00F868D9"/>
    <w:rsid w:val="00F90CEC"/>
    <w:rsid w:val="00F91908"/>
    <w:rsid w:val="00F92021"/>
    <w:rsid w:val="00F92112"/>
    <w:rsid w:val="00F9230A"/>
    <w:rsid w:val="00F92366"/>
    <w:rsid w:val="00F92753"/>
    <w:rsid w:val="00F94B13"/>
    <w:rsid w:val="00F9598E"/>
    <w:rsid w:val="00F95C5F"/>
    <w:rsid w:val="00F968D9"/>
    <w:rsid w:val="00F96B32"/>
    <w:rsid w:val="00F9735A"/>
    <w:rsid w:val="00FA0EF3"/>
    <w:rsid w:val="00FA3A94"/>
    <w:rsid w:val="00FA42F4"/>
    <w:rsid w:val="00FA5020"/>
    <w:rsid w:val="00FA6502"/>
    <w:rsid w:val="00FB05F4"/>
    <w:rsid w:val="00FB0730"/>
    <w:rsid w:val="00FB0BC1"/>
    <w:rsid w:val="00FB14A0"/>
    <w:rsid w:val="00FB4308"/>
    <w:rsid w:val="00FB4E4A"/>
    <w:rsid w:val="00FB6D3A"/>
    <w:rsid w:val="00FB7924"/>
    <w:rsid w:val="00FB7F35"/>
    <w:rsid w:val="00FC11D6"/>
    <w:rsid w:val="00FC3941"/>
    <w:rsid w:val="00FC3CF7"/>
    <w:rsid w:val="00FC48DD"/>
    <w:rsid w:val="00FC569E"/>
    <w:rsid w:val="00FC67E5"/>
    <w:rsid w:val="00FC6BFF"/>
    <w:rsid w:val="00FC7D7F"/>
    <w:rsid w:val="00FD04EB"/>
    <w:rsid w:val="00FD0C41"/>
    <w:rsid w:val="00FD1014"/>
    <w:rsid w:val="00FD1036"/>
    <w:rsid w:val="00FD131D"/>
    <w:rsid w:val="00FD3F13"/>
    <w:rsid w:val="00FD5177"/>
    <w:rsid w:val="00FD6D28"/>
    <w:rsid w:val="00FE3480"/>
    <w:rsid w:val="00FE35E1"/>
    <w:rsid w:val="00FE3F3C"/>
    <w:rsid w:val="00FE6D86"/>
    <w:rsid w:val="00FF0DA7"/>
    <w:rsid w:val="00FF1AAE"/>
    <w:rsid w:val="00FF1CF9"/>
    <w:rsid w:val="00FF3276"/>
    <w:rsid w:val="00FF4319"/>
    <w:rsid w:val="00FF5B26"/>
    <w:rsid w:val="00FF69CB"/>
    <w:rsid w:val="00FF7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29FB70"/>
  <w15:docId w15:val="{7DCA2924-587F-4979-A9F6-2DA06CFD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basedOn w:val="Normal"/>
    <w:link w:val="FootnoteTextChar"/>
    <w:uiPriority w:val="99"/>
    <w:semiHidden/>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uiPriority w:val="99"/>
    <w:semiHidden/>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uiPriority w:val="99"/>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basedOn w:val="DefaultParagraphFont"/>
    <w:link w:val="FootnoteText"/>
    <w:uiPriority w:val="99"/>
    <w:semiHidden/>
    <w:rsid w:val="00D6679C"/>
    <w:rPr>
      <w:rFonts w:ascii="Courier" w:hAnsi="Courier"/>
      <w:lang w:val="en-US" w:eastAsia="en-US"/>
    </w:rPr>
  </w:style>
  <w:style w:type="character" w:customStyle="1" w:styleId="ListParagraphChar">
    <w:name w:val="List Paragraph Char"/>
    <w:aliases w:val="List Paragraph (numbered (a)) Char"/>
    <w:link w:val="ListParagraph"/>
    <w:uiPriority w:val="34"/>
    <w:locked/>
    <w:rsid w:val="009A4543"/>
    <w:rPr>
      <w:lang w:val="en-US" w:eastAsia="en-US"/>
    </w:rPr>
  </w:style>
  <w:style w:type="paragraph" w:styleId="Revision">
    <w:name w:val="Revision"/>
    <w:hidden/>
    <w:uiPriority w:val="99"/>
    <w:semiHidden/>
    <w:rsid w:val="0050228C"/>
    <w:rPr>
      <w:lang w:val="en-US" w:eastAsia="en-US"/>
    </w:rPr>
  </w:style>
  <w:style w:type="paragraph" w:styleId="EndnoteText">
    <w:name w:val="endnote text"/>
    <w:basedOn w:val="Normal"/>
    <w:link w:val="EndnoteTextChar"/>
    <w:semiHidden/>
    <w:unhideWhenUsed/>
    <w:rsid w:val="006E0F11"/>
  </w:style>
  <w:style w:type="character" w:customStyle="1" w:styleId="EndnoteTextChar">
    <w:name w:val="Endnote Text Char"/>
    <w:basedOn w:val="DefaultParagraphFont"/>
    <w:link w:val="EndnoteText"/>
    <w:semiHidden/>
    <w:rsid w:val="006E0F11"/>
    <w:rPr>
      <w:lang w:val="en-US" w:eastAsia="en-US"/>
    </w:rPr>
  </w:style>
  <w:style w:type="character" w:styleId="EndnoteReference">
    <w:name w:val="endnote reference"/>
    <w:basedOn w:val="DefaultParagraphFont"/>
    <w:semiHidden/>
    <w:unhideWhenUsed/>
    <w:rsid w:val="006E0F11"/>
    <w:rPr>
      <w:vertAlign w:val="superscript"/>
    </w:rPr>
  </w:style>
  <w:style w:type="character" w:styleId="FollowedHyperlink">
    <w:name w:val="FollowedHyperlink"/>
    <w:basedOn w:val="DefaultParagraphFont"/>
    <w:semiHidden/>
    <w:unhideWhenUsed/>
    <w:rsid w:val="000271BD"/>
    <w:rPr>
      <w:color w:val="800080" w:themeColor="followedHyperlink"/>
      <w:u w:val="single"/>
    </w:rPr>
  </w:style>
  <w:style w:type="table" w:customStyle="1" w:styleId="DefaultTable">
    <w:name w:val="Default Table"/>
    <w:rsid w:val="00D26700"/>
    <w:rPr>
      <w:rFonts w:eastAsia="Batang"/>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3">
    <w:name w:val="ParaAttribute3"/>
    <w:rsid w:val="00D26700"/>
    <w:pPr>
      <w:wordWrap w:val="0"/>
    </w:pPr>
    <w:rPr>
      <w:rFonts w:eastAsia="Batang"/>
      <w:lang w:val="es-ES" w:eastAsia="es-ES"/>
    </w:rPr>
  </w:style>
  <w:style w:type="character" w:customStyle="1" w:styleId="CharAttribute1">
    <w:name w:val="CharAttribute1"/>
    <w:rsid w:val="00D26700"/>
    <w:rPr>
      <w:rFonts w:ascii="Calibri" w:eastAsia="Calibri"/>
      <w:sz w:val="22"/>
    </w:rPr>
  </w:style>
  <w:style w:type="character" w:customStyle="1" w:styleId="apple-converted-space">
    <w:name w:val="apple-converted-space"/>
    <w:basedOn w:val="DefaultParagraphFont"/>
    <w:rsid w:val="00992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85561014">
      <w:bodyDiv w:val="1"/>
      <w:marLeft w:val="0"/>
      <w:marRight w:val="0"/>
      <w:marTop w:val="0"/>
      <w:marBottom w:val="0"/>
      <w:divBdr>
        <w:top w:val="none" w:sz="0" w:space="0" w:color="auto"/>
        <w:left w:val="none" w:sz="0" w:space="0" w:color="auto"/>
        <w:bottom w:val="none" w:sz="0" w:space="0" w:color="auto"/>
        <w:right w:val="none" w:sz="0" w:space="0" w:color="auto"/>
      </w:divBdr>
    </w:div>
    <w:div w:id="218903825">
      <w:bodyDiv w:val="1"/>
      <w:marLeft w:val="0"/>
      <w:marRight w:val="0"/>
      <w:marTop w:val="0"/>
      <w:marBottom w:val="0"/>
      <w:divBdr>
        <w:top w:val="none" w:sz="0" w:space="0" w:color="auto"/>
        <w:left w:val="none" w:sz="0" w:space="0" w:color="auto"/>
        <w:bottom w:val="none" w:sz="0" w:space="0" w:color="auto"/>
        <w:right w:val="none" w:sz="0" w:space="0" w:color="auto"/>
      </w:divBdr>
    </w:div>
    <w:div w:id="342828278">
      <w:bodyDiv w:val="1"/>
      <w:marLeft w:val="0"/>
      <w:marRight w:val="0"/>
      <w:marTop w:val="0"/>
      <w:marBottom w:val="0"/>
      <w:divBdr>
        <w:top w:val="none" w:sz="0" w:space="0" w:color="auto"/>
        <w:left w:val="none" w:sz="0" w:space="0" w:color="auto"/>
        <w:bottom w:val="none" w:sz="0" w:space="0" w:color="auto"/>
        <w:right w:val="none" w:sz="0" w:space="0" w:color="auto"/>
      </w:divBdr>
    </w:div>
    <w:div w:id="471144578">
      <w:bodyDiv w:val="1"/>
      <w:marLeft w:val="0"/>
      <w:marRight w:val="0"/>
      <w:marTop w:val="0"/>
      <w:marBottom w:val="0"/>
      <w:divBdr>
        <w:top w:val="none" w:sz="0" w:space="0" w:color="auto"/>
        <w:left w:val="none" w:sz="0" w:space="0" w:color="auto"/>
        <w:bottom w:val="none" w:sz="0" w:space="0" w:color="auto"/>
        <w:right w:val="none" w:sz="0" w:space="0" w:color="auto"/>
      </w:divBdr>
    </w:div>
    <w:div w:id="510025456">
      <w:bodyDiv w:val="1"/>
      <w:marLeft w:val="0"/>
      <w:marRight w:val="0"/>
      <w:marTop w:val="0"/>
      <w:marBottom w:val="0"/>
      <w:divBdr>
        <w:top w:val="none" w:sz="0" w:space="0" w:color="auto"/>
        <w:left w:val="none" w:sz="0" w:space="0" w:color="auto"/>
        <w:bottom w:val="none" w:sz="0" w:space="0" w:color="auto"/>
        <w:right w:val="none" w:sz="0" w:space="0" w:color="auto"/>
      </w:divBdr>
    </w:div>
    <w:div w:id="516114998">
      <w:bodyDiv w:val="1"/>
      <w:marLeft w:val="0"/>
      <w:marRight w:val="0"/>
      <w:marTop w:val="0"/>
      <w:marBottom w:val="0"/>
      <w:divBdr>
        <w:top w:val="none" w:sz="0" w:space="0" w:color="auto"/>
        <w:left w:val="none" w:sz="0" w:space="0" w:color="auto"/>
        <w:bottom w:val="none" w:sz="0" w:space="0" w:color="auto"/>
        <w:right w:val="none" w:sz="0" w:space="0" w:color="auto"/>
      </w:divBdr>
    </w:div>
    <w:div w:id="547494405">
      <w:bodyDiv w:val="1"/>
      <w:marLeft w:val="0"/>
      <w:marRight w:val="0"/>
      <w:marTop w:val="0"/>
      <w:marBottom w:val="0"/>
      <w:divBdr>
        <w:top w:val="none" w:sz="0" w:space="0" w:color="auto"/>
        <w:left w:val="none" w:sz="0" w:space="0" w:color="auto"/>
        <w:bottom w:val="none" w:sz="0" w:space="0" w:color="auto"/>
        <w:right w:val="none" w:sz="0" w:space="0" w:color="auto"/>
      </w:divBdr>
    </w:div>
    <w:div w:id="820773274">
      <w:bodyDiv w:val="1"/>
      <w:marLeft w:val="0"/>
      <w:marRight w:val="0"/>
      <w:marTop w:val="0"/>
      <w:marBottom w:val="0"/>
      <w:divBdr>
        <w:top w:val="none" w:sz="0" w:space="0" w:color="auto"/>
        <w:left w:val="none" w:sz="0" w:space="0" w:color="auto"/>
        <w:bottom w:val="none" w:sz="0" w:space="0" w:color="auto"/>
        <w:right w:val="none" w:sz="0" w:space="0" w:color="auto"/>
      </w:divBdr>
    </w:div>
    <w:div w:id="876772387">
      <w:bodyDiv w:val="1"/>
      <w:marLeft w:val="0"/>
      <w:marRight w:val="0"/>
      <w:marTop w:val="0"/>
      <w:marBottom w:val="0"/>
      <w:divBdr>
        <w:top w:val="none" w:sz="0" w:space="0" w:color="auto"/>
        <w:left w:val="none" w:sz="0" w:space="0" w:color="auto"/>
        <w:bottom w:val="none" w:sz="0" w:space="0" w:color="auto"/>
        <w:right w:val="none" w:sz="0" w:space="0" w:color="auto"/>
      </w:divBdr>
    </w:div>
    <w:div w:id="881284752">
      <w:bodyDiv w:val="1"/>
      <w:marLeft w:val="0"/>
      <w:marRight w:val="0"/>
      <w:marTop w:val="0"/>
      <w:marBottom w:val="0"/>
      <w:divBdr>
        <w:top w:val="none" w:sz="0" w:space="0" w:color="auto"/>
        <w:left w:val="none" w:sz="0" w:space="0" w:color="auto"/>
        <w:bottom w:val="none" w:sz="0" w:space="0" w:color="auto"/>
        <w:right w:val="none" w:sz="0" w:space="0" w:color="auto"/>
      </w:divBdr>
    </w:div>
    <w:div w:id="977881701">
      <w:bodyDiv w:val="1"/>
      <w:marLeft w:val="0"/>
      <w:marRight w:val="0"/>
      <w:marTop w:val="0"/>
      <w:marBottom w:val="0"/>
      <w:divBdr>
        <w:top w:val="none" w:sz="0" w:space="0" w:color="auto"/>
        <w:left w:val="none" w:sz="0" w:space="0" w:color="auto"/>
        <w:bottom w:val="none" w:sz="0" w:space="0" w:color="auto"/>
        <w:right w:val="none" w:sz="0" w:space="0" w:color="auto"/>
      </w:divBdr>
    </w:div>
    <w:div w:id="1002001972">
      <w:bodyDiv w:val="1"/>
      <w:marLeft w:val="0"/>
      <w:marRight w:val="0"/>
      <w:marTop w:val="0"/>
      <w:marBottom w:val="0"/>
      <w:divBdr>
        <w:top w:val="none" w:sz="0" w:space="0" w:color="auto"/>
        <w:left w:val="none" w:sz="0" w:space="0" w:color="auto"/>
        <w:bottom w:val="none" w:sz="0" w:space="0" w:color="auto"/>
        <w:right w:val="none" w:sz="0" w:space="0" w:color="auto"/>
      </w:divBdr>
    </w:div>
    <w:div w:id="1058551856">
      <w:bodyDiv w:val="1"/>
      <w:marLeft w:val="0"/>
      <w:marRight w:val="0"/>
      <w:marTop w:val="0"/>
      <w:marBottom w:val="0"/>
      <w:divBdr>
        <w:top w:val="none" w:sz="0" w:space="0" w:color="auto"/>
        <w:left w:val="none" w:sz="0" w:space="0" w:color="auto"/>
        <w:bottom w:val="none" w:sz="0" w:space="0" w:color="auto"/>
        <w:right w:val="none" w:sz="0" w:space="0" w:color="auto"/>
      </w:divBdr>
    </w:div>
    <w:div w:id="1144080232">
      <w:bodyDiv w:val="1"/>
      <w:marLeft w:val="0"/>
      <w:marRight w:val="0"/>
      <w:marTop w:val="0"/>
      <w:marBottom w:val="0"/>
      <w:divBdr>
        <w:top w:val="none" w:sz="0" w:space="0" w:color="auto"/>
        <w:left w:val="none" w:sz="0" w:space="0" w:color="auto"/>
        <w:bottom w:val="none" w:sz="0" w:space="0" w:color="auto"/>
        <w:right w:val="none" w:sz="0" w:space="0" w:color="auto"/>
      </w:divBdr>
    </w:div>
    <w:div w:id="1203442010">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438060671">
      <w:bodyDiv w:val="1"/>
      <w:marLeft w:val="0"/>
      <w:marRight w:val="0"/>
      <w:marTop w:val="0"/>
      <w:marBottom w:val="0"/>
      <w:divBdr>
        <w:top w:val="none" w:sz="0" w:space="0" w:color="auto"/>
        <w:left w:val="none" w:sz="0" w:space="0" w:color="auto"/>
        <w:bottom w:val="none" w:sz="0" w:space="0" w:color="auto"/>
        <w:right w:val="none" w:sz="0" w:space="0" w:color="auto"/>
      </w:divBdr>
      <w:divsChild>
        <w:div w:id="960501370">
          <w:marLeft w:val="0"/>
          <w:marRight w:val="0"/>
          <w:marTop w:val="0"/>
          <w:marBottom w:val="0"/>
          <w:divBdr>
            <w:top w:val="none" w:sz="0" w:space="0" w:color="auto"/>
            <w:left w:val="none" w:sz="0" w:space="0" w:color="auto"/>
            <w:bottom w:val="none" w:sz="0" w:space="0" w:color="auto"/>
            <w:right w:val="none" w:sz="0" w:space="0" w:color="auto"/>
          </w:divBdr>
          <w:divsChild>
            <w:div w:id="274800480">
              <w:marLeft w:val="0"/>
              <w:marRight w:val="0"/>
              <w:marTop w:val="0"/>
              <w:marBottom w:val="0"/>
              <w:divBdr>
                <w:top w:val="none" w:sz="0" w:space="0" w:color="auto"/>
                <w:left w:val="none" w:sz="0" w:space="0" w:color="auto"/>
                <w:bottom w:val="none" w:sz="0" w:space="0" w:color="auto"/>
                <w:right w:val="none" w:sz="0" w:space="0" w:color="auto"/>
              </w:divBdr>
            </w:div>
            <w:div w:id="787697828">
              <w:marLeft w:val="0"/>
              <w:marRight w:val="0"/>
              <w:marTop w:val="0"/>
              <w:marBottom w:val="0"/>
              <w:divBdr>
                <w:top w:val="none" w:sz="0" w:space="0" w:color="auto"/>
                <w:left w:val="none" w:sz="0" w:space="0" w:color="auto"/>
                <w:bottom w:val="none" w:sz="0" w:space="0" w:color="auto"/>
                <w:right w:val="none" w:sz="0" w:space="0" w:color="auto"/>
              </w:divBdr>
            </w:div>
            <w:div w:id="1157726032">
              <w:marLeft w:val="0"/>
              <w:marRight w:val="0"/>
              <w:marTop w:val="0"/>
              <w:marBottom w:val="0"/>
              <w:divBdr>
                <w:top w:val="none" w:sz="0" w:space="0" w:color="auto"/>
                <w:left w:val="none" w:sz="0" w:space="0" w:color="auto"/>
                <w:bottom w:val="none" w:sz="0" w:space="0" w:color="auto"/>
                <w:right w:val="none" w:sz="0" w:space="0" w:color="auto"/>
              </w:divBdr>
            </w:div>
            <w:div w:id="1486241853">
              <w:marLeft w:val="0"/>
              <w:marRight w:val="0"/>
              <w:marTop w:val="0"/>
              <w:marBottom w:val="0"/>
              <w:divBdr>
                <w:top w:val="none" w:sz="0" w:space="0" w:color="auto"/>
                <w:left w:val="none" w:sz="0" w:space="0" w:color="auto"/>
                <w:bottom w:val="none" w:sz="0" w:space="0" w:color="auto"/>
                <w:right w:val="none" w:sz="0" w:space="0" w:color="auto"/>
              </w:divBdr>
            </w:div>
            <w:div w:id="15515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8433">
      <w:bodyDiv w:val="1"/>
      <w:marLeft w:val="0"/>
      <w:marRight w:val="0"/>
      <w:marTop w:val="0"/>
      <w:marBottom w:val="0"/>
      <w:divBdr>
        <w:top w:val="none" w:sz="0" w:space="0" w:color="auto"/>
        <w:left w:val="none" w:sz="0" w:space="0" w:color="auto"/>
        <w:bottom w:val="none" w:sz="0" w:space="0" w:color="auto"/>
        <w:right w:val="none" w:sz="0" w:space="0" w:color="auto"/>
      </w:divBdr>
    </w:div>
    <w:div w:id="1516504838">
      <w:bodyDiv w:val="1"/>
      <w:marLeft w:val="0"/>
      <w:marRight w:val="0"/>
      <w:marTop w:val="0"/>
      <w:marBottom w:val="0"/>
      <w:divBdr>
        <w:top w:val="none" w:sz="0" w:space="0" w:color="auto"/>
        <w:left w:val="none" w:sz="0" w:space="0" w:color="auto"/>
        <w:bottom w:val="none" w:sz="0" w:space="0" w:color="auto"/>
        <w:right w:val="none" w:sz="0" w:space="0" w:color="auto"/>
      </w:divBdr>
    </w:div>
    <w:div w:id="1794862109">
      <w:bodyDiv w:val="1"/>
      <w:marLeft w:val="0"/>
      <w:marRight w:val="0"/>
      <w:marTop w:val="0"/>
      <w:marBottom w:val="0"/>
      <w:divBdr>
        <w:top w:val="none" w:sz="0" w:space="0" w:color="auto"/>
        <w:left w:val="none" w:sz="0" w:space="0" w:color="auto"/>
        <w:bottom w:val="none" w:sz="0" w:space="0" w:color="auto"/>
        <w:right w:val="none" w:sz="0" w:space="0" w:color="auto"/>
      </w:divBdr>
    </w:div>
    <w:div w:id="1809394339">
      <w:bodyDiv w:val="1"/>
      <w:marLeft w:val="0"/>
      <w:marRight w:val="0"/>
      <w:marTop w:val="0"/>
      <w:marBottom w:val="0"/>
      <w:divBdr>
        <w:top w:val="none" w:sz="0" w:space="0" w:color="auto"/>
        <w:left w:val="none" w:sz="0" w:space="0" w:color="auto"/>
        <w:bottom w:val="none" w:sz="0" w:space="0" w:color="auto"/>
        <w:right w:val="none" w:sz="0" w:space="0" w:color="auto"/>
      </w:divBdr>
    </w:div>
    <w:div w:id="1814784648">
      <w:bodyDiv w:val="1"/>
      <w:marLeft w:val="0"/>
      <w:marRight w:val="0"/>
      <w:marTop w:val="0"/>
      <w:marBottom w:val="0"/>
      <w:divBdr>
        <w:top w:val="none" w:sz="0" w:space="0" w:color="auto"/>
        <w:left w:val="none" w:sz="0" w:space="0" w:color="auto"/>
        <w:bottom w:val="none" w:sz="0" w:space="0" w:color="auto"/>
        <w:right w:val="none" w:sz="0" w:space="0" w:color="auto"/>
      </w:divBdr>
    </w:div>
    <w:div w:id="1835366791">
      <w:bodyDiv w:val="1"/>
      <w:marLeft w:val="0"/>
      <w:marRight w:val="0"/>
      <w:marTop w:val="0"/>
      <w:marBottom w:val="0"/>
      <w:divBdr>
        <w:top w:val="none" w:sz="0" w:space="0" w:color="auto"/>
        <w:left w:val="none" w:sz="0" w:space="0" w:color="auto"/>
        <w:bottom w:val="none" w:sz="0" w:space="0" w:color="auto"/>
        <w:right w:val="none" w:sz="0" w:space="0" w:color="auto"/>
      </w:divBdr>
    </w:div>
    <w:div w:id="1891066964">
      <w:bodyDiv w:val="1"/>
      <w:marLeft w:val="0"/>
      <w:marRight w:val="0"/>
      <w:marTop w:val="0"/>
      <w:marBottom w:val="0"/>
      <w:divBdr>
        <w:top w:val="none" w:sz="0" w:space="0" w:color="auto"/>
        <w:left w:val="none" w:sz="0" w:space="0" w:color="auto"/>
        <w:bottom w:val="none" w:sz="0" w:space="0" w:color="auto"/>
        <w:right w:val="none" w:sz="0" w:space="0" w:color="auto"/>
      </w:divBdr>
    </w:div>
    <w:div w:id="1946498746">
      <w:bodyDiv w:val="1"/>
      <w:marLeft w:val="0"/>
      <w:marRight w:val="0"/>
      <w:marTop w:val="0"/>
      <w:marBottom w:val="0"/>
      <w:divBdr>
        <w:top w:val="none" w:sz="0" w:space="0" w:color="auto"/>
        <w:left w:val="none" w:sz="0" w:space="0" w:color="auto"/>
        <w:bottom w:val="none" w:sz="0" w:space="0" w:color="auto"/>
        <w:right w:val="none" w:sz="0" w:space="0" w:color="auto"/>
      </w:divBdr>
    </w:div>
    <w:div w:id="1959951765">
      <w:bodyDiv w:val="1"/>
      <w:marLeft w:val="0"/>
      <w:marRight w:val="0"/>
      <w:marTop w:val="0"/>
      <w:marBottom w:val="0"/>
      <w:divBdr>
        <w:top w:val="none" w:sz="0" w:space="0" w:color="auto"/>
        <w:left w:val="none" w:sz="0" w:space="0" w:color="auto"/>
        <w:bottom w:val="none" w:sz="0" w:space="0" w:color="auto"/>
        <w:right w:val="none" w:sz="0" w:space="0" w:color="auto"/>
      </w:divBdr>
    </w:div>
    <w:div w:id="2017803009">
      <w:bodyDiv w:val="1"/>
      <w:marLeft w:val="0"/>
      <w:marRight w:val="0"/>
      <w:marTop w:val="0"/>
      <w:marBottom w:val="0"/>
      <w:divBdr>
        <w:top w:val="none" w:sz="0" w:space="0" w:color="auto"/>
        <w:left w:val="none" w:sz="0" w:space="0" w:color="auto"/>
        <w:bottom w:val="none" w:sz="0" w:space="0" w:color="auto"/>
        <w:right w:val="none" w:sz="0" w:space="0" w:color="auto"/>
      </w:divBdr>
    </w:div>
    <w:div w:id="20506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info.undp.org/global/popp/rma/Pages/internal-control-framework.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undp.org/content/undp/en/home/operations/accountability/programme_and_operationspoliciesandprocedures.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e492fd8e14e3aed3a793ca7813f398b8">
  <xsd:schema xmlns:xsd="http://www.w3.org/2001/XMLSchema" xmlns:xs="http://www.w3.org/2001/XMLSchema" xmlns:p="http://schemas.microsoft.com/office/2006/metadata/properties" xmlns:ns2="5ebeba3d-fd60-4dcb-8548-a9fd3c51d9ff" targetNamespace="http://schemas.microsoft.com/office/2006/metadata/properties" ma:root="true" ma:fieldsID="98f07ae1c2d7656ffd86fd1786707b1b"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UNITOFFICE-440-3</_dlc_DocId>
    <_dlc_DocIdUrl xmlns="5ebeba3d-fd60-4dcb-8548-a9fd3c51d9ff">
      <Url>https://intranet.undp.org/unit/office/exo/sp2014/SP201417/_layouts/DocIdRedir.aspx?ID=UNITOFFICE-440-3</Url>
      <Description>UNITOFFICE-440-3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2.xml><?xml version="1.0" encoding="utf-8"?>
<ds:datastoreItem xmlns:ds="http://schemas.openxmlformats.org/officeDocument/2006/customXml" ds:itemID="{B6B2BE2B-167E-4723-ACEA-F0FD35901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5ebeba3d-fd60-4dcb-8548-a9fd3c51d9ff"/>
  </ds:schemaRefs>
</ds:datastoreItem>
</file>

<file path=customXml/itemProps4.xml><?xml version="1.0" encoding="utf-8"?>
<ds:datastoreItem xmlns:ds="http://schemas.openxmlformats.org/officeDocument/2006/customXml" ds:itemID="{12625C90-2827-49F4-8BE7-A485F8CCE6CA}">
  <ds:schemaRefs>
    <ds:schemaRef ds:uri="http://schemas.microsoft.com/sharepoint/events"/>
  </ds:schemaRefs>
</ds:datastoreItem>
</file>

<file path=customXml/itemProps5.xml><?xml version="1.0" encoding="utf-8"?>
<ds:datastoreItem xmlns:ds="http://schemas.openxmlformats.org/officeDocument/2006/customXml" ds:itemID="{467451F7-CEFA-4E1A-993D-6A31DAA6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5689</Words>
  <Characters>35841</Characters>
  <Application>Microsoft Office Word</Application>
  <DocSecurity>0</DocSecurity>
  <Lines>874</Lines>
  <Paragraphs>415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Second/First/Annual session of (year)</vt:lpstr>
      <vt:lpstr>Second/First/Annual session of (year)</vt:lpstr>
    </vt:vector>
  </TitlesOfParts>
  <Company>Microsoft</Company>
  <LinksUpToDate>false</LinksUpToDate>
  <CharactersWithSpaces>41115</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John Magoha</dc:creator>
  <cp:lastModifiedBy>Svetlana Iazykova</cp:lastModifiedBy>
  <cp:revision>3</cp:revision>
  <cp:lastPrinted>2016-05-28T02:09:00Z</cp:lastPrinted>
  <dcterms:created xsi:type="dcterms:W3CDTF">2016-06-01T14:31:00Z</dcterms:created>
  <dcterms:modified xsi:type="dcterms:W3CDTF">2016-06-01T14:36:00Z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d85662d7-541b-4ade-8939-e23478cf5ab7</vt:lpwstr>
  </property>
</Properties>
</file>