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B" w:rsidRPr="00113879" w:rsidRDefault="00A47A55" w:rsidP="00A47A55">
      <w:pPr>
        <w:spacing w:after="0"/>
        <w:rPr>
          <w:rFonts w:ascii="Times New Roman" w:eastAsia="times new" w:hAnsi="Times New Roman" w:cs="Times New Roman"/>
          <w:b/>
          <w:sz w:val="28"/>
          <w:szCs w:val="28"/>
          <w:lang w:eastAsia="x-none"/>
        </w:rPr>
      </w:pPr>
      <w:bookmarkStart w:id="0" w:name="_GoBack"/>
      <w:bookmarkEnd w:id="0"/>
      <w:r w:rsidRPr="00113879">
        <w:rPr>
          <w:rFonts w:ascii="Times New Roman" w:eastAsia="times new" w:hAnsi="Times New Roman" w:cs="Times New Roman"/>
          <w:b/>
          <w:sz w:val="28"/>
          <w:szCs w:val="28"/>
          <w:lang w:eastAsia="x-none"/>
        </w:rPr>
        <w:t>Annex 3</w:t>
      </w:r>
      <w:r w:rsidR="00944790" w:rsidRPr="00113879">
        <w:rPr>
          <w:rFonts w:ascii="Times New Roman" w:eastAsia="times new" w:hAnsi="Times New Roman" w:cs="Times New Roman"/>
          <w:b/>
          <w:sz w:val="28"/>
          <w:szCs w:val="28"/>
          <w:lang w:eastAsia="x-none"/>
        </w:rPr>
        <w:t>: UNDP foot</w:t>
      </w:r>
      <w:r w:rsidRPr="00113879">
        <w:rPr>
          <w:rFonts w:ascii="Times New Roman" w:eastAsia="times new" w:hAnsi="Times New Roman" w:cs="Times New Roman"/>
          <w:b/>
          <w:sz w:val="28"/>
          <w:szCs w:val="28"/>
          <w:lang w:eastAsia="x-none"/>
        </w:rPr>
        <w:t xml:space="preserve">print and programme expenditure by source of funds </w:t>
      </w:r>
    </w:p>
    <w:p w:rsidR="00352E53" w:rsidRPr="00113879" w:rsidRDefault="00352E53" w:rsidP="00A47A55">
      <w:pPr>
        <w:spacing w:after="0"/>
        <w:rPr>
          <w:rFonts w:ascii="Times New Roman" w:eastAsia="times new" w:hAnsi="Times New Roman" w:cs="Times New Roman"/>
          <w:b/>
          <w:sz w:val="28"/>
          <w:szCs w:val="28"/>
          <w:lang w:eastAsia="x-none"/>
        </w:rPr>
      </w:pPr>
    </w:p>
    <w:p w:rsidR="00DA224C" w:rsidRPr="00113879" w:rsidRDefault="00DA224C" w:rsidP="00DA224C">
      <w:pPr>
        <w:pStyle w:val="ListParagraph"/>
        <w:numPr>
          <w:ilvl w:val="0"/>
          <w:numId w:val="1"/>
        </w:numPr>
        <w:spacing w:after="120"/>
        <w:ind w:left="0" w:firstLine="0"/>
        <w:rPr>
          <w:rFonts w:ascii="Times New Roman" w:eastAsia="times new" w:hAnsi="Times New Roman"/>
          <w:sz w:val="20"/>
          <w:szCs w:val="20"/>
        </w:rPr>
      </w:pPr>
      <w:r w:rsidRPr="00113879">
        <w:rPr>
          <w:rFonts w:ascii="Times New Roman" w:eastAsia="times new" w:hAnsi="Times New Roman"/>
          <w:sz w:val="20"/>
          <w:szCs w:val="20"/>
        </w:rPr>
        <w:t xml:space="preserve">Annex 3 </w:t>
      </w:r>
      <w:r w:rsidR="00782F6B" w:rsidRPr="00113879">
        <w:rPr>
          <w:rFonts w:ascii="Times New Roman" w:eastAsia="times new" w:hAnsi="Times New Roman"/>
          <w:sz w:val="20"/>
          <w:szCs w:val="20"/>
        </w:rPr>
        <w:t xml:space="preserve">highlights the </w:t>
      </w:r>
      <w:r w:rsidRPr="00113879">
        <w:rPr>
          <w:rFonts w:ascii="Times New Roman" w:eastAsia="times new" w:hAnsi="Times New Roman"/>
          <w:sz w:val="20"/>
          <w:szCs w:val="20"/>
        </w:rPr>
        <w:t>UNDP footprint and cumulative programme expenditure under each strategic plan outcome.  Total provisional expenditure for development activities for 2014</w:t>
      </w:r>
      <w:r w:rsidR="00782F6B" w:rsidRPr="00113879">
        <w:rPr>
          <w:rFonts w:ascii="Times New Roman" w:eastAsia="times new" w:hAnsi="Times New Roman"/>
          <w:sz w:val="20"/>
          <w:szCs w:val="20"/>
        </w:rPr>
        <w:t xml:space="preserve"> to </w:t>
      </w:r>
      <w:r w:rsidR="00762717" w:rsidRPr="00113879">
        <w:rPr>
          <w:rFonts w:ascii="Times New Roman" w:eastAsia="times new" w:hAnsi="Times New Roman"/>
          <w:sz w:val="20"/>
          <w:szCs w:val="20"/>
        </w:rPr>
        <w:t>2016</w:t>
      </w:r>
      <w:r w:rsidRPr="00113879">
        <w:rPr>
          <w:rFonts w:ascii="Times New Roman" w:eastAsia="times new" w:hAnsi="Times New Roman"/>
          <w:sz w:val="20"/>
          <w:szCs w:val="20"/>
        </w:rPr>
        <w:t xml:space="preserve"> was $13 billion US dollars, of which $1.49 billion was funded from regular resources and $11.5 billion US dollars came from other resources.</w:t>
      </w:r>
    </w:p>
    <w:p w:rsidR="00B748C7" w:rsidRPr="00113879" w:rsidRDefault="00B748C7" w:rsidP="00B748C7">
      <w:pPr>
        <w:spacing w:after="120"/>
        <w:rPr>
          <w:rFonts w:ascii="Times New Roman" w:eastAsia="times new" w:hAnsi="Times New Roman" w:cs="Times New Roman"/>
          <w:sz w:val="20"/>
          <w:szCs w:val="20"/>
        </w:rPr>
      </w:pPr>
      <w:r w:rsidRPr="00113879">
        <w:rPr>
          <w:rFonts w:ascii="Times New Roman" w:eastAsia="times new" w:hAnsi="Times New Roman" w:cs="Times New Roman"/>
          <w:b/>
          <w:bCs/>
          <w:sz w:val="20"/>
          <w:szCs w:val="20"/>
        </w:rPr>
        <w:t>UNDP footprint</w:t>
      </w:r>
    </w:p>
    <w:p w:rsidR="00352E53" w:rsidRPr="00113879" w:rsidRDefault="0007237D" w:rsidP="00DA224C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eastAsia="times new" w:hAnsi="Times New Roman"/>
          <w:sz w:val="20"/>
          <w:szCs w:val="20"/>
        </w:rPr>
      </w:pPr>
      <w:r w:rsidRPr="00113879">
        <w:rPr>
          <w:rFonts w:ascii="Times New Roman" w:eastAsia="times new" w:hAnsi="Times New Roman"/>
          <w:sz w:val="20"/>
          <w:szCs w:val="20"/>
        </w:rPr>
        <w:t>Analysis of the</w:t>
      </w:r>
      <w:r w:rsidR="00DA224C"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="002601F1" w:rsidRPr="00113879">
        <w:rPr>
          <w:rFonts w:ascii="Times New Roman" w:eastAsia="times new" w:hAnsi="Times New Roman"/>
          <w:sz w:val="20"/>
          <w:szCs w:val="20"/>
        </w:rPr>
        <w:t xml:space="preserve">UNDP footprint for 2014-2016 </w:t>
      </w:r>
      <w:r w:rsidRPr="00113879">
        <w:rPr>
          <w:rFonts w:ascii="Times New Roman" w:eastAsia="times new" w:hAnsi="Times New Roman"/>
          <w:sz w:val="20"/>
          <w:szCs w:val="20"/>
        </w:rPr>
        <w:t>(</w:t>
      </w:r>
      <w:r w:rsidR="008F720A" w:rsidRPr="00113879">
        <w:rPr>
          <w:rFonts w:ascii="Times New Roman" w:eastAsia="times new" w:hAnsi="Times New Roman"/>
          <w:sz w:val="20"/>
          <w:szCs w:val="20"/>
        </w:rPr>
        <w:t>measured through the number of countries supported and resources spent</w:t>
      </w:r>
      <w:r w:rsidRPr="00113879">
        <w:rPr>
          <w:rFonts w:ascii="Times New Roman" w:eastAsia="times new" w:hAnsi="Times New Roman"/>
          <w:sz w:val="20"/>
          <w:szCs w:val="20"/>
        </w:rPr>
        <w:t>) showed</w:t>
      </w:r>
      <w:r w:rsidR="002601F1" w:rsidRPr="00113879">
        <w:rPr>
          <w:rFonts w:ascii="Times New Roman" w:eastAsia="times new" w:hAnsi="Times New Roman"/>
          <w:sz w:val="20"/>
          <w:szCs w:val="20"/>
        </w:rPr>
        <w:t xml:space="preserve"> that sustainable development and democratic governance portfolio</w:t>
      </w:r>
      <w:r w:rsidR="00002543" w:rsidRPr="00113879">
        <w:rPr>
          <w:rFonts w:ascii="Times New Roman" w:eastAsia="times new" w:hAnsi="Times New Roman"/>
          <w:sz w:val="20"/>
          <w:szCs w:val="20"/>
        </w:rPr>
        <w:t>s</w:t>
      </w:r>
      <w:r w:rsidR="002601F1" w:rsidRPr="00113879">
        <w:rPr>
          <w:rFonts w:ascii="Times New Roman" w:eastAsia="times new" w:hAnsi="Times New Roman"/>
          <w:sz w:val="20"/>
          <w:szCs w:val="20"/>
        </w:rPr>
        <w:t xml:space="preserve"> (Outcomes 1 and 2) remain</w:t>
      </w:r>
      <w:r w:rsidR="008F720A" w:rsidRPr="00113879">
        <w:rPr>
          <w:rFonts w:ascii="Times New Roman" w:eastAsia="times new" w:hAnsi="Times New Roman"/>
          <w:sz w:val="20"/>
          <w:szCs w:val="20"/>
        </w:rPr>
        <w:t>ed</w:t>
      </w:r>
      <w:r w:rsidR="002601F1" w:rsidRPr="00113879">
        <w:rPr>
          <w:rFonts w:ascii="Times New Roman" w:eastAsia="times new" w:hAnsi="Times New Roman"/>
          <w:sz w:val="20"/>
          <w:szCs w:val="20"/>
        </w:rPr>
        <w:t xml:space="preserve"> central to UNDP</w:t>
      </w:r>
      <w:r w:rsidRPr="00113879">
        <w:rPr>
          <w:rFonts w:ascii="Times New Roman" w:eastAsia="times new" w:hAnsi="Times New Roman"/>
          <w:sz w:val="20"/>
          <w:szCs w:val="20"/>
        </w:rPr>
        <w:t>, as did</w:t>
      </w:r>
      <w:r w:rsidR="00002543" w:rsidRPr="00113879">
        <w:rPr>
          <w:rFonts w:ascii="Times New Roman" w:eastAsia="times new" w:hAnsi="Times New Roman"/>
          <w:sz w:val="20"/>
          <w:szCs w:val="20"/>
        </w:rPr>
        <w:t xml:space="preserve"> strengthening </w:t>
      </w:r>
      <w:r w:rsidRPr="00113879">
        <w:rPr>
          <w:rFonts w:ascii="Times New Roman" w:eastAsia="times new" w:hAnsi="Times New Roman"/>
          <w:sz w:val="20"/>
          <w:szCs w:val="20"/>
        </w:rPr>
        <w:t xml:space="preserve">the </w:t>
      </w:r>
      <w:r w:rsidR="00002543" w:rsidRPr="00113879">
        <w:rPr>
          <w:rFonts w:ascii="Times New Roman" w:eastAsia="times new" w:hAnsi="Times New Roman"/>
          <w:sz w:val="20"/>
          <w:szCs w:val="20"/>
        </w:rPr>
        <w:t>capacities of sub-national institutions to deliver basic services,</w:t>
      </w:r>
      <w:r w:rsidR="002601F1" w:rsidRPr="00113879">
        <w:rPr>
          <w:rFonts w:ascii="Times New Roman" w:eastAsia="times new" w:hAnsi="Times New Roman"/>
          <w:sz w:val="20"/>
          <w:szCs w:val="20"/>
        </w:rPr>
        <w:t xml:space="preserve"> rule of law and HIV-service delivery support (Outcome 3). </w:t>
      </w:r>
      <w:r w:rsidR="00825250" w:rsidRPr="00113879">
        <w:rPr>
          <w:rFonts w:ascii="Times New Roman" w:eastAsia="times new" w:hAnsi="Times New Roman"/>
          <w:sz w:val="20"/>
          <w:szCs w:val="20"/>
        </w:rPr>
        <w:t xml:space="preserve">The </w:t>
      </w:r>
      <w:r w:rsidR="008F720A" w:rsidRPr="00113879">
        <w:rPr>
          <w:rFonts w:ascii="Times New Roman" w:eastAsia="times new" w:hAnsi="Times New Roman"/>
          <w:sz w:val="20"/>
          <w:szCs w:val="20"/>
        </w:rPr>
        <w:t xml:space="preserve">analysis </w:t>
      </w:r>
      <w:r w:rsidR="00825250" w:rsidRPr="00113879">
        <w:rPr>
          <w:rFonts w:ascii="Times New Roman" w:eastAsia="times new" w:hAnsi="Times New Roman"/>
          <w:sz w:val="20"/>
          <w:szCs w:val="20"/>
        </w:rPr>
        <w:t xml:space="preserve">shows that </w:t>
      </w:r>
      <w:r w:rsidRPr="00113879">
        <w:rPr>
          <w:rFonts w:ascii="Times New Roman" w:eastAsia="times new" w:hAnsi="Times New Roman"/>
          <w:sz w:val="20"/>
          <w:szCs w:val="20"/>
        </w:rPr>
        <w:t xml:space="preserve">between </w:t>
      </w:r>
      <w:r w:rsidR="00825250" w:rsidRPr="00113879">
        <w:rPr>
          <w:rFonts w:ascii="Times New Roman" w:eastAsia="times new" w:hAnsi="Times New Roman"/>
          <w:sz w:val="20"/>
          <w:szCs w:val="20"/>
        </w:rPr>
        <w:t>2014</w:t>
      </w:r>
      <w:r w:rsidRPr="00113879">
        <w:rPr>
          <w:rFonts w:ascii="Times New Roman" w:eastAsia="times new" w:hAnsi="Times New Roman"/>
          <w:sz w:val="20"/>
          <w:szCs w:val="20"/>
        </w:rPr>
        <w:t xml:space="preserve"> and </w:t>
      </w:r>
      <w:r w:rsidR="00825250" w:rsidRPr="00113879">
        <w:rPr>
          <w:rFonts w:ascii="Times New Roman" w:eastAsia="times new" w:hAnsi="Times New Roman"/>
          <w:sz w:val="20"/>
          <w:szCs w:val="20"/>
        </w:rPr>
        <w:t>2016</w:t>
      </w:r>
      <w:r w:rsidR="000877A7"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="008F720A" w:rsidRPr="00113879">
        <w:rPr>
          <w:rFonts w:ascii="Times New Roman" w:eastAsia="times new" w:hAnsi="Times New Roman"/>
          <w:sz w:val="20"/>
          <w:szCs w:val="20"/>
        </w:rPr>
        <w:t>the expenditure</w:t>
      </w:r>
      <w:r w:rsidR="00825250"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="00983A74" w:rsidRPr="00113879">
        <w:rPr>
          <w:rFonts w:ascii="Times New Roman" w:eastAsia="times new" w:hAnsi="Times New Roman"/>
          <w:sz w:val="20"/>
          <w:szCs w:val="20"/>
        </w:rPr>
        <w:t xml:space="preserve">generally </w:t>
      </w:r>
      <w:r w:rsidR="00825250" w:rsidRPr="00113879">
        <w:rPr>
          <w:rFonts w:ascii="Times New Roman" w:eastAsia="times new" w:hAnsi="Times New Roman"/>
          <w:sz w:val="20"/>
          <w:szCs w:val="20"/>
        </w:rPr>
        <w:t xml:space="preserve">mirrored </w:t>
      </w:r>
      <w:r w:rsidR="008F720A" w:rsidRPr="00113879">
        <w:rPr>
          <w:rFonts w:ascii="Times New Roman" w:eastAsia="times new" w:hAnsi="Times New Roman"/>
          <w:sz w:val="20"/>
          <w:szCs w:val="20"/>
        </w:rPr>
        <w:t xml:space="preserve">the </w:t>
      </w:r>
      <w:r w:rsidR="00825250" w:rsidRPr="00113879">
        <w:rPr>
          <w:rFonts w:ascii="Times New Roman" w:eastAsia="times new" w:hAnsi="Times New Roman"/>
          <w:sz w:val="20"/>
          <w:szCs w:val="20"/>
        </w:rPr>
        <w:t xml:space="preserve">demand </w:t>
      </w:r>
      <w:r w:rsidR="008F720A" w:rsidRPr="00113879">
        <w:rPr>
          <w:rFonts w:ascii="Times New Roman" w:eastAsia="times new" w:hAnsi="Times New Roman"/>
          <w:sz w:val="20"/>
          <w:szCs w:val="20"/>
        </w:rPr>
        <w:t>reflected in</w:t>
      </w:r>
      <w:r w:rsidR="00825250"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="008F720A" w:rsidRPr="00113879">
        <w:rPr>
          <w:rFonts w:ascii="Times New Roman" w:eastAsia="times new" w:hAnsi="Times New Roman"/>
          <w:sz w:val="20"/>
          <w:szCs w:val="20"/>
        </w:rPr>
        <w:t xml:space="preserve">the </w:t>
      </w:r>
      <w:r w:rsidR="00825250" w:rsidRPr="00113879">
        <w:rPr>
          <w:rFonts w:ascii="Times New Roman" w:eastAsia="times new" w:hAnsi="Times New Roman"/>
          <w:sz w:val="20"/>
          <w:szCs w:val="20"/>
        </w:rPr>
        <w:t xml:space="preserve">number of countries </w:t>
      </w:r>
      <w:r w:rsidR="008F720A" w:rsidRPr="00113879">
        <w:rPr>
          <w:rFonts w:ascii="Times New Roman" w:eastAsia="times new" w:hAnsi="Times New Roman"/>
          <w:sz w:val="20"/>
          <w:szCs w:val="20"/>
        </w:rPr>
        <w:t>receiving UNDP support</w:t>
      </w:r>
      <w:r w:rsidR="00002543" w:rsidRPr="00113879">
        <w:rPr>
          <w:rFonts w:ascii="Times New Roman" w:eastAsia="times new" w:hAnsi="Times New Roman"/>
          <w:sz w:val="20"/>
          <w:szCs w:val="20"/>
        </w:rPr>
        <w:t xml:space="preserve"> through </w:t>
      </w:r>
      <w:r w:rsidRPr="00113879">
        <w:rPr>
          <w:rFonts w:ascii="Times New Roman" w:eastAsia="times new" w:hAnsi="Times New Roman"/>
          <w:sz w:val="20"/>
          <w:szCs w:val="20"/>
        </w:rPr>
        <w:t xml:space="preserve">the </w:t>
      </w:r>
      <w:r w:rsidR="00A1345D" w:rsidRPr="00113879">
        <w:rPr>
          <w:rFonts w:ascii="Times New Roman" w:eastAsia="times new" w:hAnsi="Times New Roman"/>
          <w:sz w:val="20"/>
          <w:szCs w:val="20"/>
        </w:rPr>
        <w:t>implementation</w:t>
      </w:r>
      <w:r w:rsidR="00002543" w:rsidRPr="00113879">
        <w:rPr>
          <w:rFonts w:ascii="Times New Roman" w:eastAsia="times new" w:hAnsi="Times New Roman"/>
          <w:sz w:val="20"/>
          <w:szCs w:val="20"/>
        </w:rPr>
        <w:t xml:space="preserve"> of relevant</w:t>
      </w:r>
      <w:r w:rsidR="00825250" w:rsidRPr="00113879">
        <w:rPr>
          <w:rFonts w:ascii="Times New Roman" w:eastAsia="times new" w:hAnsi="Times New Roman"/>
          <w:sz w:val="20"/>
          <w:szCs w:val="20"/>
        </w:rPr>
        <w:t xml:space="preserve"> projects.  </w:t>
      </w:r>
    </w:p>
    <w:p w:rsidR="00825250" w:rsidRPr="00113879" w:rsidRDefault="00825250" w:rsidP="00825250">
      <w:pPr>
        <w:pStyle w:val="ListParagraph"/>
        <w:ind w:left="0"/>
        <w:jc w:val="both"/>
        <w:rPr>
          <w:rFonts w:ascii="Times New Roman" w:eastAsia="times new" w:hAnsi="Times New Roman"/>
          <w:sz w:val="20"/>
          <w:szCs w:val="20"/>
        </w:rPr>
      </w:pPr>
    </w:p>
    <w:p w:rsidR="00426BB2" w:rsidRPr="00113879" w:rsidRDefault="00426BB2" w:rsidP="00825250">
      <w:pPr>
        <w:pStyle w:val="ListParagraph"/>
        <w:ind w:left="0"/>
        <w:jc w:val="both"/>
        <w:rPr>
          <w:rFonts w:ascii="Times New Roman" w:eastAsia="times new" w:hAnsi="Times New Roman"/>
          <w:sz w:val="20"/>
          <w:szCs w:val="20"/>
        </w:rPr>
      </w:pPr>
      <w:r w:rsidRPr="00113879">
        <w:rPr>
          <w:rFonts w:ascii="Times New Roman" w:hAnsi="Times New Roman"/>
          <w:noProof/>
          <w:shd w:val="clear" w:color="auto" w:fill="E2EFD9" w:themeFill="accent6" w:themeFillTint="33"/>
          <w:lang w:eastAsia="en-US"/>
        </w:rPr>
        <w:drawing>
          <wp:inline distT="0" distB="0" distL="0" distR="0" wp14:anchorId="3762309A" wp14:editId="4CEF66C6">
            <wp:extent cx="6400800" cy="4646930"/>
            <wp:effectExtent l="0" t="0" r="0" b="127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26BB2" w:rsidRPr="00113879" w:rsidRDefault="00426BB2" w:rsidP="00825250">
      <w:pPr>
        <w:pStyle w:val="ListParagraph"/>
        <w:ind w:left="0"/>
        <w:jc w:val="both"/>
        <w:rPr>
          <w:rFonts w:ascii="Times New Roman" w:eastAsia="times new" w:hAnsi="Times New Roman"/>
          <w:sz w:val="20"/>
          <w:szCs w:val="20"/>
        </w:rPr>
      </w:pPr>
    </w:p>
    <w:p w:rsidR="00426BB2" w:rsidRPr="00113879" w:rsidRDefault="00426BB2" w:rsidP="00825250">
      <w:pPr>
        <w:pStyle w:val="ListParagraph"/>
        <w:ind w:left="0"/>
        <w:jc w:val="both"/>
        <w:rPr>
          <w:rFonts w:ascii="Times New Roman" w:eastAsia="times new" w:hAnsi="Times New Roman"/>
          <w:sz w:val="20"/>
          <w:szCs w:val="20"/>
        </w:rPr>
      </w:pPr>
    </w:p>
    <w:p w:rsidR="003D19A5" w:rsidRPr="00113879" w:rsidRDefault="00EE6D3F" w:rsidP="00894D64">
      <w:pPr>
        <w:spacing w:after="0"/>
        <w:rPr>
          <w:rFonts w:ascii="Times New Roman" w:eastAsia="times new" w:hAnsi="Times New Roman" w:cs="Times New Roman"/>
          <w:b/>
          <w:bCs/>
          <w:sz w:val="20"/>
          <w:szCs w:val="20"/>
        </w:rPr>
      </w:pPr>
      <w:r w:rsidRPr="00113879">
        <w:rPr>
          <w:rFonts w:ascii="Times New Roman" w:eastAsia="times new" w:hAnsi="Times New Roman" w:cs="Times New Roman"/>
          <w:b/>
          <w:bCs/>
          <w:sz w:val="20"/>
          <w:szCs w:val="20"/>
        </w:rPr>
        <w:t>Programme expenditure by source</w:t>
      </w:r>
      <w:r w:rsidR="003D19A5" w:rsidRPr="00113879">
        <w:rPr>
          <w:rFonts w:ascii="Times New Roman" w:eastAsia="times new" w:hAnsi="Times New Roman" w:cs="Times New Roman"/>
          <w:b/>
          <w:bCs/>
          <w:sz w:val="20"/>
          <w:szCs w:val="20"/>
        </w:rPr>
        <w:t xml:space="preserve"> of funds</w:t>
      </w:r>
    </w:p>
    <w:p w:rsidR="00E87BF4" w:rsidRPr="00113879" w:rsidRDefault="00E87BF4" w:rsidP="00894D64">
      <w:pPr>
        <w:spacing w:after="0"/>
        <w:rPr>
          <w:rFonts w:ascii="Times New Roman" w:eastAsia="times new" w:hAnsi="Times New Roman" w:cs="Times New Roman"/>
          <w:sz w:val="20"/>
          <w:szCs w:val="20"/>
        </w:rPr>
      </w:pPr>
    </w:p>
    <w:p w:rsidR="003D19A5" w:rsidRPr="00113879" w:rsidRDefault="003D19A5" w:rsidP="003D19A5">
      <w:pPr>
        <w:pStyle w:val="ListParagraph"/>
        <w:numPr>
          <w:ilvl w:val="0"/>
          <w:numId w:val="1"/>
        </w:numPr>
        <w:jc w:val="both"/>
        <w:rPr>
          <w:rFonts w:ascii="Times New Roman" w:eastAsia="times new" w:hAnsi="Times New Roman"/>
          <w:sz w:val="20"/>
          <w:szCs w:val="20"/>
        </w:rPr>
      </w:pPr>
      <w:r w:rsidRPr="00113879">
        <w:rPr>
          <w:rFonts w:ascii="Times New Roman" w:eastAsia="times new" w:hAnsi="Times New Roman"/>
          <w:sz w:val="20"/>
          <w:szCs w:val="20"/>
        </w:rPr>
        <w:t xml:space="preserve">The </w:t>
      </w:r>
      <w:r w:rsidR="00DB741C" w:rsidRPr="00113879">
        <w:rPr>
          <w:rFonts w:ascii="Times New Roman" w:eastAsia="times new" w:hAnsi="Times New Roman"/>
          <w:sz w:val="20"/>
          <w:szCs w:val="20"/>
        </w:rPr>
        <w:t>charts</w:t>
      </w:r>
      <w:r w:rsidR="0007237D" w:rsidRPr="00113879">
        <w:rPr>
          <w:rFonts w:ascii="Times New Roman" w:eastAsia="times new" w:hAnsi="Times New Roman"/>
          <w:sz w:val="20"/>
          <w:szCs w:val="20"/>
        </w:rPr>
        <w:t xml:space="preserve"> below</w:t>
      </w:r>
      <w:r w:rsidR="00DB741C" w:rsidRPr="00113879">
        <w:rPr>
          <w:rFonts w:ascii="Times New Roman" w:eastAsia="times new" w:hAnsi="Times New Roman"/>
          <w:sz w:val="20"/>
          <w:szCs w:val="20"/>
        </w:rPr>
        <w:t xml:space="preserve"> show UNDP </w:t>
      </w:r>
      <w:r w:rsidR="00C54889" w:rsidRPr="00113879">
        <w:rPr>
          <w:rFonts w:ascii="Times New Roman" w:eastAsia="times new" w:hAnsi="Times New Roman"/>
          <w:sz w:val="20"/>
          <w:szCs w:val="20"/>
        </w:rPr>
        <w:t>cumulative programm</w:t>
      </w:r>
      <w:r w:rsidR="00EE6D3F" w:rsidRPr="00113879">
        <w:rPr>
          <w:rFonts w:ascii="Times New Roman" w:eastAsia="times new" w:hAnsi="Times New Roman"/>
          <w:sz w:val="20"/>
          <w:szCs w:val="20"/>
        </w:rPr>
        <w:t>e expenditure for 2014-2016</w:t>
      </w:r>
      <w:r w:rsidR="00143DB2" w:rsidRPr="00113879">
        <w:rPr>
          <w:rFonts w:ascii="Times New Roman" w:eastAsia="times new" w:hAnsi="Times New Roman"/>
          <w:sz w:val="20"/>
          <w:szCs w:val="20"/>
        </w:rPr>
        <w:t>,</w:t>
      </w:r>
      <w:r w:rsidR="00EE6D3F"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="0006188E" w:rsidRPr="00113879">
        <w:rPr>
          <w:rFonts w:ascii="Times New Roman" w:eastAsia="times new" w:hAnsi="Times New Roman"/>
          <w:sz w:val="20"/>
          <w:szCs w:val="20"/>
        </w:rPr>
        <w:t>according to</w:t>
      </w:r>
      <w:r w:rsidR="00C54889" w:rsidRPr="00113879">
        <w:rPr>
          <w:rFonts w:ascii="Times New Roman" w:eastAsia="times new" w:hAnsi="Times New Roman"/>
          <w:sz w:val="20"/>
          <w:szCs w:val="20"/>
        </w:rPr>
        <w:t xml:space="preserve"> strategic plan outcome. </w:t>
      </w:r>
      <w:r w:rsidR="0007237D" w:rsidRPr="00113879">
        <w:rPr>
          <w:rFonts w:ascii="Times New Roman" w:eastAsia="times new" w:hAnsi="Times New Roman"/>
          <w:sz w:val="20"/>
          <w:szCs w:val="20"/>
        </w:rPr>
        <w:t>R</w:t>
      </w:r>
      <w:r w:rsidR="00C54889" w:rsidRPr="00113879">
        <w:rPr>
          <w:rFonts w:ascii="Times New Roman" w:eastAsia="times new" w:hAnsi="Times New Roman"/>
          <w:sz w:val="20"/>
          <w:szCs w:val="20"/>
        </w:rPr>
        <w:t>esources are dis</w:t>
      </w:r>
      <w:r w:rsidR="005D782D" w:rsidRPr="00113879">
        <w:rPr>
          <w:rFonts w:ascii="Times New Roman" w:eastAsia="times new" w:hAnsi="Times New Roman"/>
          <w:sz w:val="20"/>
          <w:szCs w:val="20"/>
        </w:rPr>
        <w:t xml:space="preserve">aggregated by </w:t>
      </w:r>
      <w:r w:rsidR="0007237D" w:rsidRPr="00113879">
        <w:rPr>
          <w:rFonts w:ascii="Times New Roman" w:eastAsia="times new" w:hAnsi="Times New Roman"/>
          <w:sz w:val="20"/>
          <w:szCs w:val="20"/>
        </w:rPr>
        <w:t xml:space="preserve">the </w:t>
      </w:r>
      <w:r w:rsidR="005D782D" w:rsidRPr="00113879">
        <w:rPr>
          <w:rFonts w:ascii="Times New Roman" w:eastAsia="times new" w:hAnsi="Times New Roman"/>
          <w:sz w:val="20"/>
          <w:szCs w:val="20"/>
        </w:rPr>
        <w:t xml:space="preserve">source of funds: regular resources, local government funding, vertical funds and bilateral/multilateral donor funding.  </w:t>
      </w:r>
    </w:p>
    <w:p w:rsidR="00DB741C" w:rsidRPr="00113879" w:rsidRDefault="00DB741C" w:rsidP="00DB741C">
      <w:pPr>
        <w:pStyle w:val="ListParagraph"/>
        <w:ind w:left="360"/>
        <w:jc w:val="both"/>
        <w:rPr>
          <w:rFonts w:ascii="Times New Roman" w:eastAsia="times new" w:hAnsi="Times New Roman"/>
          <w:sz w:val="20"/>
          <w:szCs w:val="20"/>
        </w:rPr>
      </w:pPr>
    </w:p>
    <w:p w:rsidR="0053322D" w:rsidRPr="00113879" w:rsidRDefault="0053322D" w:rsidP="0053322D">
      <w:pPr>
        <w:jc w:val="both"/>
        <w:rPr>
          <w:rFonts w:ascii="Times New Roman" w:eastAsia="times new" w:hAnsi="Times New Roman" w:cs="Times New Roman"/>
          <w:b/>
          <w:bCs/>
          <w:sz w:val="18"/>
          <w:szCs w:val="18"/>
        </w:rPr>
      </w:pPr>
      <w:r w:rsidRPr="00113879">
        <w:rPr>
          <w:rFonts w:ascii="Times New Roman" w:eastAsia="times new" w:hAnsi="Times New Roman" w:cs="Times New Roman"/>
          <w:b/>
          <w:sz w:val="20"/>
          <w:szCs w:val="20"/>
        </w:rPr>
        <w:t>Outcome 1</w:t>
      </w:r>
      <w:r w:rsidR="0007237D" w:rsidRPr="00113879">
        <w:rPr>
          <w:rFonts w:ascii="Times New Roman" w:eastAsia="times new" w:hAnsi="Times New Roman" w:cs="Times New Roman"/>
          <w:b/>
          <w:sz w:val="20"/>
          <w:szCs w:val="20"/>
        </w:rPr>
        <w:t>:</w:t>
      </w:r>
      <w:r w:rsidRPr="00113879">
        <w:rPr>
          <w:rFonts w:ascii="Times New Roman" w:eastAsia="times new" w:hAnsi="Times New Roman" w:cs="Times New Roman"/>
          <w:b/>
          <w:sz w:val="20"/>
          <w:szCs w:val="20"/>
        </w:rPr>
        <w:t xml:space="preserve"> </w:t>
      </w:r>
      <w:r w:rsidRPr="00113879">
        <w:rPr>
          <w:rFonts w:ascii="Times New Roman" w:eastAsia="times new" w:hAnsi="Times New Roman" w:cs="Times New Roman"/>
          <w:b/>
          <w:bCs/>
          <w:sz w:val="20"/>
          <w:szCs w:val="18"/>
        </w:rPr>
        <w:t>Sustainable growth and development</w:t>
      </w:r>
    </w:p>
    <w:p w:rsidR="0053322D" w:rsidRPr="00113879" w:rsidRDefault="0007237D" w:rsidP="00B748C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eastAsia="times new" w:hAnsi="Times New Roman"/>
          <w:sz w:val="20"/>
          <w:szCs w:val="20"/>
        </w:rPr>
      </w:pPr>
      <w:r w:rsidRPr="00113879">
        <w:rPr>
          <w:rFonts w:ascii="Times New Roman" w:eastAsia="times new" w:hAnsi="Times New Roman"/>
          <w:sz w:val="20"/>
          <w:szCs w:val="20"/>
        </w:rPr>
        <w:lastRenderedPageBreak/>
        <w:t xml:space="preserve">Between </w:t>
      </w:r>
      <w:r w:rsidR="0053322D" w:rsidRPr="00113879">
        <w:rPr>
          <w:rFonts w:ascii="Times New Roman" w:eastAsia="times new" w:hAnsi="Times New Roman"/>
          <w:sz w:val="20"/>
          <w:szCs w:val="20"/>
        </w:rPr>
        <w:t>2014</w:t>
      </w:r>
      <w:r w:rsidRPr="00113879">
        <w:rPr>
          <w:rFonts w:ascii="Times New Roman" w:eastAsia="times new" w:hAnsi="Times New Roman"/>
          <w:sz w:val="20"/>
          <w:szCs w:val="20"/>
        </w:rPr>
        <w:t xml:space="preserve"> and </w:t>
      </w:r>
      <w:r w:rsidR="0053322D" w:rsidRPr="00113879">
        <w:rPr>
          <w:rFonts w:ascii="Times New Roman" w:eastAsia="times new" w:hAnsi="Times New Roman"/>
          <w:sz w:val="20"/>
          <w:szCs w:val="20"/>
        </w:rPr>
        <w:t>2016 UNDP spent 26</w:t>
      </w:r>
      <w:r w:rsidRPr="00113879">
        <w:rPr>
          <w:rFonts w:ascii="Times New Roman" w:eastAsia="times new" w:hAnsi="Times New Roman"/>
          <w:sz w:val="20"/>
          <w:szCs w:val="20"/>
        </w:rPr>
        <w:t xml:space="preserve"> per cent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 of its programme resources under Outcome 1. </w:t>
      </w:r>
      <w:r w:rsidR="00A1345D" w:rsidRPr="00113879">
        <w:rPr>
          <w:rFonts w:ascii="Times New Roman" w:eastAsia="times new" w:hAnsi="Times New Roman"/>
          <w:sz w:val="20"/>
          <w:szCs w:val="20"/>
        </w:rPr>
        <w:t xml:space="preserve">Programme governments funded the largest portion (37 per cent), which indicates a strong demand for UNDP support in job creation, livelihood and social protection areas. 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Vertical funds, particularly the Global Environment Facility (GEF), remained critical for </w:t>
      </w:r>
      <w:r w:rsidRPr="00113879">
        <w:rPr>
          <w:rFonts w:ascii="Times New Roman" w:eastAsia="times new" w:hAnsi="Times New Roman"/>
          <w:sz w:val="20"/>
          <w:szCs w:val="20"/>
        </w:rPr>
        <w:t xml:space="preserve">UNDP </w:t>
      </w:r>
      <w:r w:rsidR="00BD1BA7" w:rsidRPr="00113879">
        <w:rPr>
          <w:rFonts w:ascii="Times New Roman" w:eastAsia="times new" w:hAnsi="Times New Roman"/>
          <w:sz w:val="20"/>
          <w:szCs w:val="20"/>
        </w:rPr>
        <w:t>in</w:t>
      </w:r>
      <w:r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="0053322D" w:rsidRPr="00113879">
        <w:rPr>
          <w:rFonts w:ascii="Times New Roman" w:eastAsia="times new" w:hAnsi="Times New Roman"/>
          <w:sz w:val="20"/>
          <w:szCs w:val="20"/>
        </w:rPr>
        <w:t>delivering sustainable development</w:t>
      </w:r>
      <w:r w:rsidRPr="00113879">
        <w:rPr>
          <w:rFonts w:ascii="Times New Roman" w:eastAsia="times new" w:hAnsi="Times New Roman"/>
          <w:sz w:val="20"/>
          <w:szCs w:val="20"/>
        </w:rPr>
        <w:t xml:space="preserve"> results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. </w:t>
      </w:r>
    </w:p>
    <w:p w:rsidR="0053322D" w:rsidRPr="00113879" w:rsidRDefault="0053322D" w:rsidP="0053322D">
      <w:pPr>
        <w:jc w:val="both"/>
        <w:rPr>
          <w:rFonts w:ascii="Times New Roman" w:eastAsia="times new" w:hAnsi="Times New Roman" w:cs="Times New Roman"/>
          <w:sz w:val="20"/>
          <w:szCs w:val="20"/>
        </w:rPr>
      </w:pPr>
    </w:p>
    <w:p w:rsidR="00D11746" w:rsidRPr="00113879" w:rsidRDefault="00D54744" w:rsidP="00AA5226">
      <w:pPr>
        <w:jc w:val="center"/>
        <w:rPr>
          <w:rFonts w:ascii="Times New Roman" w:eastAsia="times new" w:hAnsi="Times New Roman" w:cs="Times New Roman"/>
          <w:sz w:val="20"/>
          <w:szCs w:val="20"/>
        </w:rPr>
      </w:pPr>
      <w:r w:rsidRPr="00113879">
        <w:rPr>
          <w:rFonts w:ascii="Times New Roman" w:eastAsia="times new" w:hAnsi="Times New Roman" w:cs="Times New Roman"/>
          <w:noProof/>
          <w:sz w:val="20"/>
          <w:szCs w:val="20"/>
          <w:lang w:eastAsia="en-US"/>
        </w:rPr>
        <w:drawing>
          <wp:inline distT="0" distB="0" distL="0" distR="0" wp14:anchorId="1746AA2D" wp14:editId="0CFB3793">
            <wp:extent cx="5330190" cy="4312920"/>
            <wp:effectExtent l="0" t="0" r="3810" b="1143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E05120-9B26-4C73-816B-4A32410904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A5226" w:rsidRPr="00113879" w:rsidRDefault="00AA5226" w:rsidP="00AA5226">
      <w:pPr>
        <w:jc w:val="center"/>
        <w:rPr>
          <w:rFonts w:ascii="Times New Roman" w:eastAsia="times new" w:hAnsi="Times New Roman" w:cs="Times New Roman"/>
          <w:sz w:val="20"/>
          <w:szCs w:val="20"/>
        </w:rPr>
      </w:pPr>
    </w:p>
    <w:p w:rsidR="0053322D" w:rsidRPr="00113879" w:rsidRDefault="0053322D" w:rsidP="0053322D">
      <w:pPr>
        <w:jc w:val="both"/>
        <w:rPr>
          <w:rFonts w:ascii="Times New Roman" w:eastAsia="times new" w:hAnsi="Times New Roman" w:cs="Times New Roman"/>
          <w:b/>
          <w:bCs/>
          <w:sz w:val="20"/>
          <w:szCs w:val="18"/>
        </w:rPr>
      </w:pPr>
      <w:r w:rsidRPr="00113879">
        <w:rPr>
          <w:rFonts w:ascii="Times New Roman" w:eastAsia="times new" w:hAnsi="Times New Roman" w:cs="Times New Roman"/>
          <w:b/>
          <w:sz w:val="20"/>
          <w:szCs w:val="20"/>
        </w:rPr>
        <w:t>Outcome 2</w:t>
      </w:r>
      <w:r w:rsidR="0007237D" w:rsidRPr="00113879">
        <w:rPr>
          <w:rFonts w:ascii="Times New Roman" w:eastAsia="times new" w:hAnsi="Times New Roman" w:cs="Times New Roman"/>
          <w:b/>
          <w:sz w:val="20"/>
          <w:szCs w:val="20"/>
        </w:rPr>
        <w:t>:</w:t>
      </w:r>
      <w:r w:rsidRPr="00113879">
        <w:rPr>
          <w:rFonts w:ascii="Times New Roman" w:eastAsia="times new" w:hAnsi="Times New Roman" w:cs="Times New Roman"/>
          <w:b/>
          <w:sz w:val="20"/>
          <w:szCs w:val="20"/>
        </w:rPr>
        <w:t xml:space="preserve"> </w:t>
      </w:r>
      <w:r w:rsidRPr="00113879">
        <w:rPr>
          <w:rFonts w:ascii="Times New Roman" w:eastAsia="times new" w:hAnsi="Times New Roman" w:cs="Times New Roman"/>
          <w:b/>
          <w:bCs/>
          <w:sz w:val="20"/>
          <w:szCs w:val="18"/>
        </w:rPr>
        <w:t>Citizen voice, rule of law, accountability and democratic governance</w:t>
      </w:r>
    </w:p>
    <w:p w:rsidR="0053322D" w:rsidRPr="00113879" w:rsidRDefault="0053322D" w:rsidP="00B748C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eastAsia="times new" w:hAnsi="Times New Roman"/>
          <w:sz w:val="20"/>
          <w:szCs w:val="20"/>
        </w:rPr>
      </w:pPr>
      <w:r w:rsidRPr="00113879">
        <w:rPr>
          <w:rFonts w:ascii="Times New Roman" w:eastAsia="times new" w:hAnsi="Times New Roman"/>
          <w:sz w:val="20"/>
          <w:szCs w:val="20"/>
        </w:rPr>
        <w:t>Outcome 2 was the third largest outcome in terms of expenditure, where UNDP spent 13</w:t>
      </w:r>
      <w:r w:rsidR="0007237D" w:rsidRPr="00113879">
        <w:rPr>
          <w:rFonts w:ascii="Times New Roman" w:eastAsia="times new" w:hAnsi="Times New Roman"/>
          <w:sz w:val="20"/>
          <w:szCs w:val="20"/>
        </w:rPr>
        <w:t xml:space="preserve"> per cent</w:t>
      </w:r>
      <w:r w:rsidRPr="00113879">
        <w:rPr>
          <w:rFonts w:ascii="Times New Roman" w:eastAsia="times new" w:hAnsi="Times New Roman"/>
          <w:sz w:val="20"/>
          <w:szCs w:val="20"/>
        </w:rPr>
        <w:t xml:space="preserve"> of its programme resources </w:t>
      </w:r>
      <w:r w:rsidR="0007237D" w:rsidRPr="00113879">
        <w:rPr>
          <w:rFonts w:ascii="Times New Roman" w:eastAsia="times new" w:hAnsi="Times New Roman"/>
          <w:sz w:val="20"/>
          <w:szCs w:val="20"/>
        </w:rPr>
        <w:t xml:space="preserve">throughout </w:t>
      </w:r>
      <w:r w:rsidRPr="00113879">
        <w:rPr>
          <w:rFonts w:ascii="Times New Roman" w:eastAsia="times new" w:hAnsi="Times New Roman"/>
          <w:sz w:val="20"/>
          <w:szCs w:val="20"/>
        </w:rPr>
        <w:t xml:space="preserve">2014-2016. </w:t>
      </w:r>
      <w:r w:rsidR="00A1345D" w:rsidRPr="00113879">
        <w:rPr>
          <w:rFonts w:ascii="Times New Roman" w:eastAsia="times new" w:hAnsi="Times New Roman"/>
          <w:sz w:val="20"/>
          <w:szCs w:val="20"/>
        </w:rPr>
        <w:t xml:space="preserve">Bilateral and multilateral donors </w:t>
      </w:r>
      <w:r w:rsidR="00A1345D" w:rsidRPr="00113879">
        <w:rPr>
          <w:rFonts w:ascii="Times New Roman" w:eastAsia="Times New Roman" w:hAnsi="Times New Roman"/>
          <w:sz w:val="20"/>
          <w:szCs w:val="20"/>
        </w:rPr>
        <w:t>funded the largest portion (59 per cent)</w:t>
      </w:r>
      <w:r w:rsidR="00A1345D" w:rsidRPr="00113879">
        <w:rPr>
          <w:rFonts w:ascii="Times New Roman" w:eastAsia="times new" w:hAnsi="Times New Roman"/>
          <w:sz w:val="20"/>
          <w:szCs w:val="20"/>
        </w:rPr>
        <w:t xml:space="preserve">, mainly under UNDP support to electoral processes. </w:t>
      </w:r>
      <w:r w:rsidRPr="00113879">
        <w:rPr>
          <w:rFonts w:ascii="Times New Roman" w:eastAsia="times new" w:hAnsi="Times New Roman"/>
          <w:sz w:val="20"/>
          <w:szCs w:val="20"/>
        </w:rPr>
        <w:t xml:space="preserve">There was a decline in spending </w:t>
      </w:r>
      <w:r w:rsidR="006A601D" w:rsidRPr="00113879">
        <w:rPr>
          <w:rFonts w:ascii="Times New Roman" w:eastAsia="times new" w:hAnsi="Times New Roman"/>
          <w:sz w:val="20"/>
          <w:szCs w:val="20"/>
        </w:rPr>
        <w:t>during the period</w:t>
      </w:r>
      <w:r w:rsidRPr="00113879">
        <w:rPr>
          <w:rFonts w:ascii="Times New Roman" w:eastAsia="times new" w:hAnsi="Times New Roman"/>
          <w:sz w:val="20"/>
          <w:szCs w:val="20"/>
        </w:rPr>
        <w:t xml:space="preserve"> due to the cyclical nature of UNDP electoral support.  </w:t>
      </w:r>
    </w:p>
    <w:p w:rsidR="0053322D" w:rsidRPr="00113879" w:rsidRDefault="00D54744" w:rsidP="0053322D">
      <w:pPr>
        <w:jc w:val="both"/>
        <w:rPr>
          <w:rFonts w:ascii="Times New Roman" w:eastAsia="times new" w:hAnsi="Times New Roman" w:cs="Times New Roman"/>
          <w:sz w:val="20"/>
          <w:szCs w:val="20"/>
        </w:rPr>
      </w:pPr>
      <w:r w:rsidRPr="00113879">
        <w:rPr>
          <w:rFonts w:ascii="Times New Roman" w:eastAsia="times new" w:hAnsi="Times New Roman" w:cs="Times New Roman"/>
          <w:noProof/>
          <w:sz w:val="20"/>
          <w:szCs w:val="20"/>
          <w:lang w:eastAsia="en-US"/>
        </w:rPr>
        <w:lastRenderedPageBreak/>
        <w:drawing>
          <wp:anchor distT="0" distB="0" distL="114300" distR="114300" simplePos="0" relativeHeight="251658240" behindDoc="0" locked="0" layoutInCell="1" allowOverlap="1" wp14:anchorId="1C8FB0DC" wp14:editId="4F80B313">
            <wp:simplePos x="0" y="0"/>
            <wp:positionH relativeFrom="column">
              <wp:posOffset>476250</wp:posOffset>
            </wp:positionH>
            <wp:positionV relativeFrom="paragraph">
              <wp:posOffset>1905</wp:posOffset>
            </wp:positionV>
            <wp:extent cx="5514975" cy="4076700"/>
            <wp:effectExtent l="0" t="0" r="9525" b="0"/>
            <wp:wrapSquare wrapText="bothSides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4E3F814-14A3-47BD-8C84-A12B1BF82C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146" w:rsidRPr="00113879" w:rsidRDefault="005E1146" w:rsidP="00AA5226">
      <w:pPr>
        <w:jc w:val="center"/>
        <w:rPr>
          <w:rFonts w:ascii="Times New Roman" w:eastAsia="times new" w:hAnsi="Times New Roman" w:cs="Times New Roman"/>
          <w:sz w:val="20"/>
          <w:szCs w:val="20"/>
        </w:rPr>
      </w:pPr>
    </w:p>
    <w:p w:rsidR="0053322D" w:rsidRPr="00113879" w:rsidRDefault="0053322D" w:rsidP="00AA5226">
      <w:pPr>
        <w:rPr>
          <w:rFonts w:ascii="Times New Roman" w:eastAsia="times new" w:hAnsi="Times New Roman" w:cs="Times New Roman"/>
          <w:sz w:val="20"/>
          <w:szCs w:val="20"/>
        </w:rPr>
      </w:pPr>
    </w:p>
    <w:p w:rsidR="00D54744" w:rsidRPr="00113879" w:rsidRDefault="00D5474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D54744" w:rsidRPr="00113879" w:rsidRDefault="00D5474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D54744" w:rsidRPr="00113879" w:rsidRDefault="00D5474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D54744" w:rsidRPr="00113879" w:rsidRDefault="00D5474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D54744" w:rsidRPr="00113879" w:rsidRDefault="00D5474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D54744" w:rsidRPr="00113879" w:rsidRDefault="00D5474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D54744" w:rsidRPr="00113879" w:rsidRDefault="00D5474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D54744" w:rsidRPr="00113879" w:rsidRDefault="00D5474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D54744" w:rsidRPr="00113879" w:rsidRDefault="00D5474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311504" w:rsidRDefault="0031150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311504" w:rsidRDefault="0031150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311504" w:rsidRDefault="0031150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311504" w:rsidRDefault="0031150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311504" w:rsidRDefault="00311504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53322D" w:rsidRPr="00113879" w:rsidRDefault="0053322D" w:rsidP="0053322D">
      <w:pPr>
        <w:jc w:val="both"/>
        <w:rPr>
          <w:rFonts w:ascii="Times New Roman" w:eastAsia="times new" w:hAnsi="Times New Roman" w:cs="Times New Roman"/>
          <w:b/>
          <w:bCs/>
          <w:sz w:val="18"/>
          <w:szCs w:val="18"/>
        </w:rPr>
      </w:pPr>
      <w:r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>Outcome 3</w:t>
      </w:r>
      <w:r w:rsidR="006A601D"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>:</w:t>
      </w:r>
      <w:r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 xml:space="preserve"> </w:t>
      </w:r>
      <w:r w:rsidRPr="00113879">
        <w:rPr>
          <w:rFonts w:ascii="Times New Roman" w:eastAsia="times new" w:hAnsi="Times New Roman" w:cs="Times New Roman"/>
          <w:b/>
          <w:bCs/>
          <w:sz w:val="20"/>
          <w:szCs w:val="18"/>
        </w:rPr>
        <w:t>Strengthened institutions for universal access to basic services</w:t>
      </w:r>
    </w:p>
    <w:p w:rsidR="0053322D" w:rsidRPr="00113879" w:rsidRDefault="0053322D" w:rsidP="00B748C7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eastAsia="times new" w:hAnsi="Times New Roman"/>
          <w:sz w:val="20"/>
          <w:szCs w:val="20"/>
        </w:rPr>
      </w:pPr>
      <w:r w:rsidRPr="00113879">
        <w:rPr>
          <w:rFonts w:ascii="Times New Roman" w:eastAsia="times new" w:hAnsi="Times New Roman"/>
          <w:sz w:val="20"/>
          <w:szCs w:val="20"/>
        </w:rPr>
        <w:t>Outcome 3 remained the largest outcome</w:t>
      </w:r>
      <w:r w:rsidR="003378E4"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="006A601D" w:rsidRPr="00113879">
        <w:rPr>
          <w:rFonts w:ascii="Times New Roman" w:eastAsia="times new" w:hAnsi="Times New Roman"/>
          <w:sz w:val="20"/>
          <w:szCs w:val="20"/>
        </w:rPr>
        <w:t xml:space="preserve">area </w:t>
      </w:r>
      <w:r w:rsidR="003378E4" w:rsidRPr="00113879">
        <w:rPr>
          <w:rFonts w:ascii="Times New Roman" w:eastAsia="times new" w:hAnsi="Times New Roman"/>
          <w:sz w:val="20"/>
          <w:szCs w:val="20"/>
        </w:rPr>
        <w:t xml:space="preserve">with </w:t>
      </w:r>
      <w:r w:rsidRPr="00113879">
        <w:rPr>
          <w:rFonts w:ascii="Times New Roman" w:eastAsia="times new" w:hAnsi="Times New Roman"/>
          <w:sz w:val="20"/>
          <w:szCs w:val="20"/>
        </w:rPr>
        <w:t>UNDP</w:t>
      </w:r>
      <w:r w:rsidR="00AE0900" w:rsidRPr="00113879">
        <w:rPr>
          <w:rFonts w:ascii="Times New Roman" w:eastAsia="times new" w:hAnsi="Times New Roman"/>
          <w:sz w:val="20"/>
          <w:szCs w:val="20"/>
        </w:rPr>
        <w:t xml:space="preserve"> spending</w:t>
      </w:r>
      <w:r w:rsidRPr="00113879">
        <w:rPr>
          <w:rFonts w:ascii="Times New Roman" w:eastAsia="times new" w:hAnsi="Times New Roman"/>
          <w:sz w:val="20"/>
          <w:szCs w:val="20"/>
        </w:rPr>
        <w:t xml:space="preserve"> over one third of programme resources</w:t>
      </w:r>
      <w:r w:rsidR="00AE0900" w:rsidRPr="00113879">
        <w:rPr>
          <w:rFonts w:ascii="Times New Roman" w:eastAsia="times new" w:hAnsi="Times New Roman"/>
          <w:sz w:val="20"/>
          <w:szCs w:val="20"/>
        </w:rPr>
        <w:t xml:space="preserve"> on projects devoted to universal access </w:t>
      </w:r>
      <w:r w:rsidR="006A601D" w:rsidRPr="00113879">
        <w:rPr>
          <w:rFonts w:ascii="Times New Roman" w:eastAsia="times new" w:hAnsi="Times New Roman"/>
          <w:sz w:val="20"/>
          <w:szCs w:val="20"/>
        </w:rPr>
        <w:t xml:space="preserve">of </w:t>
      </w:r>
      <w:r w:rsidR="00AE0900" w:rsidRPr="00113879">
        <w:rPr>
          <w:rFonts w:ascii="Times New Roman" w:eastAsia="times new" w:hAnsi="Times New Roman"/>
          <w:sz w:val="20"/>
          <w:szCs w:val="20"/>
        </w:rPr>
        <w:t>basic services</w:t>
      </w:r>
      <w:r w:rsidRPr="00113879">
        <w:rPr>
          <w:rFonts w:ascii="Times New Roman" w:eastAsia="times new" w:hAnsi="Times New Roman"/>
          <w:sz w:val="20"/>
          <w:szCs w:val="20"/>
        </w:rPr>
        <w:t xml:space="preserve">. </w:t>
      </w:r>
      <w:r w:rsidR="00A1345D" w:rsidRPr="00113879">
        <w:rPr>
          <w:rFonts w:ascii="Times New Roman" w:eastAsia="times new" w:hAnsi="Times New Roman"/>
          <w:sz w:val="20"/>
          <w:szCs w:val="20"/>
        </w:rPr>
        <w:t xml:space="preserve">Bilateral and multilateral donors funded </w:t>
      </w:r>
      <w:r w:rsidR="00A1345D" w:rsidRPr="00113879">
        <w:rPr>
          <w:rFonts w:ascii="Times New Roman" w:eastAsia="Times New Roman" w:hAnsi="Times New Roman"/>
          <w:sz w:val="20"/>
          <w:szCs w:val="20"/>
        </w:rPr>
        <w:t>more than half of Outcome 3</w:t>
      </w:r>
      <w:r w:rsidR="00A1345D" w:rsidRPr="00113879">
        <w:rPr>
          <w:rFonts w:ascii="Times New Roman" w:eastAsia="times new" w:hAnsi="Times New Roman"/>
          <w:sz w:val="20"/>
          <w:szCs w:val="20"/>
        </w:rPr>
        <w:t xml:space="preserve">, including citizen security in Afghanistan. </w:t>
      </w:r>
      <w:r w:rsidRPr="00113879">
        <w:rPr>
          <w:rFonts w:ascii="Times New Roman" w:eastAsia="times new" w:hAnsi="Times New Roman"/>
          <w:sz w:val="20"/>
          <w:szCs w:val="20"/>
        </w:rPr>
        <w:t>The second largest funding source (28</w:t>
      </w:r>
      <w:r w:rsidR="006A601D" w:rsidRPr="00113879">
        <w:rPr>
          <w:rFonts w:ascii="Times New Roman" w:eastAsia="times new" w:hAnsi="Times New Roman"/>
          <w:sz w:val="20"/>
          <w:szCs w:val="20"/>
        </w:rPr>
        <w:t xml:space="preserve"> per cent</w:t>
      </w:r>
      <w:r w:rsidRPr="00113879">
        <w:rPr>
          <w:rFonts w:ascii="Times New Roman" w:eastAsia="times new" w:hAnsi="Times New Roman"/>
          <w:sz w:val="20"/>
          <w:szCs w:val="20"/>
        </w:rPr>
        <w:t xml:space="preserve">) </w:t>
      </w:r>
      <w:r w:rsidR="006A601D" w:rsidRPr="00113879">
        <w:rPr>
          <w:rFonts w:ascii="Times New Roman" w:eastAsia="times new" w:hAnsi="Times New Roman"/>
          <w:sz w:val="20"/>
          <w:szCs w:val="20"/>
        </w:rPr>
        <w:t xml:space="preserve">came from </w:t>
      </w:r>
      <w:r w:rsidRPr="00113879">
        <w:rPr>
          <w:rFonts w:ascii="Times New Roman" w:eastAsia="times new" w:hAnsi="Times New Roman"/>
          <w:sz w:val="20"/>
          <w:szCs w:val="20"/>
        </w:rPr>
        <w:t xml:space="preserve">vertical funds, </w:t>
      </w:r>
      <w:r w:rsidR="007C10E0" w:rsidRPr="00113879">
        <w:rPr>
          <w:rFonts w:ascii="Times New Roman" w:eastAsia="times new" w:hAnsi="Times New Roman"/>
          <w:sz w:val="20"/>
          <w:szCs w:val="20"/>
        </w:rPr>
        <w:t xml:space="preserve">predominantly </w:t>
      </w:r>
      <w:r w:rsidRPr="00113879">
        <w:rPr>
          <w:rFonts w:ascii="Times New Roman" w:eastAsia="times new" w:hAnsi="Times New Roman"/>
          <w:sz w:val="20"/>
          <w:szCs w:val="20"/>
        </w:rPr>
        <w:t xml:space="preserve">the Global Fund to Fight AIDS, Tuberculosis and Malaria.  </w:t>
      </w:r>
    </w:p>
    <w:p w:rsidR="005E1146" w:rsidRPr="00113879" w:rsidRDefault="005E1146" w:rsidP="005E1146">
      <w:pPr>
        <w:jc w:val="both"/>
        <w:rPr>
          <w:rFonts w:ascii="Times New Roman" w:eastAsia="times new" w:hAnsi="Times New Roman" w:cs="Times New Roman"/>
          <w:sz w:val="20"/>
          <w:szCs w:val="20"/>
        </w:rPr>
      </w:pPr>
    </w:p>
    <w:p w:rsidR="005E1146" w:rsidRPr="00113879" w:rsidRDefault="00D54744" w:rsidP="00D54744">
      <w:pPr>
        <w:jc w:val="center"/>
        <w:rPr>
          <w:rFonts w:ascii="Times New Roman" w:eastAsia="times new" w:hAnsi="Times New Roman" w:cs="Times New Roman"/>
          <w:sz w:val="20"/>
          <w:szCs w:val="20"/>
        </w:rPr>
      </w:pPr>
      <w:r w:rsidRPr="00113879">
        <w:rPr>
          <w:rFonts w:ascii="Times New Roman" w:eastAsia="times new" w:hAnsi="Times New Roman" w:cs="Times New Roman"/>
          <w:noProof/>
          <w:sz w:val="20"/>
          <w:szCs w:val="20"/>
          <w:lang w:eastAsia="en-US"/>
        </w:rPr>
        <w:lastRenderedPageBreak/>
        <w:drawing>
          <wp:inline distT="0" distB="0" distL="0" distR="0" wp14:anchorId="1762C0DD" wp14:editId="428D9369">
            <wp:extent cx="5594985" cy="4189095"/>
            <wp:effectExtent l="0" t="0" r="5715" b="1905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5689D07-5272-4D62-A0D6-618DF6D8B88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48C7" w:rsidRPr="00113879" w:rsidRDefault="00B748C7" w:rsidP="00B748C7">
      <w:pPr>
        <w:pStyle w:val="ListParagraph"/>
        <w:ind w:left="0"/>
        <w:jc w:val="both"/>
        <w:rPr>
          <w:rFonts w:ascii="Times New Roman" w:eastAsia="times new" w:hAnsi="Times New Roman"/>
          <w:sz w:val="20"/>
          <w:szCs w:val="20"/>
        </w:rPr>
      </w:pPr>
    </w:p>
    <w:p w:rsidR="0053322D" w:rsidRPr="00113879" w:rsidRDefault="0053322D" w:rsidP="0053322D">
      <w:pPr>
        <w:jc w:val="both"/>
        <w:rPr>
          <w:rFonts w:ascii="Times New Roman" w:eastAsia="times new" w:hAnsi="Times New Roman" w:cs="Times New Roman"/>
          <w:b/>
          <w:bCs/>
          <w:sz w:val="18"/>
          <w:szCs w:val="18"/>
        </w:rPr>
      </w:pPr>
      <w:r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>Outcome 4</w:t>
      </w:r>
      <w:r w:rsidR="006A601D"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>:</w:t>
      </w:r>
      <w:r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 xml:space="preserve"> </w:t>
      </w:r>
      <w:r w:rsidRPr="00113879">
        <w:rPr>
          <w:rFonts w:ascii="Times New Roman" w:eastAsia="times new" w:hAnsi="Times New Roman" w:cs="Times New Roman"/>
          <w:b/>
          <w:bCs/>
          <w:sz w:val="20"/>
          <w:szCs w:val="18"/>
        </w:rPr>
        <w:t>Gender equality and women’s empowerment</w:t>
      </w:r>
    </w:p>
    <w:p w:rsidR="0053322D" w:rsidRPr="00113879" w:rsidRDefault="0053322D" w:rsidP="006A601D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eastAsia="times new" w:hAnsi="Times New Roman"/>
          <w:sz w:val="20"/>
          <w:szCs w:val="20"/>
        </w:rPr>
      </w:pPr>
      <w:r w:rsidRPr="00113879">
        <w:rPr>
          <w:rFonts w:ascii="Times New Roman" w:eastAsia="times new" w:hAnsi="Times New Roman"/>
          <w:sz w:val="20"/>
          <w:szCs w:val="20"/>
        </w:rPr>
        <w:t xml:space="preserve">While gender equality and women’s empowerment has been mainstreamed across all </w:t>
      </w:r>
      <w:r w:rsidR="006A601D" w:rsidRPr="00113879">
        <w:rPr>
          <w:rFonts w:ascii="Times New Roman" w:eastAsia="times new" w:hAnsi="Times New Roman"/>
          <w:sz w:val="20"/>
          <w:szCs w:val="20"/>
        </w:rPr>
        <w:t xml:space="preserve">UNDP </w:t>
      </w:r>
      <w:r w:rsidRPr="00113879">
        <w:rPr>
          <w:rFonts w:ascii="Times New Roman" w:eastAsia="times new" w:hAnsi="Times New Roman"/>
          <w:sz w:val="20"/>
          <w:szCs w:val="20"/>
        </w:rPr>
        <w:t>outcome</w:t>
      </w:r>
      <w:r w:rsidR="006A601D" w:rsidRPr="00113879">
        <w:rPr>
          <w:rFonts w:ascii="Times New Roman" w:eastAsia="times new" w:hAnsi="Times New Roman"/>
          <w:sz w:val="20"/>
          <w:szCs w:val="20"/>
        </w:rPr>
        <w:t xml:space="preserve"> areas—</w:t>
      </w:r>
      <w:r w:rsidRPr="00113879">
        <w:rPr>
          <w:rFonts w:ascii="Times New Roman" w:eastAsia="times new" w:hAnsi="Times New Roman"/>
          <w:sz w:val="20"/>
          <w:szCs w:val="20"/>
        </w:rPr>
        <w:t xml:space="preserve">as evidenced by </w:t>
      </w:r>
      <w:r w:rsidR="006A601D" w:rsidRPr="00113879">
        <w:rPr>
          <w:rFonts w:ascii="Times New Roman" w:eastAsia="times new" w:hAnsi="Times New Roman"/>
          <w:sz w:val="20"/>
          <w:szCs w:val="20"/>
        </w:rPr>
        <w:t>g</w:t>
      </w:r>
      <w:r w:rsidRPr="00113879">
        <w:rPr>
          <w:rFonts w:ascii="Times New Roman" w:eastAsia="times new" w:hAnsi="Times New Roman"/>
          <w:sz w:val="20"/>
          <w:szCs w:val="20"/>
        </w:rPr>
        <w:t xml:space="preserve">ender </w:t>
      </w:r>
      <w:r w:rsidR="006A601D" w:rsidRPr="00113879">
        <w:rPr>
          <w:rFonts w:ascii="Times New Roman" w:eastAsia="times new" w:hAnsi="Times New Roman"/>
          <w:sz w:val="20"/>
          <w:szCs w:val="20"/>
        </w:rPr>
        <w:t>m</w:t>
      </w:r>
      <w:r w:rsidRPr="00113879">
        <w:rPr>
          <w:rFonts w:ascii="Times New Roman" w:eastAsia="times new" w:hAnsi="Times New Roman"/>
          <w:sz w:val="20"/>
          <w:szCs w:val="20"/>
        </w:rPr>
        <w:t>arker ratings</w:t>
      </w:r>
      <w:r w:rsidR="00EB6BBB" w:rsidRPr="00113879">
        <w:rPr>
          <w:rFonts w:ascii="Times New Roman" w:eastAsia="times new" w:hAnsi="Times New Roman"/>
          <w:sz w:val="20"/>
          <w:szCs w:val="20"/>
        </w:rPr>
        <w:t xml:space="preserve"> and results </w:t>
      </w:r>
      <w:r w:rsidR="006A601D" w:rsidRPr="00113879">
        <w:rPr>
          <w:rFonts w:ascii="Times New Roman" w:eastAsia="times new" w:hAnsi="Times New Roman"/>
          <w:sz w:val="20"/>
          <w:szCs w:val="20"/>
        </w:rPr>
        <w:t>from</w:t>
      </w:r>
      <w:r w:rsidR="00EB6BBB" w:rsidRPr="00113879">
        <w:rPr>
          <w:rFonts w:ascii="Times New Roman" w:eastAsia="times new" w:hAnsi="Times New Roman"/>
          <w:sz w:val="20"/>
          <w:szCs w:val="20"/>
        </w:rPr>
        <w:t xml:space="preserve"> the </w:t>
      </w:r>
      <w:r w:rsidR="006A601D" w:rsidRPr="00113879">
        <w:rPr>
          <w:rFonts w:ascii="Times New Roman" w:eastAsia="times new" w:hAnsi="Times New Roman"/>
          <w:sz w:val="20"/>
          <w:szCs w:val="20"/>
        </w:rPr>
        <w:t xml:space="preserve">Integrated Results and Resources Framework </w:t>
      </w:r>
      <w:r w:rsidR="00EB6BBB" w:rsidRPr="00113879">
        <w:rPr>
          <w:rFonts w:ascii="Times New Roman" w:eastAsia="times new" w:hAnsi="Times New Roman"/>
          <w:sz w:val="20"/>
          <w:szCs w:val="20"/>
        </w:rPr>
        <w:t xml:space="preserve">and </w:t>
      </w:r>
      <w:r w:rsidR="006A601D" w:rsidRPr="00113879">
        <w:rPr>
          <w:rFonts w:ascii="Times New Roman" w:eastAsia="times new" w:hAnsi="Times New Roman"/>
          <w:sz w:val="20"/>
          <w:szCs w:val="20"/>
        </w:rPr>
        <w:t>Results Oriented Annual Reports—</w:t>
      </w:r>
      <w:r w:rsidRPr="00113879">
        <w:rPr>
          <w:rFonts w:ascii="Times New Roman" w:eastAsia="times new" w:hAnsi="Times New Roman"/>
          <w:sz w:val="20"/>
          <w:szCs w:val="20"/>
        </w:rPr>
        <w:t xml:space="preserve">UNDP spent </w:t>
      </w:r>
      <w:r w:rsidR="00631E82" w:rsidRPr="00113879">
        <w:rPr>
          <w:rFonts w:ascii="Times New Roman" w:eastAsia="times new" w:hAnsi="Times New Roman"/>
          <w:sz w:val="20"/>
          <w:szCs w:val="20"/>
        </w:rPr>
        <w:t>one</w:t>
      </w:r>
      <w:r w:rsidR="006A601D" w:rsidRPr="00113879">
        <w:rPr>
          <w:rFonts w:ascii="Times New Roman" w:eastAsia="times new" w:hAnsi="Times New Roman"/>
          <w:sz w:val="20"/>
          <w:szCs w:val="20"/>
        </w:rPr>
        <w:t xml:space="preserve"> per cent</w:t>
      </w:r>
      <w:r w:rsidRPr="00113879">
        <w:rPr>
          <w:rFonts w:ascii="Times New Roman" w:eastAsia="times new" w:hAnsi="Times New Roman"/>
          <w:sz w:val="20"/>
          <w:szCs w:val="20"/>
        </w:rPr>
        <w:t xml:space="preserve"> of programme resources under Outcome 4</w:t>
      </w:r>
      <w:r w:rsidR="00AE0900" w:rsidRPr="00113879">
        <w:rPr>
          <w:rFonts w:ascii="Times New Roman" w:eastAsia="times new" w:hAnsi="Times New Roman"/>
          <w:sz w:val="20"/>
          <w:szCs w:val="20"/>
        </w:rPr>
        <w:t xml:space="preserve"> for project interventions</w:t>
      </w:r>
      <w:r w:rsidRPr="00113879">
        <w:rPr>
          <w:rFonts w:ascii="Times New Roman" w:eastAsia="times new" w:hAnsi="Times New Roman"/>
          <w:sz w:val="20"/>
          <w:szCs w:val="20"/>
        </w:rPr>
        <w:t xml:space="preserve">. Regular resources </w:t>
      </w:r>
      <w:r w:rsidR="00487B9E" w:rsidRPr="00113879">
        <w:rPr>
          <w:rFonts w:ascii="Times New Roman" w:eastAsia="times new" w:hAnsi="Times New Roman"/>
          <w:sz w:val="20"/>
          <w:szCs w:val="20"/>
        </w:rPr>
        <w:t>remained an important source of funding under</w:t>
      </w:r>
      <w:r w:rsidR="006A601D"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Pr="00113879">
        <w:rPr>
          <w:rFonts w:ascii="Times New Roman" w:eastAsia="times new" w:hAnsi="Times New Roman"/>
          <w:sz w:val="20"/>
          <w:szCs w:val="20"/>
        </w:rPr>
        <w:t xml:space="preserve">Outcome 4, which </w:t>
      </w:r>
      <w:r w:rsidR="00AE0900" w:rsidRPr="00113879">
        <w:rPr>
          <w:rFonts w:ascii="Times New Roman" w:eastAsia="times new" w:hAnsi="Times New Roman"/>
          <w:sz w:val="20"/>
          <w:szCs w:val="20"/>
        </w:rPr>
        <w:t xml:space="preserve">covered </w:t>
      </w:r>
      <w:r w:rsidRPr="00113879">
        <w:rPr>
          <w:rFonts w:ascii="Times New Roman" w:eastAsia="times new" w:hAnsi="Times New Roman"/>
          <w:sz w:val="20"/>
          <w:szCs w:val="20"/>
        </w:rPr>
        <w:t xml:space="preserve">nearly one third of UNDP </w:t>
      </w:r>
      <w:r w:rsidR="005C710A" w:rsidRPr="00113879">
        <w:rPr>
          <w:rFonts w:ascii="Times New Roman" w:eastAsia="times new" w:hAnsi="Times New Roman"/>
          <w:sz w:val="20"/>
          <w:szCs w:val="20"/>
        </w:rPr>
        <w:t xml:space="preserve">expenditure </w:t>
      </w:r>
      <w:r w:rsidR="00341907" w:rsidRPr="00113879">
        <w:rPr>
          <w:rFonts w:ascii="Times New Roman" w:eastAsia="times new" w:hAnsi="Times New Roman"/>
          <w:sz w:val="20"/>
          <w:szCs w:val="20"/>
        </w:rPr>
        <w:t>within this outcome</w:t>
      </w:r>
      <w:r w:rsidRPr="00113879">
        <w:rPr>
          <w:rFonts w:ascii="Times New Roman" w:eastAsia="times new" w:hAnsi="Times New Roman"/>
          <w:sz w:val="20"/>
          <w:szCs w:val="20"/>
        </w:rPr>
        <w:t>.</w:t>
      </w:r>
    </w:p>
    <w:p w:rsidR="00B748C7" w:rsidRPr="00113879" w:rsidRDefault="00B748C7" w:rsidP="00B748C7">
      <w:pPr>
        <w:pStyle w:val="ListParagraph"/>
        <w:ind w:left="0"/>
        <w:jc w:val="both"/>
        <w:rPr>
          <w:rFonts w:ascii="Times New Roman" w:eastAsia="times new" w:hAnsi="Times New Roman"/>
          <w:sz w:val="20"/>
          <w:szCs w:val="20"/>
        </w:rPr>
      </w:pPr>
    </w:p>
    <w:p w:rsidR="005E1146" w:rsidRPr="00113879" w:rsidRDefault="00D54744" w:rsidP="00AA5226">
      <w:pPr>
        <w:pStyle w:val="ListParagraph"/>
        <w:ind w:left="0"/>
        <w:jc w:val="center"/>
        <w:rPr>
          <w:rFonts w:ascii="Times New Roman" w:eastAsia="times new" w:hAnsi="Times New Roman"/>
          <w:sz w:val="20"/>
          <w:szCs w:val="20"/>
        </w:rPr>
      </w:pPr>
      <w:r w:rsidRPr="00113879">
        <w:rPr>
          <w:rFonts w:ascii="Times New Roman" w:eastAsia="times new" w:hAnsi="Times New Roman"/>
          <w:noProof/>
          <w:sz w:val="20"/>
          <w:szCs w:val="20"/>
          <w:lang w:eastAsia="en-US"/>
        </w:rPr>
        <w:lastRenderedPageBreak/>
        <w:drawing>
          <wp:inline distT="0" distB="0" distL="0" distR="0" wp14:anchorId="4C5CF4AB" wp14:editId="25230F93">
            <wp:extent cx="5816600" cy="3912243"/>
            <wp:effectExtent l="0" t="0" r="12700" b="12065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D370D9F3-027C-45C3-88D2-7487D9EAF4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3322D" w:rsidRPr="00113879" w:rsidRDefault="0053322D" w:rsidP="00AA5226">
      <w:pPr>
        <w:jc w:val="center"/>
        <w:rPr>
          <w:rFonts w:ascii="Times New Roman" w:eastAsia="times new" w:hAnsi="Times New Roman" w:cs="Times New Roman"/>
          <w:sz w:val="20"/>
          <w:szCs w:val="20"/>
        </w:rPr>
      </w:pPr>
    </w:p>
    <w:p w:rsidR="0053322D" w:rsidRPr="00113879" w:rsidRDefault="0053322D" w:rsidP="0053322D">
      <w:pPr>
        <w:jc w:val="both"/>
        <w:rPr>
          <w:rFonts w:ascii="Times New Roman" w:eastAsia="times new" w:hAnsi="Times New Roman" w:cs="Times New Roman"/>
          <w:b/>
          <w:bCs/>
          <w:sz w:val="18"/>
          <w:szCs w:val="18"/>
        </w:rPr>
      </w:pPr>
      <w:r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>Outcome 5</w:t>
      </w:r>
      <w:r w:rsidR="006A601D"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>:</w:t>
      </w:r>
      <w:r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 xml:space="preserve"> </w:t>
      </w:r>
      <w:r w:rsidRPr="00113879">
        <w:rPr>
          <w:rFonts w:ascii="Times New Roman" w:eastAsia="times new" w:hAnsi="Times New Roman" w:cs="Times New Roman"/>
          <w:b/>
          <w:bCs/>
          <w:sz w:val="20"/>
          <w:szCs w:val="18"/>
        </w:rPr>
        <w:t>Risk reduction - conflict and natural disaster, including climate change</w:t>
      </w:r>
    </w:p>
    <w:p w:rsidR="0053322D" w:rsidRPr="00113879" w:rsidRDefault="0053322D" w:rsidP="006A601D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eastAsia="times new" w:hAnsi="Times New Roman"/>
          <w:sz w:val="20"/>
          <w:szCs w:val="20"/>
        </w:rPr>
      </w:pPr>
      <w:r w:rsidRPr="00113879">
        <w:rPr>
          <w:rFonts w:ascii="Times New Roman" w:eastAsia="times new" w:hAnsi="Times New Roman"/>
          <w:sz w:val="20"/>
          <w:szCs w:val="20"/>
        </w:rPr>
        <w:t xml:space="preserve">UNDP spent </w:t>
      </w:r>
      <w:r w:rsidR="00631E82" w:rsidRPr="00113879">
        <w:rPr>
          <w:rFonts w:ascii="Times New Roman" w:eastAsia="times new" w:hAnsi="Times New Roman"/>
          <w:sz w:val="20"/>
          <w:szCs w:val="20"/>
        </w:rPr>
        <w:t>six</w:t>
      </w:r>
      <w:r w:rsidR="006A601D" w:rsidRPr="00113879">
        <w:rPr>
          <w:rFonts w:ascii="Times New Roman" w:eastAsia="times new" w:hAnsi="Times New Roman"/>
          <w:sz w:val="20"/>
          <w:szCs w:val="20"/>
        </w:rPr>
        <w:t xml:space="preserve"> per cent</w:t>
      </w:r>
      <w:r w:rsidRPr="00113879">
        <w:rPr>
          <w:rFonts w:ascii="Times New Roman" w:eastAsia="times new" w:hAnsi="Times New Roman"/>
          <w:sz w:val="20"/>
          <w:szCs w:val="20"/>
        </w:rPr>
        <w:t xml:space="preserve"> of programme resources for conflict and natural </w:t>
      </w:r>
      <w:r w:rsidR="00122643" w:rsidRPr="00113879">
        <w:rPr>
          <w:rFonts w:ascii="Times New Roman" w:eastAsia="times new" w:hAnsi="Times New Roman"/>
          <w:sz w:val="20"/>
          <w:szCs w:val="20"/>
        </w:rPr>
        <w:t xml:space="preserve">hazard risk </w:t>
      </w:r>
      <w:r w:rsidRPr="00113879">
        <w:rPr>
          <w:rFonts w:ascii="Times New Roman" w:eastAsia="times new" w:hAnsi="Times New Roman"/>
          <w:sz w:val="20"/>
          <w:szCs w:val="20"/>
        </w:rPr>
        <w:t>reduction, including climate change</w:t>
      </w:r>
      <w:r w:rsidR="00122643" w:rsidRPr="00113879">
        <w:rPr>
          <w:rFonts w:ascii="Times New Roman" w:eastAsia="times new" w:hAnsi="Times New Roman"/>
          <w:sz w:val="20"/>
          <w:szCs w:val="20"/>
        </w:rPr>
        <w:t xml:space="preserve"> related projects</w:t>
      </w:r>
      <w:r w:rsidRPr="00113879">
        <w:rPr>
          <w:rFonts w:ascii="Times New Roman" w:eastAsia="times new" w:hAnsi="Times New Roman"/>
          <w:sz w:val="20"/>
          <w:szCs w:val="20"/>
        </w:rPr>
        <w:t xml:space="preserve">. Despite </w:t>
      </w:r>
      <w:r w:rsidR="006A601D" w:rsidRPr="00113879">
        <w:rPr>
          <w:rFonts w:ascii="Times New Roman" w:eastAsia="times new" w:hAnsi="Times New Roman"/>
          <w:sz w:val="20"/>
          <w:szCs w:val="20"/>
        </w:rPr>
        <w:t xml:space="preserve">an </w:t>
      </w:r>
      <w:r w:rsidRPr="00113879">
        <w:rPr>
          <w:rFonts w:ascii="Times New Roman" w:eastAsia="times new" w:hAnsi="Times New Roman"/>
          <w:sz w:val="20"/>
          <w:szCs w:val="20"/>
        </w:rPr>
        <w:t>overall decrease in expenditure, the portion funded by vertical funds, mostly GEF, more than doubled. The expenditure under Output 5.4 steadily increased, highlighting the</w:t>
      </w:r>
      <w:r w:rsidR="00BD3DCE" w:rsidRPr="00113879">
        <w:rPr>
          <w:rFonts w:ascii="Times New Roman" w:eastAsia="times new" w:hAnsi="Times New Roman"/>
          <w:sz w:val="20"/>
          <w:szCs w:val="20"/>
        </w:rPr>
        <w:t xml:space="preserve"> relevance and</w:t>
      </w:r>
      <w:r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="00BD3DCE" w:rsidRPr="00113879">
        <w:rPr>
          <w:rFonts w:ascii="Times New Roman" w:eastAsia="times new" w:hAnsi="Times New Roman"/>
          <w:sz w:val="20"/>
          <w:szCs w:val="20"/>
        </w:rPr>
        <w:t xml:space="preserve">added </w:t>
      </w:r>
      <w:r w:rsidRPr="00113879">
        <w:rPr>
          <w:rFonts w:ascii="Times New Roman" w:eastAsia="times new" w:hAnsi="Times New Roman"/>
          <w:sz w:val="20"/>
          <w:szCs w:val="20"/>
        </w:rPr>
        <w:t xml:space="preserve">value </w:t>
      </w:r>
      <w:r w:rsidR="00BD3DCE" w:rsidRPr="00113879">
        <w:rPr>
          <w:rFonts w:ascii="Times New Roman" w:eastAsia="times new" w:hAnsi="Times New Roman"/>
          <w:sz w:val="20"/>
          <w:szCs w:val="20"/>
        </w:rPr>
        <w:t xml:space="preserve">of </w:t>
      </w:r>
      <w:r w:rsidRPr="00113879">
        <w:rPr>
          <w:rFonts w:ascii="Times New Roman" w:eastAsia="times new" w:hAnsi="Times New Roman"/>
          <w:sz w:val="20"/>
          <w:szCs w:val="20"/>
        </w:rPr>
        <w:t xml:space="preserve">UNDP in </w:t>
      </w:r>
      <w:r w:rsidR="00BD3DCE" w:rsidRPr="00113879">
        <w:rPr>
          <w:rFonts w:ascii="Times New Roman" w:eastAsia="times new" w:hAnsi="Times New Roman"/>
          <w:sz w:val="20"/>
          <w:szCs w:val="20"/>
        </w:rPr>
        <w:t xml:space="preserve">supporting </w:t>
      </w:r>
      <w:r w:rsidRPr="00113879">
        <w:rPr>
          <w:rFonts w:ascii="Times New Roman" w:eastAsia="times new" w:hAnsi="Times New Roman"/>
          <w:sz w:val="20"/>
          <w:szCs w:val="20"/>
        </w:rPr>
        <w:t xml:space="preserve">natural </w:t>
      </w:r>
      <w:r w:rsidR="00122643" w:rsidRPr="00113879">
        <w:rPr>
          <w:rFonts w:ascii="Times New Roman" w:eastAsia="times new" w:hAnsi="Times New Roman"/>
          <w:sz w:val="20"/>
          <w:szCs w:val="20"/>
        </w:rPr>
        <w:t xml:space="preserve">hazard </w:t>
      </w:r>
      <w:r w:rsidRPr="00113879">
        <w:rPr>
          <w:rFonts w:ascii="Times New Roman" w:eastAsia="times new" w:hAnsi="Times New Roman"/>
          <w:sz w:val="20"/>
          <w:szCs w:val="20"/>
        </w:rPr>
        <w:t xml:space="preserve">preparedness initiatives. </w:t>
      </w:r>
    </w:p>
    <w:p w:rsidR="0053322D" w:rsidRPr="00113879" w:rsidRDefault="002E401B" w:rsidP="00AA5226">
      <w:pPr>
        <w:jc w:val="center"/>
        <w:rPr>
          <w:rFonts w:ascii="Times New Roman" w:eastAsia="times new" w:hAnsi="Times New Roman" w:cs="Times New Roman"/>
          <w:sz w:val="20"/>
          <w:szCs w:val="20"/>
        </w:rPr>
      </w:pPr>
      <w:r w:rsidRPr="00113879">
        <w:rPr>
          <w:rFonts w:ascii="Times New Roman" w:eastAsia="times new" w:hAnsi="Times New Roman" w:cs="Times New Roman"/>
          <w:noProof/>
          <w:sz w:val="20"/>
          <w:szCs w:val="20"/>
          <w:lang w:eastAsia="en-US"/>
        </w:rPr>
        <w:lastRenderedPageBreak/>
        <w:drawing>
          <wp:inline distT="0" distB="0" distL="0" distR="0" wp14:anchorId="4D1950DE" wp14:editId="5F404603">
            <wp:extent cx="6079490" cy="4215130"/>
            <wp:effectExtent l="0" t="0" r="16510" b="1397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EC949D4-A106-4FF4-B2DA-404DA5503B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15E22" w:rsidRDefault="00D15E22" w:rsidP="0053322D">
      <w:pPr>
        <w:jc w:val="both"/>
        <w:rPr>
          <w:rFonts w:ascii="Times New Roman" w:eastAsia="times new" w:hAnsi="Times New Roman" w:cs="Times New Roman"/>
          <w:b/>
          <w:noProof/>
          <w:sz w:val="20"/>
          <w:szCs w:val="20"/>
        </w:rPr>
      </w:pPr>
    </w:p>
    <w:p w:rsidR="0053322D" w:rsidRPr="00113879" w:rsidRDefault="0053322D" w:rsidP="0053322D">
      <w:pPr>
        <w:jc w:val="both"/>
        <w:rPr>
          <w:rFonts w:ascii="Times New Roman" w:eastAsia="times new" w:hAnsi="Times New Roman" w:cs="Times New Roman"/>
          <w:b/>
          <w:bCs/>
          <w:sz w:val="18"/>
          <w:szCs w:val="18"/>
        </w:rPr>
      </w:pPr>
      <w:r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>Outcome 6</w:t>
      </w:r>
      <w:r w:rsidR="006A601D"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>:</w:t>
      </w:r>
      <w:r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 xml:space="preserve"> </w:t>
      </w:r>
      <w:r w:rsidRPr="00113879">
        <w:rPr>
          <w:rFonts w:ascii="Times New Roman" w:eastAsia="times new" w:hAnsi="Times New Roman" w:cs="Times New Roman"/>
          <w:b/>
          <w:bCs/>
          <w:sz w:val="20"/>
          <w:szCs w:val="18"/>
        </w:rPr>
        <w:t>Early recovery in post-conflict and post-disaster settings</w:t>
      </w:r>
    </w:p>
    <w:p w:rsidR="0053322D" w:rsidRPr="00113879" w:rsidRDefault="006A601D" w:rsidP="006A601D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eastAsia="times new" w:hAnsi="Times New Roman"/>
          <w:b/>
          <w:bCs/>
          <w:sz w:val="18"/>
          <w:szCs w:val="18"/>
        </w:rPr>
      </w:pPr>
      <w:r w:rsidRPr="00113879">
        <w:rPr>
          <w:rFonts w:ascii="Times New Roman" w:eastAsia="times new" w:hAnsi="Times New Roman"/>
          <w:sz w:val="20"/>
          <w:szCs w:val="20"/>
        </w:rPr>
        <w:t xml:space="preserve">Between </w:t>
      </w:r>
      <w:r w:rsidR="0053322D" w:rsidRPr="00113879">
        <w:rPr>
          <w:rFonts w:ascii="Times New Roman" w:eastAsia="times new" w:hAnsi="Times New Roman"/>
          <w:sz w:val="20"/>
          <w:szCs w:val="20"/>
        </w:rPr>
        <w:t>2014</w:t>
      </w:r>
      <w:r w:rsidRPr="00113879">
        <w:rPr>
          <w:rFonts w:ascii="Times New Roman" w:eastAsia="times new" w:hAnsi="Times New Roman"/>
          <w:sz w:val="20"/>
          <w:szCs w:val="20"/>
        </w:rPr>
        <w:t xml:space="preserve"> and </w:t>
      </w:r>
      <w:r w:rsidR="0053322D" w:rsidRPr="00113879">
        <w:rPr>
          <w:rFonts w:ascii="Times New Roman" w:eastAsia="times new" w:hAnsi="Times New Roman"/>
          <w:sz w:val="20"/>
          <w:szCs w:val="20"/>
        </w:rPr>
        <w:t>2016, UNDP</w:t>
      </w:r>
      <w:r w:rsidR="006219B5" w:rsidRPr="00113879">
        <w:rPr>
          <w:rFonts w:ascii="Times New Roman" w:eastAsia="times new" w:hAnsi="Times New Roman"/>
          <w:sz w:val="20"/>
          <w:szCs w:val="20"/>
        </w:rPr>
        <w:t xml:space="preserve"> increased its contribution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="006219B5" w:rsidRPr="00113879">
        <w:rPr>
          <w:rFonts w:ascii="Times New Roman" w:eastAsia="times new" w:hAnsi="Times New Roman"/>
          <w:sz w:val="20"/>
          <w:szCs w:val="20"/>
        </w:rPr>
        <w:t xml:space="preserve">to 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early recovery </w:t>
      </w:r>
      <w:r w:rsidR="006219B5" w:rsidRPr="00113879">
        <w:rPr>
          <w:rFonts w:ascii="Times New Roman" w:eastAsia="times new" w:hAnsi="Times New Roman"/>
          <w:sz w:val="20"/>
          <w:szCs w:val="20"/>
        </w:rPr>
        <w:t>initiatives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 by 41</w:t>
      </w:r>
      <w:r w:rsidR="006219B5" w:rsidRPr="00113879">
        <w:rPr>
          <w:rFonts w:ascii="Times New Roman" w:eastAsia="times new" w:hAnsi="Times New Roman"/>
          <w:sz w:val="20"/>
          <w:szCs w:val="20"/>
        </w:rPr>
        <w:t xml:space="preserve"> per cent</w:t>
      </w:r>
      <w:r w:rsidR="0053322D" w:rsidRPr="00113879">
        <w:rPr>
          <w:rFonts w:ascii="Times New Roman" w:eastAsia="times new" w:hAnsi="Times New Roman"/>
          <w:sz w:val="20"/>
          <w:szCs w:val="20"/>
        </w:rPr>
        <w:t>, which is</w:t>
      </w:r>
      <w:r w:rsidR="00BD3DCE" w:rsidRPr="00113879">
        <w:rPr>
          <w:rFonts w:ascii="Times New Roman" w:eastAsia="times new" w:hAnsi="Times New Roman"/>
          <w:sz w:val="20"/>
          <w:szCs w:val="20"/>
        </w:rPr>
        <w:t xml:space="preserve"> equivalent to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="00631E82" w:rsidRPr="00113879">
        <w:rPr>
          <w:rFonts w:ascii="Times New Roman" w:eastAsia="times new" w:hAnsi="Times New Roman"/>
          <w:sz w:val="20"/>
          <w:szCs w:val="20"/>
        </w:rPr>
        <w:t>eight</w:t>
      </w:r>
      <w:r w:rsidR="006219B5" w:rsidRPr="00113879">
        <w:rPr>
          <w:rFonts w:ascii="Times New Roman" w:eastAsia="times new" w:hAnsi="Times New Roman"/>
          <w:sz w:val="20"/>
          <w:szCs w:val="20"/>
        </w:rPr>
        <w:t xml:space="preserve"> per cent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 of </w:t>
      </w:r>
      <w:r w:rsidR="006219B5" w:rsidRPr="00113879">
        <w:rPr>
          <w:rFonts w:ascii="Times New Roman" w:eastAsia="times new" w:hAnsi="Times New Roman"/>
          <w:sz w:val="20"/>
          <w:szCs w:val="20"/>
        </w:rPr>
        <w:t xml:space="preserve">the organization’s </w:t>
      </w:r>
      <w:r w:rsidR="0053322D" w:rsidRPr="00113879">
        <w:rPr>
          <w:rFonts w:ascii="Times New Roman" w:eastAsia="times new" w:hAnsi="Times New Roman"/>
          <w:sz w:val="20"/>
          <w:szCs w:val="20"/>
        </w:rPr>
        <w:t>programmatic work.</w:t>
      </w:r>
      <w:r w:rsidR="006219B5" w:rsidRPr="00113879">
        <w:rPr>
          <w:rFonts w:ascii="Times New Roman" w:eastAsia="times new" w:hAnsi="Times New Roman"/>
          <w:sz w:val="20"/>
          <w:szCs w:val="20"/>
        </w:rPr>
        <w:t xml:space="preserve"> </w:t>
      </w:r>
      <w:r w:rsidR="00A1345D" w:rsidRPr="00113879">
        <w:rPr>
          <w:rFonts w:ascii="Times New Roman" w:eastAsia="times new" w:hAnsi="Times New Roman"/>
          <w:sz w:val="20"/>
          <w:szCs w:val="20"/>
        </w:rPr>
        <w:t xml:space="preserve">Bilateral and multilateral donors funded </w:t>
      </w:r>
      <w:r w:rsidR="00A1345D" w:rsidRPr="00113879">
        <w:rPr>
          <w:rFonts w:ascii="Times New Roman" w:eastAsia="Times New Roman" w:hAnsi="Times New Roman"/>
          <w:sz w:val="20"/>
          <w:szCs w:val="20"/>
        </w:rPr>
        <w:t>92 per cent of projects</w:t>
      </w:r>
      <w:r w:rsidR="00A1345D" w:rsidRPr="00113879">
        <w:rPr>
          <w:rFonts w:ascii="Times New Roman" w:eastAsia="times new" w:hAnsi="Times New Roman"/>
          <w:sz w:val="20"/>
          <w:szCs w:val="20"/>
        </w:rPr>
        <w:t xml:space="preserve">. </w:t>
      </w:r>
      <w:r w:rsidR="0053322D" w:rsidRPr="00113879">
        <w:rPr>
          <w:rFonts w:ascii="Times New Roman" w:eastAsia="times new" w:hAnsi="Times New Roman"/>
          <w:sz w:val="20"/>
          <w:szCs w:val="20"/>
        </w:rPr>
        <w:t>In 2016, Outcome 6 expenditure increased</w:t>
      </w:r>
      <w:r w:rsidR="0043047D" w:rsidRPr="00113879">
        <w:rPr>
          <w:rFonts w:ascii="Times New Roman" w:eastAsia="times new" w:hAnsi="Times New Roman"/>
          <w:sz w:val="20"/>
          <w:szCs w:val="20"/>
        </w:rPr>
        <w:t xml:space="preserve"> markedly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 in the Arab region</w:t>
      </w:r>
      <w:r w:rsidR="00761B6D" w:rsidRPr="00113879">
        <w:rPr>
          <w:rFonts w:ascii="Times New Roman" w:eastAsia="times new" w:hAnsi="Times New Roman"/>
          <w:sz w:val="20"/>
          <w:szCs w:val="20"/>
        </w:rPr>
        <w:t>: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 Iraq, Lebanon, Yemen, Syria, the Programme of Assistance to the Palestinian People (PAPP), and Jordan</w:t>
      </w:r>
      <w:r w:rsidR="0043047D" w:rsidRPr="00113879">
        <w:rPr>
          <w:rFonts w:ascii="Times New Roman" w:eastAsia="times new" w:hAnsi="Times New Roman"/>
          <w:sz w:val="20"/>
          <w:szCs w:val="20"/>
        </w:rPr>
        <w:t xml:space="preserve"> in particular</w:t>
      </w:r>
      <w:r w:rsidR="0053322D" w:rsidRPr="00113879">
        <w:rPr>
          <w:rFonts w:ascii="Times New Roman" w:eastAsia="times new" w:hAnsi="Times New Roman"/>
          <w:sz w:val="20"/>
          <w:szCs w:val="20"/>
        </w:rPr>
        <w:t>. This indicates a growing demand for UNDP to collaborate</w:t>
      </w:r>
      <w:r w:rsidR="0043047D" w:rsidRPr="00113879">
        <w:rPr>
          <w:rFonts w:ascii="Times New Roman" w:eastAsia="times new" w:hAnsi="Times New Roman"/>
          <w:sz w:val="20"/>
          <w:szCs w:val="20"/>
        </w:rPr>
        <w:t>,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 or </w:t>
      </w:r>
      <w:r w:rsidR="0043047D" w:rsidRPr="00113879">
        <w:rPr>
          <w:rFonts w:ascii="Times New Roman" w:eastAsia="times new" w:hAnsi="Times New Roman"/>
          <w:sz w:val="20"/>
          <w:szCs w:val="20"/>
        </w:rPr>
        <w:t xml:space="preserve">take the </w:t>
      </w:r>
      <w:r w:rsidR="0053322D" w:rsidRPr="00113879">
        <w:rPr>
          <w:rFonts w:ascii="Times New Roman" w:eastAsia="times new" w:hAnsi="Times New Roman"/>
          <w:sz w:val="20"/>
          <w:szCs w:val="20"/>
        </w:rPr>
        <w:t>lead</w:t>
      </w:r>
      <w:r w:rsidR="0043047D" w:rsidRPr="00113879">
        <w:rPr>
          <w:rFonts w:ascii="Times New Roman" w:eastAsia="times new" w:hAnsi="Times New Roman"/>
          <w:sz w:val="20"/>
          <w:szCs w:val="20"/>
        </w:rPr>
        <w:t>,</w:t>
      </w:r>
      <w:r w:rsidR="0053322D" w:rsidRPr="00113879">
        <w:rPr>
          <w:rFonts w:ascii="Times New Roman" w:eastAsia="times new" w:hAnsi="Times New Roman"/>
          <w:sz w:val="20"/>
          <w:szCs w:val="20"/>
        </w:rPr>
        <w:t xml:space="preserve"> in early recovery and social cohesion interventions in the region.   </w:t>
      </w:r>
    </w:p>
    <w:p w:rsidR="005E1146" w:rsidRPr="00113879" w:rsidRDefault="005E1146" w:rsidP="005E1146">
      <w:pPr>
        <w:jc w:val="both"/>
        <w:rPr>
          <w:rFonts w:ascii="Times New Roman" w:eastAsia="times new" w:hAnsi="Times New Roman" w:cs="Times New Roman"/>
          <w:b/>
          <w:bCs/>
          <w:sz w:val="18"/>
          <w:szCs w:val="18"/>
        </w:rPr>
      </w:pPr>
    </w:p>
    <w:p w:rsidR="005E1146" w:rsidRPr="00113879" w:rsidRDefault="002E401B" w:rsidP="002E401B">
      <w:pPr>
        <w:rPr>
          <w:rFonts w:ascii="Times New Roman" w:eastAsia="times new" w:hAnsi="Times New Roman" w:cs="Times New Roman"/>
          <w:b/>
          <w:bCs/>
          <w:sz w:val="18"/>
          <w:szCs w:val="18"/>
        </w:rPr>
      </w:pPr>
      <w:r w:rsidRPr="00113879">
        <w:rPr>
          <w:rFonts w:ascii="Times New Roman" w:eastAsia="times new" w:hAnsi="Times New Roman" w:cs="Times New Roman"/>
          <w:b/>
          <w:bCs/>
          <w:noProof/>
          <w:sz w:val="18"/>
          <w:szCs w:val="18"/>
          <w:lang w:eastAsia="en-US"/>
        </w:rPr>
        <w:lastRenderedPageBreak/>
        <w:drawing>
          <wp:inline distT="0" distB="0" distL="0" distR="0" wp14:anchorId="3FCADA79" wp14:editId="642C37AF">
            <wp:extent cx="6343650" cy="4405630"/>
            <wp:effectExtent l="0" t="0" r="0" b="1397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C9B7B65-2C6B-4DDD-B529-D6CC50D1FC6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3322D" w:rsidRPr="00113879" w:rsidRDefault="0053322D" w:rsidP="00D939B2">
      <w:pPr>
        <w:pStyle w:val="ListParagraph"/>
        <w:jc w:val="center"/>
        <w:rPr>
          <w:rFonts w:ascii="Times New Roman" w:eastAsia="times new" w:hAnsi="Times New Roman"/>
          <w:sz w:val="20"/>
          <w:szCs w:val="20"/>
        </w:rPr>
      </w:pPr>
    </w:p>
    <w:p w:rsidR="0053322D" w:rsidRPr="00113879" w:rsidRDefault="0053322D" w:rsidP="0053322D">
      <w:pPr>
        <w:jc w:val="both"/>
        <w:rPr>
          <w:rFonts w:ascii="Times New Roman" w:eastAsia="times new" w:hAnsi="Times New Roman" w:cs="Times New Roman"/>
          <w:b/>
          <w:bCs/>
          <w:sz w:val="18"/>
          <w:szCs w:val="18"/>
        </w:rPr>
      </w:pPr>
      <w:r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>Outcome 7</w:t>
      </w:r>
      <w:r w:rsidR="0043047D"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>:</w:t>
      </w:r>
      <w:r w:rsidRPr="00113879">
        <w:rPr>
          <w:rFonts w:ascii="Times New Roman" w:eastAsia="times new" w:hAnsi="Times New Roman" w:cs="Times New Roman"/>
          <w:b/>
          <w:noProof/>
          <w:sz w:val="20"/>
          <w:szCs w:val="20"/>
        </w:rPr>
        <w:t xml:space="preserve"> </w:t>
      </w:r>
      <w:r w:rsidRPr="00113879">
        <w:rPr>
          <w:rFonts w:ascii="Times New Roman" w:eastAsia="times new" w:hAnsi="Times New Roman" w:cs="Times New Roman"/>
          <w:b/>
          <w:bCs/>
          <w:sz w:val="20"/>
          <w:szCs w:val="18"/>
        </w:rPr>
        <w:t>Thought leadership</w:t>
      </w:r>
    </w:p>
    <w:p w:rsidR="0053322D" w:rsidRPr="00113879" w:rsidRDefault="0053322D" w:rsidP="00D939B2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eastAsia="times new" w:hAnsi="Times New Roman"/>
          <w:bCs/>
          <w:sz w:val="18"/>
          <w:szCs w:val="18"/>
        </w:rPr>
      </w:pPr>
      <w:r w:rsidRPr="00113879">
        <w:rPr>
          <w:rFonts w:ascii="Times New Roman" w:eastAsia="times new" w:hAnsi="Times New Roman"/>
          <w:sz w:val="20"/>
          <w:szCs w:val="20"/>
        </w:rPr>
        <w:t xml:space="preserve">UNDP spent </w:t>
      </w:r>
      <w:r w:rsidR="00631E82" w:rsidRPr="00113879">
        <w:rPr>
          <w:rFonts w:ascii="Times New Roman" w:eastAsia="times new" w:hAnsi="Times New Roman"/>
          <w:sz w:val="20"/>
          <w:szCs w:val="20"/>
        </w:rPr>
        <w:t>five</w:t>
      </w:r>
      <w:r w:rsidR="0043047D" w:rsidRPr="00113879">
        <w:rPr>
          <w:rFonts w:ascii="Times New Roman" w:eastAsia="times new" w:hAnsi="Times New Roman"/>
          <w:sz w:val="20"/>
          <w:szCs w:val="20"/>
        </w:rPr>
        <w:t xml:space="preserve"> per cent</w:t>
      </w:r>
      <w:r w:rsidRPr="00113879">
        <w:rPr>
          <w:rFonts w:ascii="Times New Roman" w:eastAsia="times new" w:hAnsi="Times New Roman"/>
          <w:sz w:val="20"/>
          <w:szCs w:val="20"/>
        </w:rPr>
        <w:t xml:space="preserve"> of programme resources</w:t>
      </w:r>
      <w:r w:rsidR="0043047D" w:rsidRPr="00113879">
        <w:rPr>
          <w:rFonts w:ascii="Times New Roman" w:eastAsia="times new" w:hAnsi="Times New Roman"/>
          <w:sz w:val="20"/>
          <w:szCs w:val="20"/>
        </w:rPr>
        <w:t xml:space="preserve"> on </w:t>
      </w:r>
      <w:r w:rsidRPr="00113879">
        <w:rPr>
          <w:rFonts w:ascii="Times New Roman" w:eastAsia="times new" w:hAnsi="Times New Roman"/>
          <w:sz w:val="20"/>
          <w:szCs w:val="20"/>
        </w:rPr>
        <w:t xml:space="preserve">thought leadership, including advocacy and mainstreaming of the 2030 Agenda in national development plans, global development financing, south-south and triangular cooperation, innovation and knowledge management.  </w:t>
      </w:r>
    </w:p>
    <w:p w:rsidR="005E1146" w:rsidRPr="00113879" w:rsidRDefault="005E1146" w:rsidP="005E1146">
      <w:pPr>
        <w:jc w:val="both"/>
        <w:rPr>
          <w:rFonts w:ascii="Times New Roman" w:eastAsia="times new" w:hAnsi="Times New Roman" w:cs="Times New Roman"/>
          <w:bCs/>
          <w:sz w:val="18"/>
          <w:szCs w:val="18"/>
        </w:rPr>
      </w:pPr>
    </w:p>
    <w:p w:rsidR="005E1146" w:rsidRPr="00113879" w:rsidRDefault="002E401B" w:rsidP="00E26A11">
      <w:pPr>
        <w:jc w:val="center"/>
        <w:rPr>
          <w:rFonts w:ascii="Times New Roman" w:eastAsia="times new" w:hAnsi="Times New Roman" w:cs="Times New Roman"/>
          <w:bCs/>
          <w:sz w:val="18"/>
          <w:szCs w:val="18"/>
        </w:rPr>
      </w:pPr>
      <w:r w:rsidRPr="00113879">
        <w:rPr>
          <w:rFonts w:ascii="Times New Roman" w:eastAsia="times new" w:hAnsi="Times New Roman" w:cs="Times New Roman"/>
          <w:bCs/>
          <w:noProof/>
          <w:sz w:val="18"/>
          <w:szCs w:val="18"/>
          <w:lang w:eastAsia="en-US"/>
        </w:rPr>
        <w:lastRenderedPageBreak/>
        <w:drawing>
          <wp:inline distT="0" distB="0" distL="0" distR="0" wp14:anchorId="0F612BB7" wp14:editId="1DD6B79E">
            <wp:extent cx="6400800" cy="4636770"/>
            <wp:effectExtent l="0" t="0" r="0" b="1143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4189E25-B686-4E31-BE72-F211456DAD9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939B2" w:rsidRPr="00113879" w:rsidRDefault="00D939B2" w:rsidP="00D939B2">
      <w:pPr>
        <w:pStyle w:val="ListParagraph"/>
        <w:ind w:left="0"/>
        <w:jc w:val="both"/>
        <w:rPr>
          <w:rFonts w:ascii="Times New Roman" w:eastAsia="times new" w:hAnsi="Times New Roman"/>
          <w:bCs/>
          <w:sz w:val="18"/>
          <w:szCs w:val="18"/>
        </w:rPr>
      </w:pPr>
    </w:p>
    <w:p w:rsidR="0053322D" w:rsidRPr="00113879" w:rsidRDefault="0053322D" w:rsidP="00D939B2">
      <w:pPr>
        <w:pStyle w:val="ListParagraph"/>
        <w:jc w:val="center"/>
        <w:rPr>
          <w:rFonts w:ascii="Times New Roman" w:eastAsia="times new" w:hAnsi="Times New Roman"/>
          <w:sz w:val="20"/>
          <w:szCs w:val="20"/>
        </w:rPr>
      </w:pPr>
    </w:p>
    <w:p w:rsidR="0053322D" w:rsidRPr="00113879" w:rsidRDefault="0053322D" w:rsidP="00D11746">
      <w:pPr>
        <w:pStyle w:val="ListParagraph"/>
        <w:rPr>
          <w:rFonts w:ascii="Times New Roman" w:eastAsia="times new" w:hAnsi="Times New Roman"/>
          <w:sz w:val="20"/>
          <w:szCs w:val="20"/>
        </w:rPr>
      </w:pPr>
    </w:p>
    <w:p w:rsidR="00C54889" w:rsidRPr="00113879" w:rsidRDefault="00C54889" w:rsidP="00C54889">
      <w:pPr>
        <w:jc w:val="both"/>
        <w:rPr>
          <w:rFonts w:ascii="Times New Roman" w:eastAsia="times new" w:hAnsi="Times New Roman" w:cs="Times New Roman"/>
          <w:sz w:val="20"/>
          <w:szCs w:val="20"/>
        </w:rPr>
      </w:pPr>
    </w:p>
    <w:sectPr w:rsidR="00C54889" w:rsidRPr="00113879" w:rsidSect="00A47A55">
      <w:footerReference w:type="defaul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0F" w:rsidRDefault="003E210F" w:rsidP="00C6323C">
      <w:pPr>
        <w:spacing w:after="0" w:line="240" w:lineRule="auto"/>
      </w:pPr>
      <w:r>
        <w:separator/>
      </w:r>
    </w:p>
  </w:endnote>
  <w:endnote w:type="continuationSeparator" w:id="0">
    <w:p w:rsidR="003E210F" w:rsidRDefault="003E210F" w:rsidP="00C6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4620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BA7" w:rsidRDefault="00BD1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5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D1BA7" w:rsidRDefault="00BD1B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0F" w:rsidRDefault="003E210F" w:rsidP="00C6323C">
      <w:pPr>
        <w:spacing w:after="0" w:line="240" w:lineRule="auto"/>
      </w:pPr>
      <w:r>
        <w:separator/>
      </w:r>
    </w:p>
  </w:footnote>
  <w:footnote w:type="continuationSeparator" w:id="0">
    <w:p w:rsidR="003E210F" w:rsidRDefault="003E210F" w:rsidP="00C63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25F5C"/>
    <w:multiLevelType w:val="hybridMultilevel"/>
    <w:tmpl w:val="76923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55"/>
    <w:rsid w:val="00002543"/>
    <w:rsid w:val="0001085B"/>
    <w:rsid w:val="0001706C"/>
    <w:rsid w:val="000230DD"/>
    <w:rsid w:val="00044693"/>
    <w:rsid w:val="000448BD"/>
    <w:rsid w:val="0006188E"/>
    <w:rsid w:val="0007237D"/>
    <w:rsid w:val="00087016"/>
    <w:rsid w:val="000877A7"/>
    <w:rsid w:val="00094A98"/>
    <w:rsid w:val="000A55CA"/>
    <w:rsid w:val="000A6945"/>
    <w:rsid w:val="000E246C"/>
    <w:rsid w:val="000E526F"/>
    <w:rsid w:val="000F69E4"/>
    <w:rsid w:val="00103244"/>
    <w:rsid w:val="0010671D"/>
    <w:rsid w:val="00113088"/>
    <w:rsid w:val="00113879"/>
    <w:rsid w:val="00122643"/>
    <w:rsid w:val="00122FC3"/>
    <w:rsid w:val="00133236"/>
    <w:rsid w:val="00143DB2"/>
    <w:rsid w:val="001E4F29"/>
    <w:rsid w:val="00256DA3"/>
    <w:rsid w:val="002601F1"/>
    <w:rsid w:val="002731A5"/>
    <w:rsid w:val="002774D8"/>
    <w:rsid w:val="002E401B"/>
    <w:rsid w:val="00311504"/>
    <w:rsid w:val="00315F8F"/>
    <w:rsid w:val="0032768D"/>
    <w:rsid w:val="00332DF7"/>
    <w:rsid w:val="003378E4"/>
    <w:rsid w:val="00341907"/>
    <w:rsid w:val="00352E53"/>
    <w:rsid w:val="00377EBA"/>
    <w:rsid w:val="00382920"/>
    <w:rsid w:val="003A5C83"/>
    <w:rsid w:val="003B2581"/>
    <w:rsid w:val="003D19A5"/>
    <w:rsid w:val="003D473A"/>
    <w:rsid w:val="003E210F"/>
    <w:rsid w:val="003E7368"/>
    <w:rsid w:val="003E77E0"/>
    <w:rsid w:val="00405DB7"/>
    <w:rsid w:val="00426BB2"/>
    <w:rsid w:val="0043047D"/>
    <w:rsid w:val="004606FD"/>
    <w:rsid w:val="00467B0F"/>
    <w:rsid w:val="00487B9E"/>
    <w:rsid w:val="004A3688"/>
    <w:rsid w:val="004E2407"/>
    <w:rsid w:val="00515D92"/>
    <w:rsid w:val="00532EAB"/>
    <w:rsid w:val="0053322D"/>
    <w:rsid w:val="00533F66"/>
    <w:rsid w:val="00545651"/>
    <w:rsid w:val="005C3DBA"/>
    <w:rsid w:val="005C710A"/>
    <w:rsid w:val="005D2977"/>
    <w:rsid w:val="005D782D"/>
    <w:rsid w:val="005E1146"/>
    <w:rsid w:val="006004D4"/>
    <w:rsid w:val="006219B5"/>
    <w:rsid w:val="00623994"/>
    <w:rsid w:val="00631E82"/>
    <w:rsid w:val="00684544"/>
    <w:rsid w:val="006A601D"/>
    <w:rsid w:val="006D0780"/>
    <w:rsid w:val="006D5210"/>
    <w:rsid w:val="006F026E"/>
    <w:rsid w:val="006F4BEC"/>
    <w:rsid w:val="0071033E"/>
    <w:rsid w:val="0071565A"/>
    <w:rsid w:val="007372E8"/>
    <w:rsid w:val="007415C0"/>
    <w:rsid w:val="0074247F"/>
    <w:rsid w:val="0074268D"/>
    <w:rsid w:val="007529CA"/>
    <w:rsid w:val="00761B6D"/>
    <w:rsid w:val="00762717"/>
    <w:rsid w:val="0077260D"/>
    <w:rsid w:val="00776C6B"/>
    <w:rsid w:val="00782F6B"/>
    <w:rsid w:val="007B1323"/>
    <w:rsid w:val="007C10E0"/>
    <w:rsid w:val="007D334B"/>
    <w:rsid w:val="007E4629"/>
    <w:rsid w:val="008205AC"/>
    <w:rsid w:val="00825250"/>
    <w:rsid w:val="00864763"/>
    <w:rsid w:val="00873B3D"/>
    <w:rsid w:val="00894D64"/>
    <w:rsid w:val="008A2AB2"/>
    <w:rsid w:val="008C44A5"/>
    <w:rsid w:val="008E2368"/>
    <w:rsid w:val="008E3028"/>
    <w:rsid w:val="008F720A"/>
    <w:rsid w:val="00913455"/>
    <w:rsid w:val="00914544"/>
    <w:rsid w:val="0091588A"/>
    <w:rsid w:val="00926EBB"/>
    <w:rsid w:val="009442C9"/>
    <w:rsid w:val="00944790"/>
    <w:rsid w:val="00963E31"/>
    <w:rsid w:val="00983A74"/>
    <w:rsid w:val="00996511"/>
    <w:rsid w:val="00997E6D"/>
    <w:rsid w:val="009F4432"/>
    <w:rsid w:val="00A02C8B"/>
    <w:rsid w:val="00A11A12"/>
    <w:rsid w:val="00A1345D"/>
    <w:rsid w:val="00A214A7"/>
    <w:rsid w:val="00A245C5"/>
    <w:rsid w:val="00A403AC"/>
    <w:rsid w:val="00A47A55"/>
    <w:rsid w:val="00A5076D"/>
    <w:rsid w:val="00A54015"/>
    <w:rsid w:val="00A746E2"/>
    <w:rsid w:val="00A81DDE"/>
    <w:rsid w:val="00A86379"/>
    <w:rsid w:val="00A86415"/>
    <w:rsid w:val="00AA5226"/>
    <w:rsid w:val="00AB38FC"/>
    <w:rsid w:val="00AC3D09"/>
    <w:rsid w:val="00AD0B35"/>
    <w:rsid w:val="00AE0900"/>
    <w:rsid w:val="00AE0C7C"/>
    <w:rsid w:val="00B11030"/>
    <w:rsid w:val="00B31CE5"/>
    <w:rsid w:val="00B6754D"/>
    <w:rsid w:val="00B748C7"/>
    <w:rsid w:val="00BA5C1D"/>
    <w:rsid w:val="00BC3D18"/>
    <w:rsid w:val="00BD0857"/>
    <w:rsid w:val="00BD1BA7"/>
    <w:rsid w:val="00BD3DCE"/>
    <w:rsid w:val="00BF6471"/>
    <w:rsid w:val="00BF752C"/>
    <w:rsid w:val="00C26718"/>
    <w:rsid w:val="00C27CBA"/>
    <w:rsid w:val="00C54889"/>
    <w:rsid w:val="00C6323C"/>
    <w:rsid w:val="00C9249E"/>
    <w:rsid w:val="00CA7659"/>
    <w:rsid w:val="00CD3EBD"/>
    <w:rsid w:val="00CF18B6"/>
    <w:rsid w:val="00D11746"/>
    <w:rsid w:val="00D15E22"/>
    <w:rsid w:val="00D44C4C"/>
    <w:rsid w:val="00D45692"/>
    <w:rsid w:val="00D54744"/>
    <w:rsid w:val="00D63EA2"/>
    <w:rsid w:val="00D659C1"/>
    <w:rsid w:val="00D80DAD"/>
    <w:rsid w:val="00D833EA"/>
    <w:rsid w:val="00D939B2"/>
    <w:rsid w:val="00D94A3A"/>
    <w:rsid w:val="00DA224C"/>
    <w:rsid w:val="00DB741C"/>
    <w:rsid w:val="00DE0552"/>
    <w:rsid w:val="00DE18CD"/>
    <w:rsid w:val="00E06C06"/>
    <w:rsid w:val="00E17AB0"/>
    <w:rsid w:val="00E20A6D"/>
    <w:rsid w:val="00E26A11"/>
    <w:rsid w:val="00E463CC"/>
    <w:rsid w:val="00E47529"/>
    <w:rsid w:val="00E561BA"/>
    <w:rsid w:val="00E87BF4"/>
    <w:rsid w:val="00EB6BBB"/>
    <w:rsid w:val="00ED05BB"/>
    <w:rsid w:val="00EE01DC"/>
    <w:rsid w:val="00EE6D3F"/>
    <w:rsid w:val="00EF329A"/>
    <w:rsid w:val="00F46948"/>
    <w:rsid w:val="00F5293F"/>
    <w:rsid w:val="00F878C2"/>
    <w:rsid w:val="00F91398"/>
    <w:rsid w:val="00FC2DDB"/>
    <w:rsid w:val="00FC4400"/>
    <w:rsid w:val="00FE01B2"/>
    <w:rsid w:val="00FE6EF8"/>
    <w:rsid w:val="00FE7EB4"/>
    <w:rsid w:val="00FF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A8CCDD9-E8DD-49CC-8E3C-194C886E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List Paragraph1,WB Para"/>
    <w:basedOn w:val="Normal"/>
    <w:link w:val="ListParagraphChar"/>
    <w:uiPriority w:val="34"/>
    <w:qFormat/>
    <w:rsid w:val="00352E53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ListParagraphChar">
    <w:name w:val="List Paragraph Char"/>
    <w:aliases w:val="List Paragraph (numbered (a)) Char,List Paragraph1 Char,WB Para Char"/>
    <w:link w:val="ListParagraph"/>
    <w:uiPriority w:val="34"/>
    <w:locked/>
    <w:rsid w:val="00352E53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C54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23C"/>
  </w:style>
  <w:style w:type="paragraph" w:styleId="Footer">
    <w:name w:val="footer"/>
    <w:basedOn w:val="Normal"/>
    <w:link w:val="FooterChar"/>
    <w:uiPriority w:val="99"/>
    <w:unhideWhenUsed/>
    <w:rsid w:val="00C6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23C"/>
  </w:style>
  <w:style w:type="paragraph" w:styleId="BalloonText">
    <w:name w:val="Balloon Text"/>
    <w:basedOn w:val="Normal"/>
    <w:link w:val="BalloonTextChar"/>
    <w:uiPriority w:val="99"/>
    <w:semiHidden/>
    <w:unhideWhenUsed/>
    <w:rsid w:val="0074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undp-my.sharepoint.com/personal/hanayo_nakano_undp_org/Documents/BPPS/2016%20ARA/2016%20ARA%20financials/2014-2016%20footprin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na.grinman\AppData\Local\Microsoft\Windows\Temporary%20Internet%20Files\Content.Outlook\IHHK98S7\2014-16%20Expenditure%20comparison_19%20March%202017_maste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na.grinman\AppData\Local\Microsoft\Windows\Temporary%20Internet%20Files\Content.Outlook\IHHK98S7\2014-16%20Expenditure%20comparison_19%20March%202017_maste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na.grinman\AppData\Local\Microsoft\Windows\Temporary%20Internet%20Files\Content.Outlook\IHHK98S7\2014-16%20Expenditure%20comparison_19%20March%202017_maste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na.grinman\AppData\Local\Microsoft\Windows\Temporary%20Internet%20Files\Content.Outlook\IHHK98S7\2014-16%20Expenditure%20comparison_19%20March%202017_maste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na.grinman\AppData\Local\Microsoft\Windows\Temporary%20Internet%20Files\Content.Outlook\IHHK98S7\2014-16%20Expenditure%20comparison_19%20March%202017_master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na.grinman\AppData\Local\Microsoft\Windows\Temporary%20Internet%20Files\Content.Outlook\IHHK98S7\2014-16%20Expenditure%20comparison_19%20March%202017_master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ina.grinman\AppData\Local\Microsoft\Windows\Temporary%20Internet%20Files\Content.Outlook\IHHK98S7\2014-16%20Expenditure%20comparison_19%20March%202017_master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/>
              <a:t>Number of supported</a:t>
            </a:r>
            <a:r>
              <a:rPr lang="en-US" sz="1100" baseline="0"/>
              <a:t> </a:t>
            </a:r>
            <a:r>
              <a:rPr lang="en-US" sz="1100"/>
              <a:t>countries and 2014-2016 expenditure ($ US dollars millions)</a:t>
            </a:r>
          </a:p>
          <a:p>
            <a:pPr>
              <a:defRPr sz="1100"/>
            </a:pPr>
            <a:r>
              <a:rPr lang="en-US" sz="1100"/>
              <a:t> by Strategic Plan output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'Data 2014-16'!$A$3</c:f>
              <c:strCache>
                <c:ptCount val="1"/>
                <c:pt idx="0">
                  <c:v>Number of supported countries (Dec 2016)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13"/>
              <c:layout>
                <c:manualLayout>
                  <c:x val="1.4103128479222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22C4-4253-8628-74401E9E882E}"/>
                </c:ex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1.292786777262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2C4-4253-8628-74401E9E882E}"/>
                </c:ex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1.0577346359416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2C4-4253-8628-74401E9E882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'Data 2014-16'!$B$1:$AM$2</c:f>
              <c:multiLvlStrCache>
                <c:ptCount val="38"/>
                <c:lvl>
                  <c:pt idx="0">
                    <c:v>Output 1.1</c:v>
                  </c:pt>
                  <c:pt idx="1">
                    <c:v>Output 1.2</c:v>
                  </c:pt>
                  <c:pt idx="2">
                    <c:v>Output 1.3</c:v>
                  </c:pt>
                  <c:pt idx="3">
                    <c:v>Output 1.4</c:v>
                  </c:pt>
                  <c:pt idx="4">
                    <c:v>Output 1.5</c:v>
                  </c:pt>
                  <c:pt idx="5">
                    <c:v>Output 2.1</c:v>
                  </c:pt>
                  <c:pt idx="6">
                    <c:v>Output 2.2</c:v>
                  </c:pt>
                  <c:pt idx="7">
                    <c:v>Output 2.3</c:v>
                  </c:pt>
                  <c:pt idx="8">
                    <c:v>Output 2.4</c:v>
                  </c:pt>
                  <c:pt idx="9">
                    <c:v>Output 2.5</c:v>
                  </c:pt>
                  <c:pt idx="10">
                    <c:v>Output 2.6</c:v>
                  </c:pt>
                  <c:pt idx="11">
                    <c:v>Output 3.1</c:v>
                  </c:pt>
                  <c:pt idx="12">
                    <c:v>Output 3.2</c:v>
                  </c:pt>
                  <c:pt idx="13">
                    <c:v>Output 3.3</c:v>
                  </c:pt>
                  <c:pt idx="14">
                    <c:v>Output 3.4</c:v>
                  </c:pt>
                  <c:pt idx="15">
                    <c:v>Output 3.5</c:v>
                  </c:pt>
                  <c:pt idx="16">
                    <c:v>Output 4.1</c:v>
                  </c:pt>
                  <c:pt idx="17">
                    <c:v>Output 4.2</c:v>
                  </c:pt>
                  <c:pt idx="18">
                    <c:v>Output 4.3</c:v>
                  </c:pt>
                  <c:pt idx="19">
                    <c:v>Output 4.4</c:v>
                  </c:pt>
                  <c:pt idx="20">
                    <c:v>Output 5.1</c:v>
                  </c:pt>
                  <c:pt idx="21">
                    <c:v>Output 5.2</c:v>
                  </c:pt>
                  <c:pt idx="22">
                    <c:v>Output 5.3</c:v>
                  </c:pt>
                  <c:pt idx="23">
                    <c:v>Output 5.4</c:v>
                  </c:pt>
                  <c:pt idx="24">
                    <c:v>Output 5.5</c:v>
                  </c:pt>
                  <c:pt idx="25">
                    <c:v>Output 5.6</c:v>
                  </c:pt>
                  <c:pt idx="26">
                    <c:v>Output 6.1</c:v>
                  </c:pt>
                  <c:pt idx="27">
                    <c:v>Output 6.2</c:v>
                  </c:pt>
                  <c:pt idx="28">
                    <c:v>Output 6.3</c:v>
                  </c:pt>
                  <c:pt idx="29">
                    <c:v>Output 6.4</c:v>
                  </c:pt>
                  <c:pt idx="30">
                    <c:v>Output 7.1</c:v>
                  </c:pt>
                  <c:pt idx="31">
                    <c:v>Output 7.2</c:v>
                  </c:pt>
                  <c:pt idx="32">
                    <c:v>Output 7.3</c:v>
                  </c:pt>
                  <c:pt idx="33">
                    <c:v>Output 7.4</c:v>
                  </c:pt>
                  <c:pt idx="34">
                    <c:v>Output 7.5</c:v>
                  </c:pt>
                  <c:pt idx="35">
                    <c:v>Output 7.6</c:v>
                  </c:pt>
                  <c:pt idx="36">
                    <c:v>Output 7.7</c:v>
                  </c:pt>
                  <c:pt idx="37">
                    <c:v>Output 7.8</c:v>
                  </c:pt>
                </c:lvl>
                <c:lvl>
                  <c:pt idx="0">
                    <c:v>SP Outcome 1</c:v>
                  </c:pt>
                  <c:pt idx="5">
                    <c:v>SP Outcome 2</c:v>
                  </c:pt>
                  <c:pt idx="11">
                    <c:v>SP Outcome 3</c:v>
                  </c:pt>
                  <c:pt idx="16">
                    <c:v>SP Outcome 4</c:v>
                  </c:pt>
                  <c:pt idx="20">
                    <c:v>SP Outcome 5</c:v>
                  </c:pt>
                  <c:pt idx="26">
                    <c:v>SP Outcome 6</c:v>
                  </c:pt>
                  <c:pt idx="30">
                    <c:v>SP Outcome 7</c:v>
                  </c:pt>
                </c:lvl>
              </c:multiLvlStrCache>
            </c:multiLvlStrRef>
          </c:cat>
          <c:val>
            <c:numRef>
              <c:f>'Data 2014-16'!$B$3:$AM$3</c:f>
              <c:numCache>
                <c:formatCode>General</c:formatCode>
                <c:ptCount val="38"/>
                <c:pt idx="0">
                  <c:v>126</c:v>
                </c:pt>
                <c:pt idx="1">
                  <c:v>62</c:v>
                </c:pt>
                <c:pt idx="2">
                  <c:v>113</c:v>
                </c:pt>
                <c:pt idx="3">
                  <c:v>116</c:v>
                </c:pt>
                <c:pt idx="4">
                  <c:v>81</c:v>
                </c:pt>
                <c:pt idx="5">
                  <c:v>90</c:v>
                </c:pt>
                <c:pt idx="6">
                  <c:v>60</c:v>
                </c:pt>
                <c:pt idx="7">
                  <c:v>63</c:v>
                </c:pt>
                <c:pt idx="8">
                  <c:v>72</c:v>
                </c:pt>
                <c:pt idx="9">
                  <c:v>76</c:v>
                </c:pt>
                <c:pt idx="10">
                  <c:v>21</c:v>
                </c:pt>
                <c:pt idx="11">
                  <c:v>30</c:v>
                </c:pt>
                <c:pt idx="12">
                  <c:v>80</c:v>
                </c:pt>
                <c:pt idx="13">
                  <c:v>63</c:v>
                </c:pt>
                <c:pt idx="14">
                  <c:v>52</c:v>
                </c:pt>
                <c:pt idx="15">
                  <c:v>33</c:v>
                </c:pt>
                <c:pt idx="16">
                  <c:v>13</c:v>
                </c:pt>
                <c:pt idx="17">
                  <c:v>20</c:v>
                </c:pt>
                <c:pt idx="18">
                  <c:v>11</c:v>
                </c:pt>
                <c:pt idx="19">
                  <c:v>26</c:v>
                </c:pt>
                <c:pt idx="20">
                  <c:v>43</c:v>
                </c:pt>
                <c:pt idx="21">
                  <c:v>60</c:v>
                </c:pt>
                <c:pt idx="22">
                  <c:v>15</c:v>
                </c:pt>
                <c:pt idx="23">
                  <c:v>45</c:v>
                </c:pt>
                <c:pt idx="24">
                  <c:v>27</c:v>
                </c:pt>
                <c:pt idx="25">
                  <c:v>24</c:v>
                </c:pt>
                <c:pt idx="26">
                  <c:v>27</c:v>
                </c:pt>
                <c:pt idx="27">
                  <c:v>27</c:v>
                </c:pt>
                <c:pt idx="28">
                  <c:v>8</c:v>
                </c:pt>
                <c:pt idx="29">
                  <c:v>22</c:v>
                </c:pt>
                <c:pt idx="30">
                  <c:v>14</c:v>
                </c:pt>
                <c:pt idx="31">
                  <c:v>30</c:v>
                </c:pt>
                <c:pt idx="32">
                  <c:v>32</c:v>
                </c:pt>
                <c:pt idx="33">
                  <c:v>25</c:v>
                </c:pt>
                <c:pt idx="34">
                  <c:v>21</c:v>
                </c:pt>
                <c:pt idx="35">
                  <c:v>20</c:v>
                </c:pt>
                <c:pt idx="36">
                  <c:v>27</c:v>
                </c:pt>
                <c:pt idx="37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2C4-4253-8628-74401E9E88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"/>
        <c:overlap val="31"/>
        <c:axId val="525350984"/>
        <c:axId val="414192416"/>
      </c:barChart>
      <c:barChart>
        <c:barDir val="col"/>
        <c:grouping val="stacked"/>
        <c:varyColors val="0"/>
        <c:ser>
          <c:idx val="1"/>
          <c:order val="1"/>
          <c:tx>
            <c:strRef>
              <c:f>'Data 2014-16'!$A$4</c:f>
              <c:strCache>
                <c:ptCount val="1"/>
                <c:pt idx="0">
                  <c:v>Expenditure 2014-2016: Regular Resources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multiLvlStrRef>
              <c:f>'Data 2014-16'!$B$1:$AM$2</c:f>
              <c:multiLvlStrCache>
                <c:ptCount val="38"/>
                <c:lvl>
                  <c:pt idx="0">
                    <c:v>Output 1.1</c:v>
                  </c:pt>
                  <c:pt idx="1">
                    <c:v>Output 1.2</c:v>
                  </c:pt>
                  <c:pt idx="2">
                    <c:v>Output 1.3</c:v>
                  </c:pt>
                  <c:pt idx="3">
                    <c:v>Output 1.4</c:v>
                  </c:pt>
                  <c:pt idx="4">
                    <c:v>Output 1.5</c:v>
                  </c:pt>
                  <c:pt idx="5">
                    <c:v>Output 2.1</c:v>
                  </c:pt>
                  <c:pt idx="6">
                    <c:v>Output 2.2</c:v>
                  </c:pt>
                  <c:pt idx="7">
                    <c:v>Output 2.3</c:v>
                  </c:pt>
                  <c:pt idx="8">
                    <c:v>Output 2.4</c:v>
                  </c:pt>
                  <c:pt idx="9">
                    <c:v>Output 2.5</c:v>
                  </c:pt>
                  <c:pt idx="10">
                    <c:v>Output 2.6</c:v>
                  </c:pt>
                  <c:pt idx="11">
                    <c:v>Output 3.1</c:v>
                  </c:pt>
                  <c:pt idx="12">
                    <c:v>Output 3.2</c:v>
                  </c:pt>
                  <c:pt idx="13">
                    <c:v>Output 3.3</c:v>
                  </c:pt>
                  <c:pt idx="14">
                    <c:v>Output 3.4</c:v>
                  </c:pt>
                  <c:pt idx="15">
                    <c:v>Output 3.5</c:v>
                  </c:pt>
                  <c:pt idx="16">
                    <c:v>Output 4.1</c:v>
                  </c:pt>
                  <c:pt idx="17">
                    <c:v>Output 4.2</c:v>
                  </c:pt>
                  <c:pt idx="18">
                    <c:v>Output 4.3</c:v>
                  </c:pt>
                  <c:pt idx="19">
                    <c:v>Output 4.4</c:v>
                  </c:pt>
                  <c:pt idx="20">
                    <c:v>Output 5.1</c:v>
                  </c:pt>
                  <c:pt idx="21">
                    <c:v>Output 5.2</c:v>
                  </c:pt>
                  <c:pt idx="22">
                    <c:v>Output 5.3</c:v>
                  </c:pt>
                  <c:pt idx="23">
                    <c:v>Output 5.4</c:v>
                  </c:pt>
                  <c:pt idx="24">
                    <c:v>Output 5.5</c:v>
                  </c:pt>
                  <c:pt idx="25">
                    <c:v>Output 5.6</c:v>
                  </c:pt>
                  <c:pt idx="26">
                    <c:v>Output 6.1</c:v>
                  </c:pt>
                  <c:pt idx="27">
                    <c:v>Output 6.2</c:v>
                  </c:pt>
                  <c:pt idx="28">
                    <c:v>Output 6.3</c:v>
                  </c:pt>
                  <c:pt idx="29">
                    <c:v>Output 6.4</c:v>
                  </c:pt>
                  <c:pt idx="30">
                    <c:v>Output 7.1</c:v>
                  </c:pt>
                  <c:pt idx="31">
                    <c:v>Output 7.2</c:v>
                  </c:pt>
                  <c:pt idx="32">
                    <c:v>Output 7.3</c:v>
                  </c:pt>
                  <c:pt idx="33">
                    <c:v>Output 7.4</c:v>
                  </c:pt>
                  <c:pt idx="34">
                    <c:v>Output 7.5</c:v>
                  </c:pt>
                  <c:pt idx="35">
                    <c:v>Output 7.6</c:v>
                  </c:pt>
                  <c:pt idx="36">
                    <c:v>Output 7.7</c:v>
                  </c:pt>
                  <c:pt idx="37">
                    <c:v>Output 7.8</c:v>
                  </c:pt>
                </c:lvl>
                <c:lvl>
                  <c:pt idx="0">
                    <c:v>SP Outcome 1</c:v>
                  </c:pt>
                  <c:pt idx="5">
                    <c:v>SP Outcome 2</c:v>
                  </c:pt>
                  <c:pt idx="11">
                    <c:v>SP Outcome 3</c:v>
                  </c:pt>
                  <c:pt idx="16">
                    <c:v>SP Outcome 4</c:v>
                  </c:pt>
                  <c:pt idx="20">
                    <c:v>SP Outcome 5</c:v>
                  </c:pt>
                  <c:pt idx="26">
                    <c:v>SP Outcome 6</c:v>
                  </c:pt>
                  <c:pt idx="30">
                    <c:v>SP Outcome 7</c:v>
                  </c:pt>
                </c:lvl>
              </c:multiLvlStrCache>
            </c:multiLvlStrRef>
          </c:cat>
          <c:val>
            <c:numRef>
              <c:f>'Data 2014-16'!$B$4:$AM$4</c:f>
              <c:numCache>
                <c:formatCode>_(* #,##0_);_(* \(#,##0\);_(* "-"??_);_(@_)</c:formatCode>
                <c:ptCount val="38"/>
                <c:pt idx="0">
                  <c:v>187.29868984000001</c:v>
                </c:pt>
                <c:pt idx="1">
                  <c:v>18.228668679999998</c:v>
                </c:pt>
                <c:pt idx="2">
                  <c:v>45.670637280000001</c:v>
                </c:pt>
                <c:pt idx="3">
                  <c:v>47.730034600000003</c:v>
                </c:pt>
                <c:pt idx="4">
                  <c:v>22.67868570000001</c:v>
                </c:pt>
                <c:pt idx="5">
                  <c:v>90.22598107999994</c:v>
                </c:pt>
                <c:pt idx="6">
                  <c:v>25.410372869999989</c:v>
                </c:pt>
                <c:pt idx="7">
                  <c:v>29.123813509999991</c:v>
                </c:pt>
                <c:pt idx="8">
                  <c:v>37.554936220000002</c:v>
                </c:pt>
                <c:pt idx="9">
                  <c:v>24.746787879999971</c:v>
                </c:pt>
                <c:pt idx="10">
                  <c:v>11.353926449999999</c:v>
                </c:pt>
                <c:pt idx="11">
                  <c:v>26.74468203</c:v>
                </c:pt>
                <c:pt idx="12">
                  <c:v>77.101817760000003</c:v>
                </c:pt>
                <c:pt idx="13">
                  <c:v>20.30433627</c:v>
                </c:pt>
                <c:pt idx="14">
                  <c:v>32.745694200000003</c:v>
                </c:pt>
                <c:pt idx="15">
                  <c:v>14.47770319</c:v>
                </c:pt>
                <c:pt idx="16">
                  <c:v>4.4011950199999976</c:v>
                </c:pt>
                <c:pt idx="17">
                  <c:v>2.6771527700000002</c:v>
                </c:pt>
                <c:pt idx="18">
                  <c:v>4.654822529999997</c:v>
                </c:pt>
                <c:pt idx="19">
                  <c:v>14.879169920000001</c:v>
                </c:pt>
                <c:pt idx="20">
                  <c:v>15.10806693</c:v>
                </c:pt>
                <c:pt idx="21">
                  <c:v>35.049411760000012</c:v>
                </c:pt>
                <c:pt idx="22">
                  <c:v>7.4655508399999988</c:v>
                </c:pt>
                <c:pt idx="23">
                  <c:v>29.644297279999989</c:v>
                </c:pt>
                <c:pt idx="24">
                  <c:v>15.332666529999999</c:v>
                </c:pt>
                <c:pt idx="25">
                  <c:v>14.375931489999999</c:v>
                </c:pt>
                <c:pt idx="26">
                  <c:v>32.414833689999988</c:v>
                </c:pt>
                <c:pt idx="27">
                  <c:v>14.610851200000001</c:v>
                </c:pt>
                <c:pt idx="28">
                  <c:v>1.7530233200000001</c:v>
                </c:pt>
                <c:pt idx="29">
                  <c:v>15.26811343</c:v>
                </c:pt>
                <c:pt idx="30">
                  <c:v>5.3235226999999972</c:v>
                </c:pt>
                <c:pt idx="31">
                  <c:v>13.491002999999999</c:v>
                </c:pt>
                <c:pt idx="32">
                  <c:v>40.901036690000012</c:v>
                </c:pt>
                <c:pt idx="33">
                  <c:v>17.111116510000009</c:v>
                </c:pt>
                <c:pt idx="34">
                  <c:v>7.1965197199999968</c:v>
                </c:pt>
                <c:pt idx="35">
                  <c:v>14.76162021</c:v>
                </c:pt>
                <c:pt idx="36">
                  <c:v>42.303126409999997</c:v>
                </c:pt>
                <c:pt idx="37">
                  <c:v>10.116523600000001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22C4-4253-8628-74401E9E882E}"/>
            </c:ext>
          </c:extLst>
        </c:ser>
        <c:ser>
          <c:idx val="2"/>
          <c:order val="2"/>
          <c:tx>
            <c:strRef>
              <c:f>'Data 2014-16'!$A$5</c:f>
              <c:strCache>
                <c:ptCount val="1"/>
                <c:pt idx="0">
                  <c:v>Expenditure 2014-2016: Local Government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multiLvlStrRef>
              <c:f>'Data 2014-16'!$B$1:$AM$2</c:f>
              <c:multiLvlStrCache>
                <c:ptCount val="38"/>
                <c:lvl>
                  <c:pt idx="0">
                    <c:v>Output 1.1</c:v>
                  </c:pt>
                  <c:pt idx="1">
                    <c:v>Output 1.2</c:v>
                  </c:pt>
                  <c:pt idx="2">
                    <c:v>Output 1.3</c:v>
                  </c:pt>
                  <c:pt idx="3">
                    <c:v>Output 1.4</c:v>
                  </c:pt>
                  <c:pt idx="4">
                    <c:v>Output 1.5</c:v>
                  </c:pt>
                  <c:pt idx="5">
                    <c:v>Output 2.1</c:v>
                  </c:pt>
                  <c:pt idx="6">
                    <c:v>Output 2.2</c:v>
                  </c:pt>
                  <c:pt idx="7">
                    <c:v>Output 2.3</c:v>
                  </c:pt>
                  <c:pt idx="8">
                    <c:v>Output 2.4</c:v>
                  </c:pt>
                  <c:pt idx="9">
                    <c:v>Output 2.5</c:v>
                  </c:pt>
                  <c:pt idx="10">
                    <c:v>Output 2.6</c:v>
                  </c:pt>
                  <c:pt idx="11">
                    <c:v>Output 3.1</c:v>
                  </c:pt>
                  <c:pt idx="12">
                    <c:v>Output 3.2</c:v>
                  </c:pt>
                  <c:pt idx="13">
                    <c:v>Output 3.3</c:v>
                  </c:pt>
                  <c:pt idx="14">
                    <c:v>Output 3.4</c:v>
                  </c:pt>
                  <c:pt idx="15">
                    <c:v>Output 3.5</c:v>
                  </c:pt>
                  <c:pt idx="16">
                    <c:v>Output 4.1</c:v>
                  </c:pt>
                  <c:pt idx="17">
                    <c:v>Output 4.2</c:v>
                  </c:pt>
                  <c:pt idx="18">
                    <c:v>Output 4.3</c:v>
                  </c:pt>
                  <c:pt idx="19">
                    <c:v>Output 4.4</c:v>
                  </c:pt>
                  <c:pt idx="20">
                    <c:v>Output 5.1</c:v>
                  </c:pt>
                  <c:pt idx="21">
                    <c:v>Output 5.2</c:v>
                  </c:pt>
                  <c:pt idx="22">
                    <c:v>Output 5.3</c:v>
                  </c:pt>
                  <c:pt idx="23">
                    <c:v>Output 5.4</c:v>
                  </c:pt>
                  <c:pt idx="24">
                    <c:v>Output 5.5</c:v>
                  </c:pt>
                  <c:pt idx="25">
                    <c:v>Output 5.6</c:v>
                  </c:pt>
                  <c:pt idx="26">
                    <c:v>Output 6.1</c:v>
                  </c:pt>
                  <c:pt idx="27">
                    <c:v>Output 6.2</c:v>
                  </c:pt>
                  <c:pt idx="28">
                    <c:v>Output 6.3</c:v>
                  </c:pt>
                  <c:pt idx="29">
                    <c:v>Output 6.4</c:v>
                  </c:pt>
                  <c:pt idx="30">
                    <c:v>Output 7.1</c:v>
                  </c:pt>
                  <c:pt idx="31">
                    <c:v>Output 7.2</c:v>
                  </c:pt>
                  <c:pt idx="32">
                    <c:v>Output 7.3</c:v>
                  </c:pt>
                  <c:pt idx="33">
                    <c:v>Output 7.4</c:v>
                  </c:pt>
                  <c:pt idx="34">
                    <c:v>Output 7.5</c:v>
                  </c:pt>
                  <c:pt idx="35">
                    <c:v>Output 7.6</c:v>
                  </c:pt>
                  <c:pt idx="36">
                    <c:v>Output 7.7</c:v>
                  </c:pt>
                  <c:pt idx="37">
                    <c:v>Output 7.8</c:v>
                  </c:pt>
                </c:lvl>
                <c:lvl>
                  <c:pt idx="0">
                    <c:v>SP Outcome 1</c:v>
                  </c:pt>
                  <c:pt idx="5">
                    <c:v>SP Outcome 2</c:v>
                  </c:pt>
                  <c:pt idx="11">
                    <c:v>SP Outcome 3</c:v>
                  </c:pt>
                  <c:pt idx="16">
                    <c:v>SP Outcome 4</c:v>
                  </c:pt>
                  <c:pt idx="20">
                    <c:v>SP Outcome 5</c:v>
                  </c:pt>
                  <c:pt idx="26">
                    <c:v>SP Outcome 6</c:v>
                  </c:pt>
                  <c:pt idx="30">
                    <c:v>SP Outcome 7</c:v>
                  </c:pt>
                </c:lvl>
              </c:multiLvlStrCache>
            </c:multiLvlStrRef>
          </c:cat>
          <c:val>
            <c:numRef>
              <c:f>'Data 2014-16'!$B$5:$AM$5</c:f>
              <c:numCache>
                <c:formatCode>_(* #,##0_);_(* \(#,##0\);_(* "-"??_);_(@_)</c:formatCode>
                <c:ptCount val="38"/>
                <c:pt idx="0">
                  <c:v>477.76890185000002</c:v>
                </c:pt>
                <c:pt idx="1">
                  <c:v>436.14465231000008</c:v>
                </c:pt>
                <c:pt idx="2">
                  <c:v>134.20468600999999</c:v>
                </c:pt>
                <c:pt idx="3">
                  <c:v>86.591426650000002</c:v>
                </c:pt>
                <c:pt idx="4">
                  <c:v>80.827831060000008</c:v>
                </c:pt>
                <c:pt idx="5">
                  <c:v>66.738139250000003</c:v>
                </c:pt>
                <c:pt idx="6">
                  <c:v>33.137009239999998</c:v>
                </c:pt>
                <c:pt idx="7">
                  <c:v>47.981837209999988</c:v>
                </c:pt>
                <c:pt idx="8">
                  <c:v>62.534695399999997</c:v>
                </c:pt>
                <c:pt idx="9">
                  <c:v>26.325800019999999</c:v>
                </c:pt>
                <c:pt idx="10">
                  <c:v>1.48270214</c:v>
                </c:pt>
                <c:pt idx="11">
                  <c:v>24.406329509999971</c:v>
                </c:pt>
                <c:pt idx="12">
                  <c:v>553.90593296000054</c:v>
                </c:pt>
                <c:pt idx="13">
                  <c:v>89.616637490000002</c:v>
                </c:pt>
                <c:pt idx="14">
                  <c:v>49.858436169999997</c:v>
                </c:pt>
                <c:pt idx="15">
                  <c:v>16.28639656</c:v>
                </c:pt>
                <c:pt idx="16">
                  <c:v>0.64409795000000003</c:v>
                </c:pt>
                <c:pt idx="17">
                  <c:v>0.64087611</c:v>
                </c:pt>
                <c:pt idx="18">
                  <c:v>0.93852964000000005</c:v>
                </c:pt>
                <c:pt idx="19">
                  <c:v>0.59337037999999998</c:v>
                </c:pt>
                <c:pt idx="20">
                  <c:v>7.5964160499999958</c:v>
                </c:pt>
                <c:pt idx="21">
                  <c:v>5.8671331399999938</c:v>
                </c:pt>
                <c:pt idx="22">
                  <c:v>3.453455329999997</c:v>
                </c:pt>
                <c:pt idx="23">
                  <c:v>5.9076897900000001</c:v>
                </c:pt>
                <c:pt idx="24">
                  <c:v>1.7667120199999999</c:v>
                </c:pt>
                <c:pt idx="25">
                  <c:v>35.14729183</c:v>
                </c:pt>
                <c:pt idx="26">
                  <c:v>3.3368921999999981</c:v>
                </c:pt>
                <c:pt idx="27">
                  <c:v>4.6477648199999937</c:v>
                </c:pt>
                <c:pt idx="28">
                  <c:v>6.0065266099999972</c:v>
                </c:pt>
                <c:pt idx="29">
                  <c:v>4.5511881600000006</c:v>
                </c:pt>
                <c:pt idx="30">
                  <c:v>2.0817218</c:v>
                </c:pt>
                <c:pt idx="31">
                  <c:v>26.978659029999999</c:v>
                </c:pt>
                <c:pt idx="32">
                  <c:v>12.87370868</c:v>
                </c:pt>
                <c:pt idx="33">
                  <c:v>52.716434030000002</c:v>
                </c:pt>
                <c:pt idx="34">
                  <c:v>55.132743670000004</c:v>
                </c:pt>
                <c:pt idx="35">
                  <c:v>37.715659289999998</c:v>
                </c:pt>
                <c:pt idx="36">
                  <c:v>30.268229209999969</c:v>
                </c:pt>
                <c:pt idx="37">
                  <c:v>35.031262210000001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22C4-4253-8628-74401E9E882E}"/>
            </c:ext>
          </c:extLst>
        </c:ser>
        <c:ser>
          <c:idx val="3"/>
          <c:order val="3"/>
          <c:tx>
            <c:strRef>
              <c:f>'Data 2014-16'!$A$6</c:f>
              <c:strCache>
                <c:ptCount val="1"/>
                <c:pt idx="0">
                  <c:v>Expenditure 2014-2016: Vertical Fund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'Data 2014-16'!$B$1:$AM$2</c:f>
              <c:multiLvlStrCache>
                <c:ptCount val="38"/>
                <c:lvl>
                  <c:pt idx="0">
                    <c:v>Output 1.1</c:v>
                  </c:pt>
                  <c:pt idx="1">
                    <c:v>Output 1.2</c:v>
                  </c:pt>
                  <c:pt idx="2">
                    <c:v>Output 1.3</c:v>
                  </c:pt>
                  <c:pt idx="3">
                    <c:v>Output 1.4</c:v>
                  </c:pt>
                  <c:pt idx="4">
                    <c:v>Output 1.5</c:v>
                  </c:pt>
                  <c:pt idx="5">
                    <c:v>Output 2.1</c:v>
                  </c:pt>
                  <c:pt idx="6">
                    <c:v>Output 2.2</c:v>
                  </c:pt>
                  <c:pt idx="7">
                    <c:v>Output 2.3</c:v>
                  </c:pt>
                  <c:pt idx="8">
                    <c:v>Output 2.4</c:v>
                  </c:pt>
                  <c:pt idx="9">
                    <c:v>Output 2.5</c:v>
                  </c:pt>
                  <c:pt idx="10">
                    <c:v>Output 2.6</c:v>
                  </c:pt>
                  <c:pt idx="11">
                    <c:v>Output 3.1</c:v>
                  </c:pt>
                  <c:pt idx="12">
                    <c:v>Output 3.2</c:v>
                  </c:pt>
                  <c:pt idx="13">
                    <c:v>Output 3.3</c:v>
                  </c:pt>
                  <c:pt idx="14">
                    <c:v>Output 3.4</c:v>
                  </c:pt>
                  <c:pt idx="15">
                    <c:v>Output 3.5</c:v>
                  </c:pt>
                  <c:pt idx="16">
                    <c:v>Output 4.1</c:v>
                  </c:pt>
                  <c:pt idx="17">
                    <c:v>Output 4.2</c:v>
                  </c:pt>
                  <c:pt idx="18">
                    <c:v>Output 4.3</c:v>
                  </c:pt>
                  <c:pt idx="19">
                    <c:v>Output 4.4</c:v>
                  </c:pt>
                  <c:pt idx="20">
                    <c:v>Output 5.1</c:v>
                  </c:pt>
                  <c:pt idx="21">
                    <c:v>Output 5.2</c:v>
                  </c:pt>
                  <c:pt idx="22">
                    <c:v>Output 5.3</c:v>
                  </c:pt>
                  <c:pt idx="23">
                    <c:v>Output 5.4</c:v>
                  </c:pt>
                  <c:pt idx="24">
                    <c:v>Output 5.5</c:v>
                  </c:pt>
                  <c:pt idx="25">
                    <c:v>Output 5.6</c:v>
                  </c:pt>
                  <c:pt idx="26">
                    <c:v>Output 6.1</c:v>
                  </c:pt>
                  <c:pt idx="27">
                    <c:v>Output 6.2</c:v>
                  </c:pt>
                  <c:pt idx="28">
                    <c:v>Output 6.3</c:v>
                  </c:pt>
                  <c:pt idx="29">
                    <c:v>Output 6.4</c:v>
                  </c:pt>
                  <c:pt idx="30">
                    <c:v>Output 7.1</c:v>
                  </c:pt>
                  <c:pt idx="31">
                    <c:v>Output 7.2</c:v>
                  </c:pt>
                  <c:pt idx="32">
                    <c:v>Output 7.3</c:v>
                  </c:pt>
                  <c:pt idx="33">
                    <c:v>Output 7.4</c:v>
                  </c:pt>
                  <c:pt idx="34">
                    <c:v>Output 7.5</c:v>
                  </c:pt>
                  <c:pt idx="35">
                    <c:v>Output 7.6</c:v>
                  </c:pt>
                  <c:pt idx="36">
                    <c:v>Output 7.7</c:v>
                  </c:pt>
                  <c:pt idx="37">
                    <c:v>Output 7.8</c:v>
                  </c:pt>
                </c:lvl>
                <c:lvl>
                  <c:pt idx="0">
                    <c:v>SP Outcome 1</c:v>
                  </c:pt>
                  <c:pt idx="5">
                    <c:v>SP Outcome 2</c:v>
                  </c:pt>
                  <c:pt idx="11">
                    <c:v>SP Outcome 3</c:v>
                  </c:pt>
                  <c:pt idx="16">
                    <c:v>SP Outcome 4</c:v>
                  </c:pt>
                  <c:pt idx="20">
                    <c:v>SP Outcome 5</c:v>
                  </c:pt>
                  <c:pt idx="26">
                    <c:v>SP Outcome 6</c:v>
                  </c:pt>
                  <c:pt idx="30">
                    <c:v>SP Outcome 7</c:v>
                  </c:pt>
                </c:lvl>
              </c:multiLvlStrCache>
            </c:multiLvlStrRef>
          </c:cat>
          <c:val>
            <c:numRef>
              <c:f>'Data 2014-16'!$B$6:$AM$6</c:f>
              <c:numCache>
                <c:formatCode>_(* #,##0_);_(* \(#,##0\);_(* "-"??_);_(@_)</c:formatCode>
                <c:ptCount val="38"/>
                <c:pt idx="0">
                  <c:v>67.722187669999983</c:v>
                </c:pt>
                <c:pt idx="1">
                  <c:v>2.7470286800000001</c:v>
                </c:pt>
                <c:pt idx="2">
                  <c:v>421.29589148000019</c:v>
                </c:pt>
                <c:pt idx="3">
                  <c:v>252.25258935000011</c:v>
                </c:pt>
                <c:pt idx="4">
                  <c:v>113.91779911</c:v>
                </c:pt>
                <c:pt idx="5">
                  <c:v>0.28405859999999999</c:v>
                </c:pt>
                <c:pt idx="6">
                  <c:v>5.8831274000000011</c:v>
                </c:pt>
                <c:pt idx="7">
                  <c:v>0</c:v>
                </c:pt>
                <c:pt idx="8">
                  <c:v>3.3755240099999999</c:v>
                </c:pt>
                <c:pt idx="9">
                  <c:v>174.3893563900001</c:v>
                </c:pt>
                <c:pt idx="10">
                  <c:v>0</c:v>
                </c:pt>
                <c:pt idx="11">
                  <c:v>0.86682073000000004</c:v>
                </c:pt>
                <c:pt idx="12">
                  <c:v>68.333358389999958</c:v>
                </c:pt>
                <c:pt idx="13">
                  <c:v>1120.2360559199999</c:v>
                </c:pt>
                <c:pt idx="14">
                  <c:v>0</c:v>
                </c:pt>
                <c:pt idx="15">
                  <c:v>4.5401352799999932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15.104581489999999</c:v>
                </c:pt>
                <c:pt idx="21">
                  <c:v>21.43513163999998</c:v>
                </c:pt>
                <c:pt idx="22">
                  <c:v>10.701448409999999</c:v>
                </c:pt>
                <c:pt idx="23">
                  <c:v>30.330490569999998</c:v>
                </c:pt>
                <c:pt idx="24">
                  <c:v>1.4437344999999999</c:v>
                </c:pt>
                <c:pt idx="25">
                  <c:v>0</c:v>
                </c:pt>
                <c:pt idx="26">
                  <c:v>0</c:v>
                </c:pt>
                <c:pt idx="27">
                  <c:v>0.44831695999999999</c:v>
                </c:pt>
                <c:pt idx="28">
                  <c:v>0</c:v>
                </c:pt>
                <c:pt idx="29">
                  <c:v>0</c:v>
                </c:pt>
                <c:pt idx="30">
                  <c:v>5.0133073600000007</c:v>
                </c:pt>
                <c:pt idx="31">
                  <c:v>0.11415599999999999</c:v>
                </c:pt>
                <c:pt idx="32">
                  <c:v>1.5089229500000001</c:v>
                </c:pt>
                <c:pt idx="33">
                  <c:v>2.5356118400000001</c:v>
                </c:pt>
                <c:pt idx="34">
                  <c:v>1.3764664799999999</c:v>
                </c:pt>
                <c:pt idx="35">
                  <c:v>2.0423380400000002</c:v>
                </c:pt>
                <c:pt idx="36">
                  <c:v>0.32327358</c:v>
                </c:pt>
                <c:pt idx="37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22C4-4253-8628-74401E9E882E}"/>
            </c:ext>
          </c:extLst>
        </c:ser>
        <c:ser>
          <c:idx val="4"/>
          <c:order val="4"/>
          <c:tx>
            <c:strRef>
              <c:f>'Data 2014-16'!$A$7</c:f>
              <c:strCache>
                <c:ptCount val="1"/>
                <c:pt idx="0">
                  <c:v>Expenditure 2014-2016: Bilateral/Multilateral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multiLvlStrRef>
              <c:f>'Data 2014-16'!$B$1:$AM$2</c:f>
              <c:multiLvlStrCache>
                <c:ptCount val="38"/>
                <c:lvl>
                  <c:pt idx="0">
                    <c:v>Output 1.1</c:v>
                  </c:pt>
                  <c:pt idx="1">
                    <c:v>Output 1.2</c:v>
                  </c:pt>
                  <c:pt idx="2">
                    <c:v>Output 1.3</c:v>
                  </c:pt>
                  <c:pt idx="3">
                    <c:v>Output 1.4</c:v>
                  </c:pt>
                  <c:pt idx="4">
                    <c:v>Output 1.5</c:v>
                  </c:pt>
                  <c:pt idx="5">
                    <c:v>Output 2.1</c:v>
                  </c:pt>
                  <c:pt idx="6">
                    <c:v>Output 2.2</c:v>
                  </c:pt>
                  <c:pt idx="7">
                    <c:v>Output 2.3</c:v>
                  </c:pt>
                  <c:pt idx="8">
                    <c:v>Output 2.4</c:v>
                  </c:pt>
                  <c:pt idx="9">
                    <c:v>Output 2.5</c:v>
                  </c:pt>
                  <c:pt idx="10">
                    <c:v>Output 2.6</c:v>
                  </c:pt>
                  <c:pt idx="11">
                    <c:v>Output 3.1</c:v>
                  </c:pt>
                  <c:pt idx="12">
                    <c:v>Output 3.2</c:v>
                  </c:pt>
                  <c:pt idx="13">
                    <c:v>Output 3.3</c:v>
                  </c:pt>
                  <c:pt idx="14">
                    <c:v>Output 3.4</c:v>
                  </c:pt>
                  <c:pt idx="15">
                    <c:v>Output 3.5</c:v>
                  </c:pt>
                  <c:pt idx="16">
                    <c:v>Output 4.1</c:v>
                  </c:pt>
                  <c:pt idx="17">
                    <c:v>Output 4.2</c:v>
                  </c:pt>
                  <c:pt idx="18">
                    <c:v>Output 4.3</c:v>
                  </c:pt>
                  <c:pt idx="19">
                    <c:v>Output 4.4</c:v>
                  </c:pt>
                  <c:pt idx="20">
                    <c:v>Output 5.1</c:v>
                  </c:pt>
                  <c:pt idx="21">
                    <c:v>Output 5.2</c:v>
                  </c:pt>
                  <c:pt idx="22">
                    <c:v>Output 5.3</c:v>
                  </c:pt>
                  <c:pt idx="23">
                    <c:v>Output 5.4</c:v>
                  </c:pt>
                  <c:pt idx="24">
                    <c:v>Output 5.5</c:v>
                  </c:pt>
                  <c:pt idx="25">
                    <c:v>Output 5.6</c:v>
                  </c:pt>
                  <c:pt idx="26">
                    <c:v>Output 6.1</c:v>
                  </c:pt>
                  <c:pt idx="27">
                    <c:v>Output 6.2</c:v>
                  </c:pt>
                  <c:pt idx="28">
                    <c:v>Output 6.3</c:v>
                  </c:pt>
                  <c:pt idx="29">
                    <c:v>Output 6.4</c:v>
                  </c:pt>
                  <c:pt idx="30">
                    <c:v>Output 7.1</c:v>
                  </c:pt>
                  <c:pt idx="31">
                    <c:v>Output 7.2</c:v>
                  </c:pt>
                  <c:pt idx="32">
                    <c:v>Output 7.3</c:v>
                  </c:pt>
                  <c:pt idx="33">
                    <c:v>Output 7.4</c:v>
                  </c:pt>
                  <c:pt idx="34">
                    <c:v>Output 7.5</c:v>
                  </c:pt>
                  <c:pt idx="35">
                    <c:v>Output 7.6</c:v>
                  </c:pt>
                  <c:pt idx="36">
                    <c:v>Output 7.7</c:v>
                  </c:pt>
                  <c:pt idx="37">
                    <c:v>Output 7.8</c:v>
                  </c:pt>
                </c:lvl>
                <c:lvl>
                  <c:pt idx="0">
                    <c:v>SP Outcome 1</c:v>
                  </c:pt>
                  <c:pt idx="5">
                    <c:v>SP Outcome 2</c:v>
                  </c:pt>
                  <c:pt idx="11">
                    <c:v>SP Outcome 3</c:v>
                  </c:pt>
                  <c:pt idx="16">
                    <c:v>SP Outcome 4</c:v>
                  </c:pt>
                  <c:pt idx="20">
                    <c:v>SP Outcome 5</c:v>
                  </c:pt>
                  <c:pt idx="26">
                    <c:v>SP Outcome 6</c:v>
                  </c:pt>
                  <c:pt idx="30">
                    <c:v>SP Outcome 7</c:v>
                  </c:pt>
                </c:lvl>
              </c:multiLvlStrCache>
            </c:multiLvlStrRef>
          </c:cat>
          <c:val>
            <c:numRef>
              <c:f>'Data 2014-16'!$B$7:$AM$7</c:f>
              <c:numCache>
                <c:formatCode>_(* #,##0_);_(* \(#,##0\);_(* "-"??_);_(@_)</c:formatCode>
                <c:ptCount val="38"/>
                <c:pt idx="0">
                  <c:v>458.64261189999979</c:v>
                </c:pt>
                <c:pt idx="1">
                  <c:v>38.853485439999993</c:v>
                </c:pt>
                <c:pt idx="2">
                  <c:v>138.49180892000001</c:v>
                </c:pt>
                <c:pt idx="3">
                  <c:v>180.14019433000001</c:v>
                </c:pt>
                <c:pt idx="4">
                  <c:v>52.13320693</c:v>
                </c:pt>
                <c:pt idx="5">
                  <c:v>604.45682433999957</c:v>
                </c:pt>
                <c:pt idx="6">
                  <c:v>74.965009640000005</c:v>
                </c:pt>
                <c:pt idx="7">
                  <c:v>57.611997509999988</c:v>
                </c:pt>
                <c:pt idx="8">
                  <c:v>107.84909215</c:v>
                </c:pt>
                <c:pt idx="9">
                  <c:v>46.737928199999999</c:v>
                </c:pt>
                <c:pt idx="10">
                  <c:v>35.592334860000001</c:v>
                </c:pt>
                <c:pt idx="11">
                  <c:v>77.713505300000023</c:v>
                </c:pt>
                <c:pt idx="12">
                  <c:v>233.48433535999999</c:v>
                </c:pt>
                <c:pt idx="13">
                  <c:v>112.20318767000001</c:v>
                </c:pt>
                <c:pt idx="14">
                  <c:v>233.21325665000001</c:v>
                </c:pt>
                <c:pt idx="15">
                  <c:v>1544.31157334</c:v>
                </c:pt>
                <c:pt idx="16">
                  <c:v>8.3634397600000003</c:v>
                </c:pt>
                <c:pt idx="17">
                  <c:v>27.155694530000002</c:v>
                </c:pt>
                <c:pt idx="18">
                  <c:v>7.2529257399999967</c:v>
                </c:pt>
                <c:pt idx="19">
                  <c:v>10.45881619</c:v>
                </c:pt>
                <c:pt idx="20">
                  <c:v>107.02576107</c:v>
                </c:pt>
                <c:pt idx="21">
                  <c:v>70.515020919999998</c:v>
                </c:pt>
                <c:pt idx="22">
                  <c:v>15.198534520000001</c:v>
                </c:pt>
                <c:pt idx="23">
                  <c:v>55.79512625000001</c:v>
                </c:pt>
                <c:pt idx="24">
                  <c:v>100.30885024</c:v>
                </c:pt>
                <c:pt idx="25">
                  <c:v>119.0405612</c:v>
                </c:pt>
                <c:pt idx="26">
                  <c:v>604.17246098999988</c:v>
                </c:pt>
                <c:pt idx="27">
                  <c:v>154.58293456999999</c:v>
                </c:pt>
                <c:pt idx="28">
                  <c:v>13.296465230000001</c:v>
                </c:pt>
                <c:pt idx="29">
                  <c:v>155.40484361</c:v>
                </c:pt>
                <c:pt idx="30">
                  <c:v>21.349939759999991</c:v>
                </c:pt>
                <c:pt idx="31">
                  <c:v>11.71158236</c:v>
                </c:pt>
                <c:pt idx="32">
                  <c:v>31.167858320000001</c:v>
                </c:pt>
                <c:pt idx="33">
                  <c:v>26.617879430000009</c:v>
                </c:pt>
                <c:pt idx="34">
                  <c:v>12.275517000000001</c:v>
                </c:pt>
                <c:pt idx="35">
                  <c:v>18.658839530000002</c:v>
                </c:pt>
                <c:pt idx="36">
                  <c:v>16.37960293999998</c:v>
                </c:pt>
                <c:pt idx="37">
                  <c:v>14.35310488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22C4-4253-8628-74401E9E88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overlap val="100"/>
        <c:axId val="414194376"/>
        <c:axId val="414195160"/>
      </c:barChart>
      <c:catAx>
        <c:axId val="525350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14192416"/>
        <c:crosses val="autoZero"/>
        <c:auto val="1"/>
        <c:lblAlgn val="ctr"/>
        <c:lblOffset val="100"/>
        <c:noMultiLvlLbl val="0"/>
      </c:catAx>
      <c:valAx>
        <c:axId val="414192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525350984"/>
        <c:crosses val="autoZero"/>
        <c:crossBetween val="between"/>
        <c:majorUnit val="10"/>
      </c:valAx>
      <c:valAx>
        <c:axId val="414195160"/>
        <c:scaling>
          <c:orientation val="minMax"/>
        </c:scaling>
        <c:delete val="0"/>
        <c:axPos val="r"/>
        <c:numFmt formatCode="&quot;$&quot;#,##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414194376"/>
        <c:crosses val="max"/>
        <c:crossBetween val="between"/>
        <c:majorUnit val="100"/>
      </c:valAx>
      <c:catAx>
        <c:axId val="4141943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141951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Outcome 1</a:t>
            </a:r>
          </a:p>
          <a:p>
            <a:pPr>
              <a:defRPr/>
            </a:pPr>
            <a:r>
              <a:rPr lang="en-US" sz="1100" b="1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Provisional programme expenditure,</a:t>
            </a:r>
            <a:r>
              <a:rPr lang="en-US" sz="1100" b="1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2014-2016</a:t>
            </a:r>
          </a:p>
          <a:p>
            <a:pPr>
              <a:defRPr/>
            </a:pPr>
            <a:r>
              <a:rPr lang="en-US" sz="1100" b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Total: $3,264 million (26% of total) </a:t>
            </a:r>
          </a:p>
          <a:p>
            <a:pPr>
              <a:defRPr/>
            </a:pPr>
            <a:r>
              <a:rPr lang="en-US" sz="110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2014: $1,120 million    2015: $1,089 million   2016:$1,054</a:t>
            </a:r>
            <a:r>
              <a:rPr lang="en-US" sz="110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million</a:t>
            </a:r>
            <a:endParaRPr lang="en-US" sz="110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663250278132673"/>
          <c:y val="9.7057214137985233E-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431148539402968"/>
          <c:y val="0.3070658521475072"/>
          <c:w val="0.41773523288422887"/>
          <c:h val="0.4237086519809471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701-47DC-A61A-EBBAD50745CE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701-47DC-A61A-EBBAD50745CE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701-47DC-A61A-EBBAD50745CE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701-47DC-A61A-EBBAD50745CE}"/>
              </c:ext>
            </c:extLst>
          </c:dPt>
          <c:dLbls>
            <c:dLbl>
              <c:idx val="0"/>
              <c:layout>
                <c:manualLayout>
                  <c:x val="-0.11515049182111707"/>
                  <c:y val="5.4537529098615298E-2"/>
                </c:manualLayout>
              </c:layout>
              <c:tx>
                <c:rich>
                  <a:bodyPr/>
                  <a:lstStyle/>
                  <a:p>
                    <a:fld id="{943ED0AC-5E60-478D-8A60-68E15C5715A4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BE8C050C-9061-4E27-9911-420EA8121488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701-47DC-A61A-EBBAD50745CE}"/>
                </c:ext>
                <c:ext xmlns:c15="http://schemas.microsoft.com/office/drawing/2012/chart" uri="{CE6537A1-D6FC-4f65-9D91-7224C49458BB}">
                  <c15:layout>
                    <c:manualLayout>
                      <c:w val="0.29250915994361726"/>
                      <c:h val="0.1431705310624295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6.3535164787746776E-2"/>
                  <c:y val="-2.903207107945429E-2"/>
                </c:manualLayout>
              </c:layout>
              <c:tx>
                <c:rich>
                  <a:bodyPr/>
                  <a:lstStyle/>
                  <a:p>
                    <a:fld id="{8B504B28-D78E-4EEE-A0C6-AF88FF0BEDBE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37DEFB7F-DFE7-4745-832C-AD1E80C8410C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701-47DC-A61A-EBBAD50745CE}"/>
                </c:ext>
                <c:ext xmlns:c15="http://schemas.microsoft.com/office/drawing/2012/chart" uri="{CE6537A1-D6FC-4f65-9D91-7224C49458BB}">
                  <c15:layout>
                    <c:manualLayout>
                      <c:w val="0.26707634525446455"/>
                      <c:h val="0.1431705310624295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3.6502920158568458E-2"/>
                  <c:y val="-7.7949277983361626E-2"/>
                </c:manualLayout>
              </c:layout>
              <c:tx>
                <c:rich>
                  <a:bodyPr/>
                  <a:lstStyle/>
                  <a:p>
                    <a:fld id="{1A0C619B-BE6A-4EC0-9472-1D6EF16ADC82}" type="VALUE">
                      <a:rPr lang="en-US" smtClean="0"/>
                      <a:pPr/>
                      <a:t>[VALUE]</a:t>
                    </a:fld>
                    <a:r>
                      <a:rPr lang="en-US"/>
                      <a:t>Million</a:t>
                    </a:r>
                    <a:r>
                      <a:rPr lang="en-US" baseline="0"/>
                      <a:t>
</a:t>
                    </a:r>
                    <a:fld id="{CD811581-0EBF-4D72-A625-42104416C04D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701-47DC-A61A-EBBAD50745CE}"/>
                </c:ext>
                <c:ext xmlns:c15="http://schemas.microsoft.com/office/drawing/2012/chart" uri="{CE6537A1-D6FC-4f65-9D91-7224C49458BB}">
                  <c15:layout>
                    <c:manualLayout>
                      <c:w val="0.2543599379098882"/>
                      <c:h val="0.14317053106242955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0.11282815434346619"/>
                  <c:y val="7.7534825593797235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68F1D172-AE52-42F9-B18D-F2493E2EA04F}" type="VALUE">
                      <a:rPr lang="en-US" sz="100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Million</a:t>
                    </a: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92F33F29-B061-4B30-86AE-0E21EE8F2779}" type="PERCENTAGE"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en-US" sz="1000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5701-47DC-A61A-EBBAD50745CE}"/>
                </c:ext>
                <c:ext xmlns:c15="http://schemas.microsoft.com/office/drawing/2012/chart" uri="{CE6537A1-D6FC-4f65-9D91-7224C49458BB}">
                  <c15:layout>
                    <c:manualLayout>
                      <c:w val="0.34019568748577844"/>
                      <c:h val="0.18508983069782559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'O1 data'!$A$23:$D$23</c:f>
              <c:strCache>
                <c:ptCount val="4"/>
                <c:pt idx="0">
                  <c:v>2014-16 Regular resources</c:v>
                </c:pt>
                <c:pt idx="1">
                  <c:v>2014-16 Programme government</c:v>
                </c:pt>
                <c:pt idx="2">
                  <c:v>2014-16 Vertical funds</c:v>
                </c:pt>
                <c:pt idx="3">
                  <c:v>2014-16 Bilateral/Multilateral</c:v>
                </c:pt>
              </c:strCache>
            </c:strRef>
          </c:cat>
          <c:val>
            <c:numRef>
              <c:f>'O1 data'!$A$24:$D$24</c:f>
              <c:numCache>
                <c:formatCode>_(* #,##0_);_(* \(#,##0\);_(* "-"??_);_(@_)</c:formatCode>
                <c:ptCount val="4"/>
                <c:pt idx="0">
                  <c:v>321.60671609999997</c:v>
                </c:pt>
                <c:pt idx="1">
                  <c:v>1215.53749788</c:v>
                </c:pt>
                <c:pt idx="2">
                  <c:v>857.93549629000017</c:v>
                </c:pt>
                <c:pt idx="3">
                  <c:v>868.26130751999995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5701-47DC-A61A-EBBAD50745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2920331008883541"/>
          <c:w val="1"/>
          <c:h val="0.152343806757145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Outcome 2</a:t>
            </a:r>
            <a:endParaRPr lang="en-US" sz="110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en-US" sz="1100" b="1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Provisional programme expenditure, 2014-2016</a:t>
            </a:r>
            <a:endParaRPr lang="en-US" sz="110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Total: $1,568 million (13% of total) </a:t>
            </a:r>
            <a:endParaRPr lang="en-US" sz="1100" b="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/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2014: $606 million    2015: $529 million   </a:t>
            </a:r>
          </a:p>
          <a:p>
            <a:pPr>
              <a:defRPr/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2016:$433 million</a:t>
            </a:r>
            <a:endParaRPr lang="en-US" sz="110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543005181347150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793326352340678"/>
          <c:y val="0.28653543307086615"/>
          <c:w val="0.35143205544902745"/>
          <c:h val="0.4754185983761376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8C-4070-BF0F-67A7FA387C07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8C-4070-BF0F-67A7FA387C07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8C-4070-BF0F-67A7FA387C07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8C-4070-BF0F-67A7FA387C07}"/>
              </c:ext>
            </c:extLst>
          </c:dPt>
          <c:dLbls>
            <c:dLbl>
              <c:idx val="0"/>
              <c:layout>
                <c:manualLayout>
                  <c:x val="-1.1846835207775278E-2"/>
                  <c:y val="3.7383177570093427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CCCDA901-25F4-4A6E-9573-63B04E1E0A7C}" type="VALUE">
                      <a:rPr lang="en-US" sz="1000" smtClean="0"/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r>
                      <a:rPr lang="en-US" sz="1000"/>
                      <a:t>Million</a:t>
                    </a:r>
                    <a:r>
                      <a:rPr lang="en-US" sz="1000" baseline="0"/>
                      <a:t>
</a:t>
                    </a:r>
                    <a:fld id="{5A3BAC85-EF4C-4F93-B7AA-74681A656B7A}" type="PERCENTAGE">
                      <a:rPr lang="en-US" sz="1000" baseline="0"/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en-US" sz="10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6.980086038467905E-3"/>
                  <c:y val="1.557485220889439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6261D460-D56F-4C4D-81DC-475703CBDA1A}" type="VALUE">
                      <a:rPr lang="en-US" sz="1000" smtClean="0"/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r>
                      <a:rPr lang="en-US" sz="1000"/>
                      <a:t>Million</a:t>
                    </a:r>
                    <a:r>
                      <a:rPr lang="en-US" sz="1000" baseline="0"/>
                      <a:t>
</a:t>
                    </a:r>
                    <a:fld id="{6CEB6535-FF63-4ABC-A54E-09DDC8DEF2C8}" type="PERCENTAGE">
                      <a:rPr lang="en-US" sz="1000" baseline="0"/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en-US" sz="10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08C-4070-BF0F-67A7FA387C0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8.1673987642737218E-3"/>
                  <c:y val="-1.55777957661834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21498FB-60D5-4D32-BCDE-380FE0AC8D5F}" type="VALUE">
                      <a:rPr lang="en-US" sz="1000" smtClean="0"/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r>
                      <a:rPr lang="en-US" sz="1000"/>
                      <a:t>Million</a:t>
                    </a:r>
                    <a:r>
                      <a:rPr lang="en-US" sz="1000" baseline="0"/>
                      <a:t>
</a:t>
                    </a:r>
                    <a:fld id="{9ADE3A93-1A8E-48FC-850D-4CAF58AC6932}" type="PERCENTAGE">
                      <a:rPr lang="en-US" sz="1000" baseline="0"/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en-US" sz="10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08C-4070-BF0F-67A7FA387C0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4.4623955684295943E-3"/>
                  <c:y val="-1.869158878504672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B4FFDD67-A9EF-44DE-BE7C-2880B7438703}" type="VALUE">
                      <a:rPr lang="en-US" sz="1000" smtClean="0"/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r>
                      <a:rPr lang="en-US" sz="1000"/>
                      <a:t>Million</a:t>
                    </a:r>
                    <a:r>
                      <a:rPr lang="en-US" sz="1000" baseline="0"/>
                      <a:t>
</a:t>
                    </a:r>
                    <a:fld id="{F995CAC2-F8C6-494F-8570-4B318A638585}" type="PERCENTAGE">
                      <a:rPr lang="en-US" sz="1000" baseline="0"/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en-US" sz="1000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B08C-4070-BF0F-67A7FA387C07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'O2 data'!$A$23:$D$23</c:f>
              <c:strCache>
                <c:ptCount val="4"/>
                <c:pt idx="0">
                  <c:v>2014-16 Regular resources</c:v>
                </c:pt>
                <c:pt idx="1">
                  <c:v>2014-16 Programme government</c:v>
                </c:pt>
                <c:pt idx="2">
                  <c:v>2014-16 Vertical funds</c:v>
                </c:pt>
                <c:pt idx="3">
                  <c:v>2014-16 Bilateral/Multilateral</c:v>
                </c:pt>
              </c:strCache>
            </c:strRef>
          </c:cat>
          <c:val>
            <c:numRef>
              <c:f>'O2 data'!$A$24:$D$24</c:f>
              <c:numCache>
                <c:formatCode>_(* #,##0_);_(* \(#,##0\);_(* "-"??_);_(@_)</c:formatCode>
                <c:ptCount val="4"/>
                <c:pt idx="0">
                  <c:v>218.41581800999995</c:v>
                </c:pt>
                <c:pt idx="1">
                  <c:v>238.20018325999999</c:v>
                </c:pt>
                <c:pt idx="2">
                  <c:v>183.93206640000008</c:v>
                </c:pt>
                <c:pt idx="3">
                  <c:v>927.21318669999994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B08C-4070-BF0F-67A7FA387C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326244091958197"/>
          <c:w val="0.99768886780627175"/>
          <c:h val="0.1486856983078534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Outcome 3</a:t>
            </a:r>
            <a:endParaRPr lang="en-US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Provisional programme expenditure, 2014-2016</a:t>
            </a:r>
            <a:endParaRPr lang="en-US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Total: $4,300 million (34% of total) </a:t>
            </a:r>
            <a:endParaRPr lang="en-US" sz="1100" b="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2014: $1,484 million    2015: $1,459 million   </a:t>
            </a: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2016:$1,357 million</a:t>
            </a:r>
            <a:endParaRPr lang="en-US" sz="1100" b="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453977982067869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9456665210005034"/>
          <c:y val="0.3083728108338436"/>
          <c:w val="0.50624697326403989"/>
          <c:h val="0.46088780845977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4FD-447A-BA94-DF350975A3A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4FD-447A-BA94-DF350975A3A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4FD-447A-BA94-DF350975A3A4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4FD-447A-BA94-DF350975A3A4}"/>
              </c:ext>
            </c:extLst>
          </c:dPt>
          <c:dLbls>
            <c:dLbl>
              <c:idx val="0"/>
              <c:layout>
                <c:manualLayout>
                  <c:x val="1.2100121805509755E-3"/>
                  <c:y val="4.850618092929377E-2"/>
                </c:manualLayout>
              </c:layout>
              <c:tx>
                <c:rich>
                  <a:bodyPr/>
                  <a:lstStyle/>
                  <a:p>
                    <a:fld id="{D8506654-4F88-4EBD-B0C2-29A8599EE238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3678A613-058C-41E5-ADAC-701551C4592E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4FD-447A-BA94-DF350975A3A4}"/>
                </c:ext>
                <c:ext xmlns:c15="http://schemas.microsoft.com/office/drawing/2012/chart" uri="{CE6537A1-D6FC-4f65-9D91-7224C49458BB}">
                  <c15:layout>
                    <c:manualLayout>
                      <c:w val="0.22005638807454886"/>
                      <c:h val="0.1312356150767601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5.8856189962975855E-2"/>
                  <c:y val="8.7916841227043074E-2"/>
                </c:manualLayout>
              </c:layout>
              <c:tx>
                <c:rich>
                  <a:bodyPr/>
                  <a:lstStyle/>
                  <a:p>
                    <a:fld id="{E4959028-31A4-4C7A-9997-89C4F009B9A5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B4B934F0-B8D8-4744-A110-C11C40AF3394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4FD-447A-BA94-DF350975A3A4}"/>
                </c:ext>
                <c:ext xmlns:c15="http://schemas.microsoft.com/office/drawing/2012/chart" uri="{CE6537A1-D6FC-4f65-9D91-7224C49458BB}">
                  <c15:layout>
                    <c:manualLayout>
                      <c:w val="0.23670589395130004"/>
                      <c:h val="0.13123561507676018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9.0795596413573935E-3"/>
                  <c:y val="-2.4253448537213996E-2"/>
                </c:manualLayout>
              </c:layout>
              <c:tx>
                <c:rich>
                  <a:bodyPr/>
                  <a:lstStyle/>
                  <a:p>
                    <a:fld id="{6E42F255-909E-4F1A-9E4E-8F03B5947630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ACEE1E2E-83E1-42BA-B1D6-9F6455A4070C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4FD-447A-BA94-DF350975A3A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7.3696533592136529E-2"/>
                  <c:y val="-7.5785820087632239E-2"/>
                </c:manualLayout>
              </c:layout>
              <c:tx>
                <c:rich>
                  <a:bodyPr/>
                  <a:lstStyle/>
                  <a:p>
                    <a:fld id="{BCB3B82B-D87A-4EC1-83DF-728C297D5BB8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E22E86FB-8F22-4456-8994-5DE88E89EA79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14FD-447A-BA94-DF350975A3A4}"/>
                </c:ext>
                <c:ext xmlns:c15="http://schemas.microsoft.com/office/drawing/2012/chart" uri="{CE6537A1-D6FC-4f65-9D91-7224C49458BB}">
                  <c15:layout>
                    <c:manualLayout>
                      <c:w val="0.27333480688015266"/>
                      <c:h val="0.13123561507676018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'O3 data'!$A$20:$D$20</c:f>
              <c:strCache>
                <c:ptCount val="4"/>
                <c:pt idx="0">
                  <c:v>2014-16 Regular resources</c:v>
                </c:pt>
                <c:pt idx="1">
                  <c:v>2014-16 Programme government</c:v>
                </c:pt>
                <c:pt idx="2">
                  <c:v>2014-16 Vertical funds</c:v>
                </c:pt>
                <c:pt idx="3">
                  <c:v>2014-16 Bilateral/Multilateral</c:v>
                </c:pt>
              </c:strCache>
            </c:strRef>
          </c:cat>
          <c:val>
            <c:numRef>
              <c:f>'O3 data'!$A$21:$D$21</c:f>
              <c:numCache>
                <c:formatCode>_(* #,##0_);_(* \(#,##0\);_(* "-"??_);_(@_)</c:formatCode>
                <c:ptCount val="4"/>
                <c:pt idx="0">
                  <c:v>171.37423344999999</c:v>
                </c:pt>
                <c:pt idx="1">
                  <c:v>734.07373269000016</c:v>
                </c:pt>
                <c:pt idx="2">
                  <c:v>1193.9763703199999</c:v>
                </c:pt>
                <c:pt idx="3">
                  <c:v>2200.9258583199999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4FD-447A-BA94-DF350975A3A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221202450912109E-3"/>
          <c:y val="0.82816718169437564"/>
          <c:w val="0.99497787975490881"/>
          <c:h val="0.153643448047848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Outcome 4</a:t>
            </a:r>
            <a:endParaRPr lang="en-US" sz="1100" b="1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1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Provisional programme expenditure, 2014-2016</a:t>
            </a:r>
            <a:endParaRPr lang="en-US" sz="1100" b="1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Total: $83 million (1% of total) </a:t>
            </a:r>
            <a:endParaRPr lang="en-US" sz="1100" b="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2014: $31 million    2015: $33 million   2016:$19 million</a:t>
            </a:r>
            <a:endParaRPr lang="en-US" sz="1100" b="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711240243441185"/>
          <c:y val="1.7081850533807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0B3-4212-A90F-7C5BA724397D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0B3-4212-A90F-7C5BA724397D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0B3-4212-A90F-7C5BA724397D}"/>
              </c:ext>
            </c:extLst>
          </c:dPt>
          <c:dLbls>
            <c:dLbl>
              <c:idx val="0"/>
              <c:layout>
                <c:manualLayout>
                  <c:x val="-3.7117903930131084E-2"/>
                  <c:y val="-2.2775800711743826E-2"/>
                </c:manualLayout>
              </c:layout>
              <c:tx>
                <c:rich>
                  <a:bodyPr/>
                  <a:lstStyle/>
                  <a:p>
                    <a:fld id="{64577D5C-CE17-456A-AF2B-759286815101}" type="VALUE">
                      <a:rPr lang="en-US" smtClean="0"/>
                      <a:pPr/>
                      <a:t>[VALUE]</a:t>
                    </a:fld>
                    <a:r>
                      <a:rPr lang="en-US" baseline="0"/>
                      <a:t> Million</a:t>
                    </a:r>
                  </a:p>
                  <a:p>
                    <a:fld id="{92FBF951-05A6-452B-9F9F-3FF3775B6F8B}" type="PERCENTAGE">
                      <a:rPr lang="en-US" baseline="0" smtClean="0"/>
                      <a:pPr/>
                      <a:t>[PERCENTAGE]</a:t>
                    </a:fld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0B3-4212-A90F-7C5BA724397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60A398BC-5AFF-42C4-BA94-0AAC399FB3F6}" type="VALUE">
                      <a:rPr lang="en-US" smtClean="0"/>
                      <a:pPr/>
                      <a:t>[VALUE]</a:t>
                    </a:fld>
                    <a:r>
                      <a:rPr lang="en-US" baseline="0"/>
                      <a:t> Million</a:t>
                    </a:r>
                  </a:p>
                  <a:p>
                    <a:fld id="{648A3FC3-C979-4C8D-9BE2-6382F684E7BA}" type="PERCENTAGE">
                      <a:rPr lang="en-US" baseline="0" smtClean="0"/>
                      <a:pPr/>
                      <a:t>[PERCENTAGE]</a:t>
                    </a:fld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0B3-4212-A90F-7C5BA724397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E0A667C9-3B19-4C58-AD9F-4E0F697C8A9F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E9B7D54B-DEF4-4A94-933A-6111735D6116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0B3-4212-A90F-7C5BA724397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'O4 data'!$A$16:$D$16</c:f>
              <c:strCache>
                <c:ptCount val="3"/>
                <c:pt idx="0">
                  <c:v>2014-16 Regular resources</c:v>
                </c:pt>
                <c:pt idx="1">
                  <c:v>2014-16 Programme government</c:v>
                </c:pt>
                <c:pt idx="2">
                  <c:v>2014-16 Bilateral/Multilateral</c:v>
                </c:pt>
              </c:strCache>
              <c:extLst xmlns:c16r2="http://schemas.microsoft.com/office/drawing/2015/06/chart"/>
            </c:strRef>
          </c:cat>
          <c:val>
            <c:numRef>
              <c:f>'O4 data'!$A$17:$D$17</c:f>
              <c:numCache>
                <c:formatCode>#,##0</c:formatCode>
                <c:ptCount val="3"/>
                <c:pt idx="0">
                  <c:v>26.612340239999998</c:v>
                </c:pt>
                <c:pt idx="1">
                  <c:v>2.8168740799999998</c:v>
                </c:pt>
                <c:pt idx="2">
                  <c:v>53.230876220000006</c:v>
                </c:pt>
              </c:numCache>
              <c:extLst xmlns:c16r2="http://schemas.microsoft.com/office/drawing/2015/06/chart"/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40B3-4212-A90F-7C5BA72439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681463397861296"/>
          <c:y val="0.8366302575167428"/>
          <c:w val="0.73362512404081592"/>
          <c:h val="0.1605238783514065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Outcome 5</a:t>
            </a:r>
            <a:endParaRPr lang="en-US" sz="1100" b="1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1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Provisional programme expenditure, 2014-2016</a:t>
            </a:r>
            <a:endParaRPr lang="en-US" sz="1100" b="1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Total: $724 million (6% of total) </a:t>
            </a:r>
            <a:endParaRPr lang="en-US" sz="1100" b="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2014: $252 million    2015: $256 million   2016:$216 million</a:t>
            </a:r>
            <a:endParaRPr lang="en-US" sz="1100" b="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6A5-4471-9360-98E46626710F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6A5-4471-9360-98E46626710F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6A5-4471-9360-98E46626710F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6A5-4471-9360-98E46626710F}"/>
              </c:ext>
            </c:extLst>
          </c:dPt>
          <c:dLbls>
            <c:dLbl>
              <c:idx val="0"/>
              <c:layout>
                <c:manualLayout>
                  <c:x val="-1.8032104666674421E-2"/>
                  <c:y val="2.6991812826650634E-2"/>
                </c:manualLayout>
              </c:layout>
              <c:tx>
                <c:rich>
                  <a:bodyPr/>
                  <a:lstStyle/>
                  <a:p>
                    <a:fld id="{C6577940-22E2-4B74-B460-6C87ED47957A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E7F220B6-2DB9-48DB-B150-D7D7A515AB6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6A5-4471-9360-98E46626710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8.3559640693545781E-3"/>
                  <c:y val="0"/>
                </c:manualLayout>
              </c:layout>
              <c:tx>
                <c:rich>
                  <a:bodyPr/>
                  <a:lstStyle/>
                  <a:p>
                    <a:fld id="{5CE90C8E-CE0E-4D96-8565-F6C6E84B27FE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3C1671F8-9670-4CE0-9FC1-409117B4C6A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6A5-4471-9360-98E46626710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1.1477278521718181E-2"/>
                  <c:y val="-3.0129557095510697E-3"/>
                </c:manualLayout>
              </c:layout>
              <c:tx>
                <c:rich>
                  <a:bodyPr/>
                  <a:lstStyle/>
                  <a:p>
                    <a:fld id="{827C4BFC-CE47-4C3A-86B5-FDD31C1E4C04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AA22567C-93E7-4C77-84C3-4FAD4A3909D5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6A5-4471-9360-98E46626710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7.7555847612217474E-3"/>
                  <c:y val="2.9296842564760753E-3"/>
                </c:manualLayout>
              </c:layout>
              <c:tx>
                <c:rich>
                  <a:bodyPr/>
                  <a:lstStyle/>
                  <a:p>
                    <a:fld id="{432842EA-10AF-4C4F-8A99-03DB916E2381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0260A038-CFBA-451E-87D2-D2DBF39791BA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6A5-4471-9360-98E46626710F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'O5 data'!$A$19:$D$19</c:f>
              <c:strCache>
                <c:ptCount val="4"/>
                <c:pt idx="0">
                  <c:v>2014-16 Regular resources</c:v>
                </c:pt>
                <c:pt idx="1">
                  <c:v>2014-16 Programme government</c:v>
                </c:pt>
                <c:pt idx="2">
                  <c:v>2014-16 Vertical funds</c:v>
                </c:pt>
                <c:pt idx="3">
                  <c:v>2014-16 Bilateral/Multilateral</c:v>
                </c:pt>
              </c:strCache>
            </c:strRef>
          </c:cat>
          <c:val>
            <c:numRef>
              <c:f>'O5 data'!$A$20:$D$20</c:f>
              <c:numCache>
                <c:formatCode>#,##0</c:formatCode>
                <c:ptCount val="4"/>
                <c:pt idx="0">
                  <c:v>116.97592483</c:v>
                </c:pt>
                <c:pt idx="1">
                  <c:v>59.738698159999998</c:v>
                </c:pt>
                <c:pt idx="2">
                  <c:v>79.015386610000007</c:v>
                </c:pt>
                <c:pt idx="3">
                  <c:v>467.88385419999997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6A5-4471-9360-98E4662671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Outcome 6</a:t>
            </a:r>
            <a:endParaRPr lang="en-US" sz="1100" b="1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1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Provisional programme expenditure, 2014-2016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Total: $1,011 million (8% of total) </a:t>
            </a:r>
            <a:endParaRPr lang="en-US" sz="1100" b="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2014: $281 million  2015: $331 million    2016: $399 million   </a:t>
            </a:r>
            <a:endParaRPr lang="en-US" sz="1100" b="0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181134440614228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2003010884900653"/>
          <c:y val="0.23560830119642368"/>
          <c:w val="0.50450450450450446"/>
          <c:h val="0.4741963638729216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134-4F3A-9F6D-FFF88750981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134-4F3A-9F6D-FFF88750981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134-4F3A-9F6D-FFF88750981C}"/>
              </c:ext>
            </c:extLst>
          </c:dPt>
          <c:dLbls>
            <c:dLbl>
              <c:idx val="0"/>
              <c:layout>
                <c:manualLayout>
                  <c:x val="-8.2736279586673282E-3"/>
                  <c:y val="5.6954396987490743E-3"/>
                </c:manualLayout>
              </c:layout>
              <c:tx>
                <c:rich>
                  <a:bodyPr/>
                  <a:lstStyle/>
                  <a:p>
                    <a:fld id="{383AD48D-9ADF-427A-9F20-5C0F76CA016D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D90C8D30-2266-472E-B478-27A1E4861EFC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134-4F3A-9F6D-FFF88750981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2.1882985347552276E-2"/>
                  <c:y val="3.4172184227908381E-2"/>
                </c:manualLayout>
              </c:layout>
              <c:tx>
                <c:rich>
                  <a:bodyPr/>
                  <a:lstStyle/>
                  <a:p>
                    <a:fld id="{F5115A8A-6076-4D28-A416-0B962BE696E8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03BF870A-DF05-473B-8E1E-6BFEC5000E13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134-4F3A-9F6D-FFF88750981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0060060060060094E-2"/>
                  <c:y val="-7.927356586912655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Times New Roman" panose="02020603050405020304" pitchFamily="18" charset="0"/>
                        <a:ea typeface="+mn-ea"/>
                        <a:cs typeface="Times New Roman" panose="02020603050405020304" pitchFamily="18" charset="0"/>
                      </a:defRPr>
                    </a:pPr>
                    <a:fld id="{0BF16BED-9800-45E9-908B-D7AF1CAABF18}" type="VALUE">
                      <a:rPr lang="en-US" sz="1000" smtClean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[VALUE]</a:t>
                    </a:fld>
                    <a:r>
                      <a:rPr lang="en-US" sz="100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Million</a:t>
                    </a:r>
                    <a:r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
</a:t>
                    </a:r>
                    <a:fld id="{40EFB883-43BA-4F3E-878F-ABD1159271AE}" type="PERCENTAGE">
                      <a:rPr lang="en-US" sz="10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pPr>
                        <a:defRPr sz="1000">
                          <a:latin typeface="Times New Roman" panose="02020603050405020304" pitchFamily="18" charset="0"/>
                          <a:cs typeface="Times New Roman" panose="02020603050405020304" pitchFamily="18" charset="0"/>
                        </a:defRPr>
                      </a:pPr>
                      <a:t>[PERCENTAGE]</a:t>
                    </a:fld>
                    <a:endParaRPr lang="en-US" sz="1000" baseline="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134-4F3A-9F6D-FFF88750981C}"/>
                </c:ext>
                <c:ext xmlns:c15="http://schemas.microsoft.com/office/drawing/2012/chart" uri="{CE6537A1-D6FC-4f65-9D91-7224C49458BB}">
                  <c15:layout>
                    <c:manualLayout>
                      <c:w val="0.11270278152167916"/>
                      <c:h val="0.12931680599596426"/>
                    </c:manualLayout>
                  </c15:layout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'O6 data'!$A$15:$C$15</c:f>
              <c:strCache>
                <c:ptCount val="3"/>
                <c:pt idx="0">
                  <c:v>2014-16 Regular resources</c:v>
                </c:pt>
                <c:pt idx="1">
                  <c:v>2014-16 Programme government</c:v>
                </c:pt>
                <c:pt idx="2">
                  <c:v>2014-16 Bilateral/Multilateral</c:v>
                </c:pt>
              </c:strCache>
            </c:strRef>
          </c:cat>
          <c:val>
            <c:numRef>
              <c:f>'O6 data'!$A$16:$C$16</c:f>
              <c:numCache>
                <c:formatCode>#,##0</c:formatCode>
                <c:ptCount val="3"/>
                <c:pt idx="0">
                  <c:v>64.04682163999999</c:v>
                </c:pt>
                <c:pt idx="1">
                  <c:v>18.542371789999997</c:v>
                </c:pt>
                <c:pt idx="2">
                  <c:v>927.45670439999981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134-4F3A-9F6D-FFF8875098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806859997000846E-2"/>
          <c:y val="0.82103182921297957"/>
          <c:w val="0.95923019690625333"/>
          <c:h val="0.16175610915247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en-US" sz="1100" b="1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Outcome 7</a:t>
            </a:r>
            <a:endParaRPr lang="en-US" sz="1100" b="1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1" i="0" baseline="0">
                <a:solidFill>
                  <a:schemeClr val="tx1">
                    <a:lumMod val="50000"/>
                    <a:lumOff val="50000"/>
                  </a:schemeClr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Provisional programme expenditure, 2014-2016</a:t>
            </a:r>
            <a:endParaRPr lang="en-US" sz="1100" b="1">
              <a:solidFill>
                <a:schemeClr val="tx1">
                  <a:lumMod val="50000"/>
                  <a:lumOff val="50000"/>
                </a:schemeClr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Total: $569 million (5% of total)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en-US" sz="1100" b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2014: $215 million    2015: $228 million   2016:$127</a:t>
            </a:r>
            <a:r>
              <a:rPr lang="en-US" sz="1100" b="0" baseline="0">
                <a:solidFill>
                  <a:schemeClr val="tx1">
                    <a:lumMod val="50000"/>
                    <a:lumOff val="50000"/>
                  </a:schemeClr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million</a:t>
            </a:r>
            <a:endParaRPr lang="en-US" sz="1100" b="0">
              <a:solidFill>
                <a:schemeClr val="tx1">
                  <a:lumMod val="50000"/>
                  <a:lumOff val="50000"/>
                </a:schemeClr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787-42B0-B3C4-C0F0EA6E98C4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787-42B0-B3C4-C0F0EA6E98C4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787-42B0-B3C4-C0F0EA6E98C4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787-42B0-B3C4-C0F0EA6E98C4}"/>
              </c:ext>
            </c:extLst>
          </c:dPt>
          <c:dLbls>
            <c:dLbl>
              <c:idx val="0"/>
              <c:layout>
                <c:manualLayout>
                  <c:x val="-2.1825396825396824E-2"/>
                  <c:y val="1.3694878115584772E-2"/>
                </c:manualLayout>
              </c:layout>
              <c:tx>
                <c:rich>
                  <a:bodyPr/>
                  <a:lstStyle/>
                  <a:p>
                    <a:fld id="{FC4878D4-6F0E-477C-82D5-8C1482AFC79E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B5A469E0-0BF6-4D94-A56E-D6C82058B8AF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787-42B0-B3C4-C0F0EA6E98C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0.13770427134108229"/>
                  <c:y val="-9.0383284053338953E-2"/>
                </c:manualLayout>
              </c:layout>
              <c:tx>
                <c:rich>
                  <a:bodyPr/>
                  <a:lstStyle/>
                  <a:p>
                    <a:fld id="{9FF39F02-5F9F-4FF7-A54E-D04CE7D9408A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FAEBF1FD-8869-4D1E-A247-CF3EEC509CCE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787-42B0-B3C4-C0F0EA6E98C4}"/>
                </c:ext>
                <c:ext xmlns:c15="http://schemas.microsoft.com/office/drawing/2012/chart" uri="{CE6537A1-D6FC-4f65-9D91-7224C49458BB}">
                  <c15:layout>
                    <c:manualLayout>
                      <c:w val="0.22386059936774497"/>
                      <c:h val="0.11856672593029666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6.0506499187601911E-3"/>
                  <c:y val="-3.2350105785850194E-6"/>
                </c:manualLayout>
              </c:layout>
              <c:tx>
                <c:rich>
                  <a:bodyPr/>
                  <a:lstStyle/>
                  <a:p>
                    <a:fld id="{60CEAE1A-6E1F-41EB-B6CA-D02D37F7369A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42D4DE45-0FE1-4CA2-BA8A-77F5CF9A3F82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787-42B0-B3C4-C0F0EA6E98C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4C9B00F9-DC21-4D67-91E8-62B2E507376D}" type="VALUE">
                      <a:rPr lang="en-US" smtClean="0"/>
                      <a:pPr/>
                      <a:t>[VALUE]</a:t>
                    </a:fld>
                    <a:r>
                      <a:rPr lang="en-US"/>
                      <a:t> Million</a:t>
                    </a:r>
                    <a:r>
                      <a:rPr lang="en-US" baseline="0"/>
                      <a:t>
</a:t>
                    </a:r>
                    <a:fld id="{D0560254-8ED8-4259-B245-4876E7E8F0AD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1"/>
              <c:showBubbleSize val="0"/>
              <c:separator>
</c:separator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787-42B0-B3C4-C0F0EA6E98C4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1"/>
            <c:showBubbleSize val="0"/>
            <c:separator>
</c:separator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'O7 data'!$A$27:$D$27</c:f>
              <c:strCache>
                <c:ptCount val="4"/>
                <c:pt idx="0">
                  <c:v>2014-16 Regular resources</c:v>
                </c:pt>
                <c:pt idx="1">
                  <c:v>2014-16 Programme government</c:v>
                </c:pt>
                <c:pt idx="2">
                  <c:v>2014-16 Vertical funds</c:v>
                </c:pt>
                <c:pt idx="3">
                  <c:v>2014-16 Bilateral/Multilateral</c:v>
                </c:pt>
              </c:strCache>
            </c:strRef>
          </c:cat>
          <c:val>
            <c:numRef>
              <c:f>'O7 data'!$A$28:$D$28</c:f>
              <c:numCache>
                <c:formatCode>#,##0</c:formatCode>
                <c:ptCount val="4"/>
                <c:pt idx="0">
                  <c:v>151.20446884</c:v>
                </c:pt>
                <c:pt idx="1">
                  <c:v>252.79841791999996</c:v>
                </c:pt>
                <c:pt idx="2">
                  <c:v>12.914076250000001</c:v>
                </c:pt>
                <c:pt idx="3">
                  <c:v>152.51432421999999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C787-42B0-B3C4-C0F0EA6E98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D9C5-4850-483F-BDC7-870D67CB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653</Words>
  <Characters>4071</Characters>
  <Application>Microsoft Office Word</Application>
  <DocSecurity>0</DocSecurity>
  <Lines>96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Hanayo Nakano</dc:creator>
  <cp:keywords/>
  <dc:description/>
  <cp:lastModifiedBy>Svetlana Iazykova</cp:lastModifiedBy>
  <cp:revision>2</cp:revision>
  <cp:lastPrinted>2017-05-08T15:04:00Z</cp:lastPrinted>
  <dcterms:created xsi:type="dcterms:W3CDTF">2017-05-15T19:11:00Z</dcterms:created>
  <dcterms:modified xsi:type="dcterms:W3CDTF">2017-05-15T19:11:00Z</dcterms:modified>
</cp:coreProperties>
</file>