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BC" w:rsidRPr="00D975A2" w:rsidRDefault="00A85BBC" w:rsidP="00A85BBC">
      <w:pPr>
        <w:rPr>
          <w:b/>
          <w:i/>
          <w:color w:val="000000"/>
          <w:sz w:val="16"/>
          <w:szCs w:val="16"/>
        </w:rPr>
      </w:pPr>
      <w:r w:rsidRPr="00D975A2">
        <w:rPr>
          <w:b/>
          <w:bCs/>
          <w:color w:val="000000"/>
          <w:sz w:val="16"/>
          <w:szCs w:val="16"/>
        </w:rPr>
        <w:t>ANNEX</w:t>
      </w:r>
      <w:r w:rsidRPr="00D975A2">
        <w:rPr>
          <w:bCs/>
          <w:color w:val="000000"/>
          <w:sz w:val="16"/>
          <w:szCs w:val="16"/>
        </w:rPr>
        <w:t xml:space="preserve">. </w:t>
      </w:r>
      <w:r w:rsidRPr="00D975A2">
        <w:rPr>
          <w:b/>
          <w:bCs/>
          <w:color w:val="000000"/>
          <w:sz w:val="16"/>
          <w:szCs w:val="16"/>
        </w:rPr>
        <w:t>FULLY-</w:t>
      </w:r>
      <w:r w:rsidR="005C211A">
        <w:rPr>
          <w:b/>
          <w:color w:val="000000"/>
          <w:sz w:val="16"/>
          <w:szCs w:val="16"/>
        </w:rPr>
        <w:t>COSTED EVALUATION PLAN</w:t>
      </w:r>
      <w:bookmarkStart w:id="0" w:name="_GoBack"/>
      <w:bookmarkEnd w:id="0"/>
    </w:p>
    <w:p w:rsidR="00A85BBC" w:rsidRPr="00D975A2" w:rsidRDefault="00A85BBC" w:rsidP="00A85BBC">
      <w:pPr>
        <w:rPr>
          <w:color w:val="000000"/>
          <w:sz w:val="16"/>
          <w:szCs w:val="16"/>
        </w:rPr>
      </w:pP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405"/>
        <w:gridCol w:w="1405"/>
        <w:gridCol w:w="1693"/>
        <w:gridCol w:w="1695"/>
        <w:gridCol w:w="1522"/>
        <w:gridCol w:w="1546"/>
        <w:gridCol w:w="1489"/>
        <w:gridCol w:w="1405"/>
      </w:tblGrid>
      <w:tr w:rsidR="00FC5789" w:rsidRPr="00D975A2" w:rsidTr="00A2625E">
        <w:trPr>
          <w:trHeight w:val="845"/>
        </w:trPr>
        <w:tc>
          <w:tcPr>
            <w:tcW w:w="517"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UNDAF (or equivalent)</w:t>
            </w:r>
          </w:p>
          <w:p w:rsidR="00A85BBC" w:rsidRPr="00D975A2" w:rsidRDefault="00A85BBC" w:rsidP="00140574">
            <w:pPr>
              <w:jc w:val="center"/>
              <w:rPr>
                <w:b/>
                <w:bCs/>
                <w:sz w:val="16"/>
                <w:szCs w:val="16"/>
              </w:rPr>
            </w:pPr>
            <w:r w:rsidRPr="00D975A2">
              <w:rPr>
                <w:b/>
                <w:bCs/>
                <w:sz w:val="16"/>
                <w:szCs w:val="16"/>
              </w:rPr>
              <w:t xml:space="preserve">Outcome </w:t>
            </w:r>
          </w:p>
        </w:tc>
        <w:tc>
          <w:tcPr>
            <w:tcW w:w="518" w:type="pct"/>
            <w:shd w:val="clear" w:color="auto" w:fill="DEEAF6" w:themeFill="accent1" w:themeFillTint="33"/>
            <w:vAlign w:val="center"/>
          </w:tcPr>
          <w:p w:rsidR="00A85BBC" w:rsidRPr="00D975A2" w:rsidRDefault="00A85BBC" w:rsidP="00140574">
            <w:pPr>
              <w:jc w:val="center"/>
              <w:rPr>
                <w:bCs/>
                <w:sz w:val="16"/>
                <w:szCs w:val="16"/>
              </w:rPr>
            </w:pPr>
            <w:r w:rsidRPr="00D975A2">
              <w:rPr>
                <w:bCs/>
                <w:sz w:val="16"/>
                <w:szCs w:val="16"/>
              </w:rPr>
              <w:t>UNDP Strategic Plan Outcome</w:t>
            </w:r>
          </w:p>
        </w:tc>
        <w:tc>
          <w:tcPr>
            <w:tcW w:w="518"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Evaluation Title</w:t>
            </w:r>
          </w:p>
        </w:tc>
        <w:tc>
          <w:tcPr>
            <w:tcW w:w="624" w:type="pct"/>
            <w:shd w:val="clear" w:color="auto" w:fill="DEEAF6" w:themeFill="accent1" w:themeFillTint="33"/>
            <w:vAlign w:val="center"/>
          </w:tcPr>
          <w:p w:rsidR="00A85BBC" w:rsidRPr="00D975A2" w:rsidDel="00BA628C" w:rsidRDefault="00A85BBC" w:rsidP="00140574">
            <w:pPr>
              <w:jc w:val="center"/>
              <w:rPr>
                <w:b/>
                <w:bCs/>
                <w:sz w:val="16"/>
                <w:szCs w:val="16"/>
              </w:rPr>
            </w:pPr>
            <w:r w:rsidRPr="00D975A2">
              <w:rPr>
                <w:b/>
                <w:bCs/>
                <w:sz w:val="16"/>
                <w:szCs w:val="16"/>
              </w:rPr>
              <w:t>Partners (joint evaluation)</w:t>
            </w:r>
          </w:p>
        </w:tc>
        <w:tc>
          <w:tcPr>
            <w:tcW w:w="625"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Evaluation commissioned by (if not UNDP)</w:t>
            </w:r>
          </w:p>
        </w:tc>
        <w:tc>
          <w:tcPr>
            <w:tcW w:w="561"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Type of evaluation</w:t>
            </w:r>
          </w:p>
        </w:tc>
        <w:tc>
          <w:tcPr>
            <w:tcW w:w="570"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Planned Evaluation Completion Date</w:t>
            </w:r>
          </w:p>
        </w:tc>
        <w:tc>
          <w:tcPr>
            <w:tcW w:w="549"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Estimated Cost</w:t>
            </w:r>
          </w:p>
        </w:tc>
        <w:tc>
          <w:tcPr>
            <w:tcW w:w="518" w:type="pct"/>
            <w:shd w:val="clear" w:color="auto" w:fill="DEEAF6" w:themeFill="accent1" w:themeFillTint="33"/>
            <w:vAlign w:val="center"/>
          </w:tcPr>
          <w:p w:rsidR="00A85BBC" w:rsidRPr="00D975A2" w:rsidRDefault="00A85BBC" w:rsidP="00140574">
            <w:pPr>
              <w:jc w:val="center"/>
              <w:rPr>
                <w:b/>
                <w:bCs/>
                <w:sz w:val="16"/>
                <w:szCs w:val="16"/>
              </w:rPr>
            </w:pPr>
            <w:r w:rsidRPr="00D975A2">
              <w:rPr>
                <w:b/>
                <w:bCs/>
                <w:sz w:val="16"/>
                <w:szCs w:val="16"/>
              </w:rPr>
              <w:t>Provisional Source of Funding</w:t>
            </w:r>
          </w:p>
        </w:tc>
      </w:tr>
      <w:tr w:rsidR="00FC5789" w:rsidRPr="00D975A2" w:rsidTr="00A2625E">
        <w:trPr>
          <w:trHeight w:val="490"/>
        </w:trPr>
        <w:tc>
          <w:tcPr>
            <w:tcW w:w="517" w:type="pct"/>
          </w:tcPr>
          <w:p w:rsidR="00A85BBC" w:rsidRPr="00D975A2" w:rsidRDefault="006B4A9A" w:rsidP="00637E4C">
            <w:pPr>
              <w:rPr>
                <w:sz w:val="16"/>
                <w:szCs w:val="16"/>
              </w:rPr>
            </w:pPr>
            <w:r w:rsidRPr="00D975A2">
              <w:rPr>
                <w:b/>
                <w:color w:val="222A35"/>
                <w:sz w:val="16"/>
                <w:szCs w:val="16"/>
              </w:rPr>
              <w:t xml:space="preserve">1. </w:t>
            </w:r>
            <w:r w:rsidRPr="00D975A2">
              <w:rPr>
                <w:sz w:val="16"/>
                <w:szCs w:val="16"/>
              </w:rPr>
              <w:t>By 2022, in</w:t>
            </w:r>
            <w:r w:rsidR="00637E4C">
              <w:rPr>
                <w:sz w:val="16"/>
                <w:szCs w:val="16"/>
              </w:rPr>
              <w:t xml:space="preserve">stitutions at all levels are more accountable and inclusive ensuring justice, human rights, gender equality and sustainable peace for all. </w:t>
            </w:r>
          </w:p>
        </w:tc>
        <w:tc>
          <w:tcPr>
            <w:tcW w:w="518" w:type="pct"/>
          </w:tcPr>
          <w:p w:rsidR="00637E4C" w:rsidRPr="00FC5789" w:rsidRDefault="00637E4C" w:rsidP="00637E4C">
            <w:pPr>
              <w:rPr>
                <w:sz w:val="16"/>
                <w:szCs w:val="16"/>
              </w:rPr>
            </w:pPr>
            <w:r w:rsidRPr="00FC5789">
              <w:rPr>
                <w:sz w:val="16"/>
                <w:szCs w:val="16"/>
                <w:u w:val="single"/>
              </w:rPr>
              <w:t>Outcome 2:</w:t>
            </w:r>
            <w:r w:rsidRPr="00FC5789">
              <w:rPr>
                <w:sz w:val="16"/>
                <w:szCs w:val="16"/>
              </w:rPr>
              <w:t xml:space="preserve"> Citizen expectations for voice, development, the rule of law and accountability are met by stronger systems of democratic governance</w:t>
            </w:r>
          </w:p>
          <w:p w:rsidR="00637E4C" w:rsidRPr="00FC5789" w:rsidRDefault="00637E4C" w:rsidP="00637E4C">
            <w:pPr>
              <w:rPr>
                <w:sz w:val="16"/>
                <w:szCs w:val="16"/>
              </w:rPr>
            </w:pPr>
            <w:r w:rsidRPr="00FC5789">
              <w:rPr>
                <w:sz w:val="16"/>
                <w:szCs w:val="16"/>
                <w:u w:val="single"/>
              </w:rPr>
              <w:t>Outcome 3:</w:t>
            </w:r>
            <w:r w:rsidRPr="00FC5789">
              <w:rPr>
                <w:sz w:val="16"/>
                <w:szCs w:val="16"/>
              </w:rPr>
              <w:t xml:space="preserve"> Countries have strengthened institutions to progressively deliver universal access to basic services</w:t>
            </w:r>
          </w:p>
          <w:p w:rsidR="00637E4C" w:rsidRPr="00FC5789" w:rsidRDefault="00637E4C" w:rsidP="00637E4C">
            <w:pPr>
              <w:rPr>
                <w:sz w:val="16"/>
                <w:szCs w:val="16"/>
                <w:u w:val="single"/>
              </w:rPr>
            </w:pPr>
            <w:r w:rsidRPr="00FC5789">
              <w:rPr>
                <w:sz w:val="16"/>
                <w:szCs w:val="16"/>
                <w:u w:val="single"/>
              </w:rPr>
              <w:t xml:space="preserve">Outcome 4: </w:t>
            </w:r>
          </w:p>
          <w:p w:rsidR="00A25315" w:rsidRPr="00FC5789" w:rsidRDefault="00637E4C" w:rsidP="00637E4C">
            <w:pPr>
              <w:rPr>
                <w:sz w:val="16"/>
                <w:szCs w:val="16"/>
              </w:rPr>
            </w:pPr>
            <w:r w:rsidRPr="00FC5789">
              <w:rPr>
                <w:sz w:val="16"/>
                <w:szCs w:val="16"/>
              </w:rPr>
              <w:t>Faster progress is achieved in reducing gender inequality and promoting women’s empowerment.</w:t>
            </w:r>
          </w:p>
        </w:tc>
        <w:tc>
          <w:tcPr>
            <w:tcW w:w="518" w:type="pct"/>
          </w:tcPr>
          <w:p w:rsidR="00A85BBC" w:rsidRPr="00D975A2" w:rsidRDefault="00637E4C" w:rsidP="00140574">
            <w:pPr>
              <w:rPr>
                <w:sz w:val="16"/>
                <w:szCs w:val="16"/>
              </w:rPr>
            </w:pPr>
            <w:r>
              <w:rPr>
                <w:sz w:val="16"/>
                <w:szCs w:val="16"/>
              </w:rPr>
              <w:t>Mid-term Outcome Evaluation</w:t>
            </w:r>
          </w:p>
        </w:tc>
        <w:tc>
          <w:tcPr>
            <w:tcW w:w="624" w:type="pct"/>
          </w:tcPr>
          <w:p w:rsidR="00A85BBC" w:rsidRPr="00D975A2" w:rsidRDefault="00FC5789" w:rsidP="0047672C">
            <w:pPr>
              <w:rPr>
                <w:sz w:val="16"/>
                <w:szCs w:val="16"/>
              </w:rPr>
            </w:pPr>
            <w:r>
              <w:rPr>
                <w:sz w:val="16"/>
                <w:szCs w:val="16"/>
              </w:rPr>
              <w:t xml:space="preserve">Office of President, Office of Prime-minister and </w:t>
            </w:r>
            <w:r w:rsidR="00637E4C">
              <w:rPr>
                <w:sz w:val="16"/>
                <w:szCs w:val="16"/>
              </w:rPr>
              <w:t>Government</w:t>
            </w:r>
            <w:r>
              <w:rPr>
                <w:sz w:val="16"/>
                <w:szCs w:val="16"/>
              </w:rPr>
              <w:t xml:space="preserve"> (relevant Ministries)</w:t>
            </w:r>
            <w:r w:rsidR="00637E4C">
              <w:rPr>
                <w:sz w:val="16"/>
                <w:szCs w:val="16"/>
              </w:rPr>
              <w:t xml:space="preserve">, </w:t>
            </w:r>
            <w:r>
              <w:rPr>
                <w:sz w:val="16"/>
                <w:szCs w:val="16"/>
              </w:rPr>
              <w:t>Parliament, UN organizations (OHCHR, UN Women</w:t>
            </w:r>
            <w:r w:rsidR="0047672C">
              <w:rPr>
                <w:sz w:val="16"/>
                <w:szCs w:val="16"/>
              </w:rPr>
              <w:t>)</w:t>
            </w:r>
          </w:p>
        </w:tc>
        <w:tc>
          <w:tcPr>
            <w:tcW w:w="625" w:type="pct"/>
          </w:tcPr>
          <w:p w:rsidR="00A85BBC" w:rsidRPr="00D975A2" w:rsidRDefault="00FC5789" w:rsidP="00140574">
            <w:pPr>
              <w:rPr>
                <w:sz w:val="16"/>
                <w:szCs w:val="16"/>
              </w:rPr>
            </w:pPr>
            <w:r>
              <w:rPr>
                <w:sz w:val="16"/>
                <w:szCs w:val="16"/>
              </w:rPr>
              <w:t>UNDP</w:t>
            </w:r>
          </w:p>
        </w:tc>
        <w:tc>
          <w:tcPr>
            <w:tcW w:w="561" w:type="pct"/>
          </w:tcPr>
          <w:p w:rsidR="00A85BBC" w:rsidRPr="00D975A2" w:rsidRDefault="00FC5789" w:rsidP="00140574">
            <w:pPr>
              <w:rPr>
                <w:sz w:val="16"/>
                <w:szCs w:val="16"/>
              </w:rPr>
            </w:pPr>
            <w:r>
              <w:rPr>
                <w:sz w:val="16"/>
                <w:szCs w:val="16"/>
              </w:rPr>
              <w:t xml:space="preserve">CPD Outcome </w:t>
            </w:r>
          </w:p>
        </w:tc>
        <w:tc>
          <w:tcPr>
            <w:tcW w:w="570" w:type="pct"/>
          </w:tcPr>
          <w:p w:rsidR="00A85BBC" w:rsidRPr="00D975A2" w:rsidRDefault="00FC5789" w:rsidP="00140574">
            <w:pPr>
              <w:spacing w:before="40" w:after="40"/>
              <w:rPr>
                <w:sz w:val="16"/>
                <w:szCs w:val="16"/>
              </w:rPr>
            </w:pPr>
            <w:r>
              <w:rPr>
                <w:sz w:val="16"/>
                <w:szCs w:val="16"/>
              </w:rPr>
              <w:t>2021</w:t>
            </w:r>
          </w:p>
        </w:tc>
        <w:tc>
          <w:tcPr>
            <w:tcW w:w="549" w:type="pct"/>
          </w:tcPr>
          <w:p w:rsidR="00A85BBC" w:rsidRPr="00D975A2" w:rsidRDefault="00C14A4A" w:rsidP="00223ABD">
            <w:pPr>
              <w:rPr>
                <w:sz w:val="16"/>
                <w:szCs w:val="16"/>
              </w:rPr>
            </w:pPr>
            <w:r>
              <w:rPr>
                <w:sz w:val="16"/>
                <w:szCs w:val="16"/>
              </w:rPr>
              <w:t>$</w:t>
            </w:r>
            <w:r w:rsidR="00223ABD">
              <w:rPr>
                <w:sz w:val="16"/>
                <w:szCs w:val="16"/>
              </w:rPr>
              <w:t>5</w:t>
            </w:r>
            <w:r w:rsidR="00FC5789">
              <w:rPr>
                <w:sz w:val="16"/>
                <w:szCs w:val="16"/>
              </w:rPr>
              <w:t>0,000</w:t>
            </w:r>
          </w:p>
        </w:tc>
        <w:tc>
          <w:tcPr>
            <w:tcW w:w="518" w:type="pct"/>
          </w:tcPr>
          <w:p w:rsidR="00A85BBC" w:rsidRPr="00D975A2" w:rsidRDefault="0047672C" w:rsidP="00140574">
            <w:pPr>
              <w:rPr>
                <w:rStyle w:val="CommentReference"/>
                <w:sz w:val="16"/>
                <w:szCs w:val="16"/>
                <w:lang w:eastAsia="uk-UA"/>
              </w:rPr>
            </w:pPr>
            <w:r>
              <w:rPr>
                <w:rStyle w:val="CommentReference"/>
                <w:sz w:val="16"/>
                <w:szCs w:val="16"/>
                <w:lang w:eastAsia="uk-UA"/>
              </w:rPr>
              <w:t>Monitoring and Evaluation</w:t>
            </w:r>
            <w:r w:rsidR="00134152">
              <w:rPr>
                <w:rStyle w:val="CommentReference"/>
                <w:sz w:val="16"/>
                <w:szCs w:val="16"/>
                <w:lang w:eastAsia="uk-UA"/>
              </w:rPr>
              <w:t xml:space="preserve"> budget</w:t>
            </w:r>
          </w:p>
        </w:tc>
      </w:tr>
      <w:tr w:rsidR="00FC5789" w:rsidRPr="00D975A2" w:rsidTr="00A2625E">
        <w:trPr>
          <w:trHeight w:val="490"/>
        </w:trPr>
        <w:tc>
          <w:tcPr>
            <w:tcW w:w="517" w:type="pct"/>
          </w:tcPr>
          <w:p w:rsidR="006B4A9A" w:rsidRPr="00D975A2" w:rsidRDefault="006B4A9A" w:rsidP="00FC5789">
            <w:pPr>
              <w:spacing w:after="60"/>
              <w:rPr>
                <w:sz w:val="16"/>
                <w:szCs w:val="16"/>
              </w:rPr>
            </w:pPr>
            <w:r w:rsidRPr="00D975A2">
              <w:rPr>
                <w:b/>
                <w:color w:val="222A35"/>
                <w:sz w:val="16"/>
                <w:szCs w:val="16"/>
              </w:rPr>
              <w:t>2.</w:t>
            </w:r>
            <w:r w:rsidRPr="00D975A2">
              <w:rPr>
                <w:color w:val="222A35"/>
                <w:sz w:val="16"/>
                <w:szCs w:val="16"/>
              </w:rPr>
              <w:t xml:space="preserve"> By 2022, in</w:t>
            </w:r>
            <w:r w:rsidR="00FC5789">
              <w:rPr>
                <w:color w:val="222A35"/>
                <w:sz w:val="16"/>
                <w:szCs w:val="16"/>
              </w:rPr>
              <w:t xml:space="preserve">clusive and sustainable economic growth is increased through agricultural, industrial and rural development, decent work, improved livelihoods, food </w:t>
            </w:r>
            <w:r w:rsidR="00FC5789">
              <w:rPr>
                <w:color w:val="222A35"/>
                <w:sz w:val="16"/>
                <w:szCs w:val="16"/>
              </w:rPr>
              <w:lastRenderedPageBreak/>
              <w:t xml:space="preserve">security and nutrition. </w:t>
            </w:r>
          </w:p>
        </w:tc>
        <w:tc>
          <w:tcPr>
            <w:tcW w:w="518" w:type="pct"/>
          </w:tcPr>
          <w:p w:rsidR="00FC5789" w:rsidRPr="00FC5789" w:rsidRDefault="00FC5789" w:rsidP="00FC5789">
            <w:pPr>
              <w:rPr>
                <w:sz w:val="16"/>
                <w:szCs w:val="16"/>
              </w:rPr>
            </w:pPr>
            <w:r w:rsidRPr="00FC5789">
              <w:rPr>
                <w:sz w:val="16"/>
                <w:szCs w:val="16"/>
                <w:u w:val="single"/>
              </w:rPr>
              <w:lastRenderedPageBreak/>
              <w:t>Outcome 1:</w:t>
            </w:r>
            <w:r w:rsidRPr="00FC5789">
              <w:rPr>
                <w:sz w:val="16"/>
                <w:szCs w:val="16"/>
              </w:rPr>
              <w:t xml:space="preserve"> Growth is inclusive and sustainable, incorporating productive capacities</w:t>
            </w:r>
            <w:r w:rsidRPr="00FC5789">
              <w:rPr>
                <w:sz w:val="16"/>
                <w:szCs w:val="16"/>
              </w:rPr>
              <w:footnoteReference w:id="1"/>
            </w:r>
            <w:r w:rsidRPr="00FC5789">
              <w:rPr>
                <w:sz w:val="16"/>
                <w:szCs w:val="16"/>
              </w:rPr>
              <w:t xml:space="preserve"> that create employment and livelihoods for the poor and excluded</w:t>
            </w:r>
          </w:p>
          <w:p w:rsidR="003230AB" w:rsidRPr="00D93394" w:rsidRDefault="003230AB" w:rsidP="00134152">
            <w:pPr>
              <w:rPr>
                <w:sz w:val="16"/>
                <w:szCs w:val="16"/>
              </w:rPr>
            </w:pPr>
          </w:p>
        </w:tc>
        <w:tc>
          <w:tcPr>
            <w:tcW w:w="518" w:type="pct"/>
          </w:tcPr>
          <w:p w:rsidR="006B4A9A" w:rsidRPr="00D975A2" w:rsidRDefault="00FC5789" w:rsidP="00140574">
            <w:pPr>
              <w:rPr>
                <w:sz w:val="16"/>
                <w:szCs w:val="16"/>
              </w:rPr>
            </w:pPr>
            <w:r>
              <w:rPr>
                <w:sz w:val="16"/>
                <w:szCs w:val="16"/>
              </w:rPr>
              <w:t>Mid-term Outcome Evaluation</w:t>
            </w:r>
          </w:p>
        </w:tc>
        <w:tc>
          <w:tcPr>
            <w:tcW w:w="624" w:type="pct"/>
          </w:tcPr>
          <w:p w:rsidR="0047672C" w:rsidRDefault="00FC5789" w:rsidP="0047672C">
            <w:pPr>
              <w:rPr>
                <w:sz w:val="16"/>
                <w:szCs w:val="16"/>
              </w:rPr>
            </w:pPr>
            <w:r>
              <w:rPr>
                <w:sz w:val="16"/>
                <w:szCs w:val="16"/>
              </w:rPr>
              <w:t xml:space="preserve">Government </w:t>
            </w:r>
          </w:p>
          <w:p w:rsidR="006B4A9A" w:rsidRPr="00D975A2" w:rsidRDefault="00FC5789" w:rsidP="0047672C">
            <w:pPr>
              <w:rPr>
                <w:sz w:val="16"/>
                <w:szCs w:val="16"/>
              </w:rPr>
            </w:pPr>
            <w:r>
              <w:rPr>
                <w:sz w:val="16"/>
                <w:szCs w:val="16"/>
              </w:rPr>
              <w:t>UN</w:t>
            </w:r>
            <w:r w:rsidR="0047672C">
              <w:rPr>
                <w:sz w:val="16"/>
                <w:szCs w:val="16"/>
              </w:rPr>
              <w:t xml:space="preserve"> organizations (FAO, ILO, UNIDO</w:t>
            </w:r>
            <w:r>
              <w:rPr>
                <w:sz w:val="16"/>
                <w:szCs w:val="16"/>
              </w:rPr>
              <w:t>)</w:t>
            </w:r>
          </w:p>
        </w:tc>
        <w:tc>
          <w:tcPr>
            <w:tcW w:w="625" w:type="pct"/>
          </w:tcPr>
          <w:p w:rsidR="006B4A9A" w:rsidRPr="00D975A2" w:rsidRDefault="00FC5789" w:rsidP="00140574">
            <w:pPr>
              <w:rPr>
                <w:sz w:val="16"/>
                <w:szCs w:val="16"/>
              </w:rPr>
            </w:pPr>
            <w:r>
              <w:rPr>
                <w:sz w:val="16"/>
                <w:szCs w:val="16"/>
              </w:rPr>
              <w:t>UNDP</w:t>
            </w:r>
          </w:p>
        </w:tc>
        <w:tc>
          <w:tcPr>
            <w:tcW w:w="561" w:type="pct"/>
          </w:tcPr>
          <w:p w:rsidR="006B4A9A" w:rsidRPr="00D975A2" w:rsidRDefault="00FC5789" w:rsidP="00140574">
            <w:pPr>
              <w:rPr>
                <w:sz w:val="16"/>
                <w:szCs w:val="16"/>
              </w:rPr>
            </w:pPr>
            <w:r>
              <w:rPr>
                <w:sz w:val="16"/>
                <w:szCs w:val="16"/>
              </w:rPr>
              <w:t>CPD Outcome</w:t>
            </w:r>
          </w:p>
        </w:tc>
        <w:tc>
          <w:tcPr>
            <w:tcW w:w="570" w:type="pct"/>
          </w:tcPr>
          <w:p w:rsidR="006B4A9A" w:rsidRPr="00D975A2" w:rsidRDefault="00FC5789" w:rsidP="00140574">
            <w:pPr>
              <w:spacing w:before="40" w:after="40"/>
              <w:rPr>
                <w:sz w:val="16"/>
                <w:szCs w:val="16"/>
              </w:rPr>
            </w:pPr>
            <w:r>
              <w:rPr>
                <w:sz w:val="16"/>
                <w:szCs w:val="16"/>
              </w:rPr>
              <w:t>2021</w:t>
            </w:r>
          </w:p>
        </w:tc>
        <w:tc>
          <w:tcPr>
            <w:tcW w:w="549" w:type="pct"/>
          </w:tcPr>
          <w:p w:rsidR="006B4A9A" w:rsidRPr="00D975A2" w:rsidRDefault="00C14A4A" w:rsidP="00223ABD">
            <w:pPr>
              <w:rPr>
                <w:sz w:val="16"/>
                <w:szCs w:val="16"/>
              </w:rPr>
            </w:pPr>
            <w:r>
              <w:rPr>
                <w:sz w:val="16"/>
                <w:szCs w:val="16"/>
              </w:rPr>
              <w:t>$</w:t>
            </w:r>
            <w:r w:rsidR="00223ABD">
              <w:rPr>
                <w:sz w:val="16"/>
                <w:szCs w:val="16"/>
              </w:rPr>
              <w:t>5</w:t>
            </w:r>
            <w:r w:rsidR="00134152">
              <w:rPr>
                <w:sz w:val="16"/>
                <w:szCs w:val="16"/>
              </w:rPr>
              <w:t>0,000</w:t>
            </w:r>
          </w:p>
        </w:tc>
        <w:tc>
          <w:tcPr>
            <w:tcW w:w="518" w:type="pct"/>
          </w:tcPr>
          <w:p w:rsidR="006B4A9A" w:rsidRPr="00D975A2" w:rsidRDefault="0047672C" w:rsidP="00140574">
            <w:pPr>
              <w:rPr>
                <w:rStyle w:val="CommentReference"/>
                <w:sz w:val="16"/>
                <w:szCs w:val="16"/>
                <w:lang w:eastAsia="uk-UA"/>
              </w:rPr>
            </w:pPr>
            <w:r>
              <w:rPr>
                <w:rStyle w:val="CommentReference"/>
                <w:sz w:val="16"/>
                <w:szCs w:val="16"/>
                <w:lang w:eastAsia="uk-UA"/>
              </w:rPr>
              <w:t>Monitoring and Evaluation budget</w:t>
            </w:r>
          </w:p>
        </w:tc>
      </w:tr>
      <w:tr w:rsidR="00134152" w:rsidRPr="00D975A2" w:rsidTr="00A2625E">
        <w:trPr>
          <w:trHeight w:val="490"/>
        </w:trPr>
        <w:tc>
          <w:tcPr>
            <w:tcW w:w="517" w:type="pct"/>
          </w:tcPr>
          <w:p w:rsidR="00134152" w:rsidRPr="00D975A2" w:rsidRDefault="00134152" w:rsidP="00134152">
            <w:pPr>
              <w:spacing w:after="60"/>
              <w:rPr>
                <w:b/>
                <w:color w:val="222A35"/>
                <w:sz w:val="16"/>
                <w:szCs w:val="16"/>
              </w:rPr>
            </w:pPr>
            <w:r w:rsidRPr="00D975A2">
              <w:rPr>
                <w:b/>
                <w:color w:val="222A35"/>
                <w:sz w:val="16"/>
                <w:szCs w:val="16"/>
              </w:rPr>
              <w:t>3.</w:t>
            </w:r>
            <w:r w:rsidRPr="00D975A2">
              <w:rPr>
                <w:color w:val="222A35"/>
                <w:sz w:val="16"/>
                <w:szCs w:val="16"/>
              </w:rPr>
              <w:t xml:space="preserve"> By 2022, communities </w:t>
            </w:r>
            <w:r>
              <w:rPr>
                <w:color w:val="222A35"/>
                <w:sz w:val="16"/>
                <w:szCs w:val="16"/>
              </w:rPr>
              <w:t xml:space="preserve">and institutions </w:t>
            </w:r>
            <w:r w:rsidRPr="00D975A2">
              <w:rPr>
                <w:color w:val="222A35"/>
                <w:sz w:val="16"/>
                <w:szCs w:val="16"/>
              </w:rPr>
              <w:t>are more resilient to climate and disaster risks and are engaged in sustainable and inclusive natural resource management and risk-informed development</w:t>
            </w:r>
          </w:p>
        </w:tc>
        <w:tc>
          <w:tcPr>
            <w:tcW w:w="518" w:type="pct"/>
          </w:tcPr>
          <w:p w:rsidR="00134152" w:rsidRPr="00134152" w:rsidRDefault="00134152" w:rsidP="00134152">
            <w:pPr>
              <w:rPr>
                <w:color w:val="222A35"/>
                <w:sz w:val="16"/>
                <w:szCs w:val="16"/>
              </w:rPr>
            </w:pPr>
            <w:r w:rsidRPr="00134152">
              <w:rPr>
                <w:color w:val="222A35"/>
                <w:sz w:val="16"/>
                <w:szCs w:val="16"/>
                <w:u w:val="single"/>
              </w:rPr>
              <w:t>Outcome 5:</w:t>
            </w:r>
            <w:r w:rsidRPr="00134152">
              <w:rPr>
                <w:color w:val="222A35"/>
                <w:sz w:val="16"/>
                <w:szCs w:val="16"/>
              </w:rPr>
              <w:t xml:space="preserve"> Countries are able to reduce the likelihood of conflict, and lower the risk of natural disasters, including from climate change </w:t>
            </w:r>
          </w:p>
          <w:p w:rsidR="00134152" w:rsidRDefault="00134152" w:rsidP="00134152">
            <w:pPr>
              <w:rPr>
                <w:color w:val="222A35"/>
                <w:sz w:val="16"/>
                <w:szCs w:val="16"/>
              </w:rPr>
            </w:pPr>
            <w:r w:rsidRPr="00134152">
              <w:rPr>
                <w:color w:val="222A35"/>
                <w:sz w:val="16"/>
                <w:szCs w:val="16"/>
                <w:u w:val="single"/>
              </w:rPr>
              <w:t>Outcome 6:</w:t>
            </w:r>
            <w:r w:rsidRPr="00134152">
              <w:rPr>
                <w:color w:val="222A35"/>
                <w:sz w:val="16"/>
                <w:szCs w:val="16"/>
              </w:rPr>
              <w:t xml:space="preserve"> </w:t>
            </w:r>
          </w:p>
          <w:p w:rsidR="00134152" w:rsidRPr="00134152" w:rsidRDefault="00134152" w:rsidP="00134152">
            <w:pPr>
              <w:rPr>
                <w:color w:val="222A35"/>
                <w:sz w:val="16"/>
                <w:szCs w:val="16"/>
              </w:rPr>
            </w:pPr>
            <w:r w:rsidRPr="00134152">
              <w:rPr>
                <w:color w:val="222A35"/>
                <w:sz w:val="16"/>
                <w:szCs w:val="16"/>
              </w:rPr>
              <w:t xml:space="preserve">Early recovery and rapid return to sustainable development pathways are achieved in post-conflict and post-disaster situations </w:t>
            </w:r>
          </w:p>
          <w:p w:rsidR="00134152" w:rsidRPr="00C832C0" w:rsidRDefault="00134152" w:rsidP="00134152">
            <w:pPr>
              <w:rPr>
                <w:i/>
                <w:sz w:val="16"/>
                <w:szCs w:val="16"/>
              </w:rPr>
            </w:pPr>
          </w:p>
        </w:tc>
        <w:tc>
          <w:tcPr>
            <w:tcW w:w="518" w:type="pct"/>
          </w:tcPr>
          <w:p w:rsidR="00134152" w:rsidRPr="00D975A2" w:rsidRDefault="00134152" w:rsidP="00134152">
            <w:pPr>
              <w:rPr>
                <w:sz w:val="16"/>
                <w:szCs w:val="16"/>
              </w:rPr>
            </w:pPr>
            <w:r>
              <w:rPr>
                <w:sz w:val="16"/>
                <w:szCs w:val="16"/>
              </w:rPr>
              <w:t>Mid-term Outcome Evaluation</w:t>
            </w:r>
          </w:p>
        </w:tc>
        <w:tc>
          <w:tcPr>
            <w:tcW w:w="624" w:type="pct"/>
          </w:tcPr>
          <w:p w:rsidR="0047672C" w:rsidRDefault="0047672C" w:rsidP="0047672C">
            <w:pPr>
              <w:rPr>
                <w:sz w:val="16"/>
                <w:szCs w:val="16"/>
              </w:rPr>
            </w:pPr>
            <w:r>
              <w:rPr>
                <w:sz w:val="16"/>
                <w:szCs w:val="16"/>
              </w:rPr>
              <w:t>Government,</w:t>
            </w:r>
          </w:p>
          <w:p w:rsidR="00134152" w:rsidRPr="00D975A2" w:rsidRDefault="00134152" w:rsidP="0047672C">
            <w:pPr>
              <w:rPr>
                <w:sz w:val="16"/>
                <w:szCs w:val="16"/>
              </w:rPr>
            </w:pPr>
            <w:r>
              <w:rPr>
                <w:sz w:val="16"/>
                <w:szCs w:val="16"/>
              </w:rPr>
              <w:t>UN organizations (FAO, UNOCHA, WFP)</w:t>
            </w:r>
          </w:p>
        </w:tc>
        <w:tc>
          <w:tcPr>
            <w:tcW w:w="625" w:type="pct"/>
          </w:tcPr>
          <w:p w:rsidR="00134152" w:rsidRPr="00D975A2" w:rsidRDefault="00134152" w:rsidP="00134152">
            <w:pPr>
              <w:rPr>
                <w:sz w:val="16"/>
                <w:szCs w:val="16"/>
              </w:rPr>
            </w:pPr>
            <w:r>
              <w:rPr>
                <w:sz w:val="16"/>
                <w:szCs w:val="16"/>
              </w:rPr>
              <w:t>UNDP</w:t>
            </w:r>
          </w:p>
        </w:tc>
        <w:tc>
          <w:tcPr>
            <w:tcW w:w="561" w:type="pct"/>
          </w:tcPr>
          <w:p w:rsidR="00134152" w:rsidRPr="00D975A2" w:rsidRDefault="00134152" w:rsidP="00134152">
            <w:pPr>
              <w:rPr>
                <w:sz w:val="16"/>
                <w:szCs w:val="16"/>
              </w:rPr>
            </w:pPr>
            <w:r>
              <w:rPr>
                <w:sz w:val="16"/>
                <w:szCs w:val="16"/>
              </w:rPr>
              <w:t>CPD Outcome</w:t>
            </w:r>
          </w:p>
        </w:tc>
        <w:tc>
          <w:tcPr>
            <w:tcW w:w="570" w:type="pct"/>
          </w:tcPr>
          <w:p w:rsidR="00134152" w:rsidRPr="00D975A2" w:rsidRDefault="00134152" w:rsidP="00134152">
            <w:pPr>
              <w:spacing w:before="40" w:after="40"/>
              <w:rPr>
                <w:sz w:val="16"/>
                <w:szCs w:val="16"/>
              </w:rPr>
            </w:pPr>
            <w:r>
              <w:rPr>
                <w:sz w:val="16"/>
                <w:szCs w:val="16"/>
              </w:rPr>
              <w:t>2021</w:t>
            </w:r>
          </w:p>
        </w:tc>
        <w:tc>
          <w:tcPr>
            <w:tcW w:w="549" w:type="pct"/>
          </w:tcPr>
          <w:p w:rsidR="00134152" w:rsidRPr="00D975A2" w:rsidRDefault="00C14A4A" w:rsidP="00223ABD">
            <w:pPr>
              <w:rPr>
                <w:sz w:val="16"/>
                <w:szCs w:val="16"/>
              </w:rPr>
            </w:pPr>
            <w:r>
              <w:rPr>
                <w:sz w:val="16"/>
                <w:szCs w:val="16"/>
              </w:rPr>
              <w:t>$</w:t>
            </w:r>
            <w:r w:rsidR="00223ABD">
              <w:rPr>
                <w:sz w:val="16"/>
                <w:szCs w:val="16"/>
              </w:rPr>
              <w:t>5</w:t>
            </w:r>
            <w:r w:rsidR="00134152">
              <w:rPr>
                <w:sz w:val="16"/>
                <w:szCs w:val="16"/>
              </w:rPr>
              <w:t>0,000</w:t>
            </w:r>
          </w:p>
        </w:tc>
        <w:tc>
          <w:tcPr>
            <w:tcW w:w="518" w:type="pct"/>
          </w:tcPr>
          <w:p w:rsidR="00134152" w:rsidRPr="00D975A2" w:rsidRDefault="0047672C" w:rsidP="00134152">
            <w:pPr>
              <w:rPr>
                <w:rStyle w:val="CommentReference"/>
                <w:sz w:val="16"/>
                <w:szCs w:val="16"/>
                <w:lang w:eastAsia="uk-UA"/>
              </w:rPr>
            </w:pPr>
            <w:r>
              <w:rPr>
                <w:rStyle w:val="CommentReference"/>
                <w:sz w:val="16"/>
                <w:szCs w:val="16"/>
                <w:lang w:eastAsia="uk-UA"/>
              </w:rPr>
              <w:t>Monitoring and Evaluation budget</w:t>
            </w:r>
          </w:p>
        </w:tc>
      </w:tr>
      <w:tr w:rsidR="00223ABD" w:rsidRPr="00D975A2" w:rsidTr="00A2625E">
        <w:trPr>
          <w:trHeight w:val="490"/>
        </w:trPr>
        <w:tc>
          <w:tcPr>
            <w:tcW w:w="517" w:type="pct"/>
          </w:tcPr>
          <w:p w:rsidR="00223ABD" w:rsidRPr="00D975A2" w:rsidRDefault="0047672C" w:rsidP="00223ABD">
            <w:pPr>
              <w:rPr>
                <w:color w:val="000000"/>
                <w:sz w:val="16"/>
                <w:szCs w:val="16"/>
              </w:rPr>
            </w:pPr>
            <w:r>
              <w:rPr>
                <w:sz w:val="16"/>
                <w:szCs w:val="16"/>
              </w:rPr>
              <w:t>By 2022, i</w:t>
            </w:r>
            <w:r w:rsidR="00223ABD" w:rsidRPr="00D975A2">
              <w:rPr>
                <w:sz w:val="16"/>
                <w:szCs w:val="16"/>
              </w:rPr>
              <w:t>n</w:t>
            </w:r>
            <w:r w:rsidR="00223ABD">
              <w:rPr>
                <w:sz w:val="16"/>
                <w:szCs w:val="16"/>
              </w:rPr>
              <w:t>stitutions at all levels are more accountable and inclusive ensuring justice, human rights, gender equality and sustainable peace for all</w:t>
            </w:r>
          </w:p>
          <w:p w:rsidR="00223ABD" w:rsidRPr="00D975A2" w:rsidRDefault="00223ABD" w:rsidP="00134152">
            <w:pPr>
              <w:spacing w:after="60"/>
              <w:rPr>
                <w:b/>
                <w:color w:val="222A35"/>
                <w:sz w:val="16"/>
                <w:szCs w:val="16"/>
              </w:rPr>
            </w:pPr>
          </w:p>
        </w:tc>
        <w:tc>
          <w:tcPr>
            <w:tcW w:w="518" w:type="pct"/>
          </w:tcPr>
          <w:p w:rsidR="00223ABD" w:rsidRPr="00FC5789" w:rsidRDefault="00223ABD" w:rsidP="00223ABD">
            <w:pPr>
              <w:rPr>
                <w:sz w:val="16"/>
                <w:szCs w:val="16"/>
              </w:rPr>
            </w:pPr>
            <w:r w:rsidRPr="00FC5789">
              <w:rPr>
                <w:sz w:val="16"/>
                <w:szCs w:val="16"/>
                <w:u w:val="single"/>
              </w:rPr>
              <w:t>Outcome 2:</w:t>
            </w:r>
            <w:r w:rsidRPr="00FC5789">
              <w:rPr>
                <w:sz w:val="16"/>
                <w:szCs w:val="16"/>
              </w:rPr>
              <w:t xml:space="preserve"> Citizen expectations for voice, development, the rule of law and accountability are met by stronger systems of democratic governance</w:t>
            </w:r>
          </w:p>
          <w:p w:rsidR="00223ABD" w:rsidRPr="00134152" w:rsidRDefault="00223ABD" w:rsidP="00134152">
            <w:pPr>
              <w:rPr>
                <w:color w:val="222A35"/>
                <w:sz w:val="16"/>
                <w:szCs w:val="16"/>
                <w:u w:val="single"/>
              </w:rPr>
            </w:pPr>
          </w:p>
        </w:tc>
        <w:tc>
          <w:tcPr>
            <w:tcW w:w="518" w:type="pct"/>
          </w:tcPr>
          <w:p w:rsidR="00223ABD" w:rsidRDefault="00223ABD" w:rsidP="00134152">
            <w:pPr>
              <w:rPr>
                <w:sz w:val="16"/>
                <w:szCs w:val="16"/>
              </w:rPr>
            </w:pPr>
            <w:r>
              <w:rPr>
                <w:sz w:val="16"/>
                <w:szCs w:val="16"/>
              </w:rPr>
              <w:t>Final Evaluation</w:t>
            </w:r>
          </w:p>
        </w:tc>
        <w:tc>
          <w:tcPr>
            <w:tcW w:w="624" w:type="pct"/>
          </w:tcPr>
          <w:p w:rsidR="00223ABD" w:rsidRDefault="0047672C" w:rsidP="0047672C">
            <w:pPr>
              <w:rPr>
                <w:sz w:val="16"/>
                <w:szCs w:val="16"/>
              </w:rPr>
            </w:pPr>
            <w:r>
              <w:rPr>
                <w:sz w:val="16"/>
                <w:szCs w:val="16"/>
              </w:rPr>
              <w:t>Parliament</w:t>
            </w:r>
          </w:p>
        </w:tc>
        <w:tc>
          <w:tcPr>
            <w:tcW w:w="625" w:type="pct"/>
          </w:tcPr>
          <w:p w:rsidR="00223ABD" w:rsidRDefault="00223ABD" w:rsidP="00134152">
            <w:pPr>
              <w:rPr>
                <w:sz w:val="16"/>
                <w:szCs w:val="16"/>
              </w:rPr>
            </w:pPr>
            <w:r>
              <w:rPr>
                <w:sz w:val="16"/>
                <w:szCs w:val="16"/>
              </w:rPr>
              <w:t>Swiss Government</w:t>
            </w:r>
          </w:p>
        </w:tc>
        <w:tc>
          <w:tcPr>
            <w:tcW w:w="561" w:type="pct"/>
          </w:tcPr>
          <w:p w:rsidR="00223ABD" w:rsidRDefault="00223ABD" w:rsidP="00134152">
            <w:pPr>
              <w:rPr>
                <w:sz w:val="16"/>
                <w:szCs w:val="16"/>
              </w:rPr>
            </w:pPr>
            <w:r>
              <w:rPr>
                <w:sz w:val="16"/>
                <w:szCs w:val="16"/>
              </w:rPr>
              <w:t>Project Evaluation (Strong and Inclusive Parliamentary Democracy Project)</w:t>
            </w:r>
          </w:p>
        </w:tc>
        <w:tc>
          <w:tcPr>
            <w:tcW w:w="570" w:type="pct"/>
          </w:tcPr>
          <w:p w:rsidR="00223ABD" w:rsidRDefault="00223ABD" w:rsidP="00134152">
            <w:pPr>
              <w:spacing w:before="40" w:after="40"/>
              <w:rPr>
                <w:sz w:val="16"/>
                <w:szCs w:val="16"/>
              </w:rPr>
            </w:pPr>
            <w:r>
              <w:rPr>
                <w:sz w:val="16"/>
                <w:szCs w:val="16"/>
              </w:rPr>
              <w:t>2020</w:t>
            </w:r>
          </w:p>
        </w:tc>
        <w:tc>
          <w:tcPr>
            <w:tcW w:w="549" w:type="pct"/>
          </w:tcPr>
          <w:p w:rsidR="00223ABD" w:rsidRDefault="00C14A4A" w:rsidP="00134152">
            <w:pPr>
              <w:rPr>
                <w:sz w:val="16"/>
                <w:szCs w:val="16"/>
              </w:rPr>
            </w:pPr>
            <w:r>
              <w:rPr>
                <w:sz w:val="16"/>
                <w:szCs w:val="16"/>
              </w:rPr>
              <w:t>$</w:t>
            </w:r>
            <w:r w:rsidR="00223ABD">
              <w:rPr>
                <w:sz w:val="16"/>
                <w:szCs w:val="16"/>
              </w:rPr>
              <w:t>30,000</w:t>
            </w:r>
          </w:p>
        </w:tc>
        <w:tc>
          <w:tcPr>
            <w:tcW w:w="518" w:type="pct"/>
          </w:tcPr>
          <w:p w:rsidR="00223ABD" w:rsidRDefault="00223ABD" w:rsidP="00134152">
            <w:pPr>
              <w:rPr>
                <w:rStyle w:val="CommentReference"/>
                <w:sz w:val="16"/>
                <w:szCs w:val="16"/>
                <w:lang w:eastAsia="uk-UA"/>
              </w:rPr>
            </w:pPr>
            <w:r>
              <w:rPr>
                <w:rStyle w:val="CommentReference"/>
                <w:sz w:val="16"/>
                <w:szCs w:val="16"/>
                <w:lang w:eastAsia="uk-UA"/>
              </w:rPr>
              <w:t>Project budget</w:t>
            </w:r>
          </w:p>
        </w:tc>
      </w:tr>
      <w:tr w:rsidR="00223ABD" w:rsidRPr="00D975A2" w:rsidTr="00A2625E">
        <w:trPr>
          <w:trHeight w:val="490"/>
        </w:trPr>
        <w:tc>
          <w:tcPr>
            <w:tcW w:w="517" w:type="pct"/>
          </w:tcPr>
          <w:p w:rsidR="00223ABD" w:rsidRPr="00D975A2" w:rsidRDefault="00223ABD" w:rsidP="00223ABD">
            <w:pPr>
              <w:rPr>
                <w:sz w:val="16"/>
                <w:szCs w:val="16"/>
              </w:rPr>
            </w:pPr>
            <w:r w:rsidRPr="00D975A2">
              <w:rPr>
                <w:color w:val="222A35"/>
                <w:sz w:val="16"/>
                <w:szCs w:val="16"/>
              </w:rPr>
              <w:t xml:space="preserve">By 2022, communities </w:t>
            </w:r>
            <w:r>
              <w:rPr>
                <w:color w:val="222A35"/>
                <w:sz w:val="16"/>
                <w:szCs w:val="16"/>
              </w:rPr>
              <w:t xml:space="preserve">and institutions </w:t>
            </w:r>
            <w:r w:rsidRPr="00D975A2">
              <w:rPr>
                <w:color w:val="222A35"/>
                <w:sz w:val="16"/>
                <w:szCs w:val="16"/>
              </w:rPr>
              <w:t>are more resilient to climate and disaster risks and are engaged in sustainable and inclusive natural resource management and risk-informed development</w:t>
            </w:r>
          </w:p>
        </w:tc>
        <w:tc>
          <w:tcPr>
            <w:tcW w:w="518" w:type="pct"/>
          </w:tcPr>
          <w:p w:rsidR="00223ABD" w:rsidRPr="00134152" w:rsidRDefault="00223ABD" w:rsidP="00223ABD">
            <w:pPr>
              <w:rPr>
                <w:color w:val="222A35"/>
                <w:sz w:val="16"/>
                <w:szCs w:val="16"/>
              </w:rPr>
            </w:pPr>
            <w:r w:rsidRPr="00134152">
              <w:rPr>
                <w:color w:val="222A35"/>
                <w:sz w:val="16"/>
                <w:szCs w:val="16"/>
                <w:u w:val="single"/>
              </w:rPr>
              <w:t>Outcome 5:</w:t>
            </w:r>
            <w:r w:rsidRPr="00134152">
              <w:rPr>
                <w:color w:val="222A35"/>
                <w:sz w:val="16"/>
                <w:szCs w:val="16"/>
              </w:rPr>
              <w:t xml:space="preserve"> Countries are able to reduce the likelihood of conflict, and lower the risk of natural disasters, including from climate change </w:t>
            </w:r>
          </w:p>
          <w:p w:rsidR="00223ABD" w:rsidRDefault="00223ABD" w:rsidP="00223ABD">
            <w:pPr>
              <w:rPr>
                <w:color w:val="222A35"/>
                <w:sz w:val="16"/>
                <w:szCs w:val="16"/>
              </w:rPr>
            </w:pPr>
            <w:r w:rsidRPr="00134152">
              <w:rPr>
                <w:color w:val="222A35"/>
                <w:sz w:val="16"/>
                <w:szCs w:val="16"/>
                <w:u w:val="single"/>
              </w:rPr>
              <w:t>Outcome 6:</w:t>
            </w:r>
            <w:r w:rsidRPr="00134152">
              <w:rPr>
                <w:color w:val="222A35"/>
                <w:sz w:val="16"/>
                <w:szCs w:val="16"/>
              </w:rPr>
              <w:t xml:space="preserve"> </w:t>
            </w:r>
          </w:p>
          <w:p w:rsidR="00223ABD" w:rsidRPr="00134152" w:rsidRDefault="00223ABD" w:rsidP="00223ABD">
            <w:pPr>
              <w:rPr>
                <w:color w:val="222A35"/>
                <w:sz w:val="16"/>
                <w:szCs w:val="16"/>
              </w:rPr>
            </w:pPr>
            <w:r w:rsidRPr="00134152">
              <w:rPr>
                <w:color w:val="222A35"/>
                <w:sz w:val="16"/>
                <w:szCs w:val="16"/>
              </w:rPr>
              <w:t xml:space="preserve">Early recovery and rapid return to sustainable development pathways are achieved in post-conflict and post-disaster situations </w:t>
            </w:r>
          </w:p>
          <w:p w:rsidR="00223ABD" w:rsidRPr="00FC5789" w:rsidRDefault="00223ABD" w:rsidP="00223ABD">
            <w:pPr>
              <w:rPr>
                <w:sz w:val="16"/>
                <w:szCs w:val="16"/>
                <w:u w:val="single"/>
              </w:rPr>
            </w:pPr>
          </w:p>
        </w:tc>
        <w:tc>
          <w:tcPr>
            <w:tcW w:w="518" w:type="pct"/>
          </w:tcPr>
          <w:p w:rsidR="00223ABD" w:rsidRDefault="006868C6" w:rsidP="00134152">
            <w:pPr>
              <w:rPr>
                <w:sz w:val="16"/>
                <w:szCs w:val="16"/>
              </w:rPr>
            </w:pPr>
            <w:r>
              <w:rPr>
                <w:sz w:val="16"/>
                <w:szCs w:val="16"/>
              </w:rPr>
              <w:lastRenderedPageBreak/>
              <w:t>Terminal Evaluation</w:t>
            </w:r>
          </w:p>
        </w:tc>
        <w:tc>
          <w:tcPr>
            <w:tcW w:w="624" w:type="pct"/>
          </w:tcPr>
          <w:p w:rsidR="00223ABD" w:rsidRDefault="006868C6" w:rsidP="0047672C">
            <w:pPr>
              <w:rPr>
                <w:sz w:val="16"/>
                <w:szCs w:val="16"/>
              </w:rPr>
            </w:pPr>
            <w:r>
              <w:rPr>
                <w:sz w:val="16"/>
                <w:szCs w:val="16"/>
              </w:rPr>
              <w:t xml:space="preserve">Ministry of </w:t>
            </w:r>
            <w:r w:rsidR="0047672C">
              <w:rPr>
                <w:sz w:val="16"/>
                <w:szCs w:val="16"/>
              </w:rPr>
              <w:t>E</w:t>
            </w:r>
            <w:r>
              <w:rPr>
                <w:sz w:val="16"/>
                <w:szCs w:val="16"/>
              </w:rPr>
              <w:t xml:space="preserve">mergency </w:t>
            </w:r>
            <w:r w:rsidR="0047672C">
              <w:rPr>
                <w:sz w:val="16"/>
                <w:szCs w:val="16"/>
              </w:rPr>
              <w:t>Situations</w:t>
            </w:r>
          </w:p>
        </w:tc>
        <w:tc>
          <w:tcPr>
            <w:tcW w:w="625" w:type="pct"/>
          </w:tcPr>
          <w:p w:rsidR="00223ABD" w:rsidRDefault="006868C6" w:rsidP="00134152">
            <w:pPr>
              <w:rPr>
                <w:sz w:val="16"/>
                <w:szCs w:val="16"/>
              </w:rPr>
            </w:pPr>
            <w:r>
              <w:rPr>
                <w:sz w:val="16"/>
                <w:szCs w:val="16"/>
              </w:rPr>
              <w:t>Japan Government</w:t>
            </w:r>
          </w:p>
        </w:tc>
        <w:tc>
          <w:tcPr>
            <w:tcW w:w="561" w:type="pct"/>
          </w:tcPr>
          <w:p w:rsidR="00223ABD" w:rsidRDefault="006868C6" w:rsidP="006868C6">
            <w:pPr>
              <w:rPr>
                <w:sz w:val="16"/>
                <w:szCs w:val="16"/>
              </w:rPr>
            </w:pPr>
            <w:r>
              <w:rPr>
                <w:sz w:val="16"/>
                <w:szCs w:val="16"/>
              </w:rPr>
              <w:t>Project Evaluation (</w:t>
            </w:r>
            <w:r w:rsidRPr="006868C6">
              <w:rPr>
                <w:sz w:val="16"/>
                <w:szCs w:val="16"/>
              </w:rPr>
              <w:t>Strengthening Integrated Risk Governance Capacities and Regional Cooperation in Central Asia)</w:t>
            </w:r>
          </w:p>
        </w:tc>
        <w:tc>
          <w:tcPr>
            <w:tcW w:w="570" w:type="pct"/>
          </w:tcPr>
          <w:p w:rsidR="00223ABD" w:rsidRDefault="006868C6" w:rsidP="00134152">
            <w:pPr>
              <w:spacing w:before="40" w:after="40"/>
              <w:rPr>
                <w:sz w:val="16"/>
                <w:szCs w:val="16"/>
              </w:rPr>
            </w:pPr>
            <w:r>
              <w:rPr>
                <w:sz w:val="16"/>
                <w:szCs w:val="16"/>
              </w:rPr>
              <w:t>2018</w:t>
            </w:r>
          </w:p>
        </w:tc>
        <w:tc>
          <w:tcPr>
            <w:tcW w:w="549" w:type="pct"/>
          </w:tcPr>
          <w:p w:rsidR="00223ABD" w:rsidRDefault="00C14A4A" w:rsidP="00134152">
            <w:pPr>
              <w:rPr>
                <w:sz w:val="16"/>
                <w:szCs w:val="16"/>
              </w:rPr>
            </w:pPr>
            <w:r>
              <w:rPr>
                <w:sz w:val="16"/>
                <w:szCs w:val="16"/>
              </w:rPr>
              <w:t>$</w:t>
            </w:r>
            <w:r w:rsidR="006868C6">
              <w:rPr>
                <w:sz w:val="16"/>
                <w:szCs w:val="16"/>
              </w:rPr>
              <w:t>20,000</w:t>
            </w:r>
          </w:p>
        </w:tc>
        <w:tc>
          <w:tcPr>
            <w:tcW w:w="518" w:type="pct"/>
          </w:tcPr>
          <w:p w:rsidR="00223ABD" w:rsidRDefault="006868C6" w:rsidP="00134152">
            <w:pPr>
              <w:rPr>
                <w:rStyle w:val="CommentReference"/>
                <w:sz w:val="16"/>
                <w:szCs w:val="16"/>
                <w:lang w:eastAsia="uk-UA"/>
              </w:rPr>
            </w:pPr>
            <w:r>
              <w:rPr>
                <w:rStyle w:val="CommentReference"/>
                <w:sz w:val="16"/>
                <w:szCs w:val="16"/>
                <w:lang w:eastAsia="uk-UA"/>
              </w:rPr>
              <w:t>Project budget</w:t>
            </w:r>
          </w:p>
        </w:tc>
      </w:tr>
      <w:tr w:rsidR="00D072F8" w:rsidRPr="00D975A2" w:rsidTr="00A2625E">
        <w:trPr>
          <w:trHeight w:val="490"/>
        </w:trPr>
        <w:tc>
          <w:tcPr>
            <w:tcW w:w="517" w:type="pct"/>
          </w:tcPr>
          <w:p w:rsidR="00D072F8" w:rsidRPr="00D975A2" w:rsidRDefault="00D95310" w:rsidP="00223ABD">
            <w:pPr>
              <w:rPr>
                <w:color w:val="222A35"/>
                <w:sz w:val="16"/>
                <w:szCs w:val="16"/>
              </w:rPr>
            </w:pPr>
            <w:r w:rsidRPr="00D975A2">
              <w:rPr>
                <w:color w:val="222A35"/>
                <w:sz w:val="16"/>
                <w:szCs w:val="16"/>
              </w:rPr>
              <w:t>By 2022, in</w:t>
            </w:r>
            <w:r>
              <w:rPr>
                <w:color w:val="222A35"/>
                <w:sz w:val="16"/>
                <w:szCs w:val="16"/>
              </w:rPr>
              <w:t>clusive and sustainable economic growth is increased through agricultural, industrial and rural development, decent work, improved livelihoods, food security and nutrition.</w:t>
            </w:r>
          </w:p>
        </w:tc>
        <w:tc>
          <w:tcPr>
            <w:tcW w:w="518" w:type="pct"/>
          </w:tcPr>
          <w:p w:rsidR="00D95310" w:rsidRPr="00D95310" w:rsidRDefault="00D95310" w:rsidP="00D95310">
            <w:pPr>
              <w:rPr>
                <w:color w:val="222A35"/>
                <w:sz w:val="16"/>
                <w:szCs w:val="16"/>
              </w:rPr>
            </w:pPr>
            <w:r w:rsidRPr="00D95310">
              <w:rPr>
                <w:color w:val="222A35"/>
                <w:sz w:val="16"/>
                <w:szCs w:val="16"/>
                <w:u w:val="single"/>
              </w:rPr>
              <w:t>Outcome 1:</w:t>
            </w:r>
            <w:r w:rsidRPr="00D95310">
              <w:rPr>
                <w:color w:val="222A35"/>
                <w:sz w:val="16"/>
                <w:szCs w:val="16"/>
              </w:rPr>
              <w:t xml:space="preserve"> Growth is inclusive and sustainable, incorporating productive capacities</w:t>
            </w:r>
            <w:r w:rsidRPr="00D95310">
              <w:rPr>
                <w:color w:val="222A35"/>
                <w:sz w:val="16"/>
                <w:szCs w:val="16"/>
              </w:rPr>
              <w:footnoteReference w:id="2"/>
            </w:r>
            <w:r w:rsidRPr="00D95310">
              <w:rPr>
                <w:color w:val="222A35"/>
                <w:sz w:val="16"/>
                <w:szCs w:val="16"/>
              </w:rPr>
              <w:t xml:space="preserve"> that create employment and livelihoods for the poor and excluded</w:t>
            </w:r>
          </w:p>
          <w:p w:rsidR="00D072F8" w:rsidRPr="00134152" w:rsidRDefault="00D072F8" w:rsidP="00D95310">
            <w:pPr>
              <w:rPr>
                <w:color w:val="222A35"/>
                <w:sz w:val="16"/>
                <w:szCs w:val="16"/>
                <w:u w:val="single"/>
              </w:rPr>
            </w:pPr>
          </w:p>
        </w:tc>
        <w:tc>
          <w:tcPr>
            <w:tcW w:w="518" w:type="pct"/>
          </w:tcPr>
          <w:p w:rsidR="00D072F8" w:rsidRDefault="00D072F8" w:rsidP="00134152">
            <w:pPr>
              <w:rPr>
                <w:sz w:val="16"/>
                <w:szCs w:val="16"/>
              </w:rPr>
            </w:pPr>
            <w:r>
              <w:rPr>
                <w:sz w:val="16"/>
                <w:szCs w:val="16"/>
              </w:rPr>
              <w:t>Terminal Evaluation</w:t>
            </w:r>
          </w:p>
        </w:tc>
        <w:tc>
          <w:tcPr>
            <w:tcW w:w="624" w:type="pct"/>
          </w:tcPr>
          <w:p w:rsidR="0047672C" w:rsidRPr="0047672C" w:rsidRDefault="0047672C" w:rsidP="0047672C">
            <w:pPr>
              <w:pStyle w:val="Pasus1"/>
              <w:spacing w:before="0" w:after="0"/>
              <w:rPr>
                <w:rFonts w:ascii="Times New Roman" w:eastAsia="Calibri" w:hAnsi="Times New Roman"/>
                <w:sz w:val="16"/>
                <w:szCs w:val="16"/>
              </w:rPr>
            </w:pPr>
            <w:r w:rsidRPr="0047672C">
              <w:rPr>
                <w:rFonts w:ascii="Times New Roman" w:hAnsi="Times New Roman"/>
                <w:iCs/>
                <w:color w:val="000000"/>
                <w:sz w:val="16"/>
                <w:szCs w:val="16"/>
                <w:lang w:val="en-GB"/>
              </w:rPr>
              <w:t>State Agency on Environment Protection and Forestry</w:t>
            </w:r>
            <w:r w:rsidRPr="0047672C">
              <w:rPr>
                <w:rFonts w:ascii="Times New Roman" w:eastAsia="Calibri" w:hAnsi="Times New Roman"/>
                <w:sz w:val="16"/>
                <w:szCs w:val="16"/>
              </w:rPr>
              <w:t xml:space="preserve"> </w:t>
            </w:r>
          </w:p>
          <w:p w:rsidR="00D072F8" w:rsidRDefault="00D072F8" w:rsidP="002071F6">
            <w:pPr>
              <w:rPr>
                <w:sz w:val="16"/>
                <w:szCs w:val="16"/>
              </w:rPr>
            </w:pPr>
          </w:p>
        </w:tc>
        <w:tc>
          <w:tcPr>
            <w:tcW w:w="625" w:type="pct"/>
          </w:tcPr>
          <w:p w:rsidR="00D072F8" w:rsidRDefault="00D072F8" w:rsidP="00134152">
            <w:pPr>
              <w:rPr>
                <w:sz w:val="16"/>
                <w:szCs w:val="16"/>
              </w:rPr>
            </w:pPr>
            <w:r>
              <w:rPr>
                <w:sz w:val="16"/>
                <w:szCs w:val="16"/>
              </w:rPr>
              <w:t>GEF</w:t>
            </w:r>
            <w:r w:rsidR="0047672C">
              <w:rPr>
                <w:sz w:val="16"/>
                <w:szCs w:val="16"/>
              </w:rPr>
              <w:t>/UNDP</w:t>
            </w:r>
          </w:p>
        </w:tc>
        <w:tc>
          <w:tcPr>
            <w:tcW w:w="561" w:type="pct"/>
          </w:tcPr>
          <w:p w:rsidR="00D072F8" w:rsidRDefault="002071F6" w:rsidP="002071F6">
            <w:pPr>
              <w:rPr>
                <w:sz w:val="16"/>
                <w:szCs w:val="16"/>
              </w:rPr>
            </w:pPr>
            <w:r>
              <w:rPr>
                <w:sz w:val="16"/>
                <w:szCs w:val="16"/>
              </w:rPr>
              <w:t>Project Evaluation (</w:t>
            </w:r>
            <w:r w:rsidRPr="002071F6">
              <w:rPr>
                <w:sz w:val="16"/>
                <w:szCs w:val="16"/>
              </w:rPr>
              <w:t>Conservation of globally important biodiversity and associated land and forest resources of Western Tian Shan mountain ecosystems to support sustainable livelihoods)</w:t>
            </w:r>
          </w:p>
        </w:tc>
        <w:tc>
          <w:tcPr>
            <w:tcW w:w="570" w:type="pct"/>
          </w:tcPr>
          <w:p w:rsidR="00D072F8" w:rsidRDefault="002071F6" w:rsidP="00134152">
            <w:pPr>
              <w:spacing w:before="40" w:after="40"/>
              <w:rPr>
                <w:sz w:val="16"/>
                <w:szCs w:val="16"/>
              </w:rPr>
            </w:pPr>
            <w:r>
              <w:rPr>
                <w:sz w:val="16"/>
                <w:szCs w:val="16"/>
              </w:rPr>
              <w:t>2021</w:t>
            </w:r>
          </w:p>
        </w:tc>
        <w:tc>
          <w:tcPr>
            <w:tcW w:w="549" w:type="pct"/>
          </w:tcPr>
          <w:p w:rsidR="00D072F8" w:rsidRDefault="00D50B36" w:rsidP="00134152">
            <w:pPr>
              <w:rPr>
                <w:sz w:val="16"/>
                <w:szCs w:val="16"/>
              </w:rPr>
            </w:pPr>
            <w:r>
              <w:rPr>
                <w:sz w:val="16"/>
                <w:szCs w:val="16"/>
              </w:rPr>
              <w:t>$</w:t>
            </w:r>
            <w:r w:rsidR="002071F6">
              <w:rPr>
                <w:sz w:val="16"/>
                <w:szCs w:val="16"/>
              </w:rPr>
              <w:t>20,000</w:t>
            </w:r>
          </w:p>
        </w:tc>
        <w:tc>
          <w:tcPr>
            <w:tcW w:w="518" w:type="pct"/>
          </w:tcPr>
          <w:p w:rsidR="00D072F8" w:rsidRDefault="002071F6" w:rsidP="00134152">
            <w:pPr>
              <w:rPr>
                <w:rStyle w:val="CommentReference"/>
                <w:sz w:val="16"/>
                <w:szCs w:val="16"/>
                <w:lang w:eastAsia="uk-UA"/>
              </w:rPr>
            </w:pPr>
            <w:r>
              <w:rPr>
                <w:rStyle w:val="CommentReference"/>
                <w:sz w:val="16"/>
                <w:szCs w:val="16"/>
                <w:lang w:eastAsia="uk-UA"/>
              </w:rPr>
              <w:t>Project budget</w:t>
            </w:r>
          </w:p>
        </w:tc>
      </w:tr>
      <w:tr w:rsidR="00134152" w:rsidRPr="00D975A2" w:rsidTr="00A2625E">
        <w:trPr>
          <w:trHeight w:val="60"/>
        </w:trPr>
        <w:tc>
          <w:tcPr>
            <w:tcW w:w="517" w:type="pct"/>
          </w:tcPr>
          <w:p w:rsidR="00134152" w:rsidRPr="00D975A2" w:rsidRDefault="00134152" w:rsidP="00134152">
            <w:pPr>
              <w:rPr>
                <w:sz w:val="16"/>
                <w:szCs w:val="16"/>
              </w:rPr>
            </w:pPr>
          </w:p>
        </w:tc>
        <w:tc>
          <w:tcPr>
            <w:tcW w:w="518" w:type="pct"/>
          </w:tcPr>
          <w:p w:rsidR="00134152" w:rsidRPr="00D975A2" w:rsidRDefault="00134152" w:rsidP="00134152">
            <w:pPr>
              <w:rPr>
                <w:sz w:val="16"/>
                <w:szCs w:val="16"/>
              </w:rPr>
            </w:pPr>
          </w:p>
        </w:tc>
        <w:tc>
          <w:tcPr>
            <w:tcW w:w="518" w:type="pct"/>
          </w:tcPr>
          <w:p w:rsidR="00134152" w:rsidRPr="00D975A2" w:rsidRDefault="00134152" w:rsidP="00134152">
            <w:pPr>
              <w:rPr>
                <w:sz w:val="16"/>
                <w:szCs w:val="16"/>
              </w:rPr>
            </w:pPr>
          </w:p>
        </w:tc>
        <w:tc>
          <w:tcPr>
            <w:tcW w:w="624" w:type="pct"/>
          </w:tcPr>
          <w:p w:rsidR="00134152" w:rsidRPr="00D975A2" w:rsidRDefault="00134152" w:rsidP="00134152">
            <w:pPr>
              <w:rPr>
                <w:sz w:val="16"/>
                <w:szCs w:val="16"/>
              </w:rPr>
            </w:pPr>
          </w:p>
        </w:tc>
        <w:tc>
          <w:tcPr>
            <w:tcW w:w="625" w:type="pct"/>
          </w:tcPr>
          <w:p w:rsidR="00134152" w:rsidRPr="00D975A2" w:rsidRDefault="00134152" w:rsidP="00134152">
            <w:pPr>
              <w:rPr>
                <w:sz w:val="16"/>
                <w:szCs w:val="16"/>
              </w:rPr>
            </w:pPr>
          </w:p>
        </w:tc>
        <w:tc>
          <w:tcPr>
            <w:tcW w:w="561" w:type="pct"/>
          </w:tcPr>
          <w:p w:rsidR="00134152" w:rsidRPr="00D975A2" w:rsidRDefault="00134152" w:rsidP="00134152">
            <w:pPr>
              <w:rPr>
                <w:sz w:val="16"/>
                <w:szCs w:val="16"/>
              </w:rPr>
            </w:pPr>
          </w:p>
        </w:tc>
        <w:tc>
          <w:tcPr>
            <w:tcW w:w="570" w:type="pct"/>
          </w:tcPr>
          <w:p w:rsidR="00134152" w:rsidRPr="00D975A2" w:rsidRDefault="00134152" w:rsidP="00134152">
            <w:pPr>
              <w:spacing w:before="40" w:after="40"/>
              <w:rPr>
                <w:sz w:val="16"/>
                <w:szCs w:val="16"/>
              </w:rPr>
            </w:pPr>
          </w:p>
        </w:tc>
        <w:tc>
          <w:tcPr>
            <w:tcW w:w="549" w:type="pct"/>
          </w:tcPr>
          <w:p w:rsidR="00134152" w:rsidRPr="00D975A2" w:rsidRDefault="00134152" w:rsidP="00134152">
            <w:pPr>
              <w:rPr>
                <w:sz w:val="16"/>
                <w:szCs w:val="16"/>
              </w:rPr>
            </w:pPr>
          </w:p>
        </w:tc>
        <w:tc>
          <w:tcPr>
            <w:tcW w:w="518" w:type="pct"/>
          </w:tcPr>
          <w:p w:rsidR="00134152" w:rsidRPr="00D975A2" w:rsidRDefault="00134152" w:rsidP="00134152">
            <w:pPr>
              <w:rPr>
                <w:rStyle w:val="CommentReference"/>
                <w:sz w:val="16"/>
                <w:szCs w:val="16"/>
                <w:lang w:eastAsia="uk-UA"/>
              </w:rPr>
            </w:pPr>
          </w:p>
        </w:tc>
      </w:tr>
    </w:tbl>
    <w:p w:rsidR="00A85BBC" w:rsidRPr="00D975A2" w:rsidRDefault="00A85BBC" w:rsidP="00A85BBC">
      <w:pPr>
        <w:rPr>
          <w:color w:val="000000"/>
          <w:sz w:val="16"/>
          <w:szCs w:val="16"/>
        </w:rPr>
      </w:pPr>
    </w:p>
    <w:p w:rsidR="00A85BBC" w:rsidRPr="00D975A2" w:rsidRDefault="00A85BBC" w:rsidP="00A85BBC">
      <w:pPr>
        <w:rPr>
          <w:color w:val="000000"/>
          <w:sz w:val="16"/>
          <w:szCs w:val="16"/>
        </w:rPr>
      </w:pPr>
    </w:p>
    <w:p w:rsidR="0004626E" w:rsidRPr="00D975A2" w:rsidRDefault="0004626E">
      <w:pPr>
        <w:rPr>
          <w:sz w:val="16"/>
          <w:szCs w:val="16"/>
        </w:rPr>
      </w:pPr>
    </w:p>
    <w:sectPr w:rsidR="0004626E" w:rsidRPr="00D975A2" w:rsidSect="00A85BBC">
      <w:pgSz w:w="15840" w:h="12240"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DE" w:rsidRDefault="00B957DE" w:rsidP="00D975A2">
      <w:r>
        <w:separator/>
      </w:r>
    </w:p>
  </w:endnote>
  <w:endnote w:type="continuationSeparator" w:id="0">
    <w:p w:rsidR="00B957DE" w:rsidRDefault="00B957DE" w:rsidP="00D9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DE" w:rsidRDefault="00B957DE" w:rsidP="00D975A2">
      <w:r>
        <w:separator/>
      </w:r>
    </w:p>
  </w:footnote>
  <w:footnote w:type="continuationSeparator" w:id="0">
    <w:p w:rsidR="00B957DE" w:rsidRDefault="00B957DE" w:rsidP="00D975A2">
      <w:r>
        <w:continuationSeparator/>
      </w:r>
    </w:p>
  </w:footnote>
  <w:footnote w:id="1">
    <w:p w:rsidR="00FC5789" w:rsidRPr="0047672C" w:rsidRDefault="00FC5789" w:rsidP="00FC5789">
      <w:pPr>
        <w:pStyle w:val="FootnoteText"/>
        <w:ind w:left="180" w:hanging="180"/>
        <w:jc w:val="both"/>
        <w:rPr>
          <w:rFonts w:ascii="Times New Roman" w:hAnsi="Times New Roman"/>
        </w:rPr>
      </w:pPr>
      <w:r w:rsidRPr="009040C6">
        <w:rPr>
          <w:rStyle w:val="FootnoteReference"/>
          <w:sz w:val="16"/>
          <w:szCs w:val="16"/>
        </w:rPr>
        <w:footnoteRef/>
      </w:r>
      <w:r w:rsidRPr="009040C6">
        <w:rPr>
          <w:sz w:val="16"/>
          <w:szCs w:val="16"/>
        </w:rPr>
        <w:t xml:space="preserve">  </w:t>
      </w:r>
      <w:r w:rsidRPr="0047672C">
        <w:rPr>
          <w:rFonts w:ascii="Times New Roman" w:hAnsi="Times New Roman"/>
          <w:sz w:val="16"/>
          <w:szCs w:val="16"/>
        </w:rPr>
        <w:t>Productive capacities encompass the productive resources, entrepreneurial capabilities and production linkages, which together determine the capacity of a country to produce goods and services in a way which achieves economic growth, poverty reduction and environmental sustainability.  Productive capacities develop through the three processes of capital accumulation (human, physical and natural), technological progress and structural change through macroeconomic, industrial, trade, finance and infrastructure policies (based on UN Secretary General’s report to ECOSOC, E/2012/74).</w:t>
      </w:r>
    </w:p>
  </w:footnote>
  <w:footnote w:id="2">
    <w:p w:rsidR="00D95310" w:rsidRPr="0047672C" w:rsidRDefault="00D95310" w:rsidP="00D95310">
      <w:pPr>
        <w:pStyle w:val="FootnoteText"/>
        <w:ind w:left="180" w:hanging="180"/>
        <w:jc w:val="both"/>
        <w:rPr>
          <w:rFonts w:ascii="Times New Roman" w:hAnsi="Times New Roman"/>
        </w:rPr>
      </w:pPr>
      <w:r w:rsidRPr="009040C6">
        <w:rPr>
          <w:rStyle w:val="FootnoteReference"/>
          <w:sz w:val="16"/>
          <w:szCs w:val="16"/>
        </w:rPr>
        <w:footnoteRef/>
      </w:r>
      <w:r w:rsidRPr="009040C6">
        <w:rPr>
          <w:sz w:val="16"/>
          <w:szCs w:val="16"/>
        </w:rPr>
        <w:t xml:space="preserve">  </w:t>
      </w:r>
      <w:r w:rsidRPr="0047672C">
        <w:rPr>
          <w:rFonts w:ascii="Times New Roman" w:hAnsi="Times New Roman"/>
          <w:sz w:val="16"/>
          <w:szCs w:val="16"/>
        </w:rPr>
        <w:t>Productive capacities encompass the productive resources, entrepreneurial capabilities and production linkages, which together determine the capacity of a country to produce goods and services in a way which achieves economic growth, poverty reduction and environmental sustainability.  Productive capacities develop through the three processes of capital accumulation (human, physical and natural), technological progress and structural change through macroeconomic, industrial, trade, finance and infrastructure policies (based on UN Secretary General’s report to ECOSOC, E/2012/74).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BC"/>
    <w:rsid w:val="0004626E"/>
    <w:rsid w:val="00134152"/>
    <w:rsid w:val="001B02B2"/>
    <w:rsid w:val="002071F6"/>
    <w:rsid w:val="00223ABD"/>
    <w:rsid w:val="00305F27"/>
    <w:rsid w:val="003230AB"/>
    <w:rsid w:val="00381075"/>
    <w:rsid w:val="0047672C"/>
    <w:rsid w:val="005C211A"/>
    <w:rsid w:val="00637E4C"/>
    <w:rsid w:val="006868C6"/>
    <w:rsid w:val="006A3A21"/>
    <w:rsid w:val="006B4A9A"/>
    <w:rsid w:val="006C3485"/>
    <w:rsid w:val="006E7961"/>
    <w:rsid w:val="007F22BA"/>
    <w:rsid w:val="008743D3"/>
    <w:rsid w:val="009E1E72"/>
    <w:rsid w:val="00A25315"/>
    <w:rsid w:val="00A2625E"/>
    <w:rsid w:val="00A85BBC"/>
    <w:rsid w:val="00B957DE"/>
    <w:rsid w:val="00C14A4A"/>
    <w:rsid w:val="00C412DA"/>
    <w:rsid w:val="00C832C0"/>
    <w:rsid w:val="00D072F8"/>
    <w:rsid w:val="00D10C06"/>
    <w:rsid w:val="00D50B36"/>
    <w:rsid w:val="00D8612B"/>
    <w:rsid w:val="00D93394"/>
    <w:rsid w:val="00D95310"/>
    <w:rsid w:val="00D96405"/>
    <w:rsid w:val="00D975A2"/>
    <w:rsid w:val="00FC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9E112-D76A-4D8A-9063-18C6BA21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85BBC"/>
    <w:rPr>
      <w:rFonts w:cs="Times New Roman"/>
      <w:sz w:val="6"/>
      <w:szCs w:val="6"/>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locked/>
    <w:rsid w:val="00D975A2"/>
    <w:rPr>
      <w:rFonts w:cs="Times New Roman"/>
      <w:sz w:val="20"/>
      <w:szCs w:val="20"/>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basedOn w:val="Normal"/>
    <w:link w:val="FootnoteTextChar"/>
    <w:uiPriority w:val="99"/>
    <w:unhideWhenUsed/>
    <w:rsid w:val="00D975A2"/>
    <w:rPr>
      <w:rFonts w:asciiTheme="minorHAnsi" w:eastAsiaTheme="minorHAnsi" w:hAnsiTheme="minorHAnsi"/>
    </w:rPr>
  </w:style>
  <w:style w:type="character" w:customStyle="1" w:styleId="FootnoteTextChar1">
    <w:name w:val="Footnote Text Char1"/>
    <w:basedOn w:val="DefaultParagraphFont"/>
    <w:uiPriority w:val="99"/>
    <w:semiHidden/>
    <w:rsid w:val="00D975A2"/>
    <w:rPr>
      <w:rFonts w:ascii="Times New Roman" w:eastAsia="Times New Roman" w:hAnsi="Times New Roman" w:cs="Times New Roman"/>
      <w:sz w:val="20"/>
      <w:szCs w:val="20"/>
    </w:rPr>
  </w:style>
  <w:style w:type="character" w:styleId="FootnoteReference">
    <w:name w:val="footnote reference"/>
    <w:aliases w:val="Fußnotenzeichen DISS,ftref,BVI fnr,Char Char,Carattere Char1,Carattere Char Char Carattere Carattere Char Char"/>
    <w:basedOn w:val="DefaultParagraphFont"/>
    <w:uiPriority w:val="99"/>
    <w:semiHidden/>
    <w:unhideWhenUsed/>
    <w:rsid w:val="00D975A2"/>
    <w:rPr>
      <w:rFonts w:cs="Times New Roman"/>
      <w:vertAlign w:val="superscript"/>
    </w:rPr>
  </w:style>
  <w:style w:type="character" w:styleId="Emphasis">
    <w:name w:val="Emphasis"/>
    <w:basedOn w:val="DefaultParagraphFont"/>
    <w:uiPriority w:val="20"/>
    <w:qFormat/>
    <w:rsid w:val="00D975A2"/>
    <w:rPr>
      <w:rFonts w:cs="Times New Roman"/>
      <w:i/>
      <w:iCs/>
    </w:rPr>
  </w:style>
  <w:style w:type="paragraph" w:customStyle="1" w:styleId="Pasus1">
    <w:name w:val="Pasus1"/>
    <w:basedOn w:val="Normal"/>
    <w:qFormat/>
    <w:rsid w:val="0047672C"/>
    <w:pPr>
      <w:spacing w:before="120" w:after="120"/>
    </w:pPr>
    <w:rPr>
      <w:rFonts w:ascii="Candara" w:hAnsi="Candar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Erkinbek Kasybekov</dc:creator>
  <cp:keywords/>
  <dc:description/>
  <cp:lastModifiedBy>Svetlana Iazykova</cp:lastModifiedBy>
  <cp:revision>2</cp:revision>
  <dcterms:created xsi:type="dcterms:W3CDTF">2017-06-09T18:56:00Z</dcterms:created>
  <dcterms:modified xsi:type="dcterms:W3CDTF">2017-06-09T18:56:00Z</dcterms:modified>
</cp:coreProperties>
</file>