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5C4B2" w14:textId="77777777" w:rsidR="008F3488" w:rsidRPr="004435B3" w:rsidRDefault="008F3488" w:rsidP="008F3488">
      <w:pPr>
        <w:tabs>
          <w:tab w:val="left" w:pos="900"/>
          <w:tab w:val="left" w:pos="99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 w:val="left" w:pos="8640"/>
          <w:tab w:val="left" w:pos="9180"/>
        </w:tabs>
        <w:ind w:right="1267"/>
        <w:rPr>
          <w:b/>
          <w:lang w:val="en-GB"/>
        </w:rPr>
      </w:pPr>
      <w:r w:rsidRPr="004435B3">
        <w:rPr>
          <w:b/>
          <w:lang w:val="en-GB"/>
        </w:rPr>
        <w:t>Second regular session 2017</w:t>
      </w:r>
    </w:p>
    <w:p w14:paraId="0E579B90" w14:textId="3702C47A" w:rsidR="008F3488" w:rsidRPr="004435B3" w:rsidRDefault="008F3488" w:rsidP="008F3488">
      <w:pPr>
        <w:tabs>
          <w:tab w:val="left" w:pos="900"/>
          <w:tab w:val="left" w:pos="99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 w:val="left" w:pos="8640"/>
          <w:tab w:val="left" w:pos="9180"/>
        </w:tabs>
        <w:ind w:right="1267"/>
        <w:rPr>
          <w:lang w:val="en-GB"/>
        </w:rPr>
      </w:pPr>
      <w:r w:rsidRPr="004435B3">
        <w:rPr>
          <w:lang w:val="en-GB"/>
        </w:rPr>
        <w:t>5-11 September 2017, New York</w:t>
      </w:r>
    </w:p>
    <w:p w14:paraId="51F78DF2" w14:textId="0E091105" w:rsidR="008F3488" w:rsidRPr="004435B3" w:rsidRDefault="008F3488" w:rsidP="008F3488">
      <w:pPr>
        <w:tabs>
          <w:tab w:val="left" w:pos="900"/>
          <w:tab w:val="left" w:pos="99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 w:val="left" w:pos="8640"/>
          <w:tab w:val="left" w:pos="9180"/>
        </w:tabs>
        <w:ind w:right="1267"/>
        <w:rPr>
          <w:lang w:val="en-GB"/>
        </w:rPr>
      </w:pPr>
      <w:r w:rsidRPr="004435B3">
        <w:rPr>
          <w:lang w:val="en-GB"/>
        </w:rPr>
        <w:t xml:space="preserve">Item </w:t>
      </w:r>
      <w:r w:rsidR="007F7C0C">
        <w:rPr>
          <w:lang w:val="en-GB"/>
        </w:rPr>
        <w:t>6</w:t>
      </w:r>
      <w:r w:rsidRPr="004435B3">
        <w:rPr>
          <w:lang w:val="en-GB"/>
        </w:rPr>
        <w:t xml:space="preserve"> of the provisional agenda</w:t>
      </w:r>
    </w:p>
    <w:p w14:paraId="210D6451" w14:textId="77777777" w:rsidR="008F3488" w:rsidRPr="004435B3" w:rsidRDefault="008F3488" w:rsidP="008F3488">
      <w:pPr>
        <w:tabs>
          <w:tab w:val="left" w:pos="900"/>
          <w:tab w:val="left" w:pos="990"/>
          <w:tab w:val="left" w:pos="8640"/>
          <w:tab w:val="left" w:pos="9180"/>
        </w:tabs>
        <w:spacing w:after="120"/>
        <w:ind w:right="1260"/>
        <w:rPr>
          <w:b/>
          <w:lang w:val="en-GB"/>
        </w:rPr>
      </w:pPr>
      <w:r w:rsidRPr="004435B3">
        <w:rPr>
          <w:b/>
          <w:lang w:val="en-GB"/>
        </w:rPr>
        <w:t>Country programmes and related matters</w:t>
      </w:r>
    </w:p>
    <w:p w14:paraId="19CE4461" w14:textId="77777777" w:rsidR="001B3553" w:rsidRPr="00380941" w:rsidRDefault="001B3553" w:rsidP="001B3553">
      <w:pPr>
        <w:pStyle w:val="SingleTxt"/>
        <w:spacing w:after="0" w:line="120" w:lineRule="exact"/>
        <w:rPr>
          <w:sz w:val="10"/>
        </w:rPr>
      </w:pPr>
    </w:p>
    <w:p w14:paraId="1922059F" w14:textId="77777777" w:rsidR="001B3553" w:rsidRPr="00380941" w:rsidRDefault="001B3553" w:rsidP="001B3553">
      <w:pPr>
        <w:pStyle w:val="SingleTxt"/>
        <w:spacing w:after="0" w:line="120" w:lineRule="exact"/>
        <w:rPr>
          <w:sz w:val="10"/>
        </w:rPr>
      </w:pPr>
    </w:p>
    <w:p w14:paraId="493E6A12" w14:textId="77777777" w:rsidR="001B3553" w:rsidRPr="00380941" w:rsidRDefault="001B3553" w:rsidP="001B3553">
      <w:pPr>
        <w:pStyle w:val="SingleTxt"/>
        <w:spacing w:after="0" w:line="120" w:lineRule="exact"/>
        <w:rPr>
          <w:sz w:val="10"/>
        </w:rPr>
      </w:pPr>
    </w:p>
    <w:p w14:paraId="7A780F0D" w14:textId="77777777" w:rsidR="008F3488" w:rsidRPr="00380941" w:rsidRDefault="001B3553" w:rsidP="0038094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810" w:hanging="7"/>
        <w:rPr>
          <w:sz w:val="32"/>
          <w:szCs w:val="32"/>
        </w:rPr>
      </w:pPr>
      <w:r w:rsidRPr="00380941">
        <w:rPr>
          <w:rFonts w:asciiTheme="minorHAnsi" w:hAnsiTheme="minorHAnsi"/>
        </w:rPr>
        <w:tab/>
      </w:r>
      <w:r w:rsidR="008F3488" w:rsidRPr="00380941">
        <w:rPr>
          <w:sz w:val="32"/>
          <w:szCs w:val="32"/>
        </w:rPr>
        <w:t>Draft subregional programme document for the Pacific Island Countries and Territories (2018-2022)</w:t>
      </w:r>
    </w:p>
    <w:p w14:paraId="6AE64FBE" w14:textId="77777777" w:rsidR="008F3488" w:rsidRPr="004435B3" w:rsidRDefault="008F3488" w:rsidP="008F3488">
      <w:pPr>
        <w:rPr>
          <w:lang w:val="en-GB"/>
        </w:rPr>
      </w:pPr>
    </w:p>
    <w:p w14:paraId="208E2D21" w14:textId="77777777" w:rsidR="008F3488" w:rsidRPr="004435B3" w:rsidRDefault="008F3488" w:rsidP="00380941">
      <w:pPr>
        <w:keepNext/>
        <w:keepLines/>
        <w:tabs>
          <w:tab w:val="right" w:pos="1022"/>
          <w:tab w:val="left" w:pos="1267"/>
          <w:tab w:val="left" w:pos="2218"/>
          <w:tab w:val="left" w:pos="2693"/>
          <w:tab w:val="left" w:pos="3182"/>
          <w:tab w:val="left" w:pos="3658"/>
          <w:tab w:val="left" w:pos="4133"/>
          <w:tab w:val="left" w:pos="4622"/>
          <w:tab w:val="left" w:pos="5098"/>
          <w:tab w:val="left" w:pos="5573"/>
          <w:tab w:val="left" w:pos="6048"/>
        </w:tabs>
        <w:suppressAutoHyphens/>
        <w:spacing w:line="300" w:lineRule="exact"/>
        <w:ind w:left="1267" w:right="720" w:hanging="1267"/>
        <w:outlineLvl w:val="0"/>
        <w:rPr>
          <w:b/>
          <w:spacing w:val="-2"/>
          <w:w w:val="103"/>
          <w:kern w:val="14"/>
          <w:sz w:val="24"/>
          <w:szCs w:val="24"/>
          <w:lang w:val="en-GB"/>
        </w:rPr>
      </w:pPr>
      <w:r w:rsidRPr="004435B3">
        <w:rPr>
          <w:b/>
          <w:spacing w:val="-2"/>
          <w:w w:val="103"/>
          <w:kern w:val="14"/>
          <w:sz w:val="28"/>
          <w:lang w:val="en-GB"/>
        </w:rPr>
        <w:tab/>
      </w:r>
      <w:r w:rsidRPr="004435B3">
        <w:rPr>
          <w:b/>
          <w:spacing w:val="-2"/>
          <w:w w:val="103"/>
          <w:kern w:val="14"/>
          <w:sz w:val="28"/>
          <w:lang w:val="en-GB"/>
        </w:rPr>
        <w:tab/>
      </w:r>
      <w:r w:rsidRPr="004435B3">
        <w:rPr>
          <w:b/>
          <w:spacing w:val="-2"/>
          <w:w w:val="103"/>
          <w:kern w:val="14"/>
          <w:sz w:val="24"/>
          <w:szCs w:val="24"/>
          <w:lang w:val="en-GB"/>
        </w:rPr>
        <w:t xml:space="preserve">Cook Islands, Federated States of Micronesia, Fiji, Kiribati, </w:t>
      </w:r>
      <w:r w:rsidRPr="004435B3">
        <w:rPr>
          <w:b/>
          <w:spacing w:val="-2"/>
          <w:w w:val="103"/>
          <w:kern w:val="14"/>
          <w:sz w:val="24"/>
          <w:szCs w:val="24"/>
          <w:lang w:val="en-GB"/>
        </w:rPr>
        <w:br/>
        <w:t>Marshall Islands, Nauru, Niue, Palau, Samoa, Solomon Islands, Tokelau, Tonga, Tuvalu and Vanuatu</w:t>
      </w:r>
    </w:p>
    <w:p w14:paraId="0965FD45" w14:textId="77777777" w:rsidR="008F3488" w:rsidRPr="00380941" w:rsidRDefault="008F3488" w:rsidP="001B3553">
      <w:pPr>
        <w:rPr>
          <w:lang w:val="en-GB"/>
        </w:rPr>
      </w:pPr>
    </w:p>
    <w:p w14:paraId="28B1EEF9" w14:textId="77777777" w:rsidR="008F3488" w:rsidRPr="00380941" w:rsidRDefault="008F3488" w:rsidP="008F3488">
      <w:pPr>
        <w:tabs>
          <w:tab w:val="left" w:pos="1620"/>
        </w:tabs>
        <w:rPr>
          <w:lang w:val="en-GB"/>
        </w:rPr>
      </w:pPr>
    </w:p>
    <w:p w14:paraId="4D29950E" w14:textId="00385AE2" w:rsidR="008F3488" w:rsidRPr="004435B3" w:rsidRDefault="008F3488" w:rsidP="008F3488">
      <w:pPr>
        <w:keepNext/>
        <w:keepLines/>
        <w:tabs>
          <w:tab w:val="right" w:pos="1022"/>
          <w:tab w:val="left" w:pos="1267"/>
          <w:tab w:val="left" w:pos="1620"/>
          <w:tab w:val="left" w:pos="2218"/>
          <w:tab w:val="left" w:pos="2693"/>
          <w:tab w:val="left" w:pos="3182"/>
          <w:tab w:val="left" w:pos="3658"/>
          <w:tab w:val="left" w:pos="4133"/>
          <w:tab w:val="left" w:pos="4622"/>
          <w:tab w:val="left" w:pos="5098"/>
          <w:tab w:val="left" w:pos="5573"/>
          <w:tab w:val="left" w:pos="6048"/>
        </w:tabs>
        <w:suppressAutoHyphens/>
        <w:spacing w:after="120" w:line="300" w:lineRule="exact"/>
        <w:ind w:firstLine="450"/>
        <w:outlineLvl w:val="0"/>
        <w:rPr>
          <w:spacing w:val="-2"/>
          <w:w w:val="103"/>
          <w:kern w:val="14"/>
          <w:sz w:val="28"/>
          <w:lang w:val="en-GB"/>
        </w:rPr>
      </w:pPr>
    </w:p>
    <w:tbl>
      <w:tblPr>
        <w:tblW w:w="9902" w:type="dxa"/>
        <w:tblLayout w:type="fixed"/>
        <w:tblCellMar>
          <w:left w:w="0" w:type="dxa"/>
          <w:right w:w="0" w:type="dxa"/>
        </w:tblCellMar>
        <w:tblLook w:val="0000" w:firstRow="0" w:lastRow="0" w:firstColumn="0" w:lastColumn="0" w:noHBand="0" w:noVBand="0"/>
      </w:tblPr>
      <w:tblGrid>
        <w:gridCol w:w="720"/>
        <w:gridCol w:w="8640"/>
        <w:gridCol w:w="9"/>
        <w:gridCol w:w="533"/>
      </w:tblGrid>
      <w:tr w:rsidR="008F3488" w:rsidRPr="004435B3" w14:paraId="4C108F65" w14:textId="77777777" w:rsidTr="00380941">
        <w:tc>
          <w:tcPr>
            <w:tcW w:w="720" w:type="dxa"/>
            <w:shd w:val="clear" w:color="auto" w:fill="auto"/>
          </w:tcPr>
          <w:p w14:paraId="4F4828AE" w14:textId="77777777" w:rsidR="008F3488" w:rsidRPr="004435B3" w:rsidRDefault="008F3488" w:rsidP="000328C1">
            <w:pPr>
              <w:tabs>
                <w:tab w:val="left" w:pos="1620"/>
              </w:tabs>
              <w:suppressAutoHyphens/>
              <w:spacing w:after="120"/>
              <w:jc w:val="right"/>
              <w:rPr>
                <w:i/>
                <w:spacing w:val="4"/>
                <w:w w:val="103"/>
                <w:kern w:val="14"/>
                <w:sz w:val="14"/>
                <w:lang w:val="en-GB"/>
              </w:rPr>
            </w:pPr>
          </w:p>
        </w:tc>
        <w:tc>
          <w:tcPr>
            <w:tcW w:w="8640" w:type="dxa"/>
            <w:shd w:val="clear" w:color="auto" w:fill="auto"/>
          </w:tcPr>
          <w:p w14:paraId="1E4D78F3" w14:textId="479A7224" w:rsidR="008F3488" w:rsidRPr="004435B3" w:rsidRDefault="008C606A" w:rsidP="000328C1">
            <w:pPr>
              <w:tabs>
                <w:tab w:val="left" w:pos="1620"/>
              </w:tabs>
              <w:suppressAutoHyphens/>
              <w:spacing w:after="120"/>
              <w:rPr>
                <w:i/>
                <w:spacing w:val="4"/>
                <w:w w:val="103"/>
                <w:kern w:val="14"/>
                <w:sz w:val="14"/>
                <w:lang w:val="en-GB"/>
              </w:rPr>
            </w:pPr>
            <w:r>
              <w:rPr>
                <w:i/>
                <w:spacing w:val="4"/>
                <w:w w:val="103"/>
                <w:kern w:val="14"/>
                <w:sz w:val="14"/>
                <w:lang w:val="en-GB"/>
              </w:rPr>
              <w:t>Chapter</w:t>
            </w:r>
          </w:p>
        </w:tc>
        <w:tc>
          <w:tcPr>
            <w:tcW w:w="542" w:type="dxa"/>
            <w:gridSpan w:val="2"/>
            <w:shd w:val="clear" w:color="auto" w:fill="auto"/>
          </w:tcPr>
          <w:p w14:paraId="1D25BEAC" w14:textId="77777777" w:rsidR="008F3488" w:rsidRPr="004435B3" w:rsidRDefault="008F3488" w:rsidP="000328C1">
            <w:pPr>
              <w:tabs>
                <w:tab w:val="left" w:pos="1620"/>
              </w:tabs>
              <w:suppressAutoHyphens/>
              <w:spacing w:after="120"/>
              <w:jc w:val="right"/>
              <w:rPr>
                <w:i/>
                <w:spacing w:val="4"/>
                <w:w w:val="103"/>
                <w:kern w:val="14"/>
                <w:sz w:val="14"/>
                <w:lang w:val="en-GB"/>
              </w:rPr>
            </w:pPr>
            <w:r w:rsidRPr="004435B3">
              <w:rPr>
                <w:i/>
                <w:spacing w:val="4"/>
                <w:w w:val="103"/>
                <w:kern w:val="14"/>
                <w:sz w:val="14"/>
                <w:lang w:val="en-GB"/>
              </w:rPr>
              <w:t>Page</w:t>
            </w:r>
          </w:p>
        </w:tc>
      </w:tr>
      <w:tr w:rsidR="008F3488" w:rsidRPr="004435B3" w14:paraId="3C760E8C" w14:textId="77777777" w:rsidTr="000328C1">
        <w:tc>
          <w:tcPr>
            <w:tcW w:w="9360" w:type="dxa"/>
            <w:gridSpan w:val="2"/>
            <w:shd w:val="clear" w:color="auto" w:fill="auto"/>
          </w:tcPr>
          <w:p w14:paraId="3259F766" w14:textId="77777777" w:rsidR="008F3488" w:rsidRPr="004435B3" w:rsidRDefault="008F3488" w:rsidP="008F3488">
            <w:pPr>
              <w:numPr>
                <w:ilvl w:val="0"/>
                <w:numId w:val="28"/>
              </w:numPr>
              <w:tabs>
                <w:tab w:val="right" w:pos="1080"/>
                <w:tab w:val="left" w:pos="1296"/>
                <w:tab w:val="left" w:pos="1620"/>
                <w:tab w:val="left" w:pos="2160"/>
                <w:tab w:val="left" w:pos="2592"/>
                <w:tab w:val="right" w:leader="dot" w:pos="8381"/>
              </w:tabs>
              <w:suppressAutoHyphens/>
              <w:spacing w:after="120" w:line="240" w:lineRule="exact"/>
              <w:jc w:val="both"/>
              <w:rPr>
                <w:spacing w:val="4"/>
                <w:w w:val="103"/>
                <w:kern w:val="14"/>
                <w:lang w:val="en-GB"/>
              </w:rPr>
            </w:pPr>
            <w:r w:rsidRPr="004435B3">
              <w:rPr>
                <w:spacing w:val="4"/>
                <w:w w:val="103"/>
                <w:kern w:val="14"/>
                <w:lang w:val="en-GB"/>
              </w:rPr>
              <w:tab/>
              <w:t>Programme rationale</w:t>
            </w:r>
            <w:r w:rsidRPr="004435B3">
              <w:rPr>
                <w:spacing w:val="60"/>
                <w:w w:val="103"/>
                <w:kern w:val="14"/>
                <w:sz w:val="17"/>
                <w:lang w:val="en-GB"/>
              </w:rPr>
              <w:tab/>
            </w:r>
          </w:p>
        </w:tc>
        <w:tc>
          <w:tcPr>
            <w:tcW w:w="542" w:type="dxa"/>
            <w:gridSpan w:val="2"/>
            <w:vMerge w:val="restart"/>
            <w:shd w:val="clear" w:color="auto" w:fill="auto"/>
            <w:vAlign w:val="bottom"/>
          </w:tcPr>
          <w:p w14:paraId="4074D880" w14:textId="77777777" w:rsidR="008F3488" w:rsidRPr="004435B3" w:rsidRDefault="008F3488" w:rsidP="000328C1">
            <w:pPr>
              <w:tabs>
                <w:tab w:val="left" w:pos="1620"/>
              </w:tabs>
              <w:suppressAutoHyphens/>
              <w:spacing w:after="120" w:line="240" w:lineRule="exact"/>
              <w:jc w:val="right"/>
              <w:rPr>
                <w:spacing w:val="4"/>
                <w:w w:val="103"/>
                <w:kern w:val="14"/>
                <w:lang w:val="en-GB"/>
              </w:rPr>
            </w:pPr>
            <w:r w:rsidRPr="004435B3">
              <w:rPr>
                <w:spacing w:val="4"/>
                <w:w w:val="103"/>
                <w:kern w:val="14"/>
                <w:lang w:val="en-GB"/>
              </w:rPr>
              <w:t>2</w:t>
            </w:r>
          </w:p>
          <w:p w14:paraId="5DA2752C" w14:textId="0D034C6C" w:rsidR="008F3488" w:rsidRPr="004435B3" w:rsidRDefault="008C606A" w:rsidP="000328C1">
            <w:pPr>
              <w:tabs>
                <w:tab w:val="left" w:pos="1620"/>
              </w:tabs>
              <w:suppressAutoHyphens/>
              <w:spacing w:after="120" w:line="240" w:lineRule="exact"/>
              <w:jc w:val="right"/>
              <w:rPr>
                <w:spacing w:val="4"/>
                <w:w w:val="103"/>
                <w:kern w:val="14"/>
                <w:lang w:val="en-GB"/>
              </w:rPr>
            </w:pPr>
            <w:r>
              <w:rPr>
                <w:spacing w:val="4"/>
                <w:w w:val="103"/>
                <w:kern w:val="14"/>
                <w:lang w:val="en-GB"/>
              </w:rPr>
              <w:t>6</w:t>
            </w:r>
          </w:p>
        </w:tc>
      </w:tr>
      <w:tr w:rsidR="008F3488" w:rsidRPr="004435B3" w14:paraId="7664BCBE" w14:textId="77777777" w:rsidTr="000328C1">
        <w:trPr>
          <w:trHeight w:val="382"/>
        </w:trPr>
        <w:tc>
          <w:tcPr>
            <w:tcW w:w="9360" w:type="dxa"/>
            <w:gridSpan w:val="2"/>
            <w:shd w:val="clear" w:color="auto" w:fill="auto"/>
          </w:tcPr>
          <w:p w14:paraId="1818EA7A" w14:textId="77777777" w:rsidR="008F3488" w:rsidRPr="004435B3" w:rsidRDefault="008F3488" w:rsidP="008F3488">
            <w:pPr>
              <w:numPr>
                <w:ilvl w:val="0"/>
                <w:numId w:val="28"/>
              </w:numPr>
              <w:tabs>
                <w:tab w:val="right" w:pos="1080"/>
                <w:tab w:val="left" w:pos="1296"/>
                <w:tab w:val="left" w:pos="1620"/>
                <w:tab w:val="left" w:pos="2160"/>
                <w:tab w:val="left" w:pos="2592"/>
                <w:tab w:val="left" w:pos="3024"/>
                <w:tab w:val="left" w:pos="3456"/>
                <w:tab w:val="left" w:pos="3888"/>
                <w:tab w:val="left" w:pos="4320"/>
                <w:tab w:val="right" w:leader="dot" w:pos="8381"/>
              </w:tabs>
              <w:suppressAutoHyphens/>
              <w:spacing w:after="120" w:line="240" w:lineRule="exact"/>
              <w:jc w:val="both"/>
              <w:rPr>
                <w:spacing w:val="4"/>
                <w:w w:val="103"/>
                <w:kern w:val="14"/>
                <w:lang w:val="en-GB"/>
              </w:rPr>
            </w:pPr>
            <w:r w:rsidRPr="004435B3">
              <w:rPr>
                <w:spacing w:val="4"/>
                <w:w w:val="103"/>
                <w:kern w:val="14"/>
                <w:lang w:val="en-GB"/>
              </w:rPr>
              <w:tab/>
              <w:t>Programme priorities and partnerships</w:t>
            </w:r>
            <w:r w:rsidRPr="004435B3">
              <w:rPr>
                <w:spacing w:val="60"/>
                <w:w w:val="103"/>
                <w:kern w:val="14"/>
                <w:sz w:val="17"/>
                <w:lang w:val="en-GB"/>
              </w:rPr>
              <w:tab/>
            </w:r>
          </w:p>
        </w:tc>
        <w:tc>
          <w:tcPr>
            <w:tcW w:w="542" w:type="dxa"/>
            <w:gridSpan w:val="2"/>
            <w:vMerge/>
            <w:shd w:val="clear" w:color="auto" w:fill="auto"/>
            <w:vAlign w:val="bottom"/>
          </w:tcPr>
          <w:p w14:paraId="0EE80717" w14:textId="77777777" w:rsidR="008F3488" w:rsidRPr="004435B3" w:rsidRDefault="008F3488" w:rsidP="000328C1">
            <w:pPr>
              <w:tabs>
                <w:tab w:val="left" w:pos="1620"/>
              </w:tabs>
              <w:suppressAutoHyphens/>
              <w:spacing w:after="120" w:line="240" w:lineRule="exact"/>
              <w:jc w:val="right"/>
              <w:rPr>
                <w:spacing w:val="4"/>
                <w:w w:val="103"/>
                <w:kern w:val="14"/>
                <w:lang w:val="en-GB"/>
              </w:rPr>
            </w:pPr>
          </w:p>
        </w:tc>
      </w:tr>
      <w:tr w:rsidR="008F3488" w:rsidRPr="004435B3" w14:paraId="54FA8D27" w14:textId="77777777" w:rsidTr="000328C1">
        <w:tc>
          <w:tcPr>
            <w:tcW w:w="9360" w:type="dxa"/>
            <w:gridSpan w:val="2"/>
            <w:shd w:val="clear" w:color="auto" w:fill="auto"/>
          </w:tcPr>
          <w:p w14:paraId="11A9B87E" w14:textId="77777777" w:rsidR="008F3488" w:rsidRPr="004435B3" w:rsidRDefault="008F3488" w:rsidP="008F3488">
            <w:pPr>
              <w:numPr>
                <w:ilvl w:val="0"/>
                <w:numId w:val="28"/>
              </w:numPr>
              <w:tabs>
                <w:tab w:val="right" w:pos="1080"/>
                <w:tab w:val="left" w:pos="1296"/>
                <w:tab w:val="left" w:pos="1620"/>
                <w:tab w:val="left" w:pos="2160"/>
                <w:tab w:val="left" w:pos="2592"/>
                <w:tab w:val="left" w:pos="3024"/>
                <w:tab w:val="right" w:leader="dot" w:pos="8381"/>
              </w:tabs>
              <w:suppressAutoHyphens/>
              <w:spacing w:after="120" w:line="240" w:lineRule="exact"/>
              <w:jc w:val="both"/>
              <w:rPr>
                <w:spacing w:val="4"/>
                <w:w w:val="103"/>
                <w:kern w:val="14"/>
                <w:lang w:val="en-GB"/>
              </w:rPr>
            </w:pPr>
            <w:r w:rsidRPr="004435B3">
              <w:rPr>
                <w:spacing w:val="4"/>
                <w:w w:val="103"/>
                <w:kern w:val="14"/>
                <w:lang w:val="en-GB"/>
              </w:rPr>
              <w:tab/>
              <w:t>Programme and risk management</w:t>
            </w:r>
            <w:r w:rsidRPr="004435B3">
              <w:rPr>
                <w:spacing w:val="60"/>
                <w:w w:val="103"/>
                <w:kern w:val="14"/>
                <w:sz w:val="17"/>
                <w:lang w:val="en-GB"/>
              </w:rPr>
              <w:tab/>
            </w:r>
          </w:p>
        </w:tc>
        <w:tc>
          <w:tcPr>
            <w:tcW w:w="542" w:type="dxa"/>
            <w:gridSpan w:val="2"/>
            <w:vMerge w:val="restart"/>
            <w:shd w:val="clear" w:color="auto" w:fill="auto"/>
            <w:vAlign w:val="bottom"/>
          </w:tcPr>
          <w:p w14:paraId="371769CE" w14:textId="5297872D" w:rsidR="008F3488" w:rsidRPr="004435B3" w:rsidRDefault="008C606A" w:rsidP="000328C1">
            <w:pPr>
              <w:tabs>
                <w:tab w:val="left" w:pos="1620"/>
              </w:tabs>
              <w:suppressAutoHyphens/>
              <w:spacing w:after="120" w:line="240" w:lineRule="exact"/>
              <w:jc w:val="right"/>
              <w:rPr>
                <w:spacing w:val="4"/>
                <w:w w:val="103"/>
                <w:kern w:val="14"/>
                <w:lang w:val="en-GB"/>
              </w:rPr>
            </w:pPr>
            <w:r>
              <w:rPr>
                <w:spacing w:val="4"/>
                <w:w w:val="103"/>
                <w:kern w:val="14"/>
                <w:lang w:val="en-GB"/>
              </w:rPr>
              <w:t>10</w:t>
            </w:r>
          </w:p>
          <w:p w14:paraId="1842C7E0" w14:textId="1A29BD8E" w:rsidR="008F3488" w:rsidRPr="004435B3" w:rsidRDefault="008C606A" w:rsidP="000328C1">
            <w:pPr>
              <w:tabs>
                <w:tab w:val="left" w:pos="1620"/>
              </w:tabs>
              <w:suppressAutoHyphens/>
              <w:spacing w:after="120" w:line="240" w:lineRule="exact"/>
              <w:jc w:val="right"/>
              <w:rPr>
                <w:spacing w:val="4"/>
                <w:w w:val="103"/>
                <w:kern w:val="14"/>
                <w:lang w:val="en-GB"/>
              </w:rPr>
            </w:pPr>
            <w:r>
              <w:rPr>
                <w:spacing w:val="4"/>
                <w:w w:val="103"/>
                <w:kern w:val="14"/>
                <w:lang w:val="en-GB"/>
              </w:rPr>
              <w:t>11</w:t>
            </w:r>
            <w:r w:rsidRPr="004435B3">
              <w:rPr>
                <w:spacing w:val="4"/>
                <w:w w:val="103"/>
                <w:kern w:val="14"/>
                <w:lang w:val="en-GB"/>
              </w:rPr>
              <w:t xml:space="preserve"> </w:t>
            </w:r>
          </w:p>
        </w:tc>
      </w:tr>
      <w:tr w:rsidR="008F3488" w:rsidRPr="004435B3" w14:paraId="11671390" w14:textId="77777777" w:rsidTr="000328C1">
        <w:tc>
          <w:tcPr>
            <w:tcW w:w="9360" w:type="dxa"/>
            <w:gridSpan w:val="2"/>
            <w:shd w:val="clear" w:color="auto" w:fill="auto"/>
          </w:tcPr>
          <w:p w14:paraId="2B05F486" w14:textId="77777777" w:rsidR="008F3488" w:rsidRPr="004435B3" w:rsidRDefault="008F3488" w:rsidP="008F3488">
            <w:pPr>
              <w:numPr>
                <w:ilvl w:val="0"/>
                <w:numId w:val="28"/>
              </w:numPr>
              <w:tabs>
                <w:tab w:val="right" w:pos="1080"/>
                <w:tab w:val="left" w:pos="1296"/>
                <w:tab w:val="left" w:pos="1620"/>
                <w:tab w:val="left" w:pos="2160"/>
                <w:tab w:val="left" w:pos="2592"/>
                <w:tab w:val="left" w:pos="3024"/>
                <w:tab w:val="left" w:pos="3420"/>
                <w:tab w:val="left" w:pos="3456"/>
                <w:tab w:val="right" w:leader="dot" w:pos="8381"/>
              </w:tabs>
              <w:suppressAutoHyphens/>
              <w:spacing w:after="120" w:line="240" w:lineRule="exact"/>
              <w:jc w:val="both"/>
              <w:rPr>
                <w:spacing w:val="4"/>
                <w:w w:val="103"/>
                <w:kern w:val="14"/>
                <w:lang w:val="en-GB"/>
              </w:rPr>
            </w:pPr>
            <w:r w:rsidRPr="004435B3">
              <w:rPr>
                <w:spacing w:val="4"/>
                <w:w w:val="103"/>
                <w:kern w:val="14"/>
                <w:lang w:val="en-GB"/>
              </w:rPr>
              <w:tab/>
              <w:t>Monitoring and evaluation</w:t>
            </w:r>
            <w:r w:rsidRPr="004435B3">
              <w:rPr>
                <w:spacing w:val="60"/>
                <w:w w:val="103"/>
                <w:kern w:val="14"/>
                <w:sz w:val="17"/>
                <w:lang w:val="en-GB"/>
              </w:rPr>
              <w:tab/>
            </w:r>
            <w:r w:rsidRPr="004435B3">
              <w:rPr>
                <w:spacing w:val="60"/>
                <w:w w:val="103"/>
                <w:kern w:val="14"/>
                <w:sz w:val="17"/>
                <w:lang w:val="en-GB"/>
              </w:rPr>
              <w:tab/>
            </w:r>
          </w:p>
        </w:tc>
        <w:tc>
          <w:tcPr>
            <w:tcW w:w="542" w:type="dxa"/>
            <w:gridSpan w:val="2"/>
            <w:vMerge/>
            <w:shd w:val="clear" w:color="auto" w:fill="auto"/>
            <w:vAlign w:val="bottom"/>
          </w:tcPr>
          <w:p w14:paraId="1E828CFA" w14:textId="77777777" w:rsidR="008F3488" w:rsidRPr="004435B3" w:rsidRDefault="008F3488" w:rsidP="000328C1">
            <w:pPr>
              <w:tabs>
                <w:tab w:val="left" w:pos="1620"/>
              </w:tabs>
              <w:suppressAutoHyphens/>
              <w:spacing w:after="120" w:line="240" w:lineRule="exact"/>
              <w:jc w:val="right"/>
              <w:rPr>
                <w:spacing w:val="4"/>
                <w:w w:val="103"/>
                <w:kern w:val="14"/>
                <w:lang w:val="en-GB"/>
              </w:rPr>
            </w:pPr>
          </w:p>
        </w:tc>
      </w:tr>
      <w:tr w:rsidR="008F3488" w:rsidRPr="004435B3" w14:paraId="32832EFA" w14:textId="77777777" w:rsidTr="000328C1">
        <w:tc>
          <w:tcPr>
            <w:tcW w:w="9369" w:type="dxa"/>
            <w:gridSpan w:val="3"/>
            <w:shd w:val="clear" w:color="auto" w:fill="auto"/>
          </w:tcPr>
          <w:p w14:paraId="3A662C64" w14:textId="77777777" w:rsidR="008F3488" w:rsidRPr="004435B3" w:rsidRDefault="008F3488" w:rsidP="000328C1">
            <w:pPr>
              <w:tabs>
                <w:tab w:val="right" w:pos="1080"/>
                <w:tab w:val="left" w:pos="1296"/>
                <w:tab w:val="left" w:pos="1620"/>
                <w:tab w:val="right" w:pos="1714"/>
                <w:tab w:val="left" w:pos="2160"/>
                <w:tab w:val="left" w:pos="2592"/>
                <w:tab w:val="left" w:pos="3024"/>
                <w:tab w:val="left" w:pos="3456"/>
              </w:tabs>
              <w:suppressAutoHyphens/>
              <w:spacing w:after="120" w:line="240" w:lineRule="exact"/>
              <w:ind w:left="475"/>
              <w:rPr>
                <w:spacing w:val="4"/>
                <w:w w:val="103"/>
                <w:kern w:val="14"/>
                <w:lang w:val="en-GB"/>
              </w:rPr>
            </w:pPr>
            <w:r w:rsidRPr="004435B3">
              <w:rPr>
                <w:spacing w:val="4"/>
                <w:w w:val="103"/>
                <w:kern w:val="14"/>
                <w:lang w:val="en-GB"/>
              </w:rPr>
              <w:t xml:space="preserve">     Annex</w:t>
            </w:r>
          </w:p>
        </w:tc>
        <w:tc>
          <w:tcPr>
            <w:tcW w:w="533" w:type="dxa"/>
            <w:shd w:val="clear" w:color="auto" w:fill="auto"/>
            <w:vAlign w:val="bottom"/>
          </w:tcPr>
          <w:p w14:paraId="7CC1D131" w14:textId="77777777" w:rsidR="008F3488" w:rsidRPr="004435B3" w:rsidRDefault="008F3488" w:rsidP="000328C1">
            <w:pPr>
              <w:tabs>
                <w:tab w:val="left" w:pos="1620"/>
              </w:tabs>
              <w:suppressAutoHyphens/>
              <w:spacing w:after="120" w:line="240" w:lineRule="exact"/>
              <w:jc w:val="center"/>
              <w:rPr>
                <w:spacing w:val="4"/>
                <w:w w:val="103"/>
                <w:kern w:val="14"/>
                <w:lang w:val="en-GB"/>
              </w:rPr>
            </w:pPr>
          </w:p>
        </w:tc>
      </w:tr>
      <w:tr w:rsidR="008F3488" w:rsidRPr="004435B3" w14:paraId="711BAAE5" w14:textId="77777777" w:rsidTr="000328C1">
        <w:tc>
          <w:tcPr>
            <w:tcW w:w="9369" w:type="dxa"/>
            <w:gridSpan w:val="3"/>
            <w:shd w:val="clear" w:color="auto" w:fill="auto"/>
          </w:tcPr>
          <w:p w14:paraId="6DADEF21" w14:textId="77777777" w:rsidR="008F3488" w:rsidRPr="004435B3" w:rsidRDefault="00A971B5" w:rsidP="00A971B5">
            <w:pPr>
              <w:tabs>
                <w:tab w:val="right" w:pos="1080"/>
                <w:tab w:val="left" w:pos="1296"/>
                <w:tab w:val="left" w:pos="1620"/>
                <w:tab w:val="left" w:pos="2160"/>
                <w:tab w:val="left" w:pos="2592"/>
                <w:tab w:val="left" w:pos="3024"/>
                <w:tab w:val="left" w:pos="3456"/>
                <w:tab w:val="left" w:pos="3510"/>
                <w:tab w:val="left" w:pos="3870"/>
                <w:tab w:val="left" w:pos="3960"/>
                <w:tab w:val="left" w:pos="4050"/>
                <w:tab w:val="right" w:leader="dot" w:pos="9360"/>
              </w:tabs>
              <w:suppressAutoHyphens/>
              <w:spacing w:after="120" w:line="240" w:lineRule="exact"/>
              <w:ind w:left="1296"/>
              <w:rPr>
                <w:spacing w:val="60"/>
                <w:w w:val="103"/>
                <w:kern w:val="14"/>
                <w:sz w:val="17"/>
                <w:lang w:val="en-GB"/>
              </w:rPr>
            </w:pPr>
            <w:r w:rsidRPr="004435B3">
              <w:rPr>
                <w:spacing w:val="4"/>
                <w:w w:val="103"/>
                <w:kern w:val="14"/>
                <w:lang w:val="en-GB"/>
              </w:rPr>
              <w:t>Results and resources framework</w:t>
            </w:r>
            <w:r w:rsidR="008F3488" w:rsidRPr="004435B3">
              <w:rPr>
                <w:spacing w:val="60"/>
                <w:w w:val="103"/>
                <w:kern w:val="14"/>
                <w:sz w:val="17"/>
                <w:lang w:val="en-GB"/>
              </w:rPr>
              <w:tab/>
            </w:r>
          </w:p>
        </w:tc>
        <w:tc>
          <w:tcPr>
            <w:tcW w:w="533" w:type="dxa"/>
            <w:shd w:val="clear" w:color="auto" w:fill="auto"/>
            <w:vAlign w:val="bottom"/>
          </w:tcPr>
          <w:p w14:paraId="44BBBBAD" w14:textId="4E59B093" w:rsidR="008F3488" w:rsidRPr="004435B3" w:rsidRDefault="008C606A" w:rsidP="000328C1">
            <w:pPr>
              <w:tabs>
                <w:tab w:val="left" w:pos="1620"/>
              </w:tabs>
              <w:suppressAutoHyphens/>
              <w:spacing w:after="120" w:line="240" w:lineRule="exact"/>
              <w:jc w:val="right"/>
              <w:rPr>
                <w:spacing w:val="4"/>
                <w:w w:val="103"/>
                <w:kern w:val="14"/>
                <w:lang w:val="en-GB"/>
              </w:rPr>
            </w:pPr>
            <w:r>
              <w:rPr>
                <w:spacing w:val="4"/>
                <w:w w:val="103"/>
                <w:kern w:val="14"/>
                <w:lang w:val="en-GB"/>
              </w:rPr>
              <w:t>13</w:t>
            </w:r>
          </w:p>
        </w:tc>
      </w:tr>
    </w:tbl>
    <w:p w14:paraId="4D78053B" w14:textId="77777777" w:rsidR="008F3488" w:rsidRPr="00380941" w:rsidRDefault="008F3488" w:rsidP="001B3553">
      <w:pPr>
        <w:rPr>
          <w:lang w:val="en-GB"/>
        </w:rPr>
      </w:pPr>
    </w:p>
    <w:p w14:paraId="106D93F5" w14:textId="77777777" w:rsidR="001B3553" w:rsidRPr="00380941" w:rsidRDefault="001B3553" w:rsidP="001B3553">
      <w:pPr>
        <w:rPr>
          <w:lang w:val="en-GB"/>
        </w:rPr>
      </w:pPr>
      <w:r w:rsidRPr="00380941">
        <w:rPr>
          <w:lang w:val="en-GB"/>
        </w:rPr>
        <w:br w:type="page"/>
      </w:r>
    </w:p>
    <w:p w14:paraId="56D1EA94" w14:textId="77777777" w:rsidR="001B3553" w:rsidRPr="00380941" w:rsidRDefault="00A12125" w:rsidP="00A971B5">
      <w:pPr>
        <w:pStyle w:val="Heading2"/>
        <w:ind w:left="1134" w:right="1267" w:hanging="324"/>
        <w:jc w:val="both"/>
        <w:rPr>
          <w:rFonts w:ascii="Times New Roman" w:hAnsi="Times New Roman"/>
          <w:bCs/>
          <w:szCs w:val="28"/>
          <w:lang w:val="en-GB"/>
        </w:rPr>
      </w:pPr>
      <w:r w:rsidRPr="00380941">
        <w:rPr>
          <w:rFonts w:ascii="Times New Roman" w:hAnsi="Times New Roman"/>
          <w:bCs/>
          <w:szCs w:val="28"/>
          <w:lang w:val="en-GB"/>
        </w:rPr>
        <w:lastRenderedPageBreak/>
        <w:t>I.</w:t>
      </w:r>
      <w:r w:rsidRPr="00380941">
        <w:rPr>
          <w:rFonts w:ascii="Times New Roman" w:hAnsi="Times New Roman"/>
          <w:bCs/>
          <w:szCs w:val="28"/>
          <w:lang w:val="en-GB"/>
        </w:rPr>
        <w:tab/>
      </w:r>
      <w:r w:rsidR="00A971B5" w:rsidRPr="00380941">
        <w:rPr>
          <w:rFonts w:ascii="Times New Roman" w:hAnsi="Times New Roman"/>
          <w:bCs/>
          <w:szCs w:val="28"/>
          <w:lang w:val="en-GB"/>
        </w:rPr>
        <w:t>Programme r</w:t>
      </w:r>
      <w:r w:rsidR="001B3553" w:rsidRPr="00380941">
        <w:rPr>
          <w:rFonts w:ascii="Times New Roman" w:hAnsi="Times New Roman"/>
          <w:bCs/>
          <w:szCs w:val="28"/>
          <w:lang w:val="en-GB"/>
        </w:rPr>
        <w:t xml:space="preserve">ationale </w:t>
      </w:r>
    </w:p>
    <w:p w14:paraId="4E212208" w14:textId="77777777" w:rsidR="001B3553" w:rsidRPr="00380941" w:rsidRDefault="001B3553" w:rsidP="001B3553">
      <w:pPr>
        <w:ind w:left="1267"/>
        <w:rPr>
          <w:lang w:val="en-GB"/>
        </w:rPr>
      </w:pPr>
    </w:p>
    <w:p w14:paraId="682366D1" w14:textId="14458436" w:rsidR="00D861E7" w:rsidRPr="00380941" w:rsidRDefault="00D861E7" w:rsidP="00A971B5">
      <w:pPr>
        <w:pStyle w:val="ListParagraph"/>
        <w:numPr>
          <w:ilvl w:val="0"/>
          <w:numId w:val="8"/>
        </w:numPr>
        <w:spacing w:after="120"/>
        <w:ind w:left="1134" w:right="1208" w:firstLine="0"/>
        <w:contextualSpacing/>
        <w:jc w:val="both"/>
        <w:rPr>
          <w:lang w:val="en-GB"/>
        </w:rPr>
      </w:pPr>
      <w:r w:rsidRPr="00380941">
        <w:rPr>
          <w:lang w:val="en-GB"/>
        </w:rPr>
        <w:t>The Pacific Islands subregion</w:t>
      </w:r>
      <w:r w:rsidRPr="00380941">
        <w:rPr>
          <w:rStyle w:val="FootnoteReference"/>
          <w:lang w:val="en-GB"/>
        </w:rPr>
        <w:footnoteReference w:id="2"/>
      </w:r>
      <w:r w:rsidRPr="00380941">
        <w:rPr>
          <w:lang w:val="en-GB"/>
        </w:rPr>
        <w:t xml:space="preserve"> includes 14 countries and territories with a total population of 2.4 million people</w:t>
      </w:r>
      <w:r w:rsidR="00C347B6" w:rsidRPr="00380941">
        <w:rPr>
          <w:lang w:val="en-GB"/>
        </w:rPr>
        <w:t>,</w:t>
      </w:r>
      <w:r w:rsidRPr="00380941">
        <w:rPr>
          <w:vertAlign w:val="superscript"/>
          <w:lang w:val="en-GB"/>
        </w:rPr>
        <w:footnoteReference w:id="3"/>
      </w:r>
      <w:r w:rsidRPr="00380941">
        <w:rPr>
          <w:lang w:val="en-GB"/>
        </w:rPr>
        <w:t xml:space="preserve"> inhabiting thousands of islands that cover 15 per cent of the earth’s surface. The subregion is not homogen</w:t>
      </w:r>
      <w:r w:rsidR="00FE6735" w:rsidRPr="00380941">
        <w:rPr>
          <w:lang w:val="en-GB"/>
        </w:rPr>
        <w:t>e</w:t>
      </w:r>
      <w:r w:rsidRPr="00380941">
        <w:rPr>
          <w:lang w:val="en-GB"/>
        </w:rPr>
        <w:t xml:space="preserve">ous, with key differences in </w:t>
      </w:r>
      <w:r w:rsidR="00BA2A60" w:rsidRPr="00380941">
        <w:rPr>
          <w:lang w:val="en-GB"/>
        </w:rPr>
        <w:t xml:space="preserve">geography, </w:t>
      </w:r>
      <w:r w:rsidRPr="00380941">
        <w:rPr>
          <w:lang w:val="en-GB"/>
        </w:rPr>
        <w:t>size</w:t>
      </w:r>
      <w:r w:rsidR="00BA2A60" w:rsidRPr="00380941">
        <w:rPr>
          <w:lang w:val="en-GB"/>
        </w:rPr>
        <w:t>, history, culture, economies and political systems.</w:t>
      </w:r>
      <w:r w:rsidR="00347C49" w:rsidRPr="00380941">
        <w:rPr>
          <w:lang w:val="en-GB"/>
        </w:rPr>
        <w:t xml:space="preserve"> </w:t>
      </w:r>
      <w:r w:rsidRPr="00380941">
        <w:rPr>
          <w:lang w:val="en-GB"/>
        </w:rPr>
        <w:t xml:space="preserve">Fiji is </w:t>
      </w:r>
      <w:r w:rsidR="0026368D">
        <w:rPr>
          <w:lang w:val="en-GB"/>
        </w:rPr>
        <w:t>the</w:t>
      </w:r>
      <w:r w:rsidR="00FE6735" w:rsidRPr="00380941">
        <w:rPr>
          <w:lang w:val="en-GB"/>
        </w:rPr>
        <w:t xml:space="preserve"> </w:t>
      </w:r>
      <w:r w:rsidR="00A14C97" w:rsidRPr="00380941">
        <w:rPr>
          <w:lang w:val="en-GB"/>
        </w:rPr>
        <w:t>most populous country</w:t>
      </w:r>
      <w:r w:rsidR="00FE6735" w:rsidRPr="00380941">
        <w:rPr>
          <w:lang w:val="en-GB"/>
        </w:rPr>
        <w:t>,</w:t>
      </w:r>
      <w:r w:rsidR="00A14C97" w:rsidRPr="00380941">
        <w:rPr>
          <w:lang w:val="en-GB"/>
        </w:rPr>
        <w:t xml:space="preserve"> </w:t>
      </w:r>
      <w:r w:rsidRPr="00380941">
        <w:rPr>
          <w:lang w:val="en-GB"/>
        </w:rPr>
        <w:t xml:space="preserve">with about 900,000 </w:t>
      </w:r>
      <w:r w:rsidR="00A14C97" w:rsidRPr="00380941">
        <w:rPr>
          <w:lang w:val="en-GB"/>
        </w:rPr>
        <w:t>residents</w:t>
      </w:r>
      <w:r w:rsidR="00FE6735" w:rsidRPr="00380941">
        <w:rPr>
          <w:lang w:val="en-GB"/>
        </w:rPr>
        <w:t>,</w:t>
      </w:r>
      <w:r w:rsidR="00A14C97" w:rsidRPr="00380941">
        <w:rPr>
          <w:lang w:val="en-GB"/>
        </w:rPr>
        <w:t xml:space="preserve"> </w:t>
      </w:r>
      <w:r w:rsidRPr="00380941">
        <w:rPr>
          <w:lang w:val="en-GB"/>
        </w:rPr>
        <w:t>and Niue the smallest</w:t>
      </w:r>
      <w:r w:rsidR="00FE6735" w:rsidRPr="00380941">
        <w:rPr>
          <w:lang w:val="en-GB"/>
        </w:rPr>
        <w:t>,</w:t>
      </w:r>
      <w:r w:rsidRPr="00380941">
        <w:rPr>
          <w:lang w:val="en-GB"/>
        </w:rPr>
        <w:t xml:space="preserve"> with about 1,200. The atoll nation of Kiribati is one of the most remote and geographically dispersed in the world, spread over 3.5 million km</w:t>
      </w:r>
      <w:r w:rsidRPr="00380941">
        <w:rPr>
          <w:vertAlign w:val="superscript"/>
          <w:lang w:val="en-GB"/>
        </w:rPr>
        <w:t>2</w:t>
      </w:r>
      <w:r w:rsidRPr="00380941">
        <w:rPr>
          <w:lang w:val="en-GB"/>
        </w:rPr>
        <w:t xml:space="preserve"> of ocean – an area larger than the entire Caribbean. In contrast to their small populations and land area</w:t>
      </w:r>
      <w:r w:rsidR="00347C49" w:rsidRPr="00380941">
        <w:rPr>
          <w:lang w:val="en-GB"/>
        </w:rPr>
        <w:t>s</w:t>
      </w:r>
      <w:r w:rsidRPr="00380941">
        <w:rPr>
          <w:lang w:val="en-GB"/>
        </w:rPr>
        <w:t>, the Pacific countries are often referred to as ‘big ocean states’.</w:t>
      </w:r>
    </w:p>
    <w:p w14:paraId="312C5EEE" w14:textId="77777777" w:rsidR="00D861E7" w:rsidRPr="00380941" w:rsidRDefault="00D861E7" w:rsidP="00D861E7">
      <w:pPr>
        <w:pStyle w:val="ListParagraph"/>
        <w:ind w:left="1134" w:right="1208"/>
        <w:contextualSpacing/>
        <w:jc w:val="both"/>
        <w:rPr>
          <w:sz w:val="12"/>
          <w:szCs w:val="12"/>
          <w:lang w:val="en-GB"/>
        </w:rPr>
      </w:pPr>
    </w:p>
    <w:p w14:paraId="0E42A5BC" w14:textId="00C4F90B" w:rsidR="002B5CAB" w:rsidRPr="00380941" w:rsidRDefault="002B5CAB" w:rsidP="00E27151">
      <w:pPr>
        <w:pStyle w:val="ListParagraph"/>
        <w:numPr>
          <w:ilvl w:val="0"/>
          <w:numId w:val="5"/>
        </w:numPr>
        <w:ind w:left="1134" w:right="1208" w:firstLine="0"/>
        <w:contextualSpacing/>
        <w:jc w:val="both"/>
        <w:rPr>
          <w:lang w:val="en-GB"/>
        </w:rPr>
      </w:pPr>
      <w:r w:rsidRPr="00380941">
        <w:rPr>
          <w:lang w:val="en-GB"/>
        </w:rPr>
        <w:t xml:space="preserve">Only eight </w:t>
      </w:r>
      <w:r w:rsidR="00D51438" w:rsidRPr="00380941">
        <w:rPr>
          <w:lang w:val="en-GB"/>
        </w:rPr>
        <w:t>of the</w:t>
      </w:r>
      <w:r w:rsidRPr="00380941">
        <w:rPr>
          <w:lang w:val="en-GB"/>
        </w:rPr>
        <w:t xml:space="preserve"> countries are ranked in the Human Development Index</w:t>
      </w:r>
      <w:r w:rsidRPr="00380941">
        <w:rPr>
          <w:rStyle w:val="FootnoteReference"/>
          <w:lang w:val="en-GB"/>
        </w:rPr>
        <w:footnoteReference w:id="4"/>
      </w:r>
      <w:r w:rsidRPr="00380941">
        <w:rPr>
          <w:lang w:val="en-GB"/>
        </w:rPr>
        <w:t>: Palau (60th), Fiji (9</w:t>
      </w:r>
      <w:r w:rsidR="008E2371" w:rsidRPr="00380941">
        <w:rPr>
          <w:lang w:val="en-GB"/>
        </w:rPr>
        <w:t>1st</w:t>
      </w:r>
      <w:r w:rsidRPr="00380941">
        <w:rPr>
          <w:lang w:val="en-GB"/>
        </w:rPr>
        <w:t>), Tonga (10</w:t>
      </w:r>
      <w:r w:rsidR="008E2371" w:rsidRPr="00380941">
        <w:rPr>
          <w:lang w:val="en-GB"/>
        </w:rPr>
        <w:t>1st</w:t>
      </w:r>
      <w:r w:rsidRPr="00380941">
        <w:rPr>
          <w:lang w:val="en-GB"/>
        </w:rPr>
        <w:t>) and Samoa (10</w:t>
      </w:r>
      <w:r w:rsidR="008E2371" w:rsidRPr="00380941">
        <w:rPr>
          <w:lang w:val="en-GB"/>
        </w:rPr>
        <w:t>4th</w:t>
      </w:r>
      <w:r w:rsidRPr="00380941">
        <w:rPr>
          <w:lang w:val="en-GB"/>
        </w:rPr>
        <w:t xml:space="preserve">) are in the high category; </w:t>
      </w:r>
      <w:r w:rsidR="003A079F" w:rsidRPr="00380941">
        <w:rPr>
          <w:lang w:val="en-GB"/>
        </w:rPr>
        <w:t xml:space="preserve">the </w:t>
      </w:r>
      <w:r w:rsidRPr="00380941">
        <w:rPr>
          <w:lang w:val="en-GB"/>
        </w:rPr>
        <w:t>Federated States of Micronesia (12</w:t>
      </w:r>
      <w:r w:rsidR="008E2371" w:rsidRPr="00380941">
        <w:rPr>
          <w:lang w:val="en-GB"/>
        </w:rPr>
        <w:t>7</w:t>
      </w:r>
      <w:r w:rsidRPr="00380941">
        <w:rPr>
          <w:lang w:val="en-GB"/>
        </w:rPr>
        <w:t>th), Vanuatu (134th) and Kiribati (137th) are in the medium category</w:t>
      </w:r>
      <w:r w:rsidR="003A079F" w:rsidRPr="00380941">
        <w:rPr>
          <w:lang w:val="en-GB"/>
        </w:rPr>
        <w:t>,</w:t>
      </w:r>
      <w:r w:rsidRPr="00380941">
        <w:rPr>
          <w:lang w:val="en-GB"/>
        </w:rPr>
        <w:t xml:space="preserve"> </w:t>
      </w:r>
      <w:r w:rsidR="003A079F" w:rsidRPr="00380941">
        <w:rPr>
          <w:lang w:val="en-GB"/>
        </w:rPr>
        <w:t xml:space="preserve">while the </w:t>
      </w:r>
      <w:r w:rsidRPr="00380941">
        <w:rPr>
          <w:lang w:val="en-GB"/>
        </w:rPr>
        <w:t xml:space="preserve">Solomon Islands (156th) </w:t>
      </w:r>
      <w:r w:rsidR="00380941">
        <w:rPr>
          <w:lang w:val="en-GB"/>
        </w:rPr>
        <w:t>is</w:t>
      </w:r>
      <w:r w:rsidR="00380941" w:rsidRPr="00380941">
        <w:rPr>
          <w:lang w:val="en-GB"/>
        </w:rPr>
        <w:t xml:space="preserve"> </w:t>
      </w:r>
      <w:r w:rsidRPr="00380941">
        <w:rPr>
          <w:lang w:val="en-GB"/>
        </w:rPr>
        <w:t>ranked in the low human development category</w:t>
      </w:r>
      <w:r w:rsidRPr="00380941">
        <w:rPr>
          <w:rStyle w:val="FootnoteReference"/>
          <w:lang w:val="en-GB"/>
        </w:rPr>
        <w:footnoteReference w:id="5"/>
      </w:r>
      <w:r w:rsidR="00F072CB" w:rsidRPr="00380941">
        <w:rPr>
          <w:lang w:val="en-GB"/>
        </w:rPr>
        <w:t>.</w:t>
      </w:r>
      <w:r w:rsidRPr="00380941">
        <w:rPr>
          <w:lang w:val="en-GB"/>
        </w:rPr>
        <w:t xml:space="preserve"> Kiribati, Tuvalu, </w:t>
      </w:r>
      <w:r w:rsidR="003A079F" w:rsidRPr="004435B3">
        <w:rPr>
          <w:lang w:val="en-GB"/>
        </w:rPr>
        <w:t xml:space="preserve">the </w:t>
      </w:r>
      <w:r w:rsidRPr="00380941">
        <w:rPr>
          <w:lang w:val="en-GB"/>
        </w:rPr>
        <w:t>Solomon Islands and Vanuatu</w:t>
      </w:r>
      <w:r w:rsidRPr="00380941">
        <w:rPr>
          <w:vertAlign w:val="superscript"/>
          <w:lang w:val="en-GB"/>
        </w:rPr>
        <w:footnoteReference w:id="6"/>
      </w:r>
      <w:r w:rsidRPr="00380941">
        <w:rPr>
          <w:lang w:val="en-GB"/>
        </w:rPr>
        <w:t xml:space="preserve"> are classified as least developed countries</w:t>
      </w:r>
      <w:r w:rsidR="00F072CB" w:rsidRPr="00380941">
        <w:rPr>
          <w:lang w:val="en-GB"/>
        </w:rPr>
        <w:t>.</w:t>
      </w:r>
      <w:r w:rsidR="002F6BA1" w:rsidRPr="00380941">
        <w:rPr>
          <w:lang w:val="en-GB"/>
        </w:rPr>
        <w:t xml:space="preserve"> </w:t>
      </w:r>
    </w:p>
    <w:p w14:paraId="2DDCC589" w14:textId="77777777" w:rsidR="00C96EAD" w:rsidRPr="00380941" w:rsidRDefault="00C96EAD" w:rsidP="002E4CA0">
      <w:pPr>
        <w:ind w:right="1208"/>
        <w:contextualSpacing/>
        <w:jc w:val="both"/>
        <w:rPr>
          <w:sz w:val="12"/>
          <w:szCs w:val="12"/>
          <w:lang w:val="en-GB"/>
        </w:rPr>
      </w:pPr>
    </w:p>
    <w:p w14:paraId="0992E101" w14:textId="0C62F460" w:rsidR="00A14C97" w:rsidRPr="00380941" w:rsidRDefault="00A14C97" w:rsidP="00A14C97">
      <w:pPr>
        <w:pStyle w:val="ListParagraph"/>
        <w:numPr>
          <w:ilvl w:val="0"/>
          <w:numId w:val="5"/>
        </w:numPr>
        <w:ind w:left="1134" w:right="1208" w:firstLine="0"/>
        <w:contextualSpacing/>
        <w:jc w:val="both"/>
        <w:rPr>
          <w:lang w:val="en-GB"/>
        </w:rPr>
      </w:pPr>
      <w:r w:rsidRPr="00380941">
        <w:rPr>
          <w:lang w:val="en-GB"/>
        </w:rPr>
        <w:t xml:space="preserve">The subregion is affected by geographic isolation, ecological fragility, limited resources and </w:t>
      </w:r>
      <w:r w:rsidR="0026368D">
        <w:rPr>
          <w:lang w:val="en-GB"/>
        </w:rPr>
        <w:t xml:space="preserve">a </w:t>
      </w:r>
      <w:r w:rsidRPr="00380941">
        <w:rPr>
          <w:lang w:val="en-GB"/>
        </w:rPr>
        <w:t xml:space="preserve">narrow economic base. It is vulnerable to climate change and disasters and exposed to external shocks, with some countries having experienced political instability, civil unrest and frequent changes of government. These wide-ranging economic, social, environmental and political challenges threaten </w:t>
      </w:r>
      <w:r w:rsidR="00FE6735" w:rsidRPr="00380941">
        <w:rPr>
          <w:lang w:val="en-GB"/>
        </w:rPr>
        <w:t>its</w:t>
      </w:r>
      <w:r w:rsidRPr="00380941">
        <w:rPr>
          <w:lang w:val="en-GB"/>
        </w:rPr>
        <w:t xml:space="preserve"> development and growth </w:t>
      </w:r>
      <w:r w:rsidR="00ED73C6" w:rsidRPr="00380941">
        <w:rPr>
          <w:lang w:val="en-GB"/>
        </w:rPr>
        <w:t>pathways</w:t>
      </w:r>
      <w:r w:rsidRPr="00380941">
        <w:rPr>
          <w:lang w:val="en-GB"/>
        </w:rPr>
        <w:t xml:space="preserve">, including achievement of the </w:t>
      </w:r>
      <w:r w:rsidR="00FE6735" w:rsidRPr="00380941">
        <w:rPr>
          <w:lang w:val="en-GB"/>
        </w:rPr>
        <w:t>s</w:t>
      </w:r>
      <w:r w:rsidRPr="00380941">
        <w:rPr>
          <w:lang w:val="en-GB"/>
        </w:rPr>
        <w:t xml:space="preserve">ustainable </w:t>
      </w:r>
      <w:r w:rsidR="00FE6735" w:rsidRPr="00380941">
        <w:rPr>
          <w:lang w:val="en-GB"/>
        </w:rPr>
        <w:t>d</w:t>
      </w:r>
      <w:r w:rsidRPr="00380941">
        <w:rPr>
          <w:lang w:val="en-GB"/>
        </w:rPr>
        <w:t xml:space="preserve">evelopment </w:t>
      </w:r>
      <w:r w:rsidR="00FE6735" w:rsidRPr="00380941">
        <w:rPr>
          <w:lang w:val="en-GB"/>
        </w:rPr>
        <w:t>g</w:t>
      </w:r>
      <w:r w:rsidRPr="00380941">
        <w:rPr>
          <w:lang w:val="en-GB"/>
        </w:rPr>
        <w:t xml:space="preserve">oals. Governments in the </w:t>
      </w:r>
      <w:r w:rsidR="00FE6735" w:rsidRPr="00380941">
        <w:rPr>
          <w:lang w:val="en-GB"/>
        </w:rPr>
        <w:t>subregion</w:t>
      </w:r>
      <w:r w:rsidRPr="00380941">
        <w:rPr>
          <w:lang w:val="en-GB"/>
        </w:rPr>
        <w:t xml:space="preserve"> often lack </w:t>
      </w:r>
      <w:r w:rsidR="00D65861" w:rsidRPr="00380941">
        <w:rPr>
          <w:lang w:val="en-GB"/>
        </w:rPr>
        <w:t xml:space="preserve">the </w:t>
      </w:r>
      <w:r w:rsidRPr="00380941">
        <w:rPr>
          <w:lang w:val="en-GB"/>
        </w:rPr>
        <w:t xml:space="preserve">resources and capacity to tackle these challenges. Most </w:t>
      </w:r>
      <w:r w:rsidR="0026368D">
        <w:rPr>
          <w:lang w:val="en-GB"/>
        </w:rPr>
        <w:t>rely</w:t>
      </w:r>
      <w:r w:rsidR="0026368D" w:rsidRPr="00380941">
        <w:rPr>
          <w:lang w:val="en-GB"/>
        </w:rPr>
        <w:t xml:space="preserve"> </w:t>
      </w:r>
      <w:r w:rsidRPr="00380941">
        <w:rPr>
          <w:lang w:val="en-GB"/>
        </w:rPr>
        <w:t xml:space="preserve">heavily on </w:t>
      </w:r>
      <w:r w:rsidR="00D65861" w:rsidRPr="00380941">
        <w:rPr>
          <w:lang w:val="en-GB"/>
        </w:rPr>
        <w:t>o</w:t>
      </w:r>
      <w:r w:rsidRPr="00380941">
        <w:rPr>
          <w:lang w:val="en-GB"/>
        </w:rPr>
        <w:t xml:space="preserve">fficial </w:t>
      </w:r>
      <w:r w:rsidR="00D65861" w:rsidRPr="00380941">
        <w:rPr>
          <w:lang w:val="en-GB"/>
        </w:rPr>
        <w:t>d</w:t>
      </w:r>
      <w:r w:rsidRPr="00380941">
        <w:rPr>
          <w:lang w:val="en-GB"/>
        </w:rPr>
        <w:t xml:space="preserve">evelopment </w:t>
      </w:r>
      <w:r w:rsidR="00D65861" w:rsidRPr="00380941">
        <w:rPr>
          <w:lang w:val="en-GB"/>
        </w:rPr>
        <w:t>a</w:t>
      </w:r>
      <w:r w:rsidRPr="00380941">
        <w:rPr>
          <w:lang w:val="en-GB"/>
        </w:rPr>
        <w:t>ssistance, overseas remittances and imported goods.</w:t>
      </w:r>
    </w:p>
    <w:p w14:paraId="62CE9ABC" w14:textId="77777777" w:rsidR="00920763" w:rsidRPr="00380941" w:rsidRDefault="00920763" w:rsidP="00920763">
      <w:pPr>
        <w:pStyle w:val="ListParagraph"/>
        <w:rPr>
          <w:sz w:val="12"/>
          <w:szCs w:val="12"/>
          <w:lang w:val="en-GB"/>
        </w:rPr>
      </w:pPr>
    </w:p>
    <w:p w14:paraId="2B13010E" w14:textId="54B45CF4" w:rsidR="00920763" w:rsidRPr="00380941" w:rsidRDefault="00920763" w:rsidP="00A14C97">
      <w:pPr>
        <w:pStyle w:val="ListParagraph"/>
        <w:numPr>
          <w:ilvl w:val="0"/>
          <w:numId w:val="5"/>
        </w:numPr>
        <w:ind w:left="1134" w:right="1208" w:firstLine="0"/>
        <w:contextualSpacing/>
        <w:jc w:val="both"/>
        <w:rPr>
          <w:lang w:val="en-GB"/>
        </w:rPr>
      </w:pPr>
      <w:r w:rsidRPr="00380941">
        <w:rPr>
          <w:lang w:val="en-GB"/>
        </w:rPr>
        <w:t xml:space="preserve">The long-term average growth rates for most countries are estimated to be between 0.7 and 1 per cent, with only Fiji and the Solomon Islands </w:t>
      </w:r>
      <w:r w:rsidR="0026368D">
        <w:rPr>
          <w:lang w:val="en-GB"/>
        </w:rPr>
        <w:t>proj</w:t>
      </w:r>
      <w:r w:rsidR="00D65861" w:rsidRPr="00380941">
        <w:rPr>
          <w:lang w:val="en-GB"/>
        </w:rPr>
        <w:t>ected</w:t>
      </w:r>
      <w:r w:rsidRPr="00380941">
        <w:rPr>
          <w:lang w:val="en-GB"/>
        </w:rPr>
        <w:t xml:space="preserve"> to generate per capita </w:t>
      </w:r>
      <w:r w:rsidR="00D65861" w:rsidRPr="00380941">
        <w:rPr>
          <w:lang w:val="en-GB"/>
        </w:rPr>
        <w:t xml:space="preserve">gross domestic product </w:t>
      </w:r>
      <w:r w:rsidRPr="00380941">
        <w:rPr>
          <w:lang w:val="en-GB"/>
        </w:rPr>
        <w:t>growth of more than 1.5 per cent annually</w:t>
      </w:r>
      <w:r w:rsidRPr="00380941">
        <w:rPr>
          <w:rStyle w:val="FootnoteReference"/>
          <w:lang w:val="en-GB"/>
        </w:rPr>
        <w:footnoteReference w:id="7"/>
      </w:r>
      <w:r w:rsidRPr="00380941">
        <w:rPr>
          <w:lang w:val="en-GB"/>
        </w:rPr>
        <w:t xml:space="preserve">. </w:t>
      </w:r>
      <w:r w:rsidR="00D65861" w:rsidRPr="00380941">
        <w:rPr>
          <w:lang w:val="en-GB"/>
        </w:rPr>
        <w:t>The</w:t>
      </w:r>
      <w:r w:rsidRPr="00380941">
        <w:rPr>
          <w:lang w:val="en-GB"/>
        </w:rPr>
        <w:t xml:space="preserve"> economic costs of disasters will continue to detract</w:t>
      </w:r>
      <w:r w:rsidR="0026368D">
        <w:rPr>
          <w:lang w:val="en-GB"/>
        </w:rPr>
        <w:t xml:space="preserve"> </w:t>
      </w:r>
      <w:r w:rsidRPr="00380941">
        <w:rPr>
          <w:lang w:val="en-GB"/>
        </w:rPr>
        <w:t>f</w:t>
      </w:r>
      <w:r w:rsidR="0026368D">
        <w:rPr>
          <w:lang w:val="en-GB"/>
        </w:rPr>
        <w:t>rom</w:t>
      </w:r>
      <w:r w:rsidRPr="00380941">
        <w:rPr>
          <w:lang w:val="en-GB"/>
        </w:rPr>
        <w:t xml:space="preserve"> growth, with average losses falling between 0.5 </w:t>
      </w:r>
      <w:r w:rsidR="0026368D">
        <w:rPr>
          <w:lang w:val="en-GB"/>
        </w:rPr>
        <w:t>and</w:t>
      </w:r>
      <w:r w:rsidR="0026368D" w:rsidRPr="00380941">
        <w:rPr>
          <w:lang w:val="en-GB"/>
        </w:rPr>
        <w:t xml:space="preserve"> </w:t>
      </w:r>
      <w:r w:rsidRPr="00380941">
        <w:rPr>
          <w:lang w:val="en-GB"/>
        </w:rPr>
        <w:t xml:space="preserve">6.6 per cent of </w:t>
      </w:r>
      <w:r w:rsidR="00D65861" w:rsidRPr="00380941">
        <w:rPr>
          <w:lang w:val="en-GB"/>
        </w:rPr>
        <w:t>gross domestic product</w:t>
      </w:r>
      <w:r w:rsidRPr="00380941">
        <w:rPr>
          <w:lang w:val="en-GB"/>
        </w:rPr>
        <w:t xml:space="preserve"> annually</w:t>
      </w:r>
      <w:r w:rsidRPr="00380941">
        <w:rPr>
          <w:rStyle w:val="FootnoteReference"/>
          <w:lang w:val="en-GB"/>
        </w:rPr>
        <w:footnoteReference w:id="8"/>
      </w:r>
      <w:r w:rsidRPr="00380941">
        <w:rPr>
          <w:lang w:val="en-GB"/>
        </w:rPr>
        <w:t>.</w:t>
      </w:r>
      <w:r w:rsidR="00616069" w:rsidRPr="00380941">
        <w:rPr>
          <w:lang w:val="en-GB"/>
        </w:rPr>
        <w:t xml:space="preserve"> </w:t>
      </w:r>
    </w:p>
    <w:p w14:paraId="131C3900" w14:textId="77777777" w:rsidR="00A14C97" w:rsidRPr="00380941" w:rsidRDefault="00A14C97" w:rsidP="00A14C97">
      <w:pPr>
        <w:pStyle w:val="ListParagraph"/>
        <w:ind w:left="1134" w:right="1208"/>
        <w:contextualSpacing/>
        <w:jc w:val="both"/>
        <w:rPr>
          <w:sz w:val="12"/>
          <w:szCs w:val="12"/>
          <w:lang w:val="en-GB"/>
        </w:rPr>
      </w:pPr>
    </w:p>
    <w:p w14:paraId="3CC37058" w14:textId="7D179902" w:rsidR="0030799B" w:rsidRPr="00380941" w:rsidRDefault="00D65861" w:rsidP="0030799B">
      <w:pPr>
        <w:pStyle w:val="ListParagraph"/>
        <w:numPr>
          <w:ilvl w:val="0"/>
          <w:numId w:val="5"/>
        </w:numPr>
        <w:ind w:left="1134" w:right="1208" w:firstLine="0"/>
        <w:contextualSpacing/>
        <w:jc w:val="both"/>
        <w:rPr>
          <w:lang w:val="en-GB"/>
        </w:rPr>
      </w:pPr>
      <w:r w:rsidRPr="00380941">
        <w:rPr>
          <w:lang w:val="en-GB"/>
        </w:rPr>
        <w:t xml:space="preserve">Progress </w:t>
      </w:r>
      <w:r w:rsidR="0026368D">
        <w:rPr>
          <w:lang w:val="en-GB"/>
        </w:rPr>
        <w:t>in</w:t>
      </w:r>
      <w:r w:rsidRPr="00380941">
        <w:rPr>
          <w:lang w:val="en-GB"/>
        </w:rPr>
        <w:t xml:space="preserve"> the </w:t>
      </w:r>
      <w:r w:rsidR="00FE6735" w:rsidRPr="00380941">
        <w:rPr>
          <w:lang w:val="en-GB"/>
        </w:rPr>
        <w:t>subregion</w:t>
      </w:r>
      <w:r w:rsidR="002B5CAB" w:rsidRPr="00380941">
        <w:rPr>
          <w:lang w:val="en-GB"/>
        </w:rPr>
        <w:t xml:space="preserve"> </w:t>
      </w:r>
      <w:r w:rsidR="00331EB9" w:rsidRPr="00380941">
        <w:rPr>
          <w:lang w:val="en-GB"/>
        </w:rPr>
        <w:t>towards</w:t>
      </w:r>
      <w:r w:rsidR="002B5CAB" w:rsidRPr="00380941">
        <w:rPr>
          <w:lang w:val="en-GB"/>
        </w:rPr>
        <w:t xml:space="preserve"> achieving the </w:t>
      </w:r>
      <w:r w:rsidR="00026D9D" w:rsidRPr="00380941">
        <w:rPr>
          <w:lang w:val="en-GB"/>
        </w:rPr>
        <w:t>Millennium Development Goal</w:t>
      </w:r>
      <w:r w:rsidR="002B5CAB" w:rsidRPr="00380941">
        <w:rPr>
          <w:lang w:val="en-GB"/>
        </w:rPr>
        <w:t>s</w:t>
      </w:r>
      <w:r w:rsidR="00946FA5" w:rsidRPr="00380941">
        <w:rPr>
          <w:lang w:val="en-GB"/>
        </w:rPr>
        <w:t xml:space="preserve"> was varied</w:t>
      </w:r>
      <w:r w:rsidR="002B5CAB" w:rsidRPr="00380941">
        <w:rPr>
          <w:lang w:val="en-GB"/>
        </w:rPr>
        <w:t>: m</w:t>
      </w:r>
      <w:r w:rsidR="004D5422" w:rsidRPr="00380941">
        <w:rPr>
          <w:lang w:val="en-GB"/>
        </w:rPr>
        <w:t>ost</w:t>
      </w:r>
      <w:r w:rsidR="00344E11" w:rsidRPr="00380941">
        <w:rPr>
          <w:lang w:val="en-GB"/>
        </w:rPr>
        <w:t xml:space="preserve"> countries reduced child mortality and achieved universal primary education</w:t>
      </w:r>
      <w:r w:rsidR="002B5CAB" w:rsidRPr="00380941">
        <w:rPr>
          <w:lang w:val="en-GB"/>
        </w:rPr>
        <w:t>;</w:t>
      </w:r>
      <w:r w:rsidR="00344E11" w:rsidRPr="00380941">
        <w:rPr>
          <w:lang w:val="en-GB"/>
        </w:rPr>
        <w:t xml:space="preserve"> </w:t>
      </w:r>
      <w:r w:rsidR="004D5422" w:rsidRPr="00380941">
        <w:rPr>
          <w:lang w:val="en-GB"/>
        </w:rPr>
        <w:t>some</w:t>
      </w:r>
      <w:r w:rsidR="009E0B80" w:rsidRPr="00380941">
        <w:rPr>
          <w:lang w:val="en-GB"/>
        </w:rPr>
        <w:t xml:space="preserve"> </w:t>
      </w:r>
      <w:r w:rsidR="00344E11" w:rsidRPr="00380941">
        <w:rPr>
          <w:lang w:val="en-GB"/>
        </w:rPr>
        <w:t>made progress in maternal health</w:t>
      </w:r>
      <w:r w:rsidR="002B5CAB" w:rsidRPr="00380941">
        <w:rPr>
          <w:lang w:val="en-GB"/>
        </w:rPr>
        <w:t>,</w:t>
      </w:r>
      <w:r w:rsidR="00344E11" w:rsidRPr="00380941">
        <w:rPr>
          <w:lang w:val="en-GB"/>
        </w:rPr>
        <w:t xml:space="preserve"> combating HIV/AIDS, malaria and tuberculosis and ensuring environmental sustainability</w:t>
      </w:r>
      <w:r w:rsidR="002B5CAB" w:rsidRPr="00380941">
        <w:rPr>
          <w:lang w:val="en-GB"/>
        </w:rPr>
        <w:t>; but</w:t>
      </w:r>
      <w:r w:rsidR="00344E11" w:rsidRPr="00380941">
        <w:rPr>
          <w:lang w:val="en-GB"/>
        </w:rPr>
        <w:t xml:space="preserve"> fewer made gains in reducing poverty and achieving gender equality and </w:t>
      </w:r>
      <w:r w:rsidR="002B5CAB" w:rsidRPr="00380941">
        <w:rPr>
          <w:lang w:val="en-GB"/>
        </w:rPr>
        <w:t xml:space="preserve">women’s </w:t>
      </w:r>
      <w:r w:rsidR="00344E11" w:rsidRPr="00380941">
        <w:rPr>
          <w:lang w:val="en-GB"/>
        </w:rPr>
        <w:t>empowerment.</w:t>
      </w:r>
      <w:r w:rsidR="00EF5DBC" w:rsidRPr="00380941">
        <w:rPr>
          <w:rStyle w:val="FootnoteReference"/>
          <w:lang w:val="en-GB"/>
        </w:rPr>
        <w:footnoteReference w:id="9"/>
      </w:r>
      <w:r w:rsidR="00C62442" w:rsidRPr="00380941">
        <w:rPr>
          <w:lang w:val="en-GB"/>
        </w:rPr>
        <w:t xml:space="preserve"> </w:t>
      </w:r>
      <w:r w:rsidR="00A14C97" w:rsidRPr="00380941">
        <w:rPr>
          <w:lang w:val="en-GB"/>
        </w:rPr>
        <w:t xml:space="preserve">National efforts </w:t>
      </w:r>
      <w:r w:rsidR="00D541D5" w:rsidRPr="00380941">
        <w:rPr>
          <w:lang w:val="en-GB"/>
        </w:rPr>
        <w:t xml:space="preserve">have been </w:t>
      </w:r>
      <w:r w:rsidR="00A14C97" w:rsidRPr="00380941">
        <w:rPr>
          <w:lang w:val="en-GB"/>
        </w:rPr>
        <w:t xml:space="preserve">complemented by collective </w:t>
      </w:r>
      <w:r w:rsidRPr="00380941">
        <w:rPr>
          <w:lang w:val="en-GB"/>
        </w:rPr>
        <w:t xml:space="preserve">regional </w:t>
      </w:r>
      <w:r w:rsidR="00D541D5" w:rsidRPr="00380941">
        <w:rPr>
          <w:lang w:val="en-GB"/>
        </w:rPr>
        <w:t>efforts</w:t>
      </w:r>
      <w:r w:rsidRPr="00380941">
        <w:rPr>
          <w:lang w:val="en-GB"/>
        </w:rPr>
        <w:t>,</w:t>
      </w:r>
      <w:r w:rsidR="00D541D5" w:rsidRPr="00380941">
        <w:rPr>
          <w:lang w:val="en-GB"/>
        </w:rPr>
        <w:t xml:space="preserve"> </w:t>
      </w:r>
      <w:r w:rsidR="00A14C97" w:rsidRPr="00380941">
        <w:rPr>
          <w:lang w:val="en-GB"/>
        </w:rPr>
        <w:t>as set out in the Framework for Pacific Regionalism</w:t>
      </w:r>
      <w:r w:rsidR="00A14C97" w:rsidRPr="00380941">
        <w:rPr>
          <w:rStyle w:val="FootnoteReference"/>
          <w:lang w:val="en-GB"/>
        </w:rPr>
        <w:footnoteReference w:id="10"/>
      </w:r>
      <w:r w:rsidR="00780D5C" w:rsidRPr="00380941">
        <w:rPr>
          <w:lang w:val="en-GB"/>
        </w:rPr>
        <w:t>.</w:t>
      </w:r>
    </w:p>
    <w:p w14:paraId="30B9B46A" w14:textId="77777777" w:rsidR="0030799B" w:rsidRPr="00380941" w:rsidRDefault="0030799B" w:rsidP="0030799B">
      <w:pPr>
        <w:pStyle w:val="ListParagraph"/>
        <w:rPr>
          <w:sz w:val="12"/>
          <w:szCs w:val="12"/>
          <w:lang w:val="en-GB"/>
        </w:rPr>
      </w:pPr>
    </w:p>
    <w:p w14:paraId="5F4B152E" w14:textId="14BE95DF" w:rsidR="005E583E" w:rsidRPr="005D0016" w:rsidRDefault="005E583E" w:rsidP="0030799B">
      <w:pPr>
        <w:pStyle w:val="ListParagraph"/>
        <w:numPr>
          <w:ilvl w:val="0"/>
          <w:numId w:val="5"/>
        </w:numPr>
        <w:ind w:left="1134" w:right="1208" w:firstLine="0"/>
        <w:contextualSpacing/>
        <w:jc w:val="both"/>
        <w:rPr>
          <w:lang w:val="en-GB"/>
        </w:rPr>
      </w:pPr>
      <w:r w:rsidRPr="00380941">
        <w:rPr>
          <w:lang w:val="en-GB"/>
        </w:rPr>
        <w:t>Most countries have national and sector</w:t>
      </w:r>
      <w:r w:rsidR="006C3DFF" w:rsidRPr="00380941">
        <w:rPr>
          <w:lang w:val="en-GB"/>
        </w:rPr>
        <w:t>al</w:t>
      </w:r>
      <w:r w:rsidRPr="00380941">
        <w:rPr>
          <w:lang w:val="en-GB"/>
        </w:rPr>
        <w:t xml:space="preserve"> plans but these are generally not well resourced or implemented. </w:t>
      </w:r>
      <w:r w:rsidR="00840924" w:rsidRPr="00380941">
        <w:rPr>
          <w:lang w:val="en-GB"/>
        </w:rPr>
        <w:t xml:space="preserve">UNDP has been at the forefront of assisting countries </w:t>
      </w:r>
      <w:r w:rsidR="006C3DFF" w:rsidRPr="00380941">
        <w:rPr>
          <w:lang w:val="en-GB"/>
        </w:rPr>
        <w:t xml:space="preserve">in </w:t>
      </w:r>
      <w:r w:rsidR="00267A06" w:rsidRPr="00380941">
        <w:rPr>
          <w:lang w:val="en-GB"/>
        </w:rPr>
        <w:lastRenderedPageBreak/>
        <w:t>design</w:t>
      </w:r>
      <w:r w:rsidR="006C3DFF" w:rsidRPr="00380941">
        <w:rPr>
          <w:lang w:val="en-GB"/>
        </w:rPr>
        <w:t>ing</w:t>
      </w:r>
      <w:r w:rsidR="00267A06" w:rsidRPr="00380941">
        <w:rPr>
          <w:lang w:val="en-GB"/>
        </w:rPr>
        <w:t xml:space="preserve"> and implement</w:t>
      </w:r>
      <w:r w:rsidR="006C3DFF" w:rsidRPr="00380941">
        <w:rPr>
          <w:lang w:val="en-GB"/>
        </w:rPr>
        <w:t>ing</w:t>
      </w:r>
      <w:r w:rsidRPr="00380941">
        <w:rPr>
          <w:lang w:val="en-GB"/>
        </w:rPr>
        <w:t xml:space="preserve"> </w:t>
      </w:r>
      <w:r w:rsidR="006360DA" w:rsidRPr="00380941">
        <w:rPr>
          <w:lang w:val="en-GB"/>
        </w:rPr>
        <w:t>national and sector</w:t>
      </w:r>
      <w:r w:rsidR="006C3DFF" w:rsidRPr="00380941">
        <w:rPr>
          <w:lang w:val="en-GB"/>
        </w:rPr>
        <w:t>al</w:t>
      </w:r>
      <w:r w:rsidR="006360DA" w:rsidRPr="00380941">
        <w:rPr>
          <w:lang w:val="en-GB"/>
        </w:rPr>
        <w:t xml:space="preserve"> development plans</w:t>
      </w:r>
      <w:r w:rsidR="00D4500A" w:rsidRPr="00380941">
        <w:rPr>
          <w:lang w:val="en-GB"/>
        </w:rPr>
        <w:t xml:space="preserve">, </w:t>
      </w:r>
      <w:r w:rsidR="006C3DFF" w:rsidRPr="00380941">
        <w:rPr>
          <w:lang w:val="en-GB"/>
        </w:rPr>
        <w:t xml:space="preserve">Millennium Development Goals </w:t>
      </w:r>
      <w:r w:rsidRPr="00380941">
        <w:rPr>
          <w:lang w:val="en-GB"/>
        </w:rPr>
        <w:t>acceleration frameworks</w:t>
      </w:r>
      <w:r w:rsidR="00A92EF7" w:rsidRPr="00380941">
        <w:rPr>
          <w:lang w:val="en-GB"/>
        </w:rPr>
        <w:t>,</w:t>
      </w:r>
      <w:r w:rsidR="00D4500A" w:rsidRPr="00380941">
        <w:rPr>
          <w:lang w:val="en-GB"/>
        </w:rPr>
        <w:t xml:space="preserve"> poverty surveys</w:t>
      </w:r>
      <w:r w:rsidR="00A92EF7" w:rsidRPr="00380941">
        <w:rPr>
          <w:lang w:val="en-GB"/>
        </w:rPr>
        <w:t xml:space="preserve"> and climate finance assessments</w:t>
      </w:r>
      <w:r w:rsidR="00D4500A" w:rsidRPr="00380941">
        <w:rPr>
          <w:lang w:val="en-GB"/>
        </w:rPr>
        <w:t>.</w:t>
      </w:r>
      <w:r w:rsidR="00840924" w:rsidRPr="00380941">
        <w:rPr>
          <w:lang w:val="en-GB"/>
        </w:rPr>
        <w:t xml:space="preserve"> Th</w:t>
      </w:r>
      <w:r w:rsidR="0026368D">
        <w:rPr>
          <w:lang w:val="en-GB"/>
        </w:rPr>
        <w:t>e</w:t>
      </w:r>
      <w:r w:rsidR="00840924" w:rsidRPr="005D0016">
        <w:rPr>
          <w:lang w:val="en-GB"/>
        </w:rPr>
        <w:t xml:space="preserve"> support </w:t>
      </w:r>
      <w:r w:rsidRPr="005D0016">
        <w:rPr>
          <w:lang w:val="en-GB"/>
        </w:rPr>
        <w:t>highlighted issues such as the paucity of data; inadequate links between planning and budgets; uneven sharing of capacity and resources between sectors</w:t>
      </w:r>
      <w:r w:rsidR="00D541D5" w:rsidRPr="005D0016">
        <w:rPr>
          <w:lang w:val="en-GB"/>
        </w:rPr>
        <w:t xml:space="preserve"> and administrative units</w:t>
      </w:r>
      <w:r w:rsidRPr="005D0016">
        <w:rPr>
          <w:lang w:val="en-GB"/>
        </w:rPr>
        <w:t xml:space="preserve">; and a lack of capacity to effectively </w:t>
      </w:r>
      <w:r w:rsidR="00D56BB1" w:rsidRPr="005D0016">
        <w:rPr>
          <w:lang w:val="en-GB"/>
        </w:rPr>
        <w:t>manage development finance</w:t>
      </w:r>
      <w:r w:rsidR="00A77F5B" w:rsidRPr="005D0016">
        <w:rPr>
          <w:lang w:val="en-GB"/>
        </w:rPr>
        <w:t>.</w:t>
      </w:r>
    </w:p>
    <w:p w14:paraId="5E787B46" w14:textId="77777777" w:rsidR="00F3081B" w:rsidRPr="005D0016" w:rsidRDefault="00F3081B" w:rsidP="00F3081B">
      <w:pPr>
        <w:pStyle w:val="ListParagraph"/>
        <w:rPr>
          <w:sz w:val="12"/>
          <w:szCs w:val="12"/>
          <w:lang w:val="en-GB"/>
        </w:rPr>
      </w:pPr>
    </w:p>
    <w:p w14:paraId="4F1E060B" w14:textId="1F92CB7A" w:rsidR="00F3081B" w:rsidRPr="005D0016" w:rsidRDefault="006C3DFF" w:rsidP="0030799B">
      <w:pPr>
        <w:pStyle w:val="ListParagraph"/>
        <w:numPr>
          <w:ilvl w:val="0"/>
          <w:numId w:val="5"/>
        </w:numPr>
        <w:ind w:left="1134" w:right="1208" w:firstLine="0"/>
        <w:contextualSpacing/>
        <w:jc w:val="both"/>
        <w:rPr>
          <w:lang w:val="en-GB"/>
        </w:rPr>
      </w:pPr>
      <w:r w:rsidRPr="005D0016">
        <w:rPr>
          <w:lang w:val="en-GB"/>
        </w:rPr>
        <w:t>The u</w:t>
      </w:r>
      <w:r w:rsidR="008951BE" w:rsidRPr="005D0016">
        <w:rPr>
          <w:lang w:val="en-GB"/>
        </w:rPr>
        <w:t xml:space="preserve">nfinished </w:t>
      </w:r>
      <w:r w:rsidRPr="005D0016">
        <w:rPr>
          <w:lang w:val="en-GB"/>
        </w:rPr>
        <w:t xml:space="preserve">Millennium Development Goals </w:t>
      </w:r>
      <w:r w:rsidR="008951BE" w:rsidRPr="005D0016">
        <w:rPr>
          <w:lang w:val="en-GB"/>
        </w:rPr>
        <w:t xml:space="preserve">agenda remains important to UNDP </w:t>
      </w:r>
      <w:r w:rsidRPr="005D0016">
        <w:rPr>
          <w:lang w:val="en-GB"/>
        </w:rPr>
        <w:t>i</w:t>
      </w:r>
      <w:r w:rsidR="008951BE" w:rsidRPr="005D0016">
        <w:rPr>
          <w:lang w:val="en-GB"/>
        </w:rPr>
        <w:t xml:space="preserve">n localizing </w:t>
      </w:r>
      <w:r w:rsidRPr="005D0016">
        <w:rPr>
          <w:lang w:val="en-GB"/>
        </w:rPr>
        <w:t xml:space="preserve">the </w:t>
      </w:r>
      <w:r w:rsidR="008951BE" w:rsidRPr="005D0016">
        <w:rPr>
          <w:lang w:val="en-GB"/>
        </w:rPr>
        <w:t>2030</w:t>
      </w:r>
      <w:r w:rsidR="0018073C" w:rsidRPr="005D0016">
        <w:rPr>
          <w:lang w:val="en-GB"/>
        </w:rPr>
        <w:t xml:space="preserve"> Agenda for Sustainable Development</w:t>
      </w:r>
      <w:r w:rsidR="008951BE" w:rsidRPr="005D0016">
        <w:rPr>
          <w:lang w:val="en-GB"/>
        </w:rPr>
        <w:t xml:space="preserve">. </w:t>
      </w:r>
      <w:r w:rsidR="00F3081B" w:rsidRPr="005D0016">
        <w:rPr>
          <w:lang w:val="en-GB"/>
        </w:rPr>
        <w:t xml:space="preserve">In the previous programme cycle, UNDP </w:t>
      </w:r>
      <w:r w:rsidR="0018073C" w:rsidRPr="005D0016">
        <w:rPr>
          <w:lang w:val="en-GB"/>
        </w:rPr>
        <w:t xml:space="preserve">concentrated </w:t>
      </w:r>
      <w:r w:rsidR="004F63DD" w:rsidRPr="005D0016">
        <w:rPr>
          <w:lang w:val="en-GB"/>
        </w:rPr>
        <w:t xml:space="preserve">its support to the countries on </w:t>
      </w:r>
      <w:r w:rsidR="00FE6735" w:rsidRPr="005D0016">
        <w:rPr>
          <w:lang w:val="en-GB"/>
        </w:rPr>
        <w:t>sustainable development goals</w:t>
      </w:r>
      <w:r w:rsidR="00F3081B" w:rsidRPr="005D0016">
        <w:rPr>
          <w:lang w:val="en-GB"/>
        </w:rPr>
        <w:t xml:space="preserve"> localization</w:t>
      </w:r>
      <w:r w:rsidR="004F63DD" w:rsidRPr="005D0016">
        <w:rPr>
          <w:lang w:val="en-GB"/>
        </w:rPr>
        <w:t xml:space="preserve">, including </w:t>
      </w:r>
      <w:r w:rsidR="00F3081B" w:rsidRPr="005D0016">
        <w:rPr>
          <w:lang w:val="en-GB"/>
        </w:rPr>
        <w:t xml:space="preserve">the introduction of tools for coordination, planning and budgeting, and data and monitoring. UNDP </w:t>
      </w:r>
      <w:r w:rsidR="001418E2">
        <w:rPr>
          <w:lang w:val="en-GB"/>
        </w:rPr>
        <w:t>facilitated</w:t>
      </w:r>
      <w:r w:rsidR="001418E2" w:rsidRPr="005D0016">
        <w:rPr>
          <w:lang w:val="en-GB"/>
        </w:rPr>
        <w:t xml:space="preserve"> </w:t>
      </w:r>
      <w:r w:rsidR="00F3081B" w:rsidRPr="005D0016">
        <w:rPr>
          <w:lang w:val="en-GB"/>
        </w:rPr>
        <w:t xml:space="preserve">national consultations on the </w:t>
      </w:r>
      <w:r w:rsidR="00FE6735" w:rsidRPr="005D0016">
        <w:rPr>
          <w:lang w:val="en-GB"/>
        </w:rPr>
        <w:t xml:space="preserve">goals </w:t>
      </w:r>
      <w:r w:rsidR="00F3081B" w:rsidRPr="005D0016">
        <w:rPr>
          <w:lang w:val="en-GB"/>
        </w:rPr>
        <w:t xml:space="preserve">in Tonga, Palau, Fiji, </w:t>
      </w:r>
      <w:r w:rsidR="003A079F" w:rsidRPr="004435B3">
        <w:rPr>
          <w:lang w:val="en-GB"/>
        </w:rPr>
        <w:t xml:space="preserve">the </w:t>
      </w:r>
      <w:r w:rsidR="00F3081B" w:rsidRPr="005D0016">
        <w:rPr>
          <w:lang w:val="en-GB"/>
        </w:rPr>
        <w:t xml:space="preserve">Marshall Islands and </w:t>
      </w:r>
      <w:r w:rsidR="003A079F" w:rsidRPr="004435B3">
        <w:rPr>
          <w:lang w:val="en-GB"/>
        </w:rPr>
        <w:t xml:space="preserve">the </w:t>
      </w:r>
      <w:r w:rsidR="00F3081B" w:rsidRPr="005D0016">
        <w:rPr>
          <w:lang w:val="en-GB"/>
        </w:rPr>
        <w:t>Solomon Islands</w:t>
      </w:r>
      <w:r w:rsidR="0018073C" w:rsidRPr="005D0016">
        <w:rPr>
          <w:lang w:val="en-GB"/>
        </w:rPr>
        <w:t>, and</w:t>
      </w:r>
      <w:r w:rsidR="00F3081B" w:rsidRPr="005D0016">
        <w:rPr>
          <w:lang w:val="en-GB"/>
        </w:rPr>
        <w:t xml:space="preserve"> </w:t>
      </w:r>
      <w:r w:rsidR="004F63DD" w:rsidRPr="005D0016">
        <w:rPr>
          <w:lang w:val="en-GB"/>
        </w:rPr>
        <w:t>supported</w:t>
      </w:r>
      <w:r w:rsidR="00F3081B" w:rsidRPr="005D0016">
        <w:rPr>
          <w:lang w:val="en-GB"/>
        </w:rPr>
        <w:t xml:space="preserve"> regional </w:t>
      </w:r>
      <w:r w:rsidR="004F63DD" w:rsidRPr="005D0016">
        <w:rPr>
          <w:lang w:val="en-GB"/>
        </w:rPr>
        <w:t xml:space="preserve">organizations </w:t>
      </w:r>
      <w:r w:rsidR="00F3081B" w:rsidRPr="005D0016">
        <w:rPr>
          <w:lang w:val="en-GB"/>
        </w:rPr>
        <w:t xml:space="preserve">in the design and implementation of </w:t>
      </w:r>
      <w:r w:rsidR="004F63DD" w:rsidRPr="005D0016">
        <w:rPr>
          <w:lang w:val="en-GB"/>
        </w:rPr>
        <w:t xml:space="preserve">the </w:t>
      </w:r>
      <w:r w:rsidR="0018073C" w:rsidRPr="005D0016">
        <w:rPr>
          <w:lang w:val="en-GB"/>
        </w:rPr>
        <w:t>sustainable development goals</w:t>
      </w:r>
      <w:r w:rsidR="00F3081B" w:rsidRPr="005D0016">
        <w:rPr>
          <w:lang w:val="en-GB"/>
        </w:rPr>
        <w:t xml:space="preserve"> </w:t>
      </w:r>
      <w:r w:rsidR="0018073C" w:rsidRPr="005D0016">
        <w:rPr>
          <w:lang w:val="en-GB"/>
        </w:rPr>
        <w:t>‘r</w:t>
      </w:r>
      <w:r w:rsidR="00F3081B" w:rsidRPr="005D0016">
        <w:rPr>
          <w:lang w:val="en-GB"/>
        </w:rPr>
        <w:t>oadmap</w:t>
      </w:r>
      <w:r w:rsidR="0018073C" w:rsidRPr="005D0016">
        <w:rPr>
          <w:lang w:val="en-GB"/>
        </w:rPr>
        <w:t>’</w:t>
      </w:r>
      <w:r w:rsidR="004F63DD" w:rsidRPr="005D0016">
        <w:rPr>
          <w:lang w:val="en-GB"/>
        </w:rPr>
        <w:t xml:space="preserve"> and</w:t>
      </w:r>
      <w:r w:rsidR="00F3081B" w:rsidRPr="005D0016">
        <w:rPr>
          <w:lang w:val="en-GB"/>
        </w:rPr>
        <w:t xml:space="preserve"> regional </w:t>
      </w:r>
      <w:r w:rsidR="00FE6735" w:rsidRPr="005D0016">
        <w:rPr>
          <w:lang w:val="en-GB"/>
        </w:rPr>
        <w:t xml:space="preserve">goals </w:t>
      </w:r>
      <w:r w:rsidR="00F3081B" w:rsidRPr="005D0016">
        <w:rPr>
          <w:lang w:val="en-GB"/>
        </w:rPr>
        <w:t xml:space="preserve">indicators. </w:t>
      </w:r>
      <w:r w:rsidR="004F63DD" w:rsidRPr="005D0016">
        <w:rPr>
          <w:lang w:val="en-GB"/>
        </w:rPr>
        <w:t xml:space="preserve">As stated in the review of the </w:t>
      </w:r>
      <w:r w:rsidR="0018073C" w:rsidRPr="005D0016">
        <w:rPr>
          <w:lang w:val="en-GB"/>
        </w:rPr>
        <w:t>subregional programme document,</w:t>
      </w:r>
      <w:r w:rsidR="004F63DD" w:rsidRPr="005D0016">
        <w:rPr>
          <w:lang w:val="en-GB"/>
        </w:rPr>
        <w:t xml:space="preserve"> 2013-2017, </w:t>
      </w:r>
      <w:r w:rsidR="00F3081B" w:rsidRPr="005D0016">
        <w:rPr>
          <w:lang w:val="en-GB"/>
        </w:rPr>
        <w:t xml:space="preserve">UNDP support </w:t>
      </w:r>
      <w:r w:rsidR="004F63DD" w:rsidRPr="005D0016">
        <w:rPr>
          <w:lang w:val="en-GB"/>
        </w:rPr>
        <w:t xml:space="preserve">brought about </w:t>
      </w:r>
      <w:r w:rsidR="00F3081B" w:rsidRPr="005D0016">
        <w:rPr>
          <w:lang w:val="en-GB"/>
        </w:rPr>
        <w:t>increased ownership of plan</w:t>
      </w:r>
      <w:r w:rsidR="004F63DD" w:rsidRPr="005D0016">
        <w:rPr>
          <w:lang w:val="en-GB"/>
        </w:rPr>
        <w:t>s and stronger links to budgets,</w:t>
      </w:r>
      <w:r w:rsidR="00F3081B" w:rsidRPr="005D0016">
        <w:rPr>
          <w:lang w:val="en-GB"/>
        </w:rPr>
        <w:t xml:space="preserve"> </w:t>
      </w:r>
      <w:r w:rsidR="004F63DD" w:rsidRPr="005D0016">
        <w:rPr>
          <w:lang w:val="en-GB"/>
        </w:rPr>
        <w:t xml:space="preserve">and </w:t>
      </w:r>
      <w:r w:rsidR="00F3081B" w:rsidRPr="005D0016">
        <w:rPr>
          <w:lang w:val="en-GB"/>
        </w:rPr>
        <w:t>strengthened processes to ensure coordinated data collection across ministries</w:t>
      </w:r>
      <w:r w:rsidR="0018073C" w:rsidRPr="005D0016">
        <w:rPr>
          <w:lang w:val="en-GB"/>
        </w:rPr>
        <w:t>,</w:t>
      </w:r>
      <w:r w:rsidR="00F3081B" w:rsidRPr="005D0016">
        <w:rPr>
          <w:lang w:val="en-GB"/>
        </w:rPr>
        <w:t xml:space="preserve"> with horizontal and vertical policy coherence.</w:t>
      </w:r>
      <w:r w:rsidR="006E028C" w:rsidRPr="005D0016">
        <w:rPr>
          <w:rStyle w:val="FootnoteReference"/>
          <w:lang w:val="en-GB"/>
        </w:rPr>
        <w:footnoteReference w:id="11"/>
      </w:r>
    </w:p>
    <w:p w14:paraId="4DDAB720" w14:textId="77777777" w:rsidR="007845C5" w:rsidRPr="005D0016" w:rsidRDefault="007845C5" w:rsidP="007845C5">
      <w:pPr>
        <w:pStyle w:val="ListParagraph"/>
        <w:rPr>
          <w:sz w:val="12"/>
          <w:szCs w:val="12"/>
          <w:lang w:val="en-GB"/>
        </w:rPr>
      </w:pPr>
    </w:p>
    <w:p w14:paraId="5AB02C60" w14:textId="351DA732" w:rsidR="00D51438" w:rsidRPr="005D0016" w:rsidRDefault="00EF5DBC" w:rsidP="00221AAE">
      <w:pPr>
        <w:pStyle w:val="ListParagraph"/>
        <w:numPr>
          <w:ilvl w:val="0"/>
          <w:numId w:val="5"/>
        </w:numPr>
        <w:ind w:left="1134" w:right="1208" w:firstLine="0"/>
        <w:contextualSpacing/>
        <w:jc w:val="both"/>
        <w:rPr>
          <w:lang w:val="en-GB"/>
        </w:rPr>
      </w:pPr>
      <w:r w:rsidRPr="005D0016">
        <w:rPr>
          <w:lang w:val="en-GB"/>
        </w:rPr>
        <w:t>Although</w:t>
      </w:r>
      <w:r w:rsidR="003105A1" w:rsidRPr="005D0016">
        <w:rPr>
          <w:lang w:val="en-GB"/>
        </w:rPr>
        <w:t xml:space="preserve"> extreme poverty and hunger are </w:t>
      </w:r>
      <w:r w:rsidR="00C647EC" w:rsidRPr="004435B3">
        <w:rPr>
          <w:lang w:val="en-GB"/>
        </w:rPr>
        <w:t>rare</w:t>
      </w:r>
      <w:r w:rsidR="003105A1" w:rsidRPr="005D0016">
        <w:rPr>
          <w:lang w:val="en-GB"/>
        </w:rPr>
        <w:t xml:space="preserve">, hardship and vulnerability </w:t>
      </w:r>
      <w:r w:rsidR="00331EB9" w:rsidRPr="005D0016">
        <w:rPr>
          <w:lang w:val="en-GB"/>
        </w:rPr>
        <w:t>are on the rise</w:t>
      </w:r>
      <w:r w:rsidR="003105A1" w:rsidRPr="005D0016">
        <w:rPr>
          <w:lang w:val="en-GB"/>
        </w:rPr>
        <w:t xml:space="preserve"> in the </w:t>
      </w:r>
      <w:r w:rsidR="00FE6735" w:rsidRPr="005D0016">
        <w:rPr>
          <w:lang w:val="en-GB"/>
        </w:rPr>
        <w:t>subregion</w:t>
      </w:r>
      <w:r w:rsidR="00D76B4C" w:rsidRPr="005D0016">
        <w:rPr>
          <w:lang w:val="en-GB"/>
        </w:rPr>
        <w:t>, with on</w:t>
      </w:r>
      <w:r w:rsidR="00F744E5" w:rsidRPr="005D0016">
        <w:rPr>
          <w:lang w:val="en-GB"/>
        </w:rPr>
        <w:t>e in five Pacific islanders continuing to live</w:t>
      </w:r>
      <w:r w:rsidR="009D771E" w:rsidRPr="005D0016">
        <w:rPr>
          <w:lang w:val="en-GB"/>
        </w:rPr>
        <w:t xml:space="preserve"> in relative poverty.</w:t>
      </w:r>
      <w:r w:rsidR="003105A1" w:rsidRPr="005D0016">
        <w:rPr>
          <w:vertAlign w:val="superscript"/>
          <w:lang w:val="en-GB"/>
        </w:rPr>
        <w:footnoteReference w:id="12"/>
      </w:r>
      <w:r w:rsidR="009D771E" w:rsidRPr="005D0016">
        <w:rPr>
          <w:lang w:val="en-GB"/>
        </w:rPr>
        <w:t xml:space="preserve"> T</w:t>
      </w:r>
      <w:r w:rsidR="003105A1" w:rsidRPr="005D0016">
        <w:rPr>
          <w:lang w:val="en-GB"/>
        </w:rPr>
        <w:t xml:space="preserve">he proportion of the population </w:t>
      </w:r>
      <w:r w:rsidR="009D771E" w:rsidRPr="005D0016">
        <w:rPr>
          <w:lang w:val="en-GB"/>
        </w:rPr>
        <w:t xml:space="preserve">in most countries </w:t>
      </w:r>
      <w:r w:rsidR="00331EB9" w:rsidRPr="005D0016">
        <w:rPr>
          <w:lang w:val="en-GB"/>
        </w:rPr>
        <w:t xml:space="preserve">living </w:t>
      </w:r>
      <w:r w:rsidR="003105A1" w:rsidRPr="005D0016">
        <w:rPr>
          <w:lang w:val="en-GB"/>
        </w:rPr>
        <w:t>below the national povert</w:t>
      </w:r>
      <w:r w:rsidR="009D771E" w:rsidRPr="005D0016">
        <w:rPr>
          <w:lang w:val="en-GB"/>
        </w:rPr>
        <w:t>y line has either increased (</w:t>
      </w:r>
      <w:r w:rsidR="003105A1" w:rsidRPr="005D0016">
        <w:rPr>
          <w:lang w:val="en-GB"/>
        </w:rPr>
        <w:t>Federated States of Micronesia, Samoa, Tonga, Tuvalu) or remain</w:t>
      </w:r>
      <w:r w:rsidR="00331EB9" w:rsidRPr="005D0016">
        <w:rPr>
          <w:lang w:val="en-GB"/>
        </w:rPr>
        <w:t>s</w:t>
      </w:r>
      <w:r w:rsidR="003105A1" w:rsidRPr="005D0016">
        <w:rPr>
          <w:lang w:val="en-GB"/>
        </w:rPr>
        <w:t xml:space="preserve"> unchanged.</w:t>
      </w:r>
      <w:r w:rsidR="00907C1C" w:rsidRPr="005D0016">
        <w:rPr>
          <w:lang w:val="en-GB"/>
        </w:rPr>
        <w:t xml:space="preserve"> Multidimensional poverty is high across many </w:t>
      </w:r>
      <w:r w:rsidR="003D377E" w:rsidRPr="005D0016">
        <w:rPr>
          <w:lang w:val="en-GB"/>
        </w:rPr>
        <w:t xml:space="preserve">countries </w:t>
      </w:r>
      <w:r w:rsidR="00907C1C" w:rsidRPr="005D0016">
        <w:rPr>
          <w:lang w:val="en-GB"/>
        </w:rPr>
        <w:t xml:space="preserve">due to geographic remoteness and lack of access to </w:t>
      </w:r>
      <w:r w:rsidR="00CA47FA" w:rsidRPr="005D0016">
        <w:rPr>
          <w:lang w:val="en-GB"/>
        </w:rPr>
        <w:t>basic services</w:t>
      </w:r>
      <w:r w:rsidR="00907C1C" w:rsidRPr="005D0016">
        <w:rPr>
          <w:lang w:val="en-GB"/>
        </w:rPr>
        <w:t>.</w:t>
      </w:r>
      <w:r w:rsidR="009D771E" w:rsidRPr="005D0016">
        <w:rPr>
          <w:lang w:val="en-GB"/>
        </w:rPr>
        <w:t xml:space="preserve"> </w:t>
      </w:r>
      <w:r w:rsidR="005A48AC" w:rsidRPr="005D0016">
        <w:rPr>
          <w:lang w:val="en-GB"/>
        </w:rPr>
        <w:t xml:space="preserve">Environmental, social and economic factors, including limited land access and productive resources, have increased human mobility, including internal migration. Urbanization and the creation of informal settlements have led to new </w:t>
      </w:r>
      <w:r w:rsidR="00997F60" w:rsidRPr="005D0016">
        <w:rPr>
          <w:lang w:val="en-GB"/>
        </w:rPr>
        <w:t xml:space="preserve">forms of hardship </w:t>
      </w:r>
      <w:r w:rsidR="005A48AC" w:rsidRPr="005D0016">
        <w:rPr>
          <w:lang w:val="en-GB"/>
        </w:rPr>
        <w:t xml:space="preserve">and </w:t>
      </w:r>
      <w:r w:rsidR="0026368D">
        <w:rPr>
          <w:lang w:val="en-GB"/>
        </w:rPr>
        <w:t>scant</w:t>
      </w:r>
      <w:r w:rsidR="0026368D" w:rsidRPr="005D0016">
        <w:rPr>
          <w:lang w:val="en-GB"/>
        </w:rPr>
        <w:t xml:space="preserve"> </w:t>
      </w:r>
      <w:r w:rsidR="005A48AC" w:rsidRPr="005D0016">
        <w:rPr>
          <w:lang w:val="en-GB"/>
        </w:rPr>
        <w:t>access</w:t>
      </w:r>
      <w:r w:rsidR="00997F60" w:rsidRPr="005D0016">
        <w:rPr>
          <w:lang w:val="en-GB"/>
        </w:rPr>
        <w:t xml:space="preserve"> to</w:t>
      </w:r>
      <w:r w:rsidR="005A48AC" w:rsidRPr="005D0016">
        <w:rPr>
          <w:lang w:val="en-GB"/>
        </w:rPr>
        <w:t xml:space="preserve"> public services. </w:t>
      </w:r>
      <w:r w:rsidR="001605EE" w:rsidRPr="005D0016">
        <w:rPr>
          <w:lang w:val="en-GB"/>
        </w:rPr>
        <w:t>Th</w:t>
      </w:r>
      <w:r w:rsidR="0018073C" w:rsidRPr="005D0016">
        <w:rPr>
          <w:lang w:val="en-GB"/>
        </w:rPr>
        <w:t xml:space="preserve">ere is </w:t>
      </w:r>
      <w:r w:rsidR="001605EE" w:rsidRPr="005D0016">
        <w:rPr>
          <w:lang w:val="en-GB"/>
        </w:rPr>
        <w:t xml:space="preserve">an opportunity for rapid </w:t>
      </w:r>
      <w:r w:rsidR="00FC03D5" w:rsidRPr="005D0016">
        <w:rPr>
          <w:lang w:val="en-GB"/>
        </w:rPr>
        <w:t xml:space="preserve">improvements in </w:t>
      </w:r>
      <w:r w:rsidR="001605EE" w:rsidRPr="005D0016">
        <w:rPr>
          <w:lang w:val="en-GB"/>
        </w:rPr>
        <w:t>coverage of basic services</w:t>
      </w:r>
      <w:r w:rsidR="00522FB4" w:rsidRPr="005D0016">
        <w:rPr>
          <w:lang w:val="en-GB"/>
        </w:rPr>
        <w:t xml:space="preserve"> for these populations</w:t>
      </w:r>
      <w:r w:rsidR="0018073C" w:rsidRPr="005D0016">
        <w:rPr>
          <w:lang w:val="en-GB"/>
        </w:rPr>
        <w:t>,</w:t>
      </w:r>
      <w:r w:rsidR="001605EE" w:rsidRPr="005D0016">
        <w:rPr>
          <w:lang w:val="en-GB"/>
        </w:rPr>
        <w:t xml:space="preserve"> </w:t>
      </w:r>
      <w:r w:rsidR="0018073C" w:rsidRPr="005D0016">
        <w:rPr>
          <w:lang w:val="en-GB"/>
        </w:rPr>
        <w:t>but</w:t>
      </w:r>
      <w:r w:rsidR="005A48AC" w:rsidRPr="005D0016">
        <w:rPr>
          <w:lang w:val="en-GB"/>
        </w:rPr>
        <w:t xml:space="preserve"> some of the most vulnerable rural populations are trapped, lacking the resources or opportunit</w:t>
      </w:r>
      <w:r w:rsidR="0018073C" w:rsidRPr="005D0016">
        <w:rPr>
          <w:lang w:val="en-GB"/>
        </w:rPr>
        <w:t>y</w:t>
      </w:r>
      <w:r w:rsidR="005A48AC" w:rsidRPr="005D0016">
        <w:rPr>
          <w:lang w:val="en-GB"/>
        </w:rPr>
        <w:t xml:space="preserve"> to move.</w:t>
      </w:r>
      <w:r w:rsidR="005A48AC" w:rsidRPr="005D0016">
        <w:rPr>
          <w:vertAlign w:val="superscript"/>
          <w:lang w:val="en-GB"/>
        </w:rPr>
        <w:footnoteReference w:id="13"/>
      </w:r>
      <w:r w:rsidR="005A48AC" w:rsidRPr="005D0016">
        <w:rPr>
          <w:lang w:val="en-GB"/>
        </w:rPr>
        <w:t xml:space="preserve"> </w:t>
      </w:r>
    </w:p>
    <w:p w14:paraId="33A35257" w14:textId="77777777" w:rsidR="004F5B29" w:rsidRPr="005D0016" w:rsidRDefault="004F5B29" w:rsidP="004F5B29">
      <w:pPr>
        <w:pStyle w:val="ListParagraph"/>
        <w:rPr>
          <w:sz w:val="12"/>
          <w:szCs w:val="12"/>
          <w:lang w:val="en-GB"/>
        </w:rPr>
      </w:pPr>
    </w:p>
    <w:p w14:paraId="1B9AA9ED" w14:textId="30CE7EC1" w:rsidR="00F744E5" w:rsidRPr="009B1F47" w:rsidRDefault="004977CA" w:rsidP="00A14C97">
      <w:pPr>
        <w:pStyle w:val="ListParagraph"/>
        <w:numPr>
          <w:ilvl w:val="0"/>
          <w:numId w:val="5"/>
        </w:numPr>
        <w:ind w:left="1134" w:right="1208" w:firstLine="0"/>
        <w:contextualSpacing/>
        <w:jc w:val="both"/>
        <w:rPr>
          <w:lang w:val="en-GB"/>
        </w:rPr>
      </w:pPr>
      <w:r w:rsidRPr="005D0016">
        <w:rPr>
          <w:lang w:val="en-GB"/>
        </w:rPr>
        <w:t xml:space="preserve">While </w:t>
      </w:r>
      <w:r w:rsidR="00B52FD1" w:rsidRPr="005D0016">
        <w:rPr>
          <w:lang w:val="en-GB"/>
        </w:rPr>
        <w:t>some countries</w:t>
      </w:r>
      <w:r w:rsidR="00F872A2" w:rsidRPr="005D0016">
        <w:rPr>
          <w:lang w:val="en-GB"/>
        </w:rPr>
        <w:t xml:space="preserve"> </w:t>
      </w:r>
      <w:r w:rsidR="00553759" w:rsidRPr="004435B3">
        <w:rPr>
          <w:lang w:val="en-GB"/>
        </w:rPr>
        <w:t xml:space="preserve">in the subregion </w:t>
      </w:r>
      <w:r w:rsidR="0018073C" w:rsidRPr="005D0016">
        <w:rPr>
          <w:lang w:val="en-GB"/>
        </w:rPr>
        <w:t xml:space="preserve">have </w:t>
      </w:r>
      <w:r w:rsidR="00F872A2" w:rsidRPr="005D0016">
        <w:rPr>
          <w:lang w:val="en-GB"/>
        </w:rPr>
        <w:t xml:space="preserve">made progress towards gender </w:t>
      </w:r>
      <w:r w:rsidR="00B52FD1" w:rsidRPr="005D0016">
        <w:rPr>
          <w:lang w:val="en-GB"/>
        </w:rPr>
        <w:t xml:space="preserve">equality and </w:t>
      </w:r>
      <w:r w:rsidR="0018073C" w:rsidRPr="005D0016">
        <w:rPr>
          <w:lang w:val="en-GB"/>
        </w:rPr>
        <w:t xml:space="preserve">the </w:t>
      </w:r>
      <w:r w:rsidR="00B52FD1" w:rsidRPr="005D0016">
        <w:rPr>
          <w:lang w:val="en-GB"/>
        </w:rPr>
        <w:t>empowerment of women throu</w:t>
      </w:r>
      <w:r w:rsidRPr="005D0016">
        <w:rPr>
          <w:lang w:val="en-GB"/>
        </w:rPr>
        <w:t>gh legal and policy reform</w:t>
      </w:r>
      <w:r w:rsidR="000D19B5" w:rsidRPr="005D0016">
        <w:rPr>
          <w:lang w:val="en-GB"/>
        </w:rPr>
        <w:t>,</w:t>
      </w:r>
      <w:r w:rsidRPr="005D0016">
        <w:rPr>
          <w:lang w:val="en-GB"/>
        </w:rPr>
        <w:t xml:space="preserve"> gender </w:t>
      </w:r>
      <w:r w:rsidR="00DA19BB" w:rsidRPr="005D0016">
        <w:rPr>
          <w:lang w:val="en-GB"/>
        </w:rPr>
        <w:t>discrimination</w:t>
      </w:r>
      <w:r w:rsidR="00260A03" w:rsidRPr="005D0016">
        <w:rPr>
          <w:lang w:val="en-GB"/>
        </w:rPr>
        <w:t>,</w:t>
      </w:r>
      <w:r w:rsidR="00DA19BB" w:rsidRPr="005D0016">
        <w:rPr>
          <w:lang w:val="en-GB"/>
        </w:rPr>
        <w:t xml:space="preserve"> exclusion</w:t>
      </w:r>
      <w:r w:rsidR="00A14C97" w:rsidRPr="005D0016">
        <w:rPr>
          <w:lang w:val="en-GB"/>
        </w:rPr>
        <w:t xml:space="preserve"> </w:t>
      </w:r>
      <w:r w:rsidR="00260A03" w:rsidRPr="005D0016">
        <w:rPr>
          <w:lang w:val="en-GB"/>
        </w:rPr>
        <w:t>and gender-based violence</w:t>
      </w:r>
      <w:r w:rsidR="009808E2" w:rsidRPr="005D0016">
        <w:rPr>
          <w:rStyle w:val="FootnoteReference"/>
          <w:lang w:val="en-GB"/>
        </w:rPr>
        <w:footnoteReference w:id="14"/>
      </w:r>
      <w:r w:rsidR="00260A03" w:rsidRPr="005D0016">
        <w:rPr>
          <w:lang w:val="en-GB"/>
        </w:rPr>
        <w:t xml:space="preserve"> </w:t>
      </w:r>
      <w:r w:rsidR="00A14C97" w:rsidRPr="005D0016">
        <w:rPr>
          <w:lang w:val="en-GB"/>
        </w:rPr>
        <w:t>remain</w:t>
      </w:r>
      <w:r w:rsidR="00CA47FA" w:rsidRPr="005D0016">
        <w:rPr>
          <w:lang w:val="en-GB"/>
        </w:rPr>
        <w:t xml:space="preserve"> a serious concern</w:t>
      </w:r>
      <w:r w:rsidR="00B52FD1" w:rsidRPr="005D0016">
        <w:rPr>
          <w:lang w:val="en-GB"/>
        </w:rPr>
        <w:t xml:space="preserve">. </w:t>
      </w:r>
      <w:r w:rsidR="007A174D" w:rsidRPr="005D0016">
        <w:rPr>
          <w:lang w:val="en-GB"/>
        </w:rPr>
        <w:t xml:space="preserve">Women comprise only 7.5 per cent of national legislators. </w:t>
      </w:r>
      <w:r w:rsidR="00553759" w:rsidRPr="004435B3">
        <w:rPr>
          <w:lang w:val="en-GB"/>
        </w:rPr>
        <w:t>O</w:t>
      </w:r>
      <w:r w:rsidR="007A174D" w:rsidRPr="005D0016">
        <w:rPr>
          <w:lang w:val="en-GB"/>
        </w:rPr>
        <w:t xml:space="preserve">nly </w:t>
      </w:r>
      <w:r w:rsidR="00F872A2" w:rsidRPr="005D0016">
        <w:rPr>
          <w:lang w:val="en-GB"/>
        </w:rPr>
        <w:t>Samoa</w:t>
      </w:r>
      <w:r w:rsidR="007A174D" w:rsidRPr="005D0016">
        <w:rPr>
          <w:lang w:val="en-GB"/>
        </w:rPr>
        <w:t xml:space="preserve"> has introduced </w:t>
      </w:r>
      <w:r w:rsidR="00461055" w:rsidRPr="005D0016">
        <w:rPr>
          <w:lang w:val="en-GB"/>
        </w:rPr>
        <w:t xml:space="preserve">electoral </w:t>
      </w:r>
      <w:r w:rsidR="007A174D" w:rsidRPr="005D0016">
        <w:rPr>
          <w:lang w:val="en-GB"/>
        </w:rPr>
        <w:t>measures to increase women’s national</w:t>
      </w:r>
      <w:r w:rsidR="00553759" w:rsidRPr="005D0016">
        <w:rPr>
          <w:lang w:val="en-GB"/>
        </w:rPr>
        <w:t>-</w:t>
      </w:r>
      <w:r w:rsidR="007A174D" w:rsidRPr="005D0016">
        <w:rPr>
          <w:lang w:val="en-GB"/>
        </w:rPr>
        <w:t xml:space="preserve">level </w:t>
      </w:r>
      <w:r w:rsidR="00735CE6" w:rsidRPr="005D0016">
        <w:rPr>
          <w:lang w:val="en-GB"/>
        </w:rPr>
        <w:t xml:space="preserve">representation. </w:t>
      </w:r>
      <w:r w:rsidR="000D19B5" w:rsidRPr="005D0016">
        <w:rPr>
          <w:lang w:val="en-GB"/>
        </w:rPr>
        <w:t>W</w:t>
      </w:r>
      <w:r w:rsidR="00B52FD1" w:rsidRPr="005D0016">
        <w:rPr>
          <w:lang w:val="en-GB"/>
        </w:rPr>
        <w:t xml:space="preserve">omen have lower </w:t>
      </w:r>
      <w:r w:rsidRPr="005D0016">
        <w:rPr>
          <w:lang w:val="en-GB"/>
        </w:rPr>
        <w:t xml:space="preserve">participation </w:t>
      </w:r>
      <w:r w:rsidR="00B52FD1" w:rsidRPr="005D0016">
        <w:rPr>
          <w:lang w:val="en-GB"/>
        </w:rPr>
        <w:t xml:space="preserve">rates in non-agricultural </w:t>
      </w:r>
      <w:r w:rsidR="00A14C97" w:rsidRPr="005D0016">
        <w:rPr>
          <w:lang w:val="en-GB"/>
        </w:rPr>
        <w:t>labo</w:t>
      </w:r>
      <w:r w:rsidR="00553759" w:rsidRPr="005D0016">
        <w:rPr>
          <w:lang w:val="en-GB"/>
        </w:rPr>
        <w:t>u</w:t>
      </w:r>
      <w:r w:rsidR="00A14C97" w:rsidRPr="005D0016">
        <w:rPr>
          <w:lang w:val="en-GB"/>
        </w:rPr>
        <w:t>r</w:t>
      </w:r>
      <w:r w:rsidR="00B52FD1" w:rsidRPr="005D0016">
        <w:rPr>
          <w:lang w:val="en-GB"/>
        </w:rPr>
        <w:t xml:space="preserve"> despite near gender parity in completion rates </w:t>
      </w:r>
      <w:r w:rsidR="0026368D">
        <w:rPr>
          <w:lang w:val="en-GB"/>
        </w:rPr>
        <w:t>of</w:t>
      </w:r>
      <w:r w:rsidR="00B52FD1" w:rsidRPr="005D0016">
        <w:rPr>
          <w:lang w:val="en-GB"/>
        </w:rPr>
        <w:t xml:space="preserve"> primary and secondary schooling. </w:t>
      </w:r>
      <w:r w:rsidR="000D19B5" w:rsidRPr="005D0016">
        <w:rPr>
          <w:lang w:val="en-GB"/>
        </w:rPr>
        <w:t xml:space="preserve">Consequently, </w:t>
      </w:r>
      <w:r w:rsidR="00DA19BB" w:rsidRPr="005D0016">
        <w:rPr>
          <w:lang w:val="en-GB"/>
        </w:rPr>
        <w:t xml:space="preserve">women </w:t>
      </w:r>
      <w:r w:rsidR="000D19B5" w:rsidRPr="005D0016">
        <w:rPr>
          <w:lang w:val="en-GB"/>
        </w:rPr>
        <w:t xml:space="preserve">are </w:t>
      </w:r>
      <w:r w:rsidR="007A2F4B" w:rsidRPr="005D0016">
        <w:rPr>
          <w:lang w:val="en-GB"/>
        </w:rPr>
        <w:t>overrepresented in the informal sector</w:t>
      </w:r>
      <w:r w:rsidR="00BC305C" w:rsidRPr="004435B3">
        <w:rPr>
          <w:lang w:val="en-GB"/>
        </w:rPr>
        <w:t>,</w:t>
      </w:r>
      <w:r w:rsidR="007A2F4B" w:rsidRPr="005D0016">
        <w:rPr>
          <w:lang w:val="en-GB"/>
        </w:rPr>
        <w:t xml:space="preserve"> </w:t>
      </w:r>
      <w:r w:rsidR="00C10862" w:rsidRPr="005D0016">
        <w:rPr>
          <w:lang w:val="en-GB"/>
        </w:rPr>
        <w:t>where</w:t>
      </w:r>
      <w:r w:rsidR="00EF5DBC" w:rsidRPr="005D0016">
        <w:rPr>
          <w:lang w:val="en-GB"/>
        </w:rPr>
        <w:t xml:space="preserve"> </w:t>
      </w:r>
      <w:r w:rsidR="007A2F4B" w:rsidRPr="005D0016">
        <w:rPr>
          <w:lang w:val="en-GB"/>
        </w:rPr>
        <w:t xml:space="preserve">most </w:t>
      </w:r>
      <w:r w:rsidR="00C10862" w:rsidRPr="005D0016">
        <w:rPr>
          <w:lang w:val="en-GB"/>
        </w:rPr>
        <w:t xml:space="preserve">work </w:t>
      </w:r>
      <w:r w:rsidR="00F744E5" w:rsidRPr="005D0016">
        <w:rPr>
          <w:lang w:val="en-GB"/>
        </w:rPr>
        <w:t>is</w:t>
      </w:r>
      <w:r w:rsidR="00C10862" w:rsidRPr="005D0016">
        <w:rPr>
          <w:lang w:val="en-GB"/>
        </w:rPr>
        <w:t xml:space="preserve"> low-</w:t>
      </w:r>
      <w:r w:rsidR="00F744E5" w:rsidRPr="005D0016">
        <w:rPr>
          <w:lang w:val="en-GB"/>
        </w:rPr>
        <w:t xml:space="preserve">paid, </w:t>
      </w:r>
      <w:r w:rsidR="007A2F4B" w:rsidRPr="005D0016">
        <w:rPr>
          <w:lang w:val="en-GB"/>
        </w:rPr>
        <w:t>part</w:t>
      </w:r>
      <w:r w:rsidR="00C10862" w:rsidRPr="005D0016">
        <w:rPr>
          <w:lang w:val="en-GB"/>
        </w:rPr>
        <w:t>-time</w:t>
      </w:r>
      <w:r w:rsidR="00DA19BB" w:rsidRPr="005D0016">
        <w:rPr>
          <w:lang w:val="en-GB"/>
        </w:rPr>
        <w:t xml:space="preserve"> </w:t>
      </w:r>
      <w:r w:rsidR="00BC305C" w:rsidRPr="004435B3">
        <w:rPr>
          <w:lang w:val="en-GB"/>
        </w:rPr>
        <w:t xml:space="preserve">and </w:t>
      </w:r>
      <w:r w:rsidR="00C10862" w:rsidRPr="005D0016">
        <w:rPr>
          <w:lang w:val="en-GB"/>
        </w:rPr>
        <w:t>unregulated</w:t>
      </w:r>
      <w:r w:rsidR="009B1F47">
        <w:rPr>
          <w:lang w:val="en-GB"/>
        </w:rPr>
        <w:t>;</w:t>
      </w:r>
      <w:r w:rsidRPr="005D0016">
        <w:rPr>
          <w:lang w:val="en-GB"/>
        </w:rPr>
        <w:t xml:space="preserve"> </w:t>
      </w:r>
      <w:r w:rsidR="0007269D" w:rsidRPr="005D0016">
        <w:rPr>
          <w:lang w:val="en-GB"/>
        </w:rPr>
        <w:t>labo</w:t>
      </w:r>
      <w:r w:rsidR="005B12D2" w:rsidRPr="004435B3">
        <w:rPr>
          <w:lang w:val="en-GB"/>
        </w:rPr>
        <w:t>u</w:t>
      </w:r>
      <w:r w:rsidR="0007269D" w:rsidRPr="005D0016">
        <w:rPr>
          <w:lang w:val="en-GB"/>
        </w:rPr>
        <w:t>r</w:t>
      </w:r>
      <w:r w:rsidR="00DA19BB" w:rsidRPr="005D0016">
        <w:rPr>
          <w:lang w:val="en-GB"/>
        </w:rPr>
        <w:t xml:space="preserve"> rights are unprotected</w:t>
      </w:r>
      <w:r w:rsidR="009B1F47">
        <w:rPr>
          <w:lang w:val="en-GB"/>
        </w:rPr>
        <w:t>;</w:t>
      </w:r>
      <w:r w:rsidR="00C10862" w:rsidRPr="005D0016">
        <w:rPr>
          <w:lang w:val="en-GB"/>
        </w:rPr>
        <w:t xml:space="preserve"> and job security is vulnerable</w:t>
      </w:r>
      <w:r w:rsidR="007A2F4B" w:rsidRPr="005D0016">
        <w:rPr>
          <w:lang w:val="en-GB"/>
        </w:rPr>
        <w:t xml:space="preserve"> to economic </w:t>
      </w:r>
      <w:r w:rsidR="00C10862" w:rsidRPr="005D0016">
        <w:rPr>
          <w:lang w:val="en-GB"/>
        </w:rPr>
        <w:t>volatility</w:t>
      </w:r>
      <w:r w:rsidR="00C347B6" w:rsidRPr="005D0016">
        <w:rPr>
          <w:lang w:val="en-GB"/>
        </w:rPr>
        <w:t>.</w:t>
      </w:r>
      <w:r w:rsidR="00DA19BB" w:rsidRPr="009B1F47">
        <w:rPr>
          <w:rStyle w:val="FootnoteReference"/>
          <w:lang w:val="en-GB"/>
        </w:rPr>
        <w:footnoteReference w:id="15"/>
      </w:r>
      <w:r w:rsidR="007A2F4B" w:rsidRPr="009B1F47">
        <w:rPr>
          <w:lang w:val="en-GB"/>
        </w:rPr>
        <w:t xml:space="preserve"> </w:t>
      </w:r>
      <w:r w:rsidR="00F05D39" w:rsidRPr="009B1F47">
        <w:rPr>
          <w:lang w:val="en-GB"/>
        </w:rPr>
        <w:t>Although</w:t>
      </w:r>
      <w:r w:rsidR="007218A1" w:rsidRPr="009B1F47">
        <w:rPr>
          <w:lang w:val="en-GB"/>
        </w:rPr>
        <w:t xml:space="preserve"> the informal economy </w:t>
      </w:r>
      <w:r w:rsidRPr="009B1F47">
        <w:rPr>
          <w:lang w:val="en-GB"/>
        </w:rPr>
        <w:t>in the Pacific is</w:t>
      </w:r>
      <w:r w:rsidR="007218A1" w:rsidRPr="009B1F47">
        <w:rPr>
          <w:lang w:val="en-GB"/>
        </w:rPr>
        <w:t xml:space="preserve"> </w:t>
      </w:r>
      <w:r w:rsidR="00A42568" w:rsidRPr="009B1F47">
        <w:rPr>
          <w:lang w:val="en-GB"/>
        </w:rPr>
        <w:t xml:space="preserve">often </w:t>
      </w:r>
      <w:r w:rsidR="007218A1" w:rsidRPr="009B1F47">
        <w:rPr>
          <w:lang w:val="en-GB"/>
        </w:rPr>
        <w:t>undervalued</w:t>
      </w:r>
      <w:r w:rsidR="00982D89" w:rsidRPr="009B1F47">
        <w:rPr>
          <w:lang w:val="en-GB"/>
        </w:rPr>
        <w:t>, its contribution in some countries</w:t>
      </w:r>
      <w:r w:rsidR="00A42568" w:rsidRPr="009B1F47">
        <w:rPr>
          <w:lang w:val="en-GB"/>
        </w:rPr>
        <w:t xml:space="preserve"> </w:t>
      </w:r>
      <w:r w:rsidR="00982D89" w:rsidRPr="009B1F47">
        <w:rPr>
          <w:lang w:val="en-GB"/>
        </w:rPr>
        <w:t xml:space="preserve">is </w:t>
      </w:r>
      <w:r w:rsidR="0007269D" w:rsidRPr="009B1F47">
        <w:rPr>
          <w:lang w:val="en-GB"/>
        </w:rPr>
        <w:t xml:space="preserve">as high as </w:t>
      </w:r>
      <w:r w:rsidRPr="009B1F47">
        <w:rPr>
          <w:lang w:val="en-GB"/>
        </w:rPr>
        <w:t>50</w:t>
      </w:r>
      <w:r w:rsidR="00BC305C" w:rsidRPr="004435B3">
        <w:rPr>
          <w:lang w:val="en-GB"/>
        </w:rPr>
        <w:t> </w:t>
      </w:r>
      <w:r w:rsidR="0007269D" w:rsidRPr="009B1F47">
        <w:rPr>
          <w:lang w:val="en-GB"/>
        </w:rPr>
        <w:t>per</w:t>
      </w:r>
      <w:r w:rsidR="00BC305C" w:rsidRPr="004435B3">
        <w:rPr>
          <w:lang w:val="en-GB"/>
        </w:rPr>
        <w:t> </w:t>
      </w:r>
      <w:r w:rsidR="0007269D" w:rsidRPr="009B1F47">
        <w:rPr>
          <w:lang w:val="en-GB"/>
        </w:rPr>
        <w:t>cent</w:t>
      </w:r>
      <w:r w:rsidR="00982D89" w:rsidRPr="009B1F47">
        <w:rPr>
          <w:lang w:val="en-GB"/>
        </w:rPr>
        <w:t xml:space="preserve"> of the average </w:t>
      </w:r>
      <w:r w:rsidR="00BC305C" w:rsidRPr="004435B3">
        <w:rPr>
          <w:lang w:val="en-GB"/>
        </w:rPr>
        <w:t>g</w:t>
      </w:r>
      <w:r w:rsidR="001E0123" w:rsidRPr="009B1F47">
        <w:rPr>
          <w:lang w:val="en-GB"/>
        </w:rPr>
        <w:t xml:space="preserve">ross </w:t>
      </w:r>
      <w:r w:rsidR="00BC305C" w:rsidRPr="004435B3">
        <w:rPr>
          <w:lang w:val="en-GB"/>
        </w:rPr>
        <w:t>d</w:t>
      </w:r>
      <w:r w:rsidR="001E0123" w:rsidRPr="009B1F47">
        <w:rPr>
          <w:lang w:val="en-GB"/>
        </w:rPr>
        <w:t xml:space="preserve">omestic </w:t>
      </w:r>
      <w:r w:rsidR="00BC305C" w:rsidRPr="004435B3">
        <w:rPr>
          <w:lang w:val="en-GB"/>
        </w:rPr>
        <w:t>p</w:t>
      </w:r>
      <w:r w:rsidR="001E0123" w:rsidRPr="009B1F47">
        <w:rPr>
          <w:lang w:val="en-GB"/>
        </w:rPr>
        <w:t>roduct</w:t>
      </w:r>
      <w:r w:rsidRPr="009B1F47">
        <w:rPr>
          <w:lang w:val="en-GB"/>
        </w:rPr>
        <w:t xml:space="preserve">, </w:t>
      </w:r>
      <w:r w:rsidR="00A42568" w:rsidRPr="009B1F47">
        <w:rPr>
          <w:lang w:val="en-GB"/>
        </w:rPr>
        <w:t>providing</w:t>
      </w:r>
      <w:r w:rsidR="007218A1" w:rsidRPr="009B1F47">
        <w:rPr>
          <w:lang w:val="en-GB"/>
        </w:rPr>
        <w:t xml:space="preserve"> self</w:t>
      </w:r>
      <w:r w:rsidR="0083391F" w:rsidRPr="009B1F47">
        <w:rPr>
          <w:lang w:val="en-GB"/>
        </w:rPr>
        <w:t>-</w:t>
      </w:r>
      <w:r w:rsidR="007218A1" w:rsidRPr="009B1F47">
        <w:rPr>
          <w:lang w:val="en-GB"/>
        </w:rPr>
        <w:t xml:space="preserve">employment </w:t>
      </w:r>
      <w:r w:rsidR="0083391F" w:rsidRPr="009B1F47">
        <w:rPr>
          <w:lang w:val="en-GB"/>
        </w:rPr>
        <w:t xml:space="preserve">and livelihoods </w:t>
      </w:r>
      <w:r w:rsidR="007218A1" w:rsidRPr="009B1F47">
        <w:rPr>
          <w:lang w:val="en-GB"/>
        </w:rPr>
        <w:t>to more than half the working population</w:t>
      </w:r>
      <w:r w:rsidR="0083391F" w:rsidRPr="009B1F47">
        <w:rPr>
          <w:lang w:val="en-GB"/>
        </w:rPr>
        <w:t>.</w:t>
      </w:r>
      <w:r w:rsidR="007218A1" w:rsidRPr="009B1F47">
        <w:rPr>
          <w:rStyle w:val="FootnoteReference"/>
          <w:lang w:val="en-GB"/>
        </w:rPr>
        <w:footnoteReference w:id="16"/>
      </w:r>
      <w:r w:rsidR="0014699B" w:rsidRPr="009B1F47">
        <w:rPr>
          <w:vertAlign w:val="superscript"/>
          <w:lang w:val="en-GB"/>
        </w:rPr>
        <w:t>,</w:t>
      </w:r>
      <w:r w:rsidR="004F5B29" w:rsidRPr="009B1F47">
        <w:rPr>
          <w:vertAlign w:val="superscript"/>
          <w:lang w:val="en-GB"/>
        </w:rPr>
        <w:t xml:space="preserve"> </w:t>
      </w:r>
      <w:r w:rsidR="0014699B" w:rsidRPr="009B1F47">
        <w:rPr>
          <w:rStyle w:val="FootnoteReference"/>
          <w:lang w:val="en-GB"/>
        </w:rPr>
        <w:footnoteReference w:id="17"/>
      </w:r>
      <w:r w:rsidR="0014699B" w:rsidRPr="009B1F47">
        <w:rPr>
          <w:vertAlign w:val="superscript"/>
          <w:lang w:val="en-GB"/>
        </w:rPr>
        <w:t>,</w:t>
      </w:r>
      <w:r w:rsidR="004F5B29" w:rsidRPr="009B1F47">
        <w:rPr>
          <w:vertAlign w:val="superscript"/>
          <w:lang w:val="en-GB"/>
        </w:rPr>
        <w:t xml:space="preserve"> </w:t>
      </w:r>
      <w:r w:rsidR="0014699B" w:rsidRPr="009B1F47">
        <w:rPr>
          <w:rStyle w:val="FootnoteReference"/>
          <w:lang w:val="en-GB"/>
        </w:rPr>
        <w:footnoteReference w:id="18"/>
      </w:r>
    </w:p>
    <w:p w14:paraId="1775A62B" w14:textId="77777777" w:rsidR="00735CE6" w:rsidRPr="009B1F47" w:rsidRDefault="00735CE6" w:rsidP="00735CE6">
      <w:pPr>
        <w:pStyle w:val="ListParagraph"/>
        <w:ind w:left="1134" w:right="1208"/>
        <w:contextualSpacing/>
        <w:jc w:val="both"/>
        <w:rPr>
          <w:sz w:val="12"/>
          <w:szCs w:val="12"/>
          <w:lang w:val="en-GB"/>
        </w:rPr>
      </w:pPr>
    </w:p>
    <w:p w14:paraId="17747486" w14:textId="7CE18009" w:rsidR="0046232A" w:rsidRPr="009B1F47" w:rsidRDefault="00BC305C" w:rsidP="0046232A">
      <w:pPr>
        <w:pStyle w:val="ListParagraph"/>
        <w:numPr>
          <w:ilvl w:val="0"/>
          <w:numId w:val="5"/>
        </w:numPr>
        <w:ind w:left="1134" w:right="1208" w:firstLine="0"/>
        <w:contextualSpacing/>
        <w:jc w:val="both"/>
        <w:rPr>
          <w:lang w:val="en-GB"/>
        </w:rPr>
      </w:pPr>
      <w:r w:rsidRPr="004435B3">
        <w:rPr>
          <w:lang w:val="en-GB"/>
        </w:rPr>
        <w:t>Youth</w:t>
      </w:r>
      <w:r w:rsidR="00735CE6" w:rsidRPr="009B1F47">
        <w:rPr>
          <w:lang w:val="en-GB"/>
        </w:rPr>
        <w:t xml:space="preserve"> </w:t>
      </w:r>
      <w:r w:rsidR="00887439" w:rsidRPr="009B1F47">
        <w:rPr>
          <w:lang w:val="en-GB"/>
        </w:rPr>
        <w:t xml:space="preserve">employment </w:t>
      </w:r>
      <w:r w:rsidR="00735CE6" w:rsidRPr="009B1F47">
        <w:rPr>
          <w:lang w:val="en-GB"/>
        </w:rPr>
        <w:t xml:space="preserve">opportunities </w:t>
      </w:r>
      <w:r w:rsidR="00887439">
        <w:rPr>
          <w:lang w:val="en-GB"/>
        </w:rPr>
        <w:t>in the subregion</w:t>
      </w:r>
      <w:r w:rsidR="009B1F47">
        <w:rPr>
          <w:lang w:val="en-GB"/>
        </w:rPr>
        <w:t xml:space="preserve"> </w:t>
      </w:r>
      <w:r w:rsidRPr="004435B3">
        <w:rPr>
          <w:lang w:val="en-GB"/>
        </w:rPr>
        <w:t xml:space="preserve">are </w:t>
      </w:r>
      <w:r w:rsidR="009B1F47">
        <w:rPr>
          <w:lang w:val="en-GB"/>
        </w:rPr>
        <w:t>limited</w:t>
      </w:r>
      <w:r w:rsidR="00735CE6" w:rsidRPr="009B1F47">
        <w:rPr>
          <w:lang w:val="en-GB"/>
        </w:rPr>
        <w:t>. The average unemployment rate of young men and women in the Pacific is 23 per cent</w:t>
      </w:r>
      <w:r w:rsidRPr="004435B3">
        <w:rPr>
          <w:lang w:val="en-GB"/>
        </w:rPr>
        <w:t>,</w:t>
      </w:r>
      <w:r w:rsidR="007279C8" w:rsidRPr="009B1F47">
        <w:rPr>
          <w:rStyle w:val="FootnoteReference"/>
          <w:lang w:val="en-GB"/>
        </w:rPr>
        <w:footnoteReference w:id="19"/>
      </w:r>
      <w:r w:rsidR="00735CE6" w:rsidRPr="009B1F47">
        <w:rPr>
          <w:lang w:val="en-GB"/>
        </w:rPr>
        <w:t xml:space="preserve"> compared </w:t>
      </w:r>
      <w:r w:rsidR="00735CE6" w:rsidRPr="009B1F47">
        <w:rPr>
          <w:lang w:val="en-GB"/>
        </w:rPr>
        <w:lastRenderedPageBreak/>
        <w:t>with the global average of 12.6 per cent</w:t>
      </w:r>
      <w:r w:rsidR="008E3A03" w:rsidRPr="009B1F47">
        <w:rPr>
          <w:lang w:val="en-GB"/>
        </w:rPr>
        <w:t>.</w:t>
      </w:r>
      <w:r w:rsidR="00735CE6" w:rsidRPr="009B1F47">
        <w:rPr>
          <w:lang w:val="en-GB"/>
        </w:rPr>
        <w:t xml:space="preserve"> </w:t>
      </w:r>
      <w:r w:rsidR="00122081" w:rsidRPr="009B1F47">
        <w:rPr>
          <w:lang w:val="en-GB"/>
        </w:rPr>
        <w:t>Y</w:t>
      </w:r>
      <w:r w:rsidR="00E734A0" w:rsidRPr="009B1F47">
        <w:rPr>
          <w:lang w:val="en-GB"/>
        </w:rPr>
        <w:t xml:space="preserve">oung women </w:t>
      </w:r>
      <w:r w:rsidR="00992BE5" w:rsidRPr="009B1F47">
        <w:rPr>
          <w:lang w:val="en-GB"/>
        </w:rPr>
        <w:t xml:space="preserve">are </w:t>
      </w:r>
      <w:r w:rsidR="00DC106D" w:rsidRPr="009B1F47">
        <w:rPr>
          <w:lang w:val="en-GB"/>
        </w:rPr>
        <w:t>less</w:t>
      </w:r>
      <w:r w:rsidR="00E734A0" w:rsidRPr="009B1F47">
        <w:rPr>
          <w:lang w:val="en-GB"/>
        </w:rPr>
        <w:t xml:space="preserve"> likely to be employed </w:t>
      </w:r>
      <w:r w:rsidR="00122081" w:rsidRPr="009B1F47">
        <w:rPr>
          <w:lang w:val="en-GB"/>
        </w:rPr>
        <w:t>than</w:t>
      </w:r>
      <w:r w:rsidR="00E734A0" w:rsidRPr="009B1F47">
        <w:rPr>
          <w:lang w:val="en-GB"/>
        </w:rPr>
        <w:t xml:space="preserve"> young men.</w:t>
      </w:r>
      <w:r w:rsidR="00E734A0" w:rsidRPr="009B1F47">
        <w:rPr>
          <w:rStyle w:val="FootnoteReference"/>
          <w:lang w:val="en-GB"/>
        </w:rPr>
        <w:footnoteReference w:id="20"/>
      </w:r>
      <w:r w:rsidR="00E734A0" w:rsidRPr="009B1F47">
        <w:rPr>
          <w:lang w:val="en-GB"/>
        </w:rPr>
        <w:t xml:space="preserve"> </w:t>
      </w:r>
      <w:r w:rsidR="00122081" w:rsidRPr="004435B3">
        <w:rPr>
          <w:lang w:val="en-GB"/>
        </w:rPr>
        <w:t>W</w:t>
      </w:r>
      <w:r w:rsidR="00DC106D" w:rsidRPr="009B1F47">
        <w:rPr>
          <w:lang w:val="en-GB"/>
        </w:rPr>
        <w:t>omen’s participation in the labo</w:t>
      </w:r>
      <w:r w:rsidR="00122081" w:rsidRPr="004435B3">
        <w:rPr>
          <w:lang w:val="en-GB"/>
        </w:rPr>
        <w:t>u</w:t>
      </w:r>
      <w:r w:rsidR="00DC106D" w:rsidRPr="009B1F47">
        <w:rPr>
          <w:lang w:val="en-GB"/>
        </w:rPr>
        <w:t xml:space="preserve">r market is less than a third of total share of employment in Fiji, </w:t>
      </w:r>
      <w:r w:rsidR="003A079F" w:rsidRPr="004435B3">
        <w:rPr>
          <w:lang w:val="en-GB"/>
        </w:rPr>
        <w:t xml:space="preserve">the </w:t>
      </w:r>
      <w:r w:rsidR="00DC106D" w:rsidRPr="009B1F47">
        <w:rPr>
          <w:lang w:val="en-GB"/>
        </w:rPr>
        <w:t xml:space="preserve">Marshall Islands, Samoa and </w:t>
      </w:r>
      <w:r w:rsidR="003A079F" w:rsidRPr="004435B3">
        <w:rPr>
          <w:lang w:val="en-GB"/>
        </w:rPr>
        <w:t xml:space="preserve">the </w:t>
      </w:r>
      <w:r w:rsidR="00DC106D" w:rsidRPr="009B1F47">
        <w:rPr>
          <w:lang w:val="en-GB"/>
        </w:rPr>
        <w:t>Solomon Islands</w:t>
      </w:r>
      <w:r w:rsidR="007279C8" w:rsidRPr="009B1F47">
        <w:rPr>
          <w:rStyle w:val="FootnoteReference"/>
          <w:lang w:val="en-GB"/>
        </w:rPr>
        <w:footnoteReference w:id="21"/>
      </w:r>
      <w:r w:rsidR="00DC106D" w:rsidRPr="009B1F47">
        <w:rPr>
          <w:lang w:val="en-GB"/>
        </w:rPr>
        <w:t xml:space="preserve">. </w:t>
      </w:r>
      <w:r w:rsidR="00735CE6" w:rsidRPr="009B1F47">
        <w:rPr>
          <w:lang w:val="en-GB"/>
        </w:rPr>
        <w:t>Most of the employed youth are in the informal sector</w:t>
      </w:r>
      <w:r w:rsidR="00122081" w:rsidRPr="004435B3">
        <w:rPr>
          <w:lang w:val="en-GB"/>
        </w:rPr>
        <w:t>,</w:t>
      </w:r>
      <w:r w:rsidR="00735CE6" w:rsidRPr="009B1F47">
        <w:rPr>
          <w:lang w:val="en-GB"/>
        </w:rPr>
        <w:t xml:space="preserve"> with limited opportunities for socio-economic advancement. UNDP studies have shown that investments in capacity</w:t>
      </w:r>
      <w:r w:rsidR="00122081" w:rsidRPr="004435B3">
        <w:rPr>
          <w:lang w:val="en-GB"/>
        </w:rPr>
        <w:t>-</w:t>
      </w:r>
      <w:r w:rsidR="00735CE6" w:rsidRPr="009B1F47">
        <w:rPr>
          <w:lang w:val="en-GB"/>
        </w:rPr>
        <w:t>building of youth, creating access to jobs, entrepreneurial opportunities and financial services</w:t>
      </w:r>
      <w:r w:rsidR="0026368D">
        <w:rPr>
          <w:lang w:val="en-GB"/>
        </w:rPr>
        <w:t>,</w:t>
      </w:r>
      <w:r w:rsidR="00735CE6" w:rsidRPr="009B1F47">
        <w:rPr>
          <w:lang w:val="en-GB"/>
        </w:rPr>
        <w:t xml:space="preserve"> have shown manifold returns in improved educational outcomes, crime prevention</w:t>
      </w:r>
      <w:r w:rsidR="0026368D">
        <w:rPr>
          <w:lang w:val="en-GB"/>
        </w:rPr>
        <w:t>,</w:t>
      </w:r>
      <w:r w:rsidR="00735CE6" w:rsidRPr="009B1F47">
        <w:rPr>
          <w:lang w:val="en-GB"/>
        </w:rPr>
        <w:t xml:space="preserve"> and healthier lifestyles</w:t>
      </w:r>
      <w:r w:rsidR="0046232A" w:rsidRPr="009B1F47">
        <w:rPr>
          <w:lang w:val="en-GB"/>
        </w:rPr>
        <w:t>.</w:t>
      </w:r>
      <w:r w:rsidR="0046232A" w:rsidRPr="009B1F47">
        <w:rPr>
          <w:rStyle w:val="FootnoteReference"/>
          <w:lang w:val="en-GB"/>
        </w:rPr>
        <w:footnoteReference w:id="22"/>
      </w:r>
    </w:p>
    <w:p w14:paraId="69A6F54B" w14:textId="77777777" w:rsidR="0046232A" w:rsidRPr="009B1F47" w:rsidRDefault="0046232A" w:rsidP="0046232A">
      <w:pPr>
        <w:pStyle w:val="ListParagraph"/>
        <w:rPr>
          <w:sz w:val="12"/>
          <w:szCs w:val="12"/>
          <w:lang w:val="en-GB"/>
        </w:rPr>
      </w:pPr>
    </w:p>
    <w:p w14:paraId="451D3C6D" w14:textId="6CD35CF0" w:rsidR="00BB4355" w:rsidRPr="00887439" w:rsidRDefault="0046232A" w:rsidP="00221AAE">
      <w:pPr>
        <w:pStyle w:val="ListParagraph"/>
        <w:numPr>
          <w:ilvl w:val="0"/>
          <w:numId w:val="5"/>
        </w:numPr>
        <w:ind w:left="1134" w:right="1208" w:firstLine="0"/>
        <w:contextualSpacing/>
        <w:jc w:val="both"/>
        <w:rPr>
          <w:lang w:val="en-GB"/>
        </w:rPr>
      </w:pPr>
      <w:r w:rsidRPr="009B1F47">
        <w:rPr>
          <w:lang w:val="en-GB"/>
        </w:rPr>
        <w:t>L</w:t>
      </w:r>
      <w:r w:rsidR="00344E11" w:rsidRPr="009B1F47">
        <w:rPr>
          <w:lang w:val="en-GB"/>
        </w:rPr>
        <w:t xml:space="preserve">ocated </w:t>
      </w:r>
      <w:r w:rsidR="00F32048" w:rsidRPr="009B1F47">
        <w:rPr>
          <w:lang w:val="en-GB"/>
        </w:rPr>
        <w:t>on</w:t>
      </w:r>
      <w:r w:rsidR="00344E11" w:rsidRPr="009B1F47">
        <w:rPr>
          <w:lang w:val="en-GB"/>
        </w:rPr>
        <w:t xml:space="preserve"> the </w:t>
      </w:r>
      <w:r w:rsidR="0038291E" w:rsidRPr="004435B3">
        <w:rPr>
          <w:lang w:val="en-GB"/>
        </w:rPr>
        <w:t>R</w:t>
      </w:r>
      <w:r w:rsidR="00344E11" w:rsidRPr="009B1F47">
        <w:rPr>
          <w:lang w:val="en-GB"/>
        </w:rPr>
        <w:t xml:space="preserve">ing of </w:t>
      </w:r>
      <w:r w:rsidR="0038291E" w:rsidRPr="004435B3">
        <w:rPr>
          <w:lang w:val="en-GB"/>
        </w:rPr>
        <w:t>F</w:t>
      </w:r>
      <w:r w:rsidR="00344E11" w:rsidRPr="009B1F47">
        <w:rPr>
          <w:lang w:val="en-GB"/>
        </w:rPr>
        <w:t xml:space="preserve">ire, the </w:t>
      </w:r>
      <w:r w:rsidR="00FE6735" w:rsidRPr="009B1F47">
        <w:rPr>
          <w:lang w:val="en-GB"/>
        </w:rPr>
        <w:t>subregion</w:t>
      </w:r>
      <w:r w:rsidR="00344E11" w:rsidRPr="009B1F47">
        <w:rPr>
          <w:lang w:val="en-GB"/>
        </w:rPr>
        <w:t xml:space="preserve"> </w:t>
      </w:r>
      <w:r w:rsidR="00892683" w:rsidRPr="009B1F47">
        <w:rPr>
          <w:lang w:val="en-GB"/>
        </w:rPr>
        <w:t xml:space="preserve">is </w:t>
      </w:r>
      <w:r w:rsidR="00344E11" w:rsidRPr="009B1F47">
        <w:rPr>
          <w:lang w:val="en-GB"/>
        </w:rPr>
        <w:t xml:space="preserve">among </w:t>
      </w:r>
      <w:r w:rsidR="004977CA" w:rsidRPr="009B1F47">
        <w:rPr>
          <w:lang w:val="en-GB"/>
        </w:rPr>
        <w:t xml:space="preserve">the </w:t>
      </w:r>
      <w:r w:rsidR="00344E11" w:rsidRPr="009B1F47">
        <w:rPr>
          <w:lang w:val="en-GB"/>
        </w:rPr>
        <w:t xml:space="preserve">most vulnerable </w:t>
      </w:r>
      <w:r w:rsidR="00892683" w:rsidRPr="009B1F47">
        <w:rPr>
          <w:lang w:val="en-GB"/>
        </w:rPr>
        <w:t xml:space="preserve">in the world </w:t>
      </w:r>
      <w:r w:rsidR="00543F05" w:rsidRPr="009B1F47">
        <w:rPr>
          <w:lang w:val="en-GB"/>
        </w:rPr>
        <w:t xml:space="preserve">to </w:t>
      </w:r>
      <w:r w:rsidR="00344E11" w:rsidRPr="009B1F47">
        <w:rPr>
          <w:lang w:val="en-GB"/>
        </w:rPr>
        <w:t xml:space="preserve">climate change, extreme weather and disasters. </w:t>
      </w:r>
      <w:r w:rsidR="004F5B29" w:rsidRPr="009B1F47">
        <w:rPr>
          <w:lang w:val="en-GB"/>
        </w:rPr>
        <w:t xml:space="preserve">On average, </w:t>
      </w:r>
      <w:r w:rsidR="0038291E" w:rsidRPr="004435B3">
        <w:rPr>
          <w:lang w:val="en-GB"/>
        </w:rPr>
        <w:t>it</w:t>
      </w:r>
      <w:r w:rsidR="004F5B29" w:rsidRPr="009B1F47">
        <w:rPr>
          <w:lang w:val="en-GB"/>
        </w:rPr>
        <w:t xml:space="preserve"> experiences three major disasters each year</w:t>
      </w:r>
      <w:r w:rsidR="004F5B29" w:rsidRPr="009B1F47">
        <w:rPr>
          <w:rStyle w:val="FootnoteReference"/>
          <w:lang w:val="en-GB"/>
        </w:rPr>
        <w:footnoteReference w:id="23"/>
      </w:r>
      <w:r w:rsidR="00DB30F9">
        <w:rPr>
          <w:lang w:val="en-GB"/>
        </w:rPr>
        <w:t>,</w:t>
      </w:r>
      <w:r w:rsidR="004F5B29" w:rsidRPr="009B1F47">
        <w:rPr>
          <w:rStyle w:val="FootnoteReference"/>
          <w:lang w:val="en-GB"/>
        </w:rPr>
        <w:t xml:space="preserve"> </w:t>
      </w:r>
      <w:r w:rsidR="004F5B29" w:rsidRPr="009B1F47">
        <w:rPr>
          <w:lang w:val="en-GB"/>
        </w:rPr>
        <w:t xml:space="preserve">with eight countries among the 20 globally </w:t>
      </w:r>
      <w:r w:rsidR="0038291E" w:rsidRPr="004435B3">
        <w:rPr>
          <w:lang w:val="en-GB"/>
        </w:rPr>
        <w:t>having</w:t>
      </w:r>
      <w:r w:rsidR="004F5B29" w:rsidRPr="009B1F47">
        <w:rPr>
          <w:lang w:val="en-GB"/>
        </w:rPr>
        <w:t xml:space="preserve"> the highest average annual disaster losses scaled by </w:t>
      </w:r>
      <w:r w:rsidR="00BC305C" w:rsidRPr="004435B3">
        <w:rPr>
          <w:lang w:val="en-GB"/>
        </w:rPr>
        <w:t>gross domestic product</w:t>
      </w:r>
      <w:r w:rsidR="004F5B29" w:rsidRPr="009B1F47">
        <w:rPr>
          <w:lang w:val="en-GB"/>
        </w:rPr>
        <w:t>.</w:t>
      </w:r>
      <w:r w:rsidR="004F5B29" w:rsidRPr="009B1F47">
        <w:rPr>
          <w:rStyle w:val="FootnoteReference"/>
          <w:lang w:val="en-GB"/>
        </w:rPr>
        <w:footnoteReference w:id="24"/>
      </w:r>
      <w:r w:rsidR="004F5B29" w:rsidRPr="009B1F47">
        <w:rPr>
          <w:rStyle w:val="FootnoteReference"/>
          <w:lang w:val="en-GB"/>
        </w:rPr>
        <w:t xml:space="preserve"> </w:t>
      </w:r>
      <w:r w:rsidR="004F5B29" w:rsidRPr="009B1F47">
        <w:rPr>
          <w:lang w:val="en-GB"/>
        </w:rPr>
        <w:t>Over 75</w:t>
      </w:r>
      <w:r w:rsidR="0038291E" w:rsidRPr="004435B3">
        <w:rPr>
          <w:lang w:val="en-GB"/>
        </w:rPr>
        <w:t xml:space="preserve"> per cent</w:t>
      </w:r>
      <w:r w:rsidR="0038291E" w:rsidRPr="009B1F47">
        <w:rPr>
          <w:lang w:val="en-GB"/>
        </w:rPr>
        <w:t xml:space="preserve"> </w:t>
      </w:r>
      <w:r w:rsidR="004F5B29" w:rsidRPr="009B1F47">
        <w:rPr>
          <w:lang w:val="en-GB"/>
        </w:rPr>
        <w:t>of all reported disasters in the Pacific are climate related.</w:t>
      </w:r>
      <w:r w:rsidR="004F5B29" w:rsidRPr="009B1F47">
        <w:rPr>
          <w:rStyle w:val="FootnoteReference"/>
          <w:lang w:val="en-GB"/>
        </w:rPr>
        <w:footnoteReference w:id="25"/>
      </w:r>
      <w:r w:rsidR="004F5B29" w:rsidRPr="009B1F47">
        <w:rPr>
          <w:lang w:val="en-GB"/>
        </w:rPr>
        <w:t xml:space="preserve"> Frequent c</w:t>
      </w:r>
      <w:r w:rsidR="004F5B29" w:rsidRPr="009B1F47" w:rsidDel="009E0B80">
        <w:rPr>
          <w:lang w:val="en-GB"/>
        </w:rPr>
        <w:t xml:space="preserve">yclones, earthquakes and tsunamis </w:t>
      </w:r>
      <w:r w:rsidR="004F5B29" w:rsidRPr="009B1F47">
        <w:rPr>
          <w:lang w:val="en-GB"/>
        </w:rPr>
        <w:t>have reversed</w:t>
      </w:r>
      <w:r w:rsidR="004F5B29" w:rsidRPr="009B1F47" w:rsidDel="009E0B80">
        <w:rPr>
          <w:lang w:val="en-GB"/>
        </w:rPr>
        <w:t xml:space="preserve"> </w:t>
      </w:r>
      <w:r w:rsidR="004F5B29" w:rsidRPr="009B1F47">
        <w:rPr>
          <w:lang w:val="en-GB"/>
        </w:rPr>
        <w:t xml:space="preserve">gains in </w:t>
      </w:r>
      <w:r w:rsidR="004F5B29" w:rsidRPr="009B1F47" w:rsidDel="009E0B80">
        <w:rPr>
          <w:lang w:val="en-GB"/>
        </w:rPr>
        <w:t>development progress</w:t>
      </w:r>
      <w:r w:rsidR="004F5B29" w:rsidRPr="009B1F47">
        <w:rPr>
          <w:lang w:val="en-GB"/>
        </w:rPr>
        <w:t xml:space="preserve"> in the </w:t>
      </w:r>
      <w:r w:rsidR="00FE6735" w:rsidRPr="009B1F47">
        <w:rPr>
          <w:lang w:val="en-GB"/>
        </w:rPr>
        <w:t>subregion</w:t>
      </w:r>
      <w:r w:rsidR="004F5B29" w:rsidRPr="009B1F47">
        <w:rPr>
          <w:lang w:val="en-GB"/>
        </w:rPr>
        <w:t>, with many Pacific islanders living in a constant state of recovery. Although women, youth and vulnerable groups are more severely affected by disasters</w:t>
      </w:r>
      <w:r w:rsidR="0026368D">
        <w:rPr>
          <w:lang w:val="en-GB"/>
        </w:rPr>
        <w:t>,</w:t>
      </w:r>
      <w:r w:rsidR="004F5B29" w:rsidRPr="009B1F47">
        <w:rPr>
          <w:rStyle w:val="FootnoteReference"/>
          <w:lang w:val="en-GB"/>
        </w:rPr>
        <w:footnoteReference w:id="26"/>
      </w:r>
      <w:r w:rsidR="004F5B29" w:rsidRPr="009B1F47">
        <w:rPr>
          <w:rStyle w:val="FootnoteReference"/>
          <w:lang w:val="en-GB"/>
        </w:rPr>
        <w:t xml:space="preserve">, </w:t>
      </w:r>
      <w:r w:rsidR="004F5B29" w:rsidRPr="009B1F47">
        <w:rPr>
          <w:rStyle w:val="FootnoteReference"/>
          <w:lang w:val="en-GB"/>
        </w:rPr>
        <w:footnoteReference w:id="27"/>
      </w:r>
      <w:r w:rsidR="004F5B29" w:rsidRPr="009B1F47">
        <w:rPr>
          <w:lang w:val="en-GB"/>
        </w:rPr>
        <w:t xml:space="preserve"> gender-sensitive and socially inclusive investments in risk reduction and recovery have been limited. </w:t>
      </w:r>
      <w:r w:rsidR="003A079F" w:rsidRPr="004435B3">
        <w:rPr>
          <w:lang w:val="en-GB"/>
        </w:rPr>
        <w:t xml:space="preserve">Since most inhabitants </w:t>
      </w:r>
      <w:r w:rsidR="003224BD" w:rsidRPr="009B1F47">
        <w:rPr>
          <w:lang w:val="en-GB"/>
        </w:rPr>
        <w:t>resid</w:t>
      </w:r>
      <w:r w:rsidR="003A079F" w:rsidRPr="004435B3">
        <w:rPr>
          <w:lang w:val="en-GB"/>
        </w:rPr>
        <w:t>e</w:t>
      </w:r>
      <w:r w:rsidR="003224BD" w:rsidRPr="00887439">
        <w:rPr>
          <w:lang w:val="en-GB"/>
        </w:rPr>
        <w:t xml:space="preserve"> on the coast, the</w:t>
      </w:r>
      <w:r w:rsidR="00FA54DD" w:rsidRPr="00887439">
        <w:rPr>
          <w:lang w:val="en-GB"/>
        </w:rPr>
        <w:t>y</w:t>
      </w:r>
      <w:r w:rsidR="00786527" w:rsidRPr="00887439">
        <w:rPr>
          <w:lang w:val="en-GB"/>
        </w:rPr>
        <w:t xml:space="preserve"> </w:t>
      </w:r>
      <w:r w:rsidR="003224BD" w:rsidRPr="00887439">
        <w:rPr>
          <w:lang w:val="en-GB"/>
        </w:rPr>
        <w:t xml:space="preserve">are highly susceptible to sea-level rise, which threatens the very existence of atoll nations such as Kiribati, </w:t>
      </w:r>
      <w:r w:rsidR="00887439">
        <w:rPr>
          <w:lang w:val="en-GB"/>
        </w:rPr>
        <w:t xml:space="preserve">the </w:t>
      </w:r>
      <w:r w:rsidR="003224BD" w:rsidRPr="00887439">
        <w:rPr>
          <w:lang w:val="en-GB"/>
        </w:rPr>
        <w:t>Marshall Island</w:t>
      </w:r>
      <w:r w:rsidR="003A079F" w:rsidRPr="004435B3">
        <w:rPr>
          <w:lang w:val="en-GB"/>
        </w:rPr>
        <w:t>s</w:t>
      </w:r>
      <w:r w:rsidR="003224BD" w:rsidRPr="00887439">
        <w:rPr>
          <w:lang w:val="en-GB"/>
        </w:rPr>
        <w:t>, Tokelau and Tuvalu.</w:t>
      </w:r>
    </w:p>
    <w:p w14:paraId="0DA3F6F2" w14:textId="77777777" w:rsidR="002D316A" w:rsidRPr="00887439" w:rsidRDefault="002D316A" w:rsidP="00827AD9">
      <w:pPr>
        <w:pStyle w:val="ListParagraph"/>
        <w:ind w:left="1134" w:right="1208"/>
        <w:contextualSpacing/>
        <w:jc w:val="both"/>
        <w:rPr>
          <w:sz w:val="12"/>
          <w:szCs w:val="12"/>
          <w:lang w:val="en-GB"/>
        </w:rPr>
      </w:pPr>
    </w:p>
    <w:p w14:paraId="6645511E" w14:textId="3C6E8C74" w:rsidR="00310D82" w:rsidRPr="00887439" w:rsidRDefault="0006740D" w:rsidP="00221AAE">
      <w:pPr>
        <w:pStyle w:val="ListParagraph"/>
        <w:numPr>
          <w:ilvl w:val="0"/>
          <w:numId w:val="5"/>
        </w:numPr>
        <w:ind w:left="1134" w:right="1208" w:firstLine="0"/>
        <w:contextualSpacing/>
        <w:jc w:val="both"/>
        <w:rPr>
          <w:lang w:val="en-GB"/>
        </w:rPr>
      </w:pPr>
      <w:r w:rsidRPr="00887439">
        <w:rPr>
          <w:lang w:val="en-GB"/>
        </w:rPr>
        <w:t xml:space="preserve">Environmental degradation, pollution and waste continue to </w:t>
      </w:r>
      <w:r w:rsidR="0026368D">
        <w:rPr>
          <w:lang w:val="en-GB"/>
        </w:rPr>
        <w:t>undermine</w:t>
      </w:r>
      <w:r w:rsidR="0026368D" w:rsidRPr="00887439">
        <w:rPr>
          <w:lang w:val="en-GB"/>
        </w:rPr>
        <w:t xml:space="preserve"> </w:t>
      </w:r>
      <w:r w:rsidRPr="00887439">
        <w:rPr>
          <w:lang w:val="en-GB"/>
        </w:rPr>
        <w:t>livelihood opportunities and people’s health</w:t>
      </w:r>
      <w:r w:rsidR="00A42568" w:rsidRPr="00887439">
        <w:rPr>
          <w:lang w:val="en-GB"/>
        </w:rPr>
        <w:t>.</w:t>
      </w:r>
      <w:r w:rsidRPr="00887439">
        <w:rPr>
          <w:lang w:val="en-GB"/>
        </w:rPr>
        <w:t xml:space="preserve"> </w:t>
      </w:r>
      <w:r w:rsidR="00A42568" w:rsidRPr="00887439">
        <w:rPr>
          <w:lang w:val="en-GB"/>
        </w:rPr>
        <w:t>P</w:t>
      </w:r>
      <w:r w:rsidRPr="00887439">
        <w:rPr>
          <w:lang w:val="en-GB"/>
        </w:rPr>
        <w:t xml:space="preserve">olicy coordination, public engagement and legal enforcement </w:t>
      </w:r>
      <w:r w:rsidR="00780CB6" w:rsidRPr="00887439">
        <w:rPr>
          <w:lang w:val="en-GB"/>
        </w:rPr>
        <w:t>to ensure</w:t>
      </w:r>
      <w:r w:rsidRPr="00887439">
        <w:rPr>
          <w:lang w:val="en-GB"/>
        </w:rPr>
        <w:t xml:space="preserve"> environmental protection and natural resource management</w:t>
      </w:r>
      <w:r w:rsidR="00A42568" w:rsidRPr="00887439">
        <w:rPr>
          <w:lang w:val="en-GB"/>
        </w:rPr>
        <w:t xml:space="preserve"> </w:t>
      </w:r>
      <w:r w:rsidR="0083391F" w:rsidRPr="00887439">
        <w:rPr>
          <w:lang w:val="en-GB"/>
        </w:rPr>
        <w:t>are</w:t>
      </w:r>
      <w:r w:rsidR="00A42568" w:rsidRPr="00887439">
        <w:rPr>
          <w:lang w:val="en-GB"/>
        </w:rPr>
        <w:t xml:space="preserve"> often weak and under</w:t>
      </w:r>
      <w:r w:rsidR="000B43CF" w:rsidRPr="00887439">
        <w:rPr>
          <w:lang w:val="en-GB"/>
        </w:rPr>
        <w:t>-</w:t>
      </w:r>
      <w:r w:rsidR="00A42568" w:rsidRPr="00887439">
        <w:rPr>
          <w:lang w:val="en-GB"/>
        </w:rPr>
        <w:t xml:space="preserve">value the contribution </w:t>
      </w:r>
      <w:r w:rsidR="006B7B4F" w:rsidRPr="00887439">
        <w:rPr>
          <w:lang w:val="en-GB"/>
        </w:rPr>
        <w:t>of</w:t>
      </w:r>
      <w:r w:rsidR="00A42568" w:rsidRPr="00887439">
        <w:rPr>
          <w:lang w:val="en-GB"/>
        </w:rPr>
        <w:t xml:space="preserve"> natural resources and environmental health to prosperity</w:t>
      </w:r>
      <w:r w:rsidRPr="00887439">
        <w:rPr>
          <w:lang w:val="en-GB"/>
        </w:rPr>
        <w:t xml:space="preserve">. </w:t>
      </w:r>
      <w:r w:rsidR="006B7B4F" w:rsidRPr="00887439">
        <w:rPr>
          <w:lang w:val="en-GB"/>
        </w:rPr>
        <w:t xml:space="preserve">The </w:t>
      </w:r>
      <w:r w:rsidR="00FE6735" w:rsidRPr="00887439">
        <w:rPr>
          <w:lang w:val="en-GB"/>
        </w:rPr>
        <w:t>subregion</w:t>
      </w:r>
      <w:r w:rsidR="006B7B4F" w:rsidRPr="00887439">
        <w:rPr>
          <w:lang w:val="en-GB"/>
        </w:rPr>
        <w:t xml:space="preserve"> has</w:t>
      </w:r>
      <w:r w:rsidR="000639F8" w:rsidRPr="00887439">
        <w:rPr>
          <w:lang w:val="en-GB"/>
        </w:rPr>
        <w:t xml:space="preserve"> </w:t>
      </w:r>
      <w:r w:rsidR="007035AE" w:rsidRPr="00887439">
        <w:rPr>
          <w:lang w:val="en-GB"/>
        </w:rPr>
        <w:t xml:space="preserve">the highest </w:t>
      </w:r>
      <w:r w:rsidR="00C9549D" w:rsidRPr="00887439">
        <w:rPr>
          <w:lang w:val="en-GB"/>
        </w:rPr>
        <w:t>fossil</w:t>
      </w:r>
      <w:r w:rsidR="00C73BAB" w:rsidRPr="00887439">
        <w:rPr>
          <w:lang w:val="en-GB"/>
        </w:rPr>
        <w:t xml:space="preserve"> fuel </w:t>
      </w:r>
      <w:r w:rsidRPr="00887439">
        <w:rPr>
          <w:lang w:val="en-GB"/>
        </w:rPr>
        <w:t xml:space="preserve">dependency </w:t>
      </w:r>
      <w:r w:rsidR="007035AE" w:rsidRPr="00887439">
        <w:rPr>
          <w:lang w:val="en-GB"/>
        </w:rPr>
        <w:t>of any region</w:t>
      </w:r>
      <w:r w:rsidR="005E3D5C" w:rsidRPr="00887439">
        <w:rPr>
          <w:lang w:val="en-GB"/>
        </w:rPr>
        <w:t>.</w:t>
      </w:r>
      <w:r w:rsidR="0047424A" w:rsidRPr="00887439">
        <w:rPr>
          <w:vertAlign w:val="superscript"/>
          <w:lang w:val="en-GB"/>
        </w:rPr>
        <w:footnoteReference w:id="28"/>
      </w:r>
      <w:r w:rsidR="00476853" w:rsidRPr="00887439">
        <w:rPr>
          <w:lang w:val="en-GB"/>
        </w:rPr>
        <w:t xml:space="preserve"> W</w:t>
      </w:r>
      <w:r w:rsidR="000639F8" w:rsidRPr="00887439">
        <w:rPr>
          <w:lang w:val="en-GB"/>
        </w:rPr>
        <w:t xml:space="preserve">hile </w:t>
      </w:r>
      <w:r w:rsidR="00C73BAB" w:rsidRPr="00887439">
        <w:rPr>
          <w:lang w:val="en-GB"/>
        </w:rPr>
        <w:t>a</w:t>
      </w:r>
      <w:r w:rsidR="007035AE" w:rsidRPr="00887439">
        <w:rPr>
          <w:lang w:val="en-GB"/>
        </w:rPr>
        <w:t xml:space="preserve"> number </w:t>
      </w:r>
      <w:r w:rsidR="006B7B4F" w:rsidRPr="00887439">
        <w:rPr>
          <w:lang w:val="en-GB"/>
        </w:rPr>
        <w:t xml:space="preserve">of countries </w:t>
      </w:r>
      <w:r w:rsidR="007035AE" w:rsidRPr="00887439">
        <w:rPr>
          <w:lang w:val="en-GB"/>
        </w:rPr>
        <w:t>have ambitious renewable energy production</w:t>
      </w:r>
      <w:r w:rsidR="00C73BAB" w:rsidRPr="00887439">
        <w:rPr>
          <w:lang w:val="en-GB"/>
        </w:rPr>
        <w:t xml:space="preserve"> targets</w:t>
      </w:r>
      <w:r w:rsidR="007002D3" w:rsidRPr="00887439">
        <w:rPr>
          <w:lang w:val="en-GB"/>
        </w:rPr>
        <w:t>,</w:t>
      </w:r>
      <w:r w:rsidR="007035AE" w:rsidRPr="00887439">
        <w:rPr>
          <w:lang w:val="en-GB"/>
        </w:rPr>
        <w:t xml:space="preserve"> the</w:t>
      </w:r>
      <w:r w:rsidR="006B7B4F" w:rsidRPr="00887439">
        <w:rPr>
          <w:lang w:val="en-GB"/>
        </w:rPr>
        <w:t>y</w:t>
      </w:r>
      <w:r w:rsidR="007035AE" w:rsidRPr="00887439">
        <w:rPr>
          <w:lang w:val="en-GB"/>
        </w:rPr>
        <w:t xml:space="preserve"> are not </w:t>
      </w:r>
      <w:r w:rsidR="007002D3" w:rsidRPr="00887439">
        <w:rPr>
          <w:lang w:val="en-GB"/>
        </w:rPr>
        <w:t xml:space="preserve">costed or </w:t>
      </w:r>
      <w:r w:rsidR="007035AE" w:rsidRPr="00887439">
        <w:rPr>
          <w:lang w:val="en-GB"/>
        </w:rPr>
        <w:t xml:space="preserve">linked to </w:t>
      </w:r>
      <w:r w:rsidR="006E672D" w:rsidRPr="00887439">
        <w:rPr>
          <w:lang w:val="en-GB"/>
        </w:rPr>
        <w:t xml:space="preserve">deployment capacities and </w:t>
      </w:r>
      <w:r w:rsidR="007035AE" w:rsidRPr="00887439">
        <w:rPr>
          <w:lang w:val="en-GB"/>
        </w:rPr>
        <w:t xml:space="preserve">known </w:t>
      </w:r>
      <w:r w:rsidR="007C6FF5" w:rsidRPr="00887439">
        <w:rPr>
          <w:lang w:val="en-GB"/>
        </w:rPr>
        <w:t>local</w:t>
      </w:r>
      <w:r w:rsidR="007035AE" w:rsidRPr="00887439">
        <w:rPr>
          <w:lang w:val="en-GB"/>
        </w:rPr>
        <w:t xml:space="preserve"> e</w:t>
      </w:r>
      <w:r w:rsidR="007002D3" w:rsidRPr="00887439">
        <w:rPr>
          <w:lang w:val="en-GB"/>
        </w:rPr>
        <w:t>nergy resources</w:t>
      </w:r>
      <w:r w:rsidR="006E672D" w:rsidRPr="00887439">
        <w:rPr>
          <w:lang w:val="en-GB"/>
        </w:rPr>
        <w:t>.</w:t>
      </w:r>
      <w:r w:rsidR="000C1F61" w:rsidRPr="00887439">
        <w:rPr>
          <w:lang w:val="en-GB"/>
        </w:rPr>
        <w:t xml:space="preserve"> The </w:t>
      </w:r>
      <w:r w:rsidR="003A079F" w:rsidRPr="004435B3">
        <w:rPr>
          <w:lang w:val="en-GB"/>
        </w:rPr>
        <w:t>grea</w:t>
      </w:r>
      <w:r w:rsidR="003A079F" w:rsidRPr="00887439">
        <w:rPr>
          <w:lang w:val="en-GB"/>
        </w:rPr>
        <w:t xml:space="preserve">t </w:t>
      </w:r>
      <w:r w:rsidR="000C1F61" w:rsidRPr="00887439">
        <w:rPr>
          <w:lang w:val="en-GB"/>
        </w:rPr>
        <w:t xml:space="preserve">majority of </w:t>
      </w:r>
      <w:r w:rsidR="003A079F" w:rsidRPr="004435B3">
        <w:rPr>
          <w:lang w:val="en-GB"/>
        </w:rPr>
        <w:t>people</w:t>
      </w:r>
      <w:r w:rsidR="000C1F61" w:rsidRPr="00887439">
        <w:rPr>
          <w:lang w:val="en-GB"/>
        </w:rPr>
        <w:t xml:space="preserve"> in </w:t>
      </w:r>
      <w:r w:rsidR="003A079F" w:rsidRPr="004435B3">
        <w:rPr>
          <w:lang w:val="en-GB"/>
        </w:rPr>
        <w:t xml:space="preserve">the </w:t>
      </w:r>
      <w:r w:rsidR="000C1F61" w:rsidRPr="00887439">
        <w:rPr>
          <w:lang w:val="en-GB"/>
        </w:rPr>
        <w:t xml:space="preserve">Solomon Islands and Vanuatu </w:t>
      </w:r>
      <w:r w:rsidR="0026368D">
        <w:rPr>
          <w:lang w:val="en-GB"/>
        </w:rPr>
        <w:t xml:space="preserve">lack </w:t>
      </w:r>
      <w:r w:rsidR="000C1F61" w:rsidRPr="00887439">
        <w:rPr>
          <w:lang w:val="en-GB"/>
        </w:rPr>
        <w:t>access to modern energy servi</w:t>
      </w:r>
      <w:r w:rsidR="00476853" w:rsidRPr="00887439">
        <w:rPr>
          <w:lang w:val="en-GB"/>
        </w:rPr>
        <w:t xml:space="preserve">ces such as </w:t>
      </w:r>
      <w:r w:rsidR="0065207E" w:rsidRPr="00887439">
        <w:rPr>
          <w:lang w:val="en-GB"/>
        </w:rPr>
        <w:t xml:space="preserve">for </w:t>
      </w:r>
      <w:r w:rsidR="00476853" w:rsidRPr="00887439">
        <w:rPr>
          <w:lang w:val="en-GB"/>
        </w:rPr>
        <w:t xml:space="preserve">cooking </w:t>
      </w:r>
      <w:r w:rsidR="000B0AA0" w:rsidRPr="00887439">
        <w:rPr>
          <w:lang w:val="en-GB"/>
        </w:rPr>
        <w:t>or</w:t>
      </w:r>
      <w:r w:rsidR="00476853" w:rsidRPr="00887439">
        <w:rPr>
          <w:lang w:val="en-GB"/>
        </w:rPr>
        <w:t xml:space="preserve"> lighting.</w:t>
      </w:r>
    </w:p>
    <w:p w14:paraId="0C45D660" w14:textId="77777777" w:rsidR="00616069" w:rsidRPr="00887439" w:rsidRDefault="00616069" w:rsidP="00616069">
      <w:pPr>
        <w:pStyle w:val="ListParagraph"/>
        <w:rPr>
          <w:sz w:val="12"/>
          <w:szCs w:val="12"/>
          <w:lang w:val="en-GB"/>
        </w:rPr>
      </w:pPr>
    </w:p>
    <w:p w14:paraId="6E3DD89F" w14:textId="38F83FFC" w:rsidR="005206B1" w:rsidRPr="00887439" w:rsidRDefault="000B1343" w:rsidP="0091698A">
      <w:pPr>
        <w:pStyle w:val="ListParagraph"/>
        <w:numPr>
          <w:ilvl w:val="0"/>
          <w:numId w:val="5"/>
        </w:numPr>
        <w:ind w:left="1134" w:right="1208" w:firstLine="0"/>
        <w:contextualSpacing/>
        <w:jc w:val="both"/>
        <w:rPr>
          <w:lang w:val="en-GB"/>
        </w:rPr>
      </w:pPr>
      <w:r w:rsidRPr="00887439">
        <w:rPr>
          <w:lang w:val="en-GB"/>
        </w:rPr>
        <w:t xml:space="preserve">All </w:t>
      </w:r>
      <w:r w:rsidR="000639F8" w:rsidRPr="00887439">
        <w:rPr>
          <w:lang w:val="en-GB"/>
        </w:rPr>
        <w:t>the c</w:t>
      </w:r>
      <w:r w:rsidRPr="00887439">
        <w:rPr>
          <w:lang w:val="en-GB"/>
        </w:rPr>
        <w:t xml:space="preserve">ountries elect their governments through democratic elections, although decision-making </w:t>
      </w:r>
      <w:r w:rsidR="00066661" w:rsidRPr="004435B3">
        <w:rPr>
          <w:lang w:val="en-GB"/>
        </w:rPr>
        <w:t>i</w:t>
      </w:r>
      <w:r w:rsidR="00066661" w:rsidRPr="00887439">
        <w:rPr>
          <w:lang w:val="en-GB"/>
        </w:rPr>
        <w:t xml:space="preserve">s </w:t>
      </w:r>
      <w:r w:rsidRPr="00887439">
        <w:rPr>
          <w:lang w:val="en-GB"/>
        </w:rPr>
        <w:t xml:space="preserve">influenced by formal and traditional governance systems. </w:t>
      </w:r>
      <w:r w:rsidR="009D676D" w:rsidRPr="00887439">
        <w:rPr>
          <w:lang w:val="en-GB"/>
        </w:rPr>
        <w:t xml:space="preserve">Reliance on </w:t>
      </w:r>
      <w:r w:rsidR="00066661" w:rsidRPr="004435B3">
        <w:rPr>
          <w:lang w:val="en-GB"/>
        </w:rPr>
        <w:t>‘</w:t>
      </w:r>
      <w:r w:rsidR="009D676D" w:rsidRPr="00887439">
        <w:rPr>
          <w:lang w:val="en-GB"/>
        </w:rPr>
        <w:t>chiefly</w:t>
      </w:r>
      <w:r w:rsidR="00066661" w:rsidRPr="004435B3">
        <w:rPr>
          <w:lang w:val="en-GB"/>
        </w:rPr>
        <w:t>’</w:t>
      </w:r>
      <w:r w:rsidR="009D676D" w:rsidRPr="00887439">
        <w:rPr>
          <w:lang w:val="en-GB"/>
        </w:rPr>
        <w:t xml:space="preserve"> system</w:t>
      </w:r>
      <w:r w:rsidR="00FB0A7E" w:rsidRPr="00887439">
        <w:rPr>
          <w:lang w:val="en-GB"/>
        </w:rPr>
        <w:t>s</w:t>
      </w:r>
      <w:r w:rsidR="00300286" w:rsidRPr="00887439">
        <w:rPr>
          <w:lang w:val="en-GB"/>
        </w:rPr>
        <w:t xml:space="preserve"> and</w:t>
      </w:r>
      <w:r w:rsidR="009D676D" w:rsidRPr="00887439">
        <w:rPr>
          <w:lang w:val="en-GB"/>
        </w:rPr>
        <w:t xml:space="preserve"> religious structures remain</w:t>
      </w:r>
      <w:r w:rsidR="00891774" w:rsidRPr="00887439">
        <w:rPr>
          <w:lang w:val="en-GB"/>
        </w:rPr>
        <w:t>s</w:t>
      </w:r>
      <w:r w:rsidR="009D676D" w:rsidRPr="00887439">
        <w:rPr>
          <w:lang w:val="en-GB"/>
        </w:rPr>
        <w:t xml:space="preserve"> widespread.</w:t>
      </w:r>
      <w:r w:rsidR="000639F8" w:rsidRPr="00887439">
        <w:rPr>
          <w:lang w:val="en-GB"/>
        </w:rPr>
        <w:t xml:space="preserve"> Despite recent success</w:t>
      </w:r>
      <w:r w:rsidR="000B0AA0" w:rsidRPr="00887439">
        <w:rPr>
          <w:lang w:val="en-GB"/>
        </w:rPr>
        <w:t>es</w:t>
      </w:r>
      <w:r w:rsidR="009D676D" w:rsidRPr="00887439">
        <w:rPr>
          <w:lang w:val="en-GB"/>
        </w:rPr>
        <w:t xml:space="preserve"> m</w:t>
      </w:r>
      <w:r w:rsidR="000639F8" w:rsidRPr="00887439">
        <w:rPr>
          <w:lang w:val="en-GB"/>
        </w:rPr>
        <w:t>anifested by credible elections</w:t>
      </w:r>
      <w:r w:rsidR="009D676D" w:rsidRPr="00887439">
        <w:rPr>
          <w:lang w:val="en-GB"/>
        </w:rPr>
        <w:t xml:space="preserve"> and restoration of democracy in some countries, </w:t>
      </w:r>
      <w:r w:rsidR="00542C5C" w:rsidRPr="00887439">
        <w:rPr>
          <w:lang w:val="en-GB"/>
        </w:rPr>
        <w:t xml:space="preserve">the </w:t>
      </w:r>
      <w:r w:rsidR="00FE6735" w:rsidRPr="00887439">
        <w:rPr>
          <w:lang w:val="en-GB"/>
        </w:rPr>
        <w:t>subregion</w:t>
      </w:r>
      <w:r w:rsidR="00542C5C" w:rsidRPr="00887439">
        <w:rPr>
          <w:lang w:val="en-GB"/>
        </w:rPr>
        <w:t xml:space="preserve"> face</w:t>
      </w:r>
      <w:r w:rsidR="003A079F" w:rsidRPr="004435B3">
        <w:rPr>
          <w:lang w:val="en-GB"/>
        </w:rPr>
        <w:t>s</w:t>
      </w:r>
      <w:r w:rsidR="00542C5C" w:rsidRPr="00887439">
        <w:rPr>
          <w:lang w:val="en-GB"/>
        </w:rPr>
        <w:t xml:space="preserve"> challenges</w:t>
      </w:r>
      <w:r w:rsidR="00066661" w:rsidRPr="004435B3">
        <w:rPr>
          <w:lang w:val="en-GB"/>
        </w:rPr>
        <w:t>,</w:t>
      </w:r>
      <w:r w:rsidR="003C3A9D" w:rsidRPr="00887439">
        <w:rPr>
          <w:lang w:val="en-GB"/>
        </w:rPr>
        <w:t xml:space="preserve"> including</w:t>
      </w:r>
      <w:r w:rsidR="00542C5C" w:rsidRPr="00887439">
        <w:rPr>
          <w:lang w:val="en-GB"/>
        </w:rPr>
        <w:t xml:space="preserve"> political instability and its impact on peace and development</w:t>
      </w:r>
      <w:r w:rsidR="00FB0A7E" w:rsidRPr="00887439">
        <w:rPr>
          <w:lang w:val="en-GB"/>
        </w:rPr>
        <w:t xml:space="preserve">; </w:t>
      </w:r>
      <w:r w:rsidR="00542C5C" w:rsidRPr="00887439">
        <w:rPr>
          <w:lang w:val="en-GB"/>
        </w:rPr>
        <w:t>increasing influence of finance on politics and elections</w:t>
      </w:r>
      <w:r w:rsidR="00FB0A7E" w:rsidRPr="00887439">
        <w:rPr>
          <w:lang w:val="en-GB"/>
        </w:rPr>
        <w:t>;</w:t>
      </w:r>
      <w:r w:rsidR="00542C5C" w:rsidRPr="00887439">
        <w:rPr>
          <w:lang w:val="en-GB"/>
        </w:rPr>
        <w:t xml:space="preserve"> </w:t>
      </w:r>
      <w:r w:rsidR="003378CB" w:rsidRPr="00887439">
        <w:rPr>
          <w:lang w:val="en-GB"/>
        </w:rPr>
        <w:t>weak or non-existent local governance structures</w:t>
      </w:r>
      <w:r w:rsidR="00300286" w:rsidRPr="00887439">
        <w:rPr>
          <w:lang w:val="en-GB"/>
        </w:rPr>
        <w:t>;</w:t>
      </w:r>
      <w:r w:rsidR="003378CB" w:rsidRPr="00887439">
        <w:rPr>
          <w:lang w:val="en-GB"/>
        </w:rPr>
        <w:t xml:space="preserve"> poor delivery of government services outside urban areas</w:t>
      </w:r>
      <w:r w:rsidR="00300286" w:rsidRPr="00887439">
        <w:rPr>
          <w:lang w:val="en-GB"/>
        </w:rPr>
        <w:t>;</w:t>
      </w:r>
      <w:r w:rsidR="003378CB" w:rsidRPr="00887439">
        <w:rPr>
          <w:lang w:val="en-GB"/>
        </w:rPr>
        <w:t xml:space="preserve"> and </w:t>
      </w:r>
      <w:r w:rsidR="003A079F" w:rsidRPr="004435B3">
        <w:rPr>
          <w:lang w:val="en-GB"/>
        </w:rPr>
        <w:t>limited</w:t>
      </w:r>
      <w:r w:rsidR="003A079F" w:rsidRPr="00887439">
        <w:rPr>
          <w:lang w:val="en-GB"/>
        </w:rPr>
        <w:t xml:space="preserve"> </w:t>
      </w:r>
      <w:r w:rsidR="003378CB" w:rsidRPr="00887439">
        <w:rPr>
          <w:lang w:val="en-GB"/>
        </w:rPr>
        <w:t>connectivity</w:t>
      </w:r>
      <w:r w:rsidR="003A079F" w:rsidRPr="004435B3">
        <w:rPr>
          <w:lang w:val="en-GB"/>
        </w:rPr>
        <w:t>,</w:t>
      </w:r>
      <w:r w:rsidR="003378CB" w:rsidRPr="00887439">
        <w:rPr>
          <w:lang w:val="en-GB"/>
        </w:rPr>
        <w:t xml:space="preserve"> </w:t>
      </w:r>
      <w:r w:rsidR="00B2378A" w:rsidRPr="004435B3">
        <w:rPr>
          <w:lang w:val="en-GB"/>
        </w:rPr>
        <w:t>impeding the</w:t>
      </w:r>
      <w:r w:rsidR="003378CB" w:rsidRPr="00887439">
        <w:rPr>
          <w:lang w:val="en-GB"/>
        </w:rPr>
        <w:t xml:space="preserve"> delivery of more inclusive forms of development. </w:t>
      </w:r>
      <w:r w:rsidR="00300286" w:rsidRPr="00887439">
        <w:rPr>
          <w:lang w:val="en-GB"/>
        </w:rPr>
        <w:t>N</w:t>
      </w:r>
      <w:r w:rsidR="003378CB" w:rsidRPr="00887439">
        <w:rPr>
          <w:lang w:val="en-GB"/>
        </w:rPr>
        <w:t xml:space="preserve">early half </w:t>
      </w:r>
      <w:r w:rsidR="005206B1" w:rsidRPr="00887439">
        <w:rPr>
          <w:lang w:val="en-GB"/>
        </w:rPr>
        <w:t>of the Pacific population</w:t>
      </w:r>
      <w:r w:rsidR="005206B1" w:rsidRPr="00887439">
        <w:rPr>
          <w:vertAlign w:val="superscript"/>
          <w:lang w:val="en-GB"/>
        </w:rPr>
        <w:footnoteReference w:id="29"/>
      </w:r>
      <w:r w:rsidR="005206B1" w:rsidRPr="00887439">
        <w:rPr>
          <w:vertAlign w:val="superscript"/>
          <w:lang w:val="en-GB"/>
        </w:rPr>
        <w:t xml:space="preserve"> </w:t>
      </w:r>
      <w:r w:rsidR="005206B1" w:rsidRPr="00887439">
        <w:rPr>
          <w:lang w:val="en-GB"/>
        </w:rPr>
        <w:t>are not yet users of the mobile phone service</w:t>
      </w:r>
      <w:r w:rsidR="00300286" w:rsidRPr="00887439">
        <w:rPr>
          <w:lang w:val="en-GB"/>
        </w:rPr>
        <w:t>,</w:t>
      </w:r>
      <w:r w:rsidR="005206B1" w:rsidRPr="00887439">
        <w:rPr>
          <w:lang w:val="en-GB"/>
        </w:rPr>
        <w:t xml:space="preserve"> with Kiribati and Tuvalu having the lowest mobile subscriptions, </w:t>
      </w:r>
      <w:r w:rsidR="005206B1" w:rsidRPr="00887439">
        <w:rPr>
          <w:lang w:val="en-GB"/>
        </w:rPr>
        <w:lastRenderedPageBreak/>
        <w:t>at 17.4 and 38.4 per cent, respectively.</w:t>
      </w:r>
      <w:r w:rsidR="00FE40B1" w:rsidRPr="00887439">
        <w:rPr>
          <w:lang w:val="en-GB"/>
        </w:rPr>
        <w:t xml:space="preserve"> </w:t>
      </w:r>
      <w:r w:rsidR="005024EA" w:rsidRPr="004435B3">
        <w:rPr>
          <w:lang w:val="en-GB"/>
        </w:rPr>
        <w:t>On the other hand</w:t>
      </w:r>
      <w:r w:rsidR="00FE40B1" w:rsidRPr="00887439">
        <w:rPr>
          <w:lang w:val="en-GB"/>
        </w:rPr>
        <w:t>, subscriber rates grew at an annual compound rate of 26 per cent</w:t>
      </w:r>
      <w:r w:rsidR="00FE40B1" w:rsidRPr="00887439">
        <w:rPr>
          <w:vertAlign w:val="superscript"/>
          <w:lang w:val="en-GB"/>
        </w:rPr>
        <w:footnoteReference w:id="30"/>
      </w:r>
      <w:r w:rsidR="00FE40B1" w:rsidRPr="00887439">
        <w:rPr>
          <w:lang w:val="en-GB"/>
        </w:rPr>
        <w:t xml:space="preserve">, with more Pacific </w:t>
      </w:r>
      <w:r w:rsidR="00673C52" w:rsidRPr="00887439">
        <w:rPr>
          <w:lang w:val="en-GB"/>
        </w:rPr>
        <w:t xml:space="preserve">islanders </w:t>
      </w:r>
      <w:r w:rsidR="00FE40B1" w:rsidRPr="00887439">
        <w:rPr>
          <w:lang w:val="en-GB"/>
        </w:rPr>
        <w:t xml:space="preserve">accessing </w:t>
      </w:r>
      <w:r w:rsidR="0026368D">
        <w:rPr>
          <w:lang w:val="en-GB"/>
        </w:rPr>
        <w:t xml:space="preserve">the </w:t>
      </w:r>
      <w:r w:rsidR="00FE40B1" w:rsidRPr="00887439">
        <w:rPr>
          <w:lang w:val="en-GB"/>
        </w:rPr>
        <w:t>Internet and social media using mobile telephony.</w:t>
      </w:r>
    </w:p>
    <w:p w14:paraId="55AC2AFF" w14:textId="77777777" w:rsidR="005206B1" w:rsidRPr="00887439" w:rsidRDefault="005206B1" w:rsidP="005206B1">
      <w:pPr>
        <w:pStyle w:val="ListParagraph"/>
        <w:rPr>
          <w:sz w:val="12"/>
          <w:szCs w:val="12"/>
          <w:lang w:val="en-GB"/>
        </w:rPr>
      </w:pPr>
    </w:p>
    <w:p w14:paraId="48FA4D61" w14:textId="0540BE07" w:rsidR="0010422E" w:rsidRPr="00507BA9" w:rsidRDefault="00542C5C" w:rsidP="008E2371">
      <w:pPr>
        <w:pStyle w:val="ListParagraph"/>
        <w:numPr>
          <w:ilvl w:val="0"/>
          <w:numId w:val="5"/>
        </w:numPr>
        <w:ind w:left="1134" w:right="1208" w:firstLine="0"/>
        <w:contextualSpacing/>
        <w:jc w:val="both"/>
        <w:rPr>
          <w:lang w:val="en-GB"/>
        </w:rPr>
      </w:pPr>
      <w:r w:rsidRPr="00887439">
        <w:rPr>
          <w:lang w:val="en-GB"/>
        </w:rPr>
        <w:t>While the democratic environment is changing rapidly</w:t>
      </w:r>
      <w:r w:rsidR="009D676D" w:rsidRPr="00887439">
        <w:rPr>
          <w:lang w:val="en-GB"/>
        </w:rPr>
        <w:t xml:space="preserve"> through </w:t>
      </w:r>
      <w:r w:rsidRPr="00887439">
        <w:rPr>
          <w:lang w:val="en-GB"/>
        </w:rPr>
        <w:t>the rise of social media, increased urbanization</w:t>
      </w:r>
      <w:r w:rsidR="00066661" w:rsidRPr="004435B3">
        <w:rPr>
          <w:lang w:val="en-GB"/>
        </w:rPr>
        <w:t>,</w:t>
      </w:r>
      <w:r w:rsidRPr="00507BA9">
        <w:rPr>
          <w:lang w:val="en-GB"/>
        </w:rPr>
        <w:t xml:space="preserve"> and regional and global economic integration</w:t>
      </w:r>
      <w:r w:rsidRPr="00507BA9">
        <w:rPr>
          <w:vertAlign w:val="superscript"/>
          <w:lang w:val="en-GB"/>
        </w:rPr>
        <w:footnoteReference w:id="31"/>
      </w:r>
      <w:r w:rsidRPr="00507BA9">
        <w:rPr>
          <w:lang w:val="en-GB"/>
        </w:rPr>
        <w:t>, those remain</w:t>
      </w:r>
      <w:r w:rsidR="00FB0A7E" w:rsidRPr="00507BA9">
        <w:rPr>
          <w:lang w:val="en-GB"/>
        </w:rPr>
        <w:t>ing</w:t>
      </w:r>
      <w:r w:rsidRPr="00507BA9">
        <w:rPr>
          <w:lang w:val="en-GB"/>
        </w:rPr>
        <w:t xml:space="preserve"> f</w:t>
      </w:r>
      <w:r w:rsidR="00924150" w:rsidRPr="004435B3">
        <w:rPr>
          <w:lang w:val="en-GB"/>
        </w:rPr>
        <w:t>a</w:t>
      </w:r>
      <w:r w:rsidRPr="00507BA9">
        <w:rPr>
          <w:lang w:val="en-GB"/>
        </w:rPr>
        <w:t xml:space="preserve">rthest behind are often youth, women and the geographically </w:t>
      </w:r>
      <w:r w:rsidR="009D676D" w:rsidRPr="00507BA9">
        <w:rPr>
          <w:lang w:val="en-GB"/>
        </w:rPr>
        <w:t>isolated</w:t>
      </w:r>
      <w:r w:rsidRPr="00507BA9">
        <w:rPr>
          <w:lang w:val="en-GB"/>
        </w:rPr>
        <w:t xml:space="preserve">. </w:t>
      </w:r>
      <w:r w:rsidR="009D676D" w:rsidRPr="00507BA9">
        <w:rPr>
          <w:lang w:val="en-GB"/>
        </w:rPr>
        <w:t>In remote and rural areas</w:t>
      </w:r>
      <w:r w:rsidRPr="00507BA9">
        <w:rPr>
          <w:lang w:val="en-GB"/>
        </w:rPr>
        <w:t>, women and youth often play a</w:t>
      </w:r>
      <w:r w:rsidR="00AF215E" w:rsidRPr="00507BA9">
        <w:rPr>
          <w:lang w:val="en-GB"/>
        </w:rPr>
        <w:t xml:space="preserve"> limited </w:t>
      </w:r>
      <w:r w:rsidRPr="00507BA9">
        <w:rPr>
          <w:lang w:val="en-GB"/>
        </w:rPr>
        <w:t>role in decision-making and a</w:t>
      </w:r>
      <w:r w:rsidR="009D676D" w:rsidRPr="00507BA9">
        <w:rPr>
          <w:lang w:val="en-GB"/>
        </w:rPr>
        <w:t xml:space="preserve">re at risk of further marginalization. </w:t>
      </w:r>
      <w:r w:rsidRPr="00507BA9">
        <w:rPr>
          <w:lang w:val="en-GB"/>
        </w:rPr>
        <w:t xml:space="preserve">Weak governance structures give rise to disputes </w:t>
      </w:r>
      <w:r w:rsidR="00924150" w:rsidRPr="00507BA9">
        <w:rPr>
          <w:lang w:val="en-GB"/>
        </w:rPr>
        <w:t>o</w:t>
      </w:r>
      <w:r w:rsidR="00924150" w:rsidRPr="004435B3">
        <w:rPr>
          <w:lang w:val="en-GB"/>
        </w:rPr>
        <w:t>ver</w:t>
      </w:r>
      <w:r w:rsidR="00924150" w:rsidRPr="00507BA9">
        <w:rPr>
          <w:lang w:val="en-GB"/>
        </w:rPr>
        <w:t xml:space="preserve"> </w:t>
      </w:r>
      <w:r w:rsidRPr="00507BA9">
        <w:rPr>
          <w:lang w:val="en-GB"/>
        </w:rPr>
        <w:t>land and other matters</w:t>
      </w:r>
      <w:r w:rsidR="003D0A2B" w:rsidRPr="004435B3">
        <w:rPr>
          <w:lang w:val="en-GB"/>
        </w:rPr>
        <w:t xml:space="preserve"> </w:t>
      </w:r>
      <w:r w:rsidR="00394C0E" w:rsidRPr="00507BA9">
        <w:rPr>
          <w:lang w:val="en-GB"/>
        </w:rPr>
        <w:t xml:space="preserve">that </w:t>
      </w:r>
      <w:r w:rsidR="00066661" w:rsidRPr="004435B3">
        <w:rPr>
          <w:lang w:val="en-GB"/>
        </w:rPr>
        <w:t xml:space="preserve">often </w:t>
      </w:r>
      <w:r w:rsidR="00394C0E" w:rsidRPr="00507BA9">
        <w:rPr>
          <w:lang w:val="en-GB"/>
        </w:rPr>
        <w:t>r</w:t>
      </w:r>
      <w:r w:rsidRPr="00507BA9">
        <w:rPr>
          <w:lang w:val="en-GB"/>
        </w:rPr>
        <w:t>emain unresolved for extended periods.</w:t>
      </w:r>
      <w:r w:rsidRPr="00507BA9">
        <w:rPr>
          <w:vertAlign w:val="superscript"/>
          <w:lang w:val="en-GB"/>
        </w:rPr>
        <w:footnoteReference w:id="32"/>
      </w:r>
    </w:p>
    <w:p w14:paraId="45776CC9" w14:textId="77777777" w:rsidR="005206B1" w:rsidRPr="00507BA9" w:rsidRDefault="005206B1" w:rsidP="005206B1">
      <w:pPr>
        <w:pStyle w:val="ListParagraph"/>
        <w:rPr>
          <w:sz w:val="12"/>
          <w:szCs w:val="12"/>
          <w:lang w:val="en-GB"/>
        </w:rPr>
      </w:pPr>
    </w:p>
    <w:p w14:paraId="1195401A" w14:textId="2AD8E1DE" w:rsidR="00C73BAB" w:rsidRPr="00507BA9" w:rsidRDefault="003F06E8" w:rsidP="00E27151">
      <w:pPr>
        <w:pStyle w:val="ListParagraph"/>
        <w:numPr>
          <w:ilvl w:val="0"/>
          <w:numId w:val="5"/>
        </w:numPr>
        <w:ind w:left="1134" w:right="1208" w:firstLine="0"/>
        <w:contextualSpacing/>
        <w:jc w:val="both"/>
        <w:rPr>
          <w:lang w:val="en-GB"/>
        </w:rPr>
      </w:pPr>
      <w:r w:rsidRPr="00507BA9">
        <w:rPr>
          <w:lang w:val="en-GB"/>
        </w:rPr>
        <w:t xml:space="preserve">Evaluations conducted in the previous programme cycle </w:t>
      </w:r>
      <w:r w:rsidR="00066661" w:rsidRPr="004435B3">
        <w:rPr>
          <w:lang w:val="en-GB"/>
        </w:rPr>
        <w:t>indicate</w:t>
      </w:r>
      <w:r w:rsidR="00066661" w:rsidRPr="00507BA9">
        <w:rPr>
          <w:lang w:val="en-GB"/>
        </w:rPr>
        <w:t xml:space="preserve"> </w:t>
      </w:r>
      <w:r w:rsidRPr="00507BA9">
        <w:rPr>
          <w:lang w:val="en-GB"/>
        </w:rPr>
        <w:t xml:space="preserve">that </w:t>
      </w:r>
      <w:r w:rsidR="00B90EC9" w:rsidRPr="00507BA9">
        <w:rPr>
          <w:lang w:val="en-GB"/>
        </w:rPr>
        <w:t xml:space="preserve">UNDP </w:t>
      </w:r>
      <w:r w:rsidR="007F606A" w:rsidRPr="00507BA9">
        <w:rPr>
          <w:lang w:val="en-GB"/>
        </w:rPr>
        <w:t>worked</w:t>
      </w:r>
      <w:r w:rsidR="00C73BAB" w:rsidRPr="00507BA9">
        <w:rPr>
          <w:lang w:val="en-GB"/>
        </w:rPr>
        <w:t xml:space="preserve"> </w:t>
      </w:r>
      <w:r w:rsidRPr="00507BA9">
        <w:rPr>
          <w:lang w:val="en-GB"/>
        </w:rPr>
        <w:t xml:space="preserve">effectively </w:t>
      </w:r>
      <w:r w:rsidR="00C73BAB" w:rsidRPr="00507BA9">
        <w:rPr>
          <w:lang w:val="en-GB"/>
        </w:rPr>
        <w:t>to strengthen national institutions</w:t>
      </w:r>
      <w:r w:rsidR="003D0A2B" w:rsidRPr="004435B3">
        <w:rPr>
          <w:lang w:val="en-GB"/>
        </w:rPr>
        <w:t>,</w:t>
      </w:r>
      <w:r w:rsidR="00C73BAB" w:rsidRPr="00507BA9">
        <w:rPr>
          <w:lang w:val="en-GB"/>
        </w:rPr>
        <w:t xml:space="preserve"> including parliaments, anti-corruption bodies</w:t>
      </w:r>
      <w:r w:rsidR="003D0A2B" w:rsidRPr="004435B3">
        <w:rPr>
          <w:lang w:val="en-GB"/>
        </w:rPr>
        <w:t>,</w:t>
      </w:r>
      <w:r w:rsidR="00C73BAB" w:rsidRPr="00507BA9">
        <w:rPr>
          <w:lang w:val="en-GB"/>
        </w:rPr>
        <w:t xml:space="preserve"> and rule</w:t>
      </w:r>
      <w:r w:rsidR="003D0A2B" w:rsidRPr="004435B3">
        <w:rPr>
          <w:lang w:val="en-GB"/>
        </w:rPr>
        <w:t>-</w:t>
      </w:r>
      <w:r w:rsidR="00C73BAB" w:rsidRPr="00507BA9">
        <w:rPr>
          <w:lang w:val="en-GB"/>
        </w:rPr>
        <w:t>of</w:t>
      </w:r>
      <w:r w:rsidR="003D0A2B" w:rsidRPr="004435B3">
        <w:rPr>
          <w:lang w:val="en-GB"/>
        </w:rPr>
        <w:t>-</w:t>
      </w:r>
      <w:r w:rsidR="00C73BAB" w:rsidRPr="00507BA9">
        <w:rPr>
          <w:lang w:val="en-GB"/>
        </w:rPr>
        <w:t>law institutions</w:t>
      </w:r>
      <w:r w:rsidR="00107AF3" w:rsidRPr="00507BA9">
        <w:rPr>
          <w:lang w:val="en-GB"/>
        </w:rPr>
        <w:t>.</w:t>
      </w:r>
      <w:r w:rsidR="00C73BAB" w:rsidRPr="00507BA9">
        <w:rPr>
          <w:rStyle w:val="FootnoteReference"/>
          <w:lang w:val="en-GB"/>
        </w:rPr>
        <w:footnoteReference w:id="33"/>
      </w:r>
      <w:r w:rsidR="00C73BAB" w:rsidRPr="00507BA9">
        <w:rPr>
          <w:lang w:val="en-GB"/>
        </w:rPr>
        <w:t xml:space="preserve"> </w:t>
      </w:r>
      <w:r w:rsidR="003D0A2B" w:rsidRPr="004435B3">
        <w:rPr>
          <w:lang w:val="en-GB"/>
        </w:rPr>
        <w:t>E</w:t>
      </w:r>
      <w:r w:rsidR="0030335C" w:rsidRPr="00507BA9">
        <w:rPr>
          <w:lang w:val="en-GB"/>
        </w:rPr>
        <w:t>valuation findings</w:t>
      </w:r>
      <w:r w:rsidR="00925260" w:rsidRPr="00507BA9">
        <w:rPr>
          <w:lang w:val="en-GB"/>
        </w:rPr>
        <w:t xml:space="preserve"> noted the need </w:t>
      </w:r>
      <w:r w:rsidR="00507BA9">
        <w:rPr>
          <w:lang w:val="en-GB"/>
        </w:rPr>
        <w:t xml:space="preserve">for increased emphasis on </w:t>
      </w:r>
      <w:r w:rsidR="0030335C" w:rsidRPr="00507BA9">
        <w:rPr>
          <w:lang w:val="en-GB"/>
        </w:rPr>
        <w:t xml:space="preserve">oversight </w:t>
      </w:r>
      <w:r w:rsidR="00925260" w:rsidRPr="00507BA9">
        <w:rPr>
          <w:lang w:val="en-GB"/>
        </w:rPr>
        <w:t xml:space="preserve">of policy implementation and support </w:t>
      </w:r>
      <w:r w:rsidR="003D0A2B" w:rsidRPr="004435B3">
        <w:rPr>
          <w:lang w:val="en-GB"/>
        </w:rPr>
        <w:t>to</w:t>
      </w:r>
      <w:r w:rsidR="003D0A2B" w:rsidRPr="00507BA9">
        <w:rPr>
          <w:lang w:val="en-GB"/>
        </w:rPr>
        <w:t xml:space="preserve"> </w:t>
      </w:r>
      <w:r w:rsidR="0030335C" w:rsidRPr="00507BA9">
        <w:rPr>
          <w:lang w:val="en-GB"/>
        </w:rPr>
        <w:t>policy development</w:t>
      </w:r>
      <w:r w:rsidR="003E092E" w:rsidRPr="00507BA9">
        <w:rPr>
          <w:lang w:val="en-GB"/>
        </w:rPr>
        <w:t>.</w:t>
      </w:r>
      <w:r w:rsidR="003E092E" w:rsidRPr="00507BA9">
        <w:rPr>
          <w:rStyle w:val="FootnoteReference"/>
          <w:lang w:val="en-GB"/>
        </w:rPr>
        <w:footnoteReference w:id="34"/>
      </w:r>
      <w:r w:rsidR="00A00413" w:rsidRPr="00507BA9">
        <w:rPr>
          <w:lang w:val="en-GB"/>
        </w:rPr>
        <w:t xml:space="preserve"> </w:t>
      </w:r>
      <w:r w:rsidR="007F606A" w:rsidRPr="00507BA9">
        <w:rPr>
          <w:lang w:val="en-GB"/>
        </w:rPr>
        <w:t>Support for</w:t>
      </w:r>
      <w:r w:rsidR="00C73BAB" w:rsidRPr="00507BA9">
        <w:rPr>
          <w:lang w:val="en-GB"/>
        </w:rPr>
        <w:t xml:space="preserve"> women’s political participation </w:t>
      </w:r>
      <w:r w:rsidR="007F606A" w:rsidRPr="00507BA9">
        <w:rPr>
          <w:lang w:val="en-GB"/>
        </w:rPr>
        <w:t>led to</w:t>
      </w:r>
      <w:r w:rsidR="00C73BAB" w:rsidRPr="00507BA9">
        <w:rPr>
          <w:lang w:val="en-GB"/>
        </w:rPr>
        <w:t xml:space="preserve"> </w:t>
      </w:r>
      <w:r w:rsidR="003D0A2B" w:rsidRPr="004435B3">
        <w:rPr>
          <w:lang w:val="en-GB"/>
        </w:rPr>
        <w:t xml:space="preserve">an increase in </w:t>
      </w:r>
      <w:r w:rsidR="00C73BAB" w:rsidRPr="00507BA9">
        <w:rPr>
          <w:lang w:val="en-GB"/>
        </w:rPr>
        <w:t xml:space="preserve">the number of women in parliament, and civil society started to </w:t>
      </w:r>
      <w:r w:rsidR="00625A44" w:rsidRPr="004435B3">
        <w:rPr>
          <w:lang w:val="en-GB"/>
        </w:rPr>
        <w:t xml:space="preserve">engage </w:t>
      </w:r>
      <w:r w:rsidR="00C73BAB" w:rsidRPr="00507BA9">
        <w:rPr>
          <w:lang w:val="en-GB"/>
        </w:rPr>
        <w:t>more effectively with governance institutions</w:t>
      </w:r>
      <w:r w:rsidR="00C73BAB" w:rsidRPr="00507BA9">
        <w:rPr>
          <w:rStyle w:val="FootnoteReference"/>
          <w:lang w:val="en-GB"/>
        </w:rPr>
        <w:footnoteReference w:id="35"/>
      </w:r>
      <w:r w:rsidR="00C73BAB" w:rsidRPr="00507BA9">
        <w:rPr>
          <w:lang w:val="en-GB"/>
        </w:rPr>
        <w:t>. UNDP work</w:t>
      </w:r>
      <w:r w:rsidR="00066661" w:rsidRPr="004435B3">
        <w:rPr>
          <w:lang w:val="en-GB"/>
        </w:rPr>
        <w:t xml:space="preserve">ed </w:t>
      </w:r>
      <w:r w:rsidR="00C73BAB" w:rsidRPr="00507BA9">
        <w:rPr>
          <w:lang w:val="en-GB"/>
        </w:rPr>
        <w:t xml:space="preserve">to consolidate peace in </w:t>
      </w:r>
      <w:r w:rsidR="00625A44" w:rsidRPr="004435B3">
        <w:rPr>
          <w:lang w:val="en-GB"/>
        </w:rPr>
        <w:t xml:space="preserve">the </w:t>
      </w:r>
      <w:r w:rsidR="00C73BAB" w:rsidRPr="00507BA9">
        <w:rPr>
          <w:lang w:val="en-GB"/>
        </w:rPr>
        <w:t xml:space="preserve">Solomon Islands and </w:t>
      </w:r>
      <w:r w:rsidR="007F606A" w:rsidRPr="00507BA9">
        <w:rPr>
          <w:lang w:val="en-GB"/>
        </w:rPr>
        <w:t>engaged</w:t>
      </w:r>
      <w:r w:rsidR="00C73BAB" w:rsidRPr="00507BA9">
        <w:rPr>
          <w:lang w:val="en-GB"/>
        </w:rPr>
        <w:t xml:space="preserve"> stakeholders in the country and the </w:t>
      </w:r>
      <w:r w:rsidR="00FE6735" w:rsidRPr="00507BA9">
        <w:rPr>
          <w:lang w:val="en-GB"/>
        </w:rPr>
        <w:t>subregion</w:t>
      </w:r>
      <w:r w:rsidR="00C73BAB" w:rsidRPr="00507BA9">
        <w:rPr>
          <w:lang w:val="en-GB"/>
        </w:rPr>
        <w:t xml:space="preserve"> to address issues of political instability that </w:t>
      </w:r>
      <w:r w:rsidR="00625A44" w:rsidRPr="004435B3">
        <w:rPr>
          <w:lang w:val="en-GB"/>
        </w:rPr>
        <w:t>affect</w:t>
      </w:r>
      <w:r w:rsidR="00C73BAB" w:rsidRPr="00507BA9">
        <w:rPr>
          <w:lang w:val="en-GB"/>
        </w:rPr>
        <w:t xml:space="preserve"> national development and service delivery</w:t>
      </w:r>
      <w:r w:rsidR="00107AF3" w:rsidRPr="00507BA9">
        <w:rPr>
          <w:lang w:val="en-GB"/>
        </w:rPr>
        <w:t>.</w:t>
      </w:r>
      <w:r w:rsidR="00C73BAB" w:rsidRPr="00507BA9">
        <w:rPr>
          <w:rStyle w:val="FootnoteReference"/>
          <w:lang w:val="en-GB"/>
        </w:rPr>
        <w:footnoteReference w:id="36"/>
      </w:r>
      <w:r w:rsidR="00C73BAB" w:rsidRPr="00507BA9">
        <w:rPr>
          <w:lang w:val="en-GB"/>
        </w:rPr>
        <w:t xml:space="preserve"> UNDP is well positioned to address these </w:t>
      </w:r>
      <w:r w:rsidR="00AC761D" w:rsidRPr="00507BA9">
        <w:rPr>
          <w:lang w:val="en-GB"/>
        </w:rPr>
        <w:t>concerns</w:t>
      </w:r>
      <w:r w:rsidR="00066661" w:rsidRPr="004435B3">
        <w:rPr>
          <w:lang w:val="en-GB"/>
        </w:rPr>
        <w:t xml:space="preserve"> –</w:t>
      </w:r>
      <w:r w:rsidR="00C73BAB" w:rsidRPr="00507BA9">
        <w:rPr>
          <w:lang w:val="en-GB"/>
        </w:rPr>
        <w:t xml:space="preserve"> as well as emerging governance issues</w:t>
      </w:r>
      <w:r w:rsidR="00066661" w:rsidRPr="004435B3">
        <w:rPr>
          <w:lang w:val="en-GB"/>
        </w:rPr>
        <w:t>,</w:t>
      </w:r>
      <w:r w:rsidR="00C73BAB" w:rsidRPr="00507BA9">
        <w:rPr>
          <w:lang w:val="en-GB"/>
        </w:rPr>
        <w:t xml:space="preserve"> such as those linked to natural resource management.</w:t>
      </w:r>
    </w:p>
    <w:p w14:paraId="25C8DA32" w14:textId="77777777" w:rsidR="00414C1F" w:rsidRPr="00507BA9" w:rsidRDefault="00414C1F" w:rsidP="003F06E8">
      <w:pPr>
        <w:rPr>
          <w:sz w:val="12"/>
          <w:szCs w:val="12"/>
          <w:lang w:val="en-GB"/>
        </w:rPr>
      </w:pPr>
    </w:p>
    <w:p w14:paraId="25678536" w14:textId="68BD932F" w:rsidR="006C3FC7" w:rsidRPr="00507BA9" w:rsidRDefault="006B171F" w:rsidP="00E27151">
      <w:pPr>
        <w:pStyle w:val="ListParagraph"/>
        <w:numPr>
          <w:ilvl w:val="0"/>
          <w:numId w:val="5"/>
        </w:numPr>
        <w:ind w:left="1134" w:right="1208" w:firstLine="0"/>
        <w:contextualSpacing/>
        <w:jc w:val="both"/>
        <w:rPr>
          <w:lang w:val="en-GB"/>
        </w:rPr>
      </w:pPr>
      <w:r w:rsidRPr="00507BA9">
        <w:rPr>
          <w:lang w:val="en-GB"/>
        </w:rPr>
        <w:t xml:space="preserve">UNDP </w:t>
      </w:r>
      <w:r w:rsidR="00C80798" w:rsidRPr="00507BA9">
        <w:rPr>
          <w:lang w:val="en-GB"/>
        </w:rPr>
        <w:t xml:space="preserve">supported </w:t>
      </w:r>
      <w:r w:rsidRPr="00507BA9">
        <w:rPr>
          <w:lang w:val="en-GB"/>
        </w:rPr>
        <w:t>strengthen</w:t>
      </w:r>
      <w:r w:rsidR="00C80798" w:rsidRPr="00507BA9">
        <w:rPr>
          <w:lang w:val="en-GB"/>
        </w:rPr>
        <w:t>ing</w:t>
      </w:r>
      <w:r w:rsidRPr="00507BA9">
        <w:rPr>
          <w:lang w:val="en-GB"/>
        </w:rPr>
        <w:t xml:space="preserve"> </w:t>
      </w:r>
      <w:r w:rsidR="00C80798" w:rsidRPr="00507BA9">
        <w:rPr>
          <w:lang w:val="en-GB"/>
        </w:rPr>
        <w:t xml:space="preserve">the </w:t>
      </w:r>
      <w:r w:rsidRPr="00507BA9">
        <w:rPr>
          <w:lang w:val="en-GB"/>
        </w:rPr>
        <w:t xml:space="preserve">economic security of vulnerable women in the informal sector through targeted initiatives </w:t>
      </w:r>
      <w:r w:rsidR="00C80798" w:rsidRPr="00507BA9">
        <w:rPr>
          <w:lang w:val="en-GB"/>
        </w:rPr>
        <w:t>and income-</w:t>
      </w:r>
      <w:r w:rsidRPr="00507BA9">
        <w:rPr>
          <w:lang w:val="en-GB"/>
        </w:rPr>
        <w:t xml:space="preserve">generating opportunities. At the policy level, UNDP </w:t>
      </w:r>
      <w:r w:rsidR="00C80798" w:rsidRPr="00507BA9">
        <w:rPr>
          <w:lang w:val="en-GB"/>
        </w:rPr>
        <w:t xml:space="preserve">joined other partners in </w:t>
      </w:r>
      <w:r w:rsidRPr="00507BA9">
        <w:rPr>
          <w:lang w:val="en-GB"/>
        </w:rPr>
        <w:t>creat</w:t>
      </w:r>
      <w:r w:rsidR="00C80798" w:rsidRPr="00507BA9">
        <w:rPr>
          <w:lang w:val="en-GB"/>
        </w:rPr>
        <w:t>ing</w:t>
      </w:r>
      <w:r w:rsidR="00CC0652" w:rsidRPr="00507BA9">
        <w:rPr>
          <w:lang w:val="en-GB"/>
        </w:rPr>
        <w:t xml:space="preserve"> </w:t>
      </w:r>
      <w:r w:rsidRPr="00507BA9">
        <w:rPr>
          <w:lang w:val="en-GB"/>
        </w:rPr>
        <w:t xml:space="preserve">financial inclusion strategies targeting women and </w:t>
      </w:r>
      <w:r w:rsidR="00C80798" w:rsidRPr="00507BA9">
        <w:rPr>
          <w:lang w:val="en-GB"/>
        </w:rPr>
        <w:t>marginalized</w:t>
      </w:r>
      <w:r w:rsidRPr="00507BA9">
        <w:rPr>
          <w:lang w:val="en-GB"/>
        </w:rPr>
        <w:t xml:space="preserve"> groups in regions</w:t>
      </w:r>
      <w:r w:rsidR="00C80798" w:rsidRPr="00507BA9">
        <w:rPr>
          <w:lang w:val="en-GB"/>
        </w:rPr>
        <w:t xml:space="preserve"> without access to financial services</w:t>
      </w:r>
      <w:r w:rsidR="00254FFB" w:rsidRPr="00507BA9">
        <w:rPr>
          <w:lang w:val="en-GB"/>
        </w:rPr>
        <w:t>.</w:t>
      </w:r>
      <w:r w:rsidR="00254FFB" w:rsidRPr="00507BA9">
        <w:rPr>
          <w:rStyle w:val="FootnoteReference"/>
          <w:lang w:val="en-GB"/>
        </w:rPr>
        <w:footnoteReference w:id="37"/>
      </w:r>
      <w:r w:rsidRPr="00507BA9">
        <w:rPr>
          <w:lang w:val="en-GB"/>
        </w:rPr>
        <w:t xml:space="preserve"> UNDP supported the formulation of inclusive </w:t>
      </w:r>
      <w:r w:rsidR="00164ECF" w:rsidRPr="00507BA9">
        <w:rPr>
          <w:lang w:val="en-GB"/>
        </w:rPr>
        <w:t xml:space="preserve">trade policy frameworks </w:t>
      </w:r>
      <w:r w:rsidRPr="00507BA9">
        <w:rPr>
          <w:lang w:val="en-GB"/>
        </w:rPr>
        <w:t xml:space="preserve">in </w:t>
      </w:r>
      <w:r w:rsidR="00164ECF" w:rsidRPr="00507BA9">
        <w:rPr>
          <w:lang w:val="en-GB"/>
        </w:rPr>
        <w:t xml:space="preserve">some countries of the </w:t>
      </w:r>
      <w:r w:rsidR="00FE6735" w:rsidRPr="00507BA9">
        <w:rPr>
          <w:lang w:val="en-GB"/>
        </w:rPr>
        <w:t>subregion</w:t>
      </w:r>
      <w:r w:rsidR="00164ECF" w:rsidRPr="00507BA9">
        <w:rPr>
          <w:lang w:val="en-GB"/>
        </w:rPr>
        <w:t xml:space="preserve"> </w:t>
      </w:r>
      <w:r w:rsidRPr="00507BA9">
        <w:rPr>
          <w:lang w:val="en-GB"/>
        </w:rPr>
        <w:t xml:space="preserve">by promoting the role of women in economic development. Among the lessons learned </w:t>
      </w:r>
      <w:r w:rsidR="00B23B0B" w:rsidRPr="00507BA9">
        <w:rPr>
          <w:lang w:val="en-GB"/>
        </w:rPr>
        <w:t>were</w:t>
      </w:r>
      <w:r w:rsidRPr="00507BA9">
        <w:rPr>
          <w:lang w:val="en-GB"/>
        </w:rPr>
        <w:t xml:space="preserve"> the need to empower </w:t>
      </w:r>
      <w:r w:rsidR="00B23B0B" w:rsidRPr="00507BA9">
        <w:rPr>
          <w:lang w:val="en-GB"/>
        </w:rPr>
        <w:t xml:space="preserve">the </w:t>
      </w:r>
      <w:r w:rsidRPr="00507BA9">
        <w:rPr>
          <w:lang w:val="en-GB"/>
        </w:rPr>
        <w:t>informal eco</w:t>
      </w:r>
      <w:r w:rsidR="00B23B0B" w:rsidRPr="00507BA9">
        <w:rPr>
          <w:lang w:val="en-GB"/>
        </w:rPr>
        <w:t>nomy by removing legal barriers</w:t>
      </w:r>
      <w:r w:rsidR="0026368D">
        <w:rPr>
          <w:lang w:val="en-GB"/>
        </w:rPr>
        <w:t>,</w:t>
      </w:r>
      <w:r w:rsidRPr="00507BA9">
        <w:rPr>
          <w:lang w:val="en-GB"/>
        </w:rPr>
        <w:t xml:space="preserve"> strengthening capacities of local government agencies</w:t>
      </w:r>
      <w:r w:rsidR="0026368D">
        <w:rPr>
          <w:lang w:val="en-GB"/>
        </w:rPr>
        <w:t>,</w:t>
      </w:r>
      <w:r w:rsidRPr="00507BA9">
        <w:rPr>
          <w:lang w:val="en-GB"/>
        </w:rPr>
        <w:t xml:space="preserve"> and improving access to financial products and services</w:t>
      </w:r>
      <w:r w:rsidR="0026368D">
        <w:rPr>
          <w:lang w:val="en-GB"/>
        </w:rPr>
        <w:t>.</w:t>
      </w:r>
      <w:r w:rsidR="00254FFB" w:rsidRPr="00507BA9">
        <w:rPr>
          <w:rStyle w:val="FootnoteReference"/>
          <w:lang w:val="en-GB"/>
        </w:rPr>
        <w:footnoteReference w:id="38"/>
      </w:r>
      <w:r w:rsidR="00F072CB" w:rsidRPr="00507BA9">
        <w:rPr>
          <w:vertAlign w:val="superscript"/>
          <w:lang w:val="en-GB"/>
        </w:rPr>
        <w:t>,</w:t>
      </w:r>
      <w:r w:rsidR="001418E2">
        <w:rPr>
          <w:vertAlign w:val="superscript"/>
          <w:lang w:val="en-GB"/>
        </w:rPr>
        <w:t xml:space="preserve"> </w:t>
      </w:r>
      <w:r w:rsidR="00254FFB" w:rsidRPr="00507BA9">
        <w:rPr>
          <w:rStyle w:val="FootnoteReference"/>
          <w:lang w:val="en-GB"/>
        </w:rPr>
        <w:footnoteReference w:id="39"/>
      </w:r>
      <w:r w:rsidR="00F072CB" w:rsidRPr="00507BA9">
        <w:rPr>
          <w:lang w:val="en-GB"/>
        </w:rPr>
        <w:t xml:space="preserve"> P</w:t>
      </w:r>
      <w:r w:rsidR="00840924" w:rsidRPr="00507BA9">
        <w:rPr>
          <w:lang w:val="en-GB"/>
        </w:rPr>
        <w:t>eople affected by HIV/AIDS and tuberculosis in 11 countries benefited from more equitable access to services through UNDP support as</w:t>
      </w:r>
      <w:r w:rsidR="00B66BE8" w:rsidRPr="00507BA9">
        <w:rPr>
          <w:lang w:val="en-GB"/>
        </w:rPr>
        <w:t xml:space="preserve"> </w:t>
      </w:r>
      <w:r w:rsidR="00840924" w:rsidRPr="00507BA9">
        <w:rPr>
          <w:lang w:val="en-GB"/>
        </w:rPr>
        <w:t xml:space="preserve">principal recipient for the Global Fund. Collaboration with governments and civil society </w:t>
      </w:r>
      <w:r w:rsidR="00B66BE8" w:rsidRPr="00507BA9">
        <w:rPr>
          <w:lang w:val="en-GB"/>
        </w:rPr>
        <w:t>partners strengthened</w:t>
      </w:r>
      <w:r w:rsidR="00840924" w:rsidRPr="00507BA9">
        <w:rPr>
          <w:lang w:val="en-GB"/>
        </w:rPr>
        <w:t xml:space="preserve"> national capacities to deliver services.</w:t>
      </w:r>
      <w:r w:rsidR="00840924" w:rsidRPr="00507BA9">
        <w:rPr>
          <w:vertAlign w:val="superscript"/>
          <w:lang w:val="en-GB"/>
        </w:rPr>
        <w:footnoteReference w:id="40"/>
      </w:r>
    </w:p>
    <w:p w14:paraId="0F6E2251" w14:textId="77777777" w:rsidR="00CA1AC6" w:rsidRPr="00507BA9" w:rsidRDefault="00CA1AC6" w:rsidP="00CA1AC6">
      <w:pPr>
        <w:pStyle w:val="ListParagraph"/>
        <w:rPr>
          <w:sz w:val="12"/>
          <w:szCs w:val="12"/>
          <w:lang w:val="en-GB"/>
        </w:rPr>
      </w:pPr>
    </w:p>
    <w:p w14:paraId="0F272BA9" w14:textId="4B639D74" w:rsidR="004322F0" w:rsidRPr="0082016A" w:rsidRDefault="004322F0" w:rsidP="00B6740A">
      <w:pPr>
        <w:pStyle w:val="ListParagraph"/>
        <w:numPr>
          <w:ilvl w:val="0"/>
          <w:numId w:val="5"/>
        </w:numPr>
        <w:ind w:left="1134" w:right="1208" w:firstLine="0"/>
        <w:contextualSpacing/>
        <w:jc w:val="both"/>
        <w:rPr>
          <w:lang w:val="en-GB"/>
        </w:rPr>
      </w:pPr>
      <w:r w:rsidRPr="00507BA9">
        <w:rPr>
          <w:lang w:val="en-GB"/>
        </w:rPr>
        <w:t xml:space="preserve">The review of the previous </w:t>
      </w:r>
      <w:r w:rsidR="00625A44" w:rsidRPr="00507BA9">
        <w:rPr>
          <w:lang w:val="en-GB"/>
        </w:rPr>
        <w:t xml:space="preserve">subregional </w:t>
      </w:r>
      <w:r w:rsidR="00066661" w:rsidRPr="00507BA9">
        <w:rPr>
          <w:lang w:val="en-GB"/>
        </w:rPr>
        <w:t xml:space="preserve">programme </w:t>
      </w:r>
      <w:r w:rsidRPr="00507BA9">
        <w:rPr>
          <w:lang w:val="en-GB"/>
        </w:rPr>
        <w:t xml:space="preserve">recommended </w:t>
      </w:r>
      <w:r w:rsidR="00066661" w:rsidRPr="0082016A">
        <w:rPr>
          <w:lang w:val="en-GB"/>
        </w:rPr>
        <w:t xml:space="preserve">that </w:t>
      </w:r>
      <w:r w:rsidRPr="00507BA9">
        <w:rPr>
          <w:lang w:val="en-GB"/>
        </w:rPr>
        <w:t xml:space="preserve">UNDP continue to promote the integration of climate change and disaster risk management as set out in the </w:t>
      </w:r>
      <w:r w:rsidR="0026368D" w:rsidRPr="004F28C6">
        <w:rPr>
          <w:lang w:val="en-GB"/>
        </w:rPr>
        <w:t>F</w:t>
      </w:r>
      <w:r w:rsidRPr="00507BA9">
        <w:rPr>
          <w:lang w:val="en-GB"/>
        </w:rPr>
        <w:t xml:space="preserve">ramework for </w:t>
      </w:r>
      <w:r w:rsidR="0026368D" w:rsidRPr="004F28C6">
        <w:rPr>
          <w:lang w:val="en-GB"/>
        </w:rPr>
        <w:t>R</w:t>
      </w:r>
      <w:r w:rsidRPr="00507BA9">
        <w:rPr>
          <w:lang w:val="en-GB"/>
        </w:rPr>
        <w:t xml:space="preserve">esilient </w:t>
      </w:r>
      <w:r w:rsidR="0026368D" w:rsidRPr="004F28C6">
        <w:rPr>
          <w:lang w:val="en-GB"/>
        </w:rPr>
        <w:t>D</w:t>
      </w:r>
      <w:r w:rsidRPr="00507BA9">
        <w:rPr>
          <w:lang w:val="en-GB"/>
        </w:rPr>
        <w:t>evelopment in the Pacific</w:t>
      </w:r>
      <w:r w:rsidR="00840924" w:rsidRPr="00507BA9">
        <w:rPr>
          <w:rStyle w:val="FootnoteReference"/>
          <w:lang w:val="en-GB"/>
        </w:rPr>
        <w:footnoteReference w:id="41"/>
      </w:r>
      <w:r w:rsidRPr="00507BA9">
        <w:rPr>
          <w:lang w:val="en-GB"/>
        </w:rPr>
        <w:t>.</w:t>
      </w:r>
      <w:r w:rsidR="00C700D2" w:rsidRPr="00507BA9">
        <w:rPr>
          <w:lang w:val="en-GB"/>
        </w:rPr>
        <w:t xml:space="preserve"> UNDP engaged in developing the framework </w:t>
      </w:r>
      <w:r w:rsidR="00066661" w:rsidRPr="00507BA9">
        <w:rPr>
          <w:lang w:val="en-GB"/>
        </w:rPr>
        <w:t xml:space="preserve">by </w:t>
      </w:r>
      <w:r w:rsidR="00C700D2" w:rsidRPr="00507BA9">
        <w:rPr>
          <w:lang w:val="en-GB"/>
        </w:rPr>
        <w:t xml:space="preserve">leveraging lessons from </w:t>
      </w:r>
      <w:r w:rsidR="00066661" w:rsidRPr="0082016A">
        <w:rPr>
          <w:lang w:val="en-GB"/>
        </w:rPr>
        <w:t>its</w:t>
      </w:r>
      <w:r w:rsidR="00C700D2" w:rsidRPr="00507BA9">
        <w:rPr>
          <w:lang w:val="en-GB"/>
        </w:rPr>
        <w:t xml:space="preserve"> climate change and disaster risk management portfolio.</w:t>
      </w:r>
      <w:r w:rsidR="00066661" w:rsidRPr="0082016A">
        <w:rPr>
          <w:lang w:val="en-GB"/>
        </w:rPr>
        <w:t xml:space="preserve"> </w:t>
      </w:r>
      <w:r w:rsidR="00C700D2" w:rsidRPr="00507BA9">
        <w:rPr>
          <w:lang w:val="en-GB"/>
        </w:rPr>
        <w:t xml:space="preserve">In partnership with the Pacific Island Forum </w:t>
      </w:r>
      <w:r w:rsidR="00066661" w:rsidRPr="0082016A">
        <w:rPr>
          <w:lang w:val="en-GB"/>
        </w:rPr>
        <w:t>s</w:t>
      </w:r>
      <w:r w:rsidR="00C700D2" w:rsidRPr="00507BA9">
        <w:rPr>
          <w:lang w:val="en-GB"/>
        </w:rPr>
        <w:t xml:space="preserve">ecretariat, UNDP supported </w:t>
      </w:r>
      <w:r w:rsidR="006F2664" w:rsidRPr="00396E55">
        <w:rPr>
          <w:lang w:val="en-GB"/>
        </w:rPr>
        <w:t xml:space="preserve">Fiji, </w:t>
      </w:r>
      <w:r w:rsidR="00066661" w:rsidRPr="0082016A">
        <w:rPr>
          <w:lang w:val="en-GB"/>
        </w:rPr>
        <w:t xml:space="preserve">the </w:t>
      </w:r>
      <w:r w:rsidR="00C700D2" w:rsidRPr="00507BA9">
        <w:rPr>
          <w:lang w:val="en-GB"/>
        </w:rPr>
        <w:t xml:space="preserve">Marshall Islands, </w:t>
      </w:r>
      <w:r w:rsidR="006F2664" w:rsidRPr="00396E55">
        <w:rPr>
          <w:lang w:val="en-GB"/>
        </w:rPr>
        <w:t>Nauru, Samoa, the Solomon Islands</w:t>
      </w:r>
      <w:r w:rsidR="006F2664">
        <w:rPr>
          <w:lang w:val="en-GB"/>
        </w:rPr>
        <w:t>,</w:t>
      </w:r>
      <w:r w:rsidR="00C700D2" w:rsidRPr="00507BA9">
        <w:rPr>
          <w:lang w:val="en-GB"/>
        </w:rPr>
        <w:t xml:space="preserve"> </w:t>
      </w:r>
      <w:r w:rsidR="006F2664" w:rsidRPr="00396E55">
        <w:rPr>
          <w:lang w:val="en-GB"/>
        </w:rPr>
        <w:t>Tonga</w:t>
      </w:r>
      <w:r w:rsidR="006F2664">
        <w:rPr>
          <w:lang w:val="en-GB"/>
        </w:rPr>
        <w:t xml:space="preserve">, </w:t>
      </w:r>
      <w:r w:rsidR="00C700D2" w:rsidRPr="00507BA9">
        <w:rPr>
          <w:lang w:val="en-GB"/>
        </w:rPr>
        <w:t xml:space="preserve">and </w:t>
      </w:r>
      <w:r w:rsidR="006F2664">
        <w:rPr>
          <w:lang w:val="en-GB"/>
        </w:rPr>
        <w:t xml:space="preserve">Vanuatu </w:t>
      </w:r>
      <w:r w:rsidR="00C700D2" w:rsidRPr="00507BA9">
        <w:rPr>
          <w:lang w:val="en-GB"/>
        </w:rPr>
        <w:t>in</w:t>
      </w:r>
      <w:r w:rsidR="00066661" w:rsidRPr="0082016A">
        <w:rPr>
          <w:lang w:val="en-GB"/>
        </w:rPr>
        <w:t xml:space="preserve"> </w:t>
      </w:r>
      <w:r w:rsidR="00C700D2" w:rsidRPr="00507BA9">
        <w:rPr>
          <w:lang w:val="en-GB"/>
        </w:rPr>
        <w:t xml:space="preserve">formulating climate finance assessments using the public expenditure </w:t>
      </w:r>
      <w:r w:rsidR="00C700D2" w:rsidRPr="00507BA9">
        <w:rPr>
          <w:lang w:val="en-GB"/>
        </w:rPr>
        <w:lastRenderedPageBreak/>
        <w:t>review methodology. Th</w:t>
      </w:r>
      <w:r w:rsidR="003946FA" w:rsidRPr="0082016A">
        <w:rPr>
          <w:lang w:val="en-GB"/>
        </w:rPr>
        <w:t>o</w:t>
      </w:r>
      <w:r w:rsidR="00C700D2" w:rsidRPr="0082016A">
        <w:rPr>
          <w:lang w:val="en-GB"/>
        </w:rPr>
        <w:t xml:space="preserve">se assessments </w:t>
      </w:r>
      <w:r w:rsidR="00102E67" w:rsidRPr="0082016A">
        <w:rPr>
          <w:lang w:val="en-GB"/>
        </w:rPr>
        <w:t>provide</w:t>
      </w:r>
      <w:r w:rsidR="009F499D" w:rsidRPr="0082016A">
        <w:rPr>
          <w:lang w:val="en-GB"/>
        </w:rPr>
        <w:t>d</w:t>
      </w:r>
      <w:r w:rsidR="00C700D2" w:rsidRPr="0082016A">
        <w:rPr>
          <w:lang w:val="en-GB"/>
        </w:rPr>
        <w:t xml:space="preserve"> the countries with </w:t>
      </w:r>
      <w:r w:rsidR="009F499D" w:rsidRPr="0082016A">
        <w:rPr>
          <w:lang w:val="en-GB"/>
        </w:rPr>
        <w:t xml:space="preserve">the </w:t>
      </w:r>
      <w:r w:rsidR="00C700D2" w:rsidRPr="0082016A">
        <w:rPr>
          <w:lang w:val="en-GB"/>
        </w:rPr>
        <w:t xml:space="preserve">tools to access and manage climate finance. </w:t>
      </w:r>
      <w:r w:rsidR="00616069" w:rsidRPr="0082016A">
        <w:rPr>
          <w:lang w:val="en-GB"/>
        </w:rPr>
        <w:t>T</w:t>
      </w:r>
      <w:r w:rsidR="00C700D2" w:rsidRPr="0082016A">
        <w:rPr>
          <w:lang w:val="en-GB"/>
        </w:rPr>
        <w:t xml:space="preserve">he UNDP-supported ridge-to-reef approach </w:t>
      </w:r>
      <w:r w:rsidR="00EF1231" w:rsidRPr="0082016A">
        <w:rPr>
          <w:lang w:val="en-GB"/>
        </w:rPr>
        <w:t>show</w:t>
      </w:r>
      <w:r w:rsidR="009F499D" w:rsidRPr="0082016A">
        <w:rPr>
          <w:lang w:val="en-GB"/>
        </w:rPr>
        <w:t>ed</w:t>
      </w:r>
      <w:r w:rsidR="00EF1231" w:rsidRPr="0082016A">
        <w:rPr>
          <w:lang w:val="en-GB"/>
        </w:rPr>
        <w:t xml:space="preserve"> </w:t>
      </w:r>
      <w:r w:rsidR="00C700D2" w:rsidRPr="0082016A">
        <w:rPr>
          <w:lang w:val="en-GB"/>
        </w:rPr>
        <w:t>effective integration of policymaking, planning and monitoring</w:t>
      </w:r>
      <w:r w:rsidR="003946FA" w:rsidRPr="0082016A">
        <w:rPr>
          <w:lang w:val="en-GB"/>
        </w:rPr>
        <w:t>,</w:t>
      </w:r>
      <w:r w:rsidR="00C700D2" w:rsidRPr="0082016A">
        <w:rPr>
          <w:lang w:val="en-GB"/>
        </w:rPr>
        <w:t xml:space="preserve"> with strong community engagement</w:t>
      </w:r>
      <w:r w:rsidR="00840924" w:rsidRPr="0082016A">
        <w:rPr>
          <w:lang w:val="en-GB"/>
        </w:rPr>
        <w:t>.</w:t>
      </w:r>
      <w:r w:rsidR="00840924" w:rsidRPr="0082016A">
        <w:rPr>
          <w:vertAlign w:val="superscript"/>
          <w:lang w:val="en-GB"/>
        </w:rPr>
        <w:footnoteReference w:id="42"/>
      </w:r>
      <w:r w:rsidR="00CB2B63" w:rsidRPr="0082016A">
        <w:rPr>
          <w:lang w:val="en-GB"/>
        </w:rPr>
        <w:t xml:space="preserve"> </w:t>
      </w:r>
      <w:r w:rsidRPr="0082016A">
        <w:rPr>
          <w:lang w:val="en-GB"/>
        </w:rPr>
        <w:t xml:space="preserve">UNDP </w:t>
      </w:r>
      <w:r w:rsidR="009F499D" w:rsidRPr="0082016A">
        <w:rPr>
          <w:lang w:val="en-GB"/>
        </w:rPr>
        <w:t>w</w:t>
      </w:r>
      <w:r w:rsidRPr="0082016A">
        <w:rPr>
          <w:lang w:val="en-GB"/>
        </w:rPr>
        <w:t xml:space="preserve">as active in disseminating knowledge and learning related to risk governance and fostering a paradigm shift from managing symptoms of disasters and climate change to addressing </w:t>
      </w:r>
      <w:r w:rsidR="009F499D" w:rsidRPr="0082016A">
        <w:rPr>
          <w:lang w:val="en-GB"/>
        </w:rPr>
        <w:t xml:space="preserve">the </w:t>
      </w:r>
      <w:r w:rsidRPr="0082016A">
        <w:rPr>
          <w:lang w:val="en-GB"/>
        </w:rPr>
        <w:t>causes of vulnerability and incorporating dimensions of resilience in</w:t>
      </w:r>
      <w:r w:rsidR="00827AD9" w:rsidRPr="0082016A">
        <w:rPr>
          <w:lang w:val="en-GB"/>
        </w:rPr>
        <w:t>to socio-economic development.</w:t>
      </w:r>
    </w:p>
    <w:p w14:paraId="6CC2A8A4" w14:textId="77777777" w:rsidR="00CB2B63" w:rsidRPr="0082016A" w:rsidRDefault="00CB2B63" w:rsidP="004322F0">
      <w:pPr>
        <w:rPr>
          <w:rFonts w:cs="Arial"/>
          <w:sz w:val="12"/>
          <w:szCs w:val="12"/>
          <w:lang w:val="en-GB"/>
        </w:rPr>
      </w:pPr>
    </w:p>
    <w:p w14:paraId="02CC88E7" w14:textId="6EF8BC8E" w:rsidR="00B14F49" w:rsidRPr="0082016A" w:rsidRDefault="00CA1AC6" w:rsidP="000B0AA0">
      <w:pPr>
        <w:pStyle w:val="ListParagraph"/>
        <w:numPr>
          <w:ilvl w:val="0"/>
          <w:numId w:val="5"/>
        </w:numPr>
        <w:ind w:left="1134" w:right="1208" w:firstLine="0"/>
        <w:contextualSpacing/>
        <w:jc w:val="both"/>
        <w:rPr>
          <w:lang w:val="en-GB"/>
        </w:rPr>
      </w:pPr>
      <w:r w:rsidRPr="0082016A">
        <w:rPr>
          <w:lang w:val="en-GB"/>
        </w:rPr>
        <w:t>UNDP maintained effective partnerships with governments, civil society, regional organizations and development partners using a combination of programm</w:t>
      </w:r>
      <w:r w:rsidR="00681D77" w:rsidRPr="0082016A">
        <w:rPr>
          <w:lang w:val="en-GB"/>
        </w:rPr>
        <w:t>ing</w:t>
      </w:r>
      <w:r w:rsidRPr="0082016A">
        <w:rPr>
          <w:lang w:val="en-GB"/>
        </w:rPr>
        <w:t xml:space="preserve"> modalities that emphasize national ownership and implementation. These are direct national support, multi-country programming to deliver cost-effective policy advice and technical assistance from a regional platform, and regional programming to help countries take collective action or seek shared solutions to common challenges through </w:t>
      </w:r>
      <w:r w:rsidR="009F499D" w:rsidRPr="0082016A">
        <w:rPr>
          <w:lang w:val="en-GB"/>
        </w:rPr>
        <w:t>S</w:t>
      </w:r>
      <w:r w:rsidRPr="0082016A">
        <w:rPr>
          <w:lang w:val="en-GB"/>
        </w:rPr>
        <w:t>outh-</w:t>
      </w:r>
      <w:r w:rsidR="009F499D" w:rsidRPr="0082016A">
        <w:rPr>
          <w:lang w:val="en-GB"/>
        </w:rPr>
        <w:t>S</w:t>
      </w:r>
      <w:r w:rsidRPr="0082016A">
        <w:rPr>
          <w:lang w:val="en-GB"/>
        </w:rPr>
        <w:t xml:space="preserve">outh cooperation and knowledge sharing. </w:t>
      </w:r>
      <w:r w:rsidR="007A74AA" w:rsidRPr="0082016A">
        <w:rPr>
          <w:rFonts w:cs="Arial"/>
          <w:lang w:val="en-GB"/>
        </w:rPr>
        <w:t xml:space="preserve">A peer review of </w:t>
      </w:r>
      <w:r w:rsidR="009F499D" w:rsidRPr="0082016A">
        <w:rPr>
          <w:rFonts w:cs="Arial"/>
          <w:lang w:val="en-GB"/>
        </w:rPr>
        <w:t>country systems in Samoa was recognized as an example of how countries in the Pacific could l</w:t>
      </w:r>
      <w:r w:rsidR="007A74AA" w:rsidRPr="0082016A">
        <w:rPr>
          <w:rFonts w:cs="Arial"/>
          <w:lang w:val="en-GB"/>
        </w:rPr>
        <w:t xml:space="preserve">earn through regional peer-to-peer mechanisms, </w:t>
      </w:r>
      <w:r w:rsidR="009F499D" w:rsidRPr="0082016A">
        <w:rPr>
          <w:rFonts w:cs="Arial"/>
          <w:lang w:val="en-GB"/>
        </w:rPr>
        <w:t xml:space="preserve">and </w:t>
      </w:r>
      <w:r w:rsidR="007A74AA" w:rsidRPr="0082016A">
        <w:rPr>
          <w:rFonts w:cs="Arial"/>
          <w:lang w:val="en-GB"/>
        </w:rPr>
        <w:t>adopt and replicate proven solutions.</w:t>
      </w:r>
      <w:r w:rsidR="00D53E58" w:rsidRPr="0082016A">
        <w:rPr>
          <w:rStyle w:val="FootnoteReference"/>
          <w:lang w:val="en-GB"/>
        </w:rPr>
        <w:footnoteReference w:id="43"/>
      </w:r>
      <w:r w:rsidR="00BC5DE1" w:rsidRPr="0082016A">
        <w:rPr>
          <w:rFonts w:cs="Arial"/>
          <w:vertAlign w:val="superscript"/>
          <w:lang w:val="en-GB"/>
        </w:rPr>
        <w:t xml:space="preserve">, </w:t>
      </w:r>
      <w:r w:rsidR="00BC5DE1" w:rsidRPr="0082016A">
        <w:rPr>
          <w:rStyle w:val="FootnoteReference"/>
          <w:lang w:val="en-GB"/>
        </w:rPr>
        <w:footnoteReference w:id="44"/>
      </w:r>
      <w:r w:rsidR="00BC5DE1" w:rsidRPr="0082016A">
        <w:rPr>
          <w:rFonts w:cs="Arial"/>
          <w:vertAlign w:val="superscript"/>
          <w:lang w:val="en-GB"/>
        </w:rPr>
        <w:t xml:space="preserve"> </w:t>
      </w:r>
    </w:p>
    <w:p w14:paraId="7BACB9FD" w14:textId="77777777" w:rsidR="00F072CB" w:rsidRPr="0082016A" w:rsidRDefault="00F072CB" w:rsidP="00F072CB">
      <w:pPr>
        <w:pStyle w:val="ListParagraph"/>
        <w:ind w:left="1134" w:right="1208"/>
        <w:contextualSpacing/>
        <w:jc w:val="both"/>
        <w:rPr>
          <w:sz w:val="12"/>
          <w:szCs w:val="12"/>
          <w:lang w:val="en-GB"/>
        </w:rPr>
      </w:pPr>
    </w:p>
    <w:p w14:paraId="2C682855" w14:textId="15E705D3" w:rsidR="000B0F0F" w:rsidRPr="0082016A" w:rsidRDefault="00394C0E" w:rsidP="00E27151">
      <w:pPr>
        <w:pStyle w:val="ListParagraph"/>
        <w:numPr>
          <w:ilvl w:val="0"/>
          <w:numId w:val="5"/>
        </w:numPr>
        <w:ind w:left="1134" w:right="1208" w:firstLine="0"/>
        <w:contextualSpacing/>
        <w:jc w:val="both"/>
        <w:rPr>
          <w:lang w:val="en-GB"/>
        </w:rPr>
      </w:pPr>
      <w:r w:rsidRPr="0082016A">
        <w:rPr>
          <w:lang w:val="en-GB"/>
        </w:rPr>
        <w:t xml:space="preserve">This </w:t>
      </w:r>
      <w:r w:rsidR="00625A44" w:rsidRPr="004435B3">
        <w:rPr>
          <w:lang w:val="en-GB"/>
        </w:rPr>
        <w:t>subregional programme document</w:t>
      </w:r>
      <w:r w:rsidR="00625A44" w:rsidRPr="0082016A">
        <w:rPr>
          <w:lang w:val="en-GB"/>
        </w:rPr>
        <w:t xml:space="preserve"> </w:t>
      </w:r>
      <w:r w:rsidR="00FA5024" w:rsidRPr="0082016A">
        <w:rPr>
          <w:lang w:val="en-GB"/>
        </w:rPr>
        <w:t xml:space="preserve">targets the most vulnerable people in the </w:t>
      </w:r>
      <w:r w:rsidR="00FE6735" w:rsidRPr="0082016A">
        <w:rPr>
          <w:lang w:val="en-GB"/>
        </w:rPr>
        <w:t>subregion</w:t>
      </w:r>
      <w:r w:rsidR="00FA5024" w:rsidRPr="0082016A">
        <w:rPr>
          <w:lang w:val="en-GB"/>
        </w:rPr>
        <w:t xml:space="preserve">, defined as those </w:t>
      </w:r>
      <w:r w:rsidR="00377D2B" w:rsidRPr="0082016A">
        <w:rPr>
          <w:lang w:val="en-GB"/>
        </w:rPr>
        <w:t>living in hardship</w:t>
      </w:r>
      <w:r w:rsidR="009F499D" w:rsidRPr="004435B3">
        <w:rPr>
          <w:lang w:val="en-GB"/>
        </w:rPr>
        <w:t>,</w:t>
      </w:r>
      <w:r w:rsidR="00377D2B" w:rsidRPr="0082016A">
        <w:rPr>
          <w:lang w:val="en-GB"/>
        </w:rPr>
        <w:t xml:space="preserve"> </w:t>
      </w:r>
      <w:r w:rsidR="00FA5024" w:rsidRPr="0082016A">
        <w:rPr>
          <w:lang w:val="en-GB"/>
        </w:rPr>
        <w:t xml:space="preserve">exposed to climatic and disaster risks (primarily coastal communities, people living in remote and isolated areas </w:t>
      </w:r>
      <w:r w:rsidR="00FA5024" w:rsidRPr="004435B3">
        <w:rPr>
          <w:lang w:val="en-GB"/>
        </w:rPr>
        <w:t>dependent on ecosystems threatened by climate change</w:t>
      </w:r>
      <w:r w:rsidR="00FA5024" w:rsidRPr="0082016A">
        <w:rPr>
          <w:lang w:val="en-GB"/>
        </w:rPr>
        <w:t>), and those marginalized by inadequate economic opportunities and poor public service delivery (</w:t>
      </w:r>
      <w:r w:rsidR="00FA5024" w:rsidRPr="004435B3">
        <w:rPr>
          <w:lang w:val="en-GB"/>
        </w:rPr>
        <w:t>especially women, youth and internal migrants living in informal settlements)</w:t>
      </w:r>
      <w:r w:rsidR="00FA5024" w:rsidRPr="0082016A">
        <w:rPr>
          <w:lang w:val="en-GB"/>
        </w:rPr>
        <w:t xml:space="preserve">. </w:t>
      </w:r>
      <w:r w:rsidR="000B0F0F" w:rsidRPr="0082016A">
        <w:rPr>
          <w:lang w:val="en-GB"/>
        </w:rPr>
        <w:t>It is estimated that more than 20</w:t>
      </w:r>
      <w:r w:rsidR="009F499D" w:rsidRPr="004435B3">
        <w:rPr>
          <w:lang w:val="en-GB"/>
        </w:rPr>
        <w:t> per </w:t>
      </w:r>
      <w:r w:rsidR="0038291E" w:rsidRPr="004435B3">
        <w:rPr>
          <w:lang w:val="en-GB"/>
        </w:rPr>
        <w:t>cent</w:t>
      </w:r>
      <w:r w:rsidR="000B0F0F" w:rsidRPr="0082016A">
        <w:rPr>
          <w:lang w:val="en-GB"/>
        </w:rPr>
        <w:t xml:space="preserve"> of the population </w:t>
      </w:r>
      <w:r w:rsidR="00164ECF" w:rsidRPr="0082016A">
        <w:rPr>
          <w:lang w:val="en-GB"/>
        </w:rPr>
        <w:t>is</w:t>
      </w:r>
      <w:r w:rsidR="000B0F0F" w:rsidRPr="0082016A">
        <w:rPr>
          <w:lang w:val="en-GB"/>
        </w:rPr>
        <w:t xml:space="preserve"> living in hardship.</w:t>
      </w:r>
      <w:r w:rsidR="000B0F0F" w:rsidRPr="0082016A">
        <w:rPr>
          <w:rStyle w:val="FootnoteReference"/>
          <w:lang w:val="en-GB"/>
        </w:rPr>
        <w:footnoteReference w:id="45"/>
      </w:r>
      <w:r w:rsidR="00AB5061" w:rsidRPr="0082016A">
        <w:rPr>
          <w:vertAlign w:val="superscript"/>
          <w:lang w:val="en-GB"/>
        </w:rPr>
        <w:t>,</w:t>
      </w:r>
      <w:r w:rsidR="0082016A">
        <w:rPr>
          <w:vertAlign w:val="superscript"/>
          <w:lang w:val="en-GB"/>
        </w:rPr>
        <w:t xml:space="preserve"> </w:t>
      </w:r>
      <w:r w:rsidR="000B0F0F" w:rsidRPr="0082016A">
        <w:rPr>
          <w:rStyle w:val="FootnoteReference"/>
          <w:lang w:val="en-GB"/>
        </w:rPr>
        <w:footnoteReference w:id="46"/>
      </w:r>
      <w:r w:rsidR="000B0F0F" w:rsidRPr="004435B3">
        <w:rPr>
          <w:lang w:val="en-GB"/>
        </w:rPr>
        <w:t xml:space="preserve"> </w:t>
      </w:r>
      <w:r w:rsidR="000B0F0F" w:rsidRPr="0082016A">
        <w:rPr>
          <w:lang w:val="en-GB"/>
        </w:rPr>
        <w:t xml:space="preserve">The underlying </w:t>
      </w:r>
      <w:r w:rsidR="00377D2B" w:rsidRPr="0082016A">
        <w:rPr>
          <w:lang w:val="en-GB"/>
        </w:rPr>
        <w:t>vulnerabilities frequently overlap</w:t>
      </w:r>
      <w:r w:rsidR="009F499D" w:rsidRPr="004435B3">
        <w:rPr>
          <w:lang w:val="en-GB"/>
        </w:rPr>
        <w:t>,</w:t>
      </w:r>
      <w:r w:rsidR="00377D2B" w:rsidRPr="0082016A">
        <w:rPr>
          <w:lang w:val="en-GB"/>
        </w:rPr>
        <w:t xml:space="preserve"> and are intensified by</w:t>
      </w:r>
      <w:r w:rsidR="007F7C0C">
        <w:rPr>
          <w:lang w:val="en-GB"/>
        </w:rPr>
        <w:t xml:space="preserve"> </w:t>
      </w:r>
      <w:r w:rsidR="00377D2B" w:rsidRPr="004435B3">
        <w:rPr>
          <w:lang w:val="en-GB"/>
        </w:rPr>
        <w:t>limited socio-political participation in decision-making at all levels</w:t>
      </w:r>
      <w:r w:rsidR="000B0F0F" w:rsidRPr="004435B3">
        <w:rPr>
          <w:lang w:val="en-GB"/>
        </w:rPr>
        <w:t>.</w:t>
      </w:r>
      <w:r w:rsidR="0048582E" w:rsidRPr="0082016A">
        <w:rPr>
          <w:lang w:val="en-GB"/>
        </w:rPr>
        <w:t xml:space="preserve"> </w:t>
      </w:r>
      <w:r w:rsidR="00FA5024" w:rsidRPr="004435B3">
        <w:rPr>
          <w:lang w:val="en-GB"/>
        </w:rPr>
        <w:t xml:space="preserve">In addressing the vulnerabilities, UNDP will also focus on enlarging space for civic participation and rights awareness, and empowering communities to shape </w:t>
      </w:r>
      <w:r w:rsidR="00164ECF" w:rsidRPr="004435B3">
        <w:rPr>
          <w:lang w:val="en-GB"/>
        </w:rPr>
        <w:t>the decisions that affect them.</w:t>
      </w:r>
    </w:p>
    <w:p w14:paraId="32E01461" w14:textId="77777777" w:rsidR="000B0F0F" w:rsidRPr="0082016A" w:rsidRDefault="000B0F0F" w:rsidP="000B0F0F">
      <w:pPr>
        <w:pStyle w:val="ListParagraph"/>
        <w:rPr>
          <w:lang w:val="en-GB"/>
        </w:rPr>
      </w:pPr>
    </w:p>
    <w:p w14:paraId="597A9C5D" w14:textId="77777777" w:rsidR="001B3553" w:rsidRPr="0082016A" w:rsidRDefault="001B3553" w:rsidP="000947BC">
      <w:pPr>
        <w:pStyle w:val="Heading2"/>
        <w:tabs>
          <w:tab w:val="left" w:pos="1260"/>
        </w:tabs>
        <w:ind w:left="1170" w:right="1267" w:hanging="450"/>
        <w:jc w:val="both"/>
        <w:rPr>
          <w:rFonts w:ascii="Times New Roman" w:hAnsi="Times New Roman"/>
          <w:spacing w:val="-3"/>
          <w:szCs w:val="28"/>
          <w:lang w:val="en-GB"/>
        </w:rPr>
      </w:pPr>
      <w:r w:rsidRPr="0082016A">
        <w:rPr>
          <w:rFonts w:ascii="Times New Roman" w:hAnsi="Times New Roman"/>
          <w:bCs/>
          <w:szCs w:val="28"/>
          <w:lang w:val="en-GB"/>
        </w:rPr>
        <w:t>II.</w:t>
      </w:r>
      <w:r w:rsidR="000947BC" w:rsidRPr="0082016A">
        <w:rPr>
          <w:rFonts w:ascii="Times New Roman" w:hAnsi="Times New Roman"/>
          <w:bCs/>
          <w:szCs w:val="28"/>
          <w:lang w:val="en-GB"/>
        </w:rPr>
        <w:tab/>
      </w:r>
      <w:r w:rsidRPr="0082016A">
        <w:rPr>
          <w:rFonts w:ascii="Times New Roman" w:hAnsi="Times New Roman"/>
          <w:bCs/>
          <w:szCs w:val="28"/>
          <w:lang w:val="en-GB"/>
        </w:rPr>
        <w:t xml:space="preserve">Programme </w:t>
      </w:r>
      <w:r w:rsidR="000947BC" w:rsidRPr="0082016A">
        <w:rPr>
          <w:rFonts w:ascii="Times New Roman" w:hAnsi="Times New Roman"/>
          <w:bCs/>
          <w:szCs w:val="28"/>
          <w:lang w:val="en-GB"/>
        </w:rPr>
        <w:t>p</w:t>
      </w:r>
      <w:r w:rsidRPr="0082016A">
        <w:rPr>
          <w:rFonts w:ascii="Times New Roman" w:hAnsi="Times New Roman"/>
          <w:bCs/>
          <w:szCs w:val="28"/>
          <w:lang w:val="en-GB"/>
        </w:rPr>
        <w:t xml:space="preserve">riorities and </w:t>
      </w:r>
      <w:r w:rsidR="000947BC" w:rsidRPr="0082016A">
        <w:rPr>
          <w:rFonts w:ascii="Times New Roman" w:hAnsi="Times New Roman"/>
          <w:bCs/>
          <w:szCs w:val="28"/>
          <w:lang w:val="en-GB"/>
        </w:rPr>
        <w:t>p</w:t>
      </w:r>
      <w:r w:rsidRPr="0082016A">
        <w:rPr>
          <w:rFonts w:ascii="Times New Roman" w:hAnsi="Times New Roman"/>
          <w:bCs/>
          <w:szCs w:val="28"/>
          <w:lang w:val="en-GB"/>
        </w:rPr>
        <w:t xml:space="preserve">artnerships </w:t>
      </w:r>
    </w:p>
    <w:p w14:paraId="4FCD6E6E" w14:textId="77777777" w:rsidR="001B3553" w:rsidRPr="0082016A" w:rsidRDefault="001B3553" w:rsidP="0077755C">
      <w:pPr>
        <w:pStyle w:val="ListParagraph"/>
        <w:ind w:left="1134" w:right="1208"/>
        <w:contextualSpacing/>
        <w:jc w:val="both"/>
        <w:rPr>
          <w:lang w:val="en-GB"/>
        </w:rPr>
      </w:pPr>
    </w:p>
    <w:p w14:paraId="17125937" w14:textId="524E73EC" w:rsidR="004761FE" w:rsidRPr="0082016A" w:rsidRDefault="00394C0E" w:rsidP="0077755C">
      <w:pPr>
        <w:pStyle w:val="ListParagraph"/>
        <w:numPr>
          <w:ilvl w:val="0"/>
          <w:numId w:val="5"/>
        </w:numPr>
        <w:ind w:left="1134" w:right="1208" w:firstLine="0"/>
        <w:contextualSpacing/>
        <w:jc w:val="both"/>
        <w:rPr>
          <w:lang w:val="en-GB"/>
        </w:rPr>
      </w:pPr>
      <w:r w:rsidRPr="0082016A">
        <w:rPr>
          <w:lang w:val="en-GB"/>
        </w:rPr>
        <w:t>Th</w:t>
      </w:r>
      <w:r w:rsidR="006F2664">
        <w:rPr>
          <w:lang w:val="en-GB"/>
        </w:rPr>
        <w:t>is</w:t>
      </w:r>
      <w:r w:rsidRPr="0082016A">
        <w:rPr>
          <w:lang w:val="en-GB"/>
        </w:rPr>
        <w:t xml:space="preserve"> </w:t>
      </w:r>
      <w:r w:rsidR="00625A44" w:rsidRPr="004435B3">
        <w:rPr>
          <w:lang w:val="en-GB"/>
        </w:rPr>
        <w:t>subregional programme document</w:t>
      </w:r>
      <w:r w:rsidR="00596699" w:rsidRPr="0082016A">
        <w:rPr>
          <w:lang w:val="en-GB"/>
        </w:rPr>
        <w:t xml:space="preserve"> </w:t>
      </w:r>
      <w:r w:rsidR="006F2664">
        <w:rPr>
          <w:lang w:val="en-GB"/>
        </w:rPr>
        <w:t>includes</w:t>
      </w:r>
      <w:r w:rsidR="006F2664" w:rsidRPr="0082016A">
        <w:rPr>
          <w:lang w:val="en-GB"/>
        </w:rPr>
        <w:t xml:space="preserve"> </w:t>
      </w:r>
      <w:r w:rsidR="008469B2" w:rsidRPr="0082016A">
        <w:rPr>
          <w:lang w:val="en-GB"/>
        </w:rPr>
        <w:t>a strateg</w:t>
      </w:r>
      <w:r w:rsidR="00360591" w:rsidRPr="0082016A">
        <w:rPr>
          <w:lang w:val="en-GB"/>
        </w:rPr>
        <w:t>y</w:t>
      </w:r>
      <w:r w:rsidR="008469B2" w:rsidRPr="0082016A">
        <w:rPr>
          <w:lang w:val="en-GB"/>
        </w:rPr>
        <w:t xml:space="preserve"> </w:t>
      </w:r>
      <w:r w:rsidR="004761FE" w:rsidRPr="0082016A">
        <w:rPr>
          <w:lang w:val="en-GB"/>
        </w:rPr>
        <w:t xml:space="preserve">aligned with </w:t>
      </w:r>
      <w:r w:rsidR="00501E9C" w:rsidRPr="0082016A">
        <w:rPr>
          <w:lang w:val="en-GB"/>
        </w:rPr>
        <w:t xml:space="preserve">the </w:t>
      </w:r>
      <w:r w:rsidR="00F41D62" w:rsidRPr="0082016A">
        <w:rPr>
          <w:lang w:val="en-GB"/>
        </w:rPr>
        <w:t xml:space="preserve">vision of </w:t>
      </w:r>
      <w:r w:rsidR="004761FE" w:rsidRPr="0082016A">
        <w:rPr>
          <w:lang w:val="en-GB"/>
        </w:rPr>
        <w:t xml:space="preserve">the </w:t>
      </w:r>
      <w:r w:rsidR="00F41D62" w:rsidRPr="0082016A">
        <w:rPr>
          <w:lang w:val="en-GB"/>
        </w:rPr>
        <w:t>Pacific leaders</w:t>
      </w:r>
      <w:r w:rsidR="00BA601B" w:rsidRPr="0082016A">
        <w:rPr>
          <w:lang w:val="en-GB"/>
        </w:rPr>
        <w:t xml:space="preserve"> </w:t>
      </w:r>
      <w:r w:rsidR="004761FE" w:rsidRPr="0082016A">
        <w:rPr>
          <w:lang w:val="en-GB"/>
        </w:rPr>
        <w:t>and contributi</w:t>
      </w:r>
      <w:r w:rsidR="00107AF3" w:rsidRPr="0082016A">
        <w:rPr>
          <w:lang w:val="en-GB"/>
        </w:rPr>
        <w:t xml:space="preserve">ng to the achievement of </w:t>
      </w:r>
      <w:r w:rsidR="00C647EC" w:rsidRPr="004435B3">
        <w:rPr>
          <w:lang w:val="en-GB"/>
        </w:rPr>
        <w:t xml:space="preserve">the 2030 </w:t>
      </w:r>
      <w:r w:rsidR="00107AF3" w:rsidRPr="0082016A">
        <w:rPr>
          <w:lang w:val="en-GB"/>
        </w:rPr>
        <w:t xml:space="preserve">Agenda </w:t>
      </w:r>
      <w:r w:rsidR="004761FE" w:rsidRPr="0082016A">
        <w:rPr>
          <w:lang w:val="en-GB"/>
        </w:rPr>
        <w:t xml:space="preserve">in the critical initial phase of localizing </w:t>
      </w:r>
      <w:r w:rsidR="00D65861" w:rsidRPr="0082016A">
        <w:rPr>
          <w:lang w:val="en-GB"/>
        </w:rPr>
        <w:t>sustainable development goals</w:t>
      </w:r>
      <w:r w:rsidR="004761FE" w:rsidRPr="0082016A">
        <w:rPr>
          <w:lang w:val="en-GB"/>
        </w:rPr>
        <w:t xml:space="preserve"> commitments. The UNDP programme forms part of the </w:t>
      </w:r>
      <w:r w:rsidR="008469B2" w:rsidRPr="0082016A">
        <w:rPr>
          <w:lang w:val="en-GB"/>
        </w:rPr>
        <w:t>U</w:t>
      </w:r>
      <w:r w:rsidR="009F499D" w:rsidRPr="004435B3">
        <w:rPr>
          <w:lang w:val="en-GB"/>
        </w:rPr>
        <w:t>nited Nations</w:t>
      </w:r>
      <w:r w:rsidR="008469B2" w:rsidRPr="0082016A">
        <w:rPr>
          <w:lang w:val="en-GB"/>
        </w:rPr>
        <w:t xml:space="preserve"> </w:t>
      </w:r>
      <w:r w:rsidR="00501E9C" w:rsidRPr="0082016A">
        <w:rPr>
          <w:lang w:val="en-GB"/>
        </w:rPr>
        <w:t>Pacific Strategy</w:t>
      </w:r>
      <w:r w:rsidR="009F499D" w:rsidRPr="004435B3">
        <w:rPr>
          <w:lang w:val="en-GB"/>
        </w:rPr>
        <w:t>,</w:t>
      </w:r>
      <w:r w:rsidR="00501E9C" w:rsidRPr="0082016A">
        <w:rPr>
          <w:lang w:val="en-GB"/>
        </w:rPr>
        <w:t xml:space="preserve"> </w:t>
      </w:r>
      <w:r w:rsidR="008469B2" w:rsidRPr="0082016A">
        <w:rPr>
          <w:lang w:val="en-GB"/>
        </w:rPr>
        <w:t>201</w:t>
      </w:r>
      <w:r w:rsidR="00501E9C" w:rsidRPr="0082016A">
        <w:rPr>
          <w:lang w:val="en-GB"/>
        </w:rPr>
        <w:t>8-2022</w:t>
      </w:r>
      <w:r w:rsidR="009F499D" w:rsidRPr="004435B3">
        <w:rPr>
          <w:lang w:val="en-GB"/>
        </w:rPr>
        <w:t>,</w:t>
      </w:r>
      <w:r w:rsidR="004761FE" w:rsidRPr="0082016A">
        <w:rPr>
          <w:lang w:val="en-GB"/>
        </w:rPr>
        <w:t xml:space="preserve"> and directly supports the implementation of three of its six development outcomes.</w:t>
      </w:r>
    </w:p>
    <w:p w14:paraId="35F551FF" w14:textId="77777777" w:rsidR="004761FE" w:rsidRPr="0082016A" w:rsidRDefault="004761FE" w:rsidP="0077755C">
      <w:pPr>
        <w:pStyle w:val="ListParagraph"/>
        <w:ind w:left="1134" w:right="1208"/>
        <w:contextualSpacing/>
        <w:jc w:val="both"/>
        <w:rPr>
          <w:sz w:val="12"/>
          <w:szCs w:val="12"/>
          <w:lang w:val="en-GB"/>
        </w:rPr>
      </w:pPr>
    </w:p>
    <w:p w14:paraId="1F577443" w14:textId="4DC13BA0" w:rsidR="00501E9C" w:rsidRPr="0082016A" w:rsidRDefault="004761FE" w:rsidP="0077755C">
      <w:pPr>
        <w:pStyle w:val="ListParagraph"/>
        <w:numPr>
          <w:ilvl w:val="0"/>
          <w:numId w:val="5"/>
        </w:numPr>
        <w:ind w:left="1134" w:right="1208" w:firstLine="0"/>
        <w:contextualSpacing/>
        <w:jc w:val="both"/>
        <w:rPr>
          <w:lang w:val="en-GB"/>
        </w:rPr>
      </w:pPr>
      <w:r w:rsidRPr="0082016A">
        <w:rPr>
          <w:lang w:val="en-GB"/>
        </w:rPr>
        <w:t xml:space="preserve">The </w:t>
      </w:r>
      <w:r w:rsidR="00625A44" w:rsidRPr="004435B3">
        <w:rPr>
          <w:lang w:val="en-GB"/>
        </w:rPr>
        <w:t>subregional programme document</w:t>
      </w:r>
      <w:r w:rsidRPr="0082016A">
        <w:rPr>
          <w:lang w:val="en-GB"/>
        </w:rPr>
        <w:t xml:space="preserve"> </w:t>
      </w:r>
      <w:r w:rsidR="008469B2" w:rsidRPr="0082016A">
        <w:rPr>
          <w:lang w:val="en-GB"/>
        </w:rPr>
        <w:t xml:space="preserve">recognizes </w:t>
      </w:r>
      <w:r w:rsidR="009F499D" w:rsidRPr="004435B3">
        <w:rPr>
          <w:lang w:val="en-GB"/>
        </w:rPr>
        <w:t>the</w:t>
      </w:r>
      <w:r w:rsidR="008469B2" w:rsidRPr="0082016A">
        <w:rPr>
          <w:lang w:val="en-GB"/>
        </w:rPr>
        <w:t xml:space="preserve"> </w:t>
      </w:r>
      <w:r w:rsidR="00501E9C" w:rsidRPr="0082016A">
        <w:rPr>
          <w:lang w:val="en-GB"/>
        </w:rPr>
        <w:t xml:space="preserve">enduring role </w:t>
      </w:r>
      <w:r w:rsidR="009F499D" w:rsidRPr="004435B3">
        <w:rPr>
          <w:lang w:val="en-GB"/>
        </w:rPr>
        <w:t xml:space="preserve">of UNDP </w:t>
      </w:r>
      <w:r w:rsidR="00501E9C" w:rsidRPr="0082016A">
        <w:rPr>
          <w:lang w:val="en-GB"/>
        </w:rPr>
        <w:t xml:space="preserve">in the region as </w:t>
      </w:r>
      <w:r w:rsidR="009F499D" w:rsidRPr="004435B3">
        <w:rPr>
          <w:lang w:val="en-GB"/>
        </w:rPr>
        <w:t xml:space="preserve">a </w:t>
      </w:r>
      <w:r w:rsidR="00501E9C" w:rsidRPr="0082016A">
        <w:rPr>
          <w:lang w:val="en-GB"/>
        </w:rPr>
        <w:t xml:space="preserve">provider of global knowledge and tailored development solutions, working in partnership with Governments, communities on the ground, regional organizations and other partners to respond to deep-rooted </w:t>
      </w:r>
      <w:r w:rsidR="00BA601B" w:rsidRPr="0082016A">
        <w:rPr>
          <w:lang w:val="en-GB"/>
        </w:rPr>
        <w:t xml:space="preserve">and emerging </w:t>
      </w:r>
      <w:r w:rsidR="00501E9C" w:rsidRPr="0082016A">
        <w:rPr>
          <w:lang w:val="en-GB"/>
        </w:rPr>
        <w:t xml:space="preserve">development challenges </w:t>
      </w:r>
      <w:r w:rsidR="00BA601B" w:rsidRPr="0082016A">
        <w:rPr>
          <w:lang w:val="en-GB"/>
        </w:rPr>
        <w:t xml:space="preserve">in </w:t>
      </w:r>
      <w:r w:rsidR="00501E9C" w:rsidRPr="0082016A">
        <w:rPr>
          <w:lang w:val="en-GB"/>
        </w:rPr>
        <w:t xml:space="preserve">the Pacific. In </w:t>
      </w:r>
      <w:r w:rsidRPr="0082016A">
        <w:rPr>
          <w:lang w:val="en-GB"/>
        </w:rPr>
        <w:t>fulfilling this role</w:t>
      </w:r>
      <w:r w:rsidR="00501E9C" w:rsidRPr="0082016A">
        <w:rPr>
          <w:lang w:val="en-GB"/>
        </w:rPr>
        <w:t xml:space="preserve">, UNDP will increasingly serve as connector of national, regional and international knowledge and innovation, and </w:t>
      </w:r>
      <w:r w:rsidR="006F2664">
        <w:rPr>
          <w:lang w:val="en-GB"/>
        </w:rPr>
        <w:t xml:space="preserve">will </w:t>
      </w:r>
      <w:r w:rsidR="005F451C" w:rsidRPr="0082016A">
        <w:rPr>
          <w:lang w:val="en-GB"/>
        </w:rPr>
        <w:t>facilitate</w:t>
      </w:r>
      <w:r w:rsidR="001508A5" w:rsidRPr="0082016A">
        <w:rPr>
          <w:lang w:val="en-GB"/>
        </w:rPr>
        <w:t xml:space="preserve"> the scaling up of </w:t>
      </w:r>
      <w:r w:rsidR="00501E9C" w:rsidRPr="0082016A">
        <w:rPr>
          <w:lang w:val="en-GB"/>
        </w:rPr>
        <w:t xml:space="preserve">successful </w:t>
      </w:r>
      <w:r w:rsidR="00AB5061" w:rsidRPr="0082016A">
        <w:rPr>
          <w:lang w:val="en-GB"/>
        </w:rPr>
        <w:t>initiatives</w:t>
      </w:r>
      <w:r w:rsidR="00501E9C" w:rsidRPr="0082016A">
        <w:rPr>
          <w:lang w:val="en-GB"/>
        </w:rPr>
        <w:t>, including with domestic resources</w:t>
      </w:r>
      <w:r w:rsidRPr="0082016A">
        <w:rPr>
          <w:lang w:val="en-GB"/>
        </w:rPr>
        <w:t xml:space="preserve"> and new forms of partnership</w:t>
      </w:r>
      <w:r w:rsidR="00501E9C" w:rsidRPr="0082016A">
        <w:rPr>
          <w:lang w:val="en-GB"/>
        </w:rPr>
        <w:t>.</w:t>
      </w:r>
    </w:p>
    <w:p w14:paraId="7913F2E5" w14:textId="77777777" w:rsidR="00AC4B9C" w:rsidRPr="0082016A" w:rsidRDefault="00AC4B9C" w:rsidP="0077755C">
      <w:pPr>
        <w:pStyle w:val="ListParagraph"/>
        <w:ind w:left="1134" w:right="1208"/>
        <w:contextualSpacing/>
        <w:jc w:val="both"/>
        <w:rPr>
          <w:sz w:val="12"/>
          <w:szCs w:val="12"/>
          <w:lang w:val="en-GB"/>
        </w:rPr>
      </w:pPr>
    </w:p>
    <w:p w14:paraId="0D5A431D" w14:textId="430A4FE6" w:rsidR="00601B52" w:rsidRPr="0082016A" w:rsidRDefault="00394C0E" w:rsidP="0077755C">
      <w:pPr>
        <w:pStyle w:val="ListParagraph"/>
        <w:numPr>
          <w:ilvl w:val="0"/>
          <w:numId w:val="5"/>
        </w:numPr>
        <w:ind w:left="1134" w:right="1208" w:firstLine="0"/>
        <w:contextualSpacing/>
        <w:jc w:val="both"/>
        <w:rPr>
          <w:lang w:val="en-GB"/>
        </w:rPr>
      </w:pPr>
      <w:r w:rsidRPr="0082016A">
        <w:rPr>
          <w:lang w:val="en-GB"/>
        </w:rPr>
        <w:t xml:space="preserve">The </w:t>
      </w:r>
      <w:r w:rsidR="004761FE" w:rsidRPr="0082016A">
        <w:rPr>
          <w:lang w:val="en-GB"/>
        </w:rPr>
        <w:t xml:space="preserve">UNDP programme </w:t>
      </w:r>
      <w:r w:rsidR="008469B2" w:rsidRPr="0082016A">
        <w:rPr>
          <w:lang w:val="en-GB"/>
        </w:rPr>
        <w:t xml:space="preserve">will support </w:t>
      </w:r>
      <w:r w:rsidR="0002562C" w:rsidRPr="0082016A">
        <w:rPr>
          <w:lang w:val="en-GB"/>
        </w:rPr>
        <w:t xml:space="preserve">the </w:t>
      </w:r>
      <w:r w:rsidR="00FE6735" w:rsidRPr="0082016A">
        <w:rPr>
          <w:lang w:val="en-GB"/>
        </w:rPr>
        <w:t>subregion</w:t>
      </w:r>
      <w:r w:rsidR="004761FE" w:rsidRPr="0082016A">
        <w:rPr>
          <w:lang w:val="en-GB"/>
        </w:rPr>
        <w:t xml:space="preserve"> </w:t>
      </w:r>
      <w:r w:rsidR="00C3614A" w:rsidRPr="004435B3">
        <w:rPr>
          <w:lang w:val="en-GB"/>
        </w:rPr>
        <w:t>in</w:t>
      </w:r>
      <w:r w:rsidR="008469B2" w:rsidRPr="0082016A">
        <w:rPr>
          <w:lang w:val="en-GB"/>
        </w:rPr>
        <w:t xml:space="preserve"> complet</w:t>
      </w:r>
      <w:r w:rsidR="00C3614A" w:rsidRPr="004435B3">
        <w:rPr>
          <w:lang w:val="en-GB"/>
        </w:rPr>
        <w:t>ing</w:t>
      </w:r>
      <w:r w:rsidR="008469B2" w:rsidRPr="0082016A">
        <w:rPr>
          <w:lang w:val="en-GB"/>
        </w:rPr>
        <w:t xml:space="preserve"> unfinished </w:t>
      </w:r>
      <w:r w:rsidR="00C647EC" w:rsidRPr="004435B3">
        <w:rPr>
          <w:lang w:val="en-GB"/>
        </w:rPr>
        <w:t xml:space="preserve">Millennium Development Goals </w:t>
      </w:r>
      <w:r w:rsidR="008469B2" w:rsidRPr="0082016A">
        <w:rPr>
          <w:lang w:val="en-GB"/>
        </w:rPr>
        <w:t>business and advanc</w:t>
      </w:r>
      <w:r w:rsidR="00C3614A" w:rsidRPr="004435B3">
        <w:rPr>
          <w:lang w:val="en-GB"/>
        </w:rPr>
        <w:t>ing</w:t>
      </w:r>
      <w:r w:rsidR="008469B2" w:rsidRPr="0082016A">
        <w:rPr>
          <w:lang w:val="en-GB"/>
        </w:rPr>
        <w:t xml:space="preserve"> </w:t>
      </w:r>
      <w:r w:rsidR="00C647EC" w:rsidRPr="004435B3">
        <w:rPr>
          <w:lang w:val="en-GB"/>
        </w:rPr>
        <w:t xml:space="preserve">the 2030 </w:t>
      </w:r>
      <w:r w:rsidR="008469B2" w:rsidRPr="0082016A">
        <w:rPr>
          <w:lang w:val="en-GB"/>
        </w:rPr>
        <w:t xml:space="preserve">Agenda. The </w:t>
      </w:r>
      <w:r w:rsidR="00D65861" w:rsidRPr="0082016A">
        <w:rPr>
          <w:lang w:val="en-GB"/>
        </w:rPr>
        <w:lastRenderedPageBreak/>
        <w:t>sustainable development goals</w:t>
      </w:r>
      <w:r w:rsidR="00D65861" w:rsidRPr="0082016A" w:rsidDel="00D65861">
        <w:rPr>
          <w:lang w:val="en-GB"/>
        </w:rPr>
        <w:t xml:space="preserve"> </w:t>
      </w:r>
      <w:r w:rsidR="008469B2" w:rsidRPr="0082016A">
        <w:rPr>
          <w:lang w:val="en-GB"/>
        </w:rPr>
        <w:t xml:space="preserve">provide a platform for multi-stakeholder engagement and an opportunity for </w:t>
      </w:r>
      <w:r w:rsidR="00E067FE" w:rsidRPr="0082016A">
        <w:rPr>
          <w:lang w:val="en-GB"/>
        </w:rPr>
        <w:t xml:space="preserve">integrated </w:t>
      </w:r>
      <w:r w:rsidR="008469B2" w:rsidRPr="0082016A">
        <w:rPr>
          <w:lang w:val="en-GB"/>
        </w:rPr>
        <w:t>development solutions</w:t>
      </w:r>
      <w:r w:rsidR="00AB19FB" w:rsidRPr="0082016A">
        <w:rPr>
          <w:lang w:val="en-GB"/>
        </w:rPr>
        <w:t xml:space="preserve"> </w:t>
      </w:r>
      <w:r w:rsidR="00570FB6" w:rsidRPr="0082016A">
        <w:rPr>
          <w:lang w:val="en-GB"/>
        </w:rPr>
        <w:t xml:space="preserve">that </w:t>
      </w:r>
      <w:r w:rsidR="00AB19FB" w:rsidRPr="0082016A">
        <w:rPr>
          <w:lang w:val="en-GB"/>
        </w:rPr>
        <w:t>leave no one behind</w:t>
      </w:r>
      <w:r w:rsidR="008469B2" w:rsidRPr="0082016A">
        <w:rPr>
          <w:lang w:val="en-GB"/>
        </w:rPr>
        <w:t xml:space="preserve">. </w:t>
      </w:r>
      <w:r w:rsidR="00CA1AC6" w:rsidRPr="0082016A">
        <w:rPr>
          <w:lang w:val="en-GB"/>
        </w:rPr>
        <w:t xml:space="preserve">UNDP will </w:t>
      </w:r>
      <w:r w:rsidR="00FD237D">
        <w:rPr>
          <w:lang w:val="en-GB"/>
        </w:rPr>
        <w:t xml:space="preserve">therefore </w:t>
      </w:r>
      <w:r w:rsidR="00CA1AC6" w:rsidRPr="0082016A">
        <w:rPr>
          <w:lang w:val="en-GB"/>
        </w:rPr>
        <w:t xml:space="preserve">continue to support transformation of national governance and decision-making processes for effective evidence-based planning that promotes </w:t>
      </w:r>
      <w:r w:rsidR="008E7E05" w:rsidRPr="0082016A">
        <w:rPr>
          <w:lang w:val="en-GB"/>
        </w:rPr>
        <w:t xml:space="preserve">human rights and </w:t>
      </w:r>
      <w:r w:rsidR="00CA1AC6" w:rsidRPr="0082016A">
        <w:rPr>
          <w:lang w:val="en-GB"/>
        </w:rPr>
        <w:t xml:space="preserve">gender </w:t>
      </w:r>
      <w:r w:rsidR="008E7E05" w:rsidRPr="0082016A">
        <w:rPr>
          <w:lang w:val="en-GB"/>
        </w:rPr>
        <w:t>equality</w:t>
      </w:r>
      <w:r w:rsidR="00CA1AC6" w:rsidRPr="0082016A">
        <w:rPr>
          <w:lang w:val="en-GB"/>
        </w:rPr>
        <w:t xml:space="preserve"> and leads to improved resilience and public service delivery.</w:t>
      </w:r>
    </w:p>
    <w:p w14:paraId="5ACD7631" w14:textId="77777777" w:rsidR="00601B52" w:rsidRPr="0082016A" w:rsidRDefault="00601B52" w:rsidP="0077755C">
      <w:pPr>
        <w:pStyle w:val="ListParagraph"/>
        <w:ind w:left="1134" w:right="1208"/>
        <w:contextualSpacing/>
        <w:jc w:val="both"/>
        <w:rPr>
          <w:sz w:val="12"/>
          <w:szCs w:val="12"/>
          <w:lang w:val="en-GB"/>
        </w:rPr>
      </w:pPr>
    </w:p>
    <w:p w14:paraId="173C1AA8" w14:textId="51282B2B" w:rsidR="008469B2" w:rsidRPr="00071A10" w:rsidRDefault="008469B2" w:rsidP="0077755C">
      <w:pPr>
        <w:pStyle w:val="ListParagraph"/>
        <w:numPr>
          <w:ilvl w:val="0"/>
          <w:numId w:val="5"/>
        </w:numPr>
        <w:ind w:left="1134" w:right="1208" w:firstLine="0"/>
        <w:contextualSpacing/>
        <w:jc w:val="both"/>
        <w:rPr>
          <w:lang w:val="en-GB"/>
        </w:rPr>
      </w:pPr>
      <w:r w:rsidRPr="0082016A">
        <w:rPr>
          <w:lang w:val="en-GB"/>
        </w:rPr>
        <w:t>UNDP is well positioned to partner with</w:t>
      </w:r>
      <w:r w:rsidR="006F2664" w:rsidRPr="006F2664">
        <w:rPr>
          <w:lang w:val="en-GB"/>
        </w:rPr>
        <w:t xml:space="preserve"> </w:t>
      </w:r>
      <w:r w:rsidR="006F2664" w:rsidRPr="00396E55">
        <w:rPr>
          <w:lang w:val="en-GB"/>
        </w:rPr>
        <w:t>communities</w:t>
      </w:r>
      <w:r w:rsidRPr="0082016A">
        <w:rPr>
          <w:lang w:val="en-GB"/>
        </w:rPr>
        <w:t xml:space="preserve"> </w:t>
      </w:r>
      <w:r w:rsidR="006F2664">
        <w:rPr>
          <w:lang w:val="en-GB"/>
        </w:rPr>
        <w:t xml:space="preserve">and </w:t>
      </w:r>
      <w:r w:rsidR="00C3614A" w:rsidRPr="004435B3">
        <w:rPr>
          <w:lang w:val="en-GB"/>
        </w:rPr>
        <w:t>g</w:t>
      </w:r>
      <w:r w:rsidRPr="00071A10">
        <w:rPr>
          <w:lang w:val="en-GB"/>
        </w:rPr>
        <w:t>overnment</w:t>
      </w:r>
      <w:r w:rsidR="004761FE" w:rsidRPr="00071A10">
        <w:rPr>
          <w:lang w:val="en-GB"/>
        </w:rPr>
        <w:t>s</w:t>
      </w:r>
      <w:r w:rsidRPr="00071A10">
        <w:rPr>
          <w:lang w:val="en-GB"/>
        </w:rPr>
        <w:t xml:space="preserve"> across all branches of power to unlock the potential </w:t>
      </w:r>
      <w:r w:rsidR="00C3614A" w:rsidRPr="004435B3">
        <w:rPr>
          <w:lang w:val="en-GB"/>
        </w:rPr>
        <w:t xml:space="preserve">of countries </w:t>
      </w:r>
      <w:r w:rsidRPr="00071A10">
        <w:rPr>
          <w:lang w:val="en-GB"/>
        </w:rPr>
        <w:t xml:space="preserve">for inclusive, sustainable and climate-resilient development. UNDP will promote </w:t>
      </w:r>
      <w:r w:rsidR="00276C77" w:rsidRPr="00071A10">
        <w:rPr>
          <w:lang w:val="en-GB"/>
        </w:rPr>
        <w:t xml:space="preserve">a </w:t>
      </w:r>
      <w:r w:rsidRPr="00071A10">
        <w:rPr>
          <w:lang w:val="en-GB"/>
        </w:rPr>
        <w:t>whole-of-</w:t>
      </w:r>
      <w:r w:rsidR="008E7E05" w:rsidRPr="00071A10">
        <w:rPr>
          <w:lang w:val="en-GB"/>
        </w:rPr>
        <w:t>society</w:t>
      </w:r>
      <w:r w:rsidRPr="00071A10">
        <w:rPr>
          <w:lang w:val="en-GB"/>
        </w:rPr>
        <w:t xml:space="preserve"> approach</w:t>
      </w:r>
      <w:r w:rsidR="00C3614A" w:rsidRPr="004435B3">
        <w:rPr>
          <w:lang w:val="en-GB"/>
        </w:rPr>
        <w:t>,</w:t>
      </w:r>
      <w:r w:rsidR="008E7E05" w:rsidRPr="00071A10">
        <w:rPr>
          <w:lang w:val="en-GB"/>
        </w:rPr>
        <w:t xml:space="preserve"> with greater involvement of </w:t>
      </w:r>
      <w:r w:rsidRPr="00071A10">
        <w:rPr>
          <w:lang w:val="en-GB"/>
        </w:rPr>
        <w:t xml:space="preserve">civil society </w:t>
      </w:r>
      <w:r w:rsidR="008E7E05" w:rsidRPr="00071A10">
        <w:rPr>
          <w:lang w:val="en-GB"/>
        </w:rPr>
        <w:t xml:space="preserve">actors </w:t>
      </w:r>
      <w:r w:rsidRPr="00071A10">
        <w:rPr>
          <w:lang w:val="en-GB"/>
        </w:rPr>
        <w:t xml:space="preserve">and </w:t>
      </w:r>
      <w:r w:rsidR="00276C77" w:rsidRPr="00071A10">
        <w:rPr>
          <w:lang w:val="en-GB"/>
        </w:rPr>
        <w:t xml:space="preserve">a </w:t>
      </w:r>
      <w:r w:rsidRPr="00071A10">
        <w:rPr>
          <w:lang w:val="en-GB"/>
        </w:rPr>
        <w:t>more prominent role f</w:t>
      </w:r>
      <w:r w:rsidR="00276C77" w:rsidRPr="00071A10">
        <w:rPr>
          <w:lang w:val="en-GB"/>
        </w:rPr>
        <w:t>or</w:t>
      </w:r>
      <w:r w:rsidRPr="00071A10">
        <w:rPr>
          <w:lang w:val="en-GB"/>
        </w:rPr>
        <w:t xml:space="preserve"> women and youth to deliver on the ambition of </w:t>
      </w:r>
      <w:r w:rsidR="00C647EC" w:rsidRPr="004435B3">
        <w:rPr>
          <w:lang w:val="en-GB"/>
        </w:rPr>
        <w:t xml:space="preserve">the </w:t>
      </w:r>
      <w:r w:rsidR="00276C77" w:rsidRPr="00071A10">
        <w:rPr>
          <w:lang w:val="en-GB"/>
        </w:rPr>
        <w:t>2030</w:t>
      </w:r>
      <w:r w:rsidR="00C647EC" w:rsidRPr="004435B3">
        <w:rPr>
          <w:lang w:val="en-GB"/>
        </w:rPr>
        <w:t xml:space="preserve"> Agenda</w:t>
      </w:r>
      <w:r w:rsidRPr="00071A10">
        <w:rPr>
          <w:lang w:val="en-GB"/>
        </w:rPr>
        <w:t xml:space="preserve">. </w:t>
      </w:r>
      <w:r w:rsidR="00C3614A" w:rsidRPr="004435B3">
        <w:rPr>
          <w:lang w:val="en-GB"/>
        </w:rPr>
        <w:t>It</w:t>
      </w:r>
      <w:r w:rsidR="00C3614A" w:rsidRPr="00071A10">
        <w:rPr>
          <w:lang w:val="en-GB"/>
        </w:rPr>
        <w:t xml:space="preserve"> </w:t>
      </w:r>
      <w:r w:rsidRPr="00071A10">
        <w:rPr>
          <w:lang w:val="en-GB"/>
        </w:rPr>
        <w:t>will leverage the private sector as a catalytic partner and an investor to scale up development solutions.</w:t>
      </w:r>
      <w:r w:rsidR="00F86FA9" w:rsidRPr="00071A10">
        <w:rPr>
          <w:lang w:val="en-GB"/>
        </w:rPr>
        <w:t xml:space="preserve"> </w:t>
      </w:r>
    </w:p>
    <w:p w14:paraId="77D7653C" w14:textId="77777777" w:rsidR="008469B2" w:rsidRPr="00071A10" w:rsidRDefault="008469B2" w:rsidP="0077755C">
      <w:pPr>
        <w:pStyle w:val="ListParagraph"/>
        <w:ind w:left="1134" w:right="1208"/>
        <w:contextualSpacing/>
        <w:jc w:val="both"/>
        <w:rPr>
          <w:sz w:val="12"/>
          <w:szCs w:val="12"/>
          <w:lang w:val="en-GB"/>
        </w:rPr>
      </w:pPr>
    </w:p>
    <w:p w14:paraId="1D53B692" w14:textId="28CD4906" w:rsidR="00733255" w:rsidRPr="00071A10" w:rsidRDefault="00C73E44" w:rsidP="00733255">
      <w:pPr>
        <w:pStyle w:val="ListParagraph"/>
        <w:numPr>
          <w:ilvl w:val="0"/>
          <w:numId w:val="5"/>
        </w:numPr>
        <w:ind w:left="1134" w:right="1208" w:firstLine="0"/>
        <w:contextualSpacing/>
        <w:jc w:val="both"/>
        <w:rPr>
          <w:lang w:val="en-GB"/>
        </w:rPr>
      </w:pPr>
      <w:r w:rsidRPr="00071A10">
        <w:rPr>
          <w:lang w:val="en-GB"/>
        </w:rPr>
        <w:t xml:space="preserve">In the spirit of the </w:t>
      </w:r>
      <w:r w:rsidR="00122081" w:rsidRPr="00071A10">
        <w:rPr>
          <w:lang w:val="en-GB"/>
        </w:rPr>
        <w:t xml:space="preserve">Small Island Developing States Accelerated </w:t>
      </w:r>
      <w:r w:rsidR="006F2664">
        <w:rPr>
          <w:lang w:val="en-GB"/>
        </w:rPr>
        <w:t>Modalities</w:t>
      </w:r>
      <w:r w:rsidR="00122081" w:rsidRPr="00071A10">
        <w:rPr>
          <w:lang w:val="en-GB"/>
        </w:rPr>
        <w:t xml:space="preserve"> of Action (</w:t>
      </w:r>
      <w:r w:rsidRPr="00071A10">
        <w:rPr>
          <w:lang w:val="en-GB"/>
        </w:rPr>
        <w:t>SAMOA</w:t>
      </w:r>
      <w:r w:rsidR="00122081" w:rsidRPr="004435B3">
        <w:rPr>
          <w:lang w:val="en-GB"/>
        </w:rPr>
        <w:t>)</w:t>
      </w:r>
      <w:r w:rsidRPr="00071A10">
        <w:rPr>
          <w:lang w:val="en-GB"/>
        </w:rPr>
        <w:t xml:space="preserve"> Pathway</w:t>
      </w:r>
      <w:r w:rsidR="000711A4" w:rsidRPr="00071A10">
        <w:rPr>
          <w:lang w:val="en-GB"/>
        </w:rPr>
        <w:t xml:space="preserve">, UNDP recognizes the potential </w:t>
      </w:r>
      <w:r w:rsidR="008469B2" w:rsidRPr="00071A10">
        <w:rPr>
          <w:lang w:val="en-GB"/>
        </w:rPr>
        <w:t>o</w:t>
      </w:r>
      <w:r w:rsidR="00276C77" w:rsidRPr="00071A10">
        <w:rPr>
          <w:lang w:val="en-GB"/>
        </w:rPr>
        <w:t>f</w:t>
      </w:r>
      <w:r w:rsidR="008469B2" w:rsidRPr="00071A10">
        <w:rPr>
          <w:lang w:val="en-GB"/>
        </w:rPr>
        <w:t xml:space="preserve"> </w:t>
      </w:r>
      <w:r w:rsidR="000711A4" w:rsidRPr="00071A10">
        <w:rPr>
          <w:lang w:val="en-GB"/>
        </w:rPr>
        <w:t xml:space="preserve">regionalism </w:t>
      </w:r>
      <w:r w:rsidRPr="00071A10">
        <w:rPr>
          <w:lang w:val="en-GB"/>
        </w:rPr>
        <w:t xml:space="preserve">and partnerships </w:t>
      </w:r>
      <w:r w:rsidR="00071A10">
        <w:rPr>
          <w:lang w:val="en-GB"/>
        </w:rPr>
        <w:t xml:space="preserve">among States </w:t>
      </w:r>
      <w:r w:rsidR="00276C77" w:rsidRPr="00071A10">
        <w:rPr>
          <w:lang w:val="en-GB"/>
        </w:rPr>
        <w:t>to</w:t>
      </w:r>
      <w:r w:rsidR="000711A4" w:rsidRPr="00071A10">
        <w:rPr>
          <w:lang w:val="en-GB"/>
        </w:rPr>
        <w:t xml:space="preserve"> address common development challenges and harness mutual support</w:t>
      </w:r>
      <w:r w:rsidR="00C3614A" w:rsidRPr="004435B3">
        <w:rPr>
          <w:lang w:val="en-GB"/>
        </w:rPr>
        <w:t xml:space="preserve"> and</w:t>
      </w:r>
      <w:r w:rsidR="000711A4" w:rsidRPr="00071A10">
        <w:rPr>
          <w:lang w:val="en-GB"/>
        </w:rPr>
        <w:t xml:space="preserve"> </w:t>
      </w:r>
      <w:r w:rsidR="00C3614A" w:rsidRPr="004435B3">
        <w:rPr>
          <w:lang w:val="en-GB"/>
        </w:rPr>
        <w:t>S</w:t>
      </w:r>
      <w:r w:rsidR="000711A4" w:rsidRPr="00071A10">
        <w:rPr>
          <w:lang w:val="en-GB"/>
        </w:rPr>
        <w:t>outh-</w:t>
      </w:r>
      <w:r w:rsidR="00C3614A" w:rsidRPr="004435B3">
        <w:rPr>
          <w:lang w:val="en-GB"/>
        </w:rPr>
        <w:t>S</w:t>
      </w:r>
      <w:r w:rsidR="000711A4" w:rsidRPr="00071A10">
        <w:rPr>
          <w:lang w:val="en-GB"/>
        </w:rPr>
        <w:t>outh</w:t>
      </w:r>
      <w:r w:rsidR="00276C77" w:rsidRPr="00071A10">
        <w:rPr>
          <w:lang w:val="en-GB"/>
        </w:rPr>
        <w:t xml:space="preserve"> and triangular cooperation to</w:t>
      </w:r>
      <w:r w:rsidR="000711A4" w:rsidRPr="00071A10">
        <w:rPr>
          <w:lang w:val="en-GB"/>
        </w:rPr>
        <w:t xml:space="preserve"> amplify</w:t>
      </w:r>
      <w:r w:rsidR="00276C77" w:rsidRPr="00071A10">
        <w:rPr>
          <w:lang w:val="en-GB"/>
        </w:rPr>
        <w:t xml:space="preserve"> the </w:t>
      </w:r>
      <w:r w:rsidR="000711A4" w:rsidRPr="00071A10">
        <w:rPr>
          <w:lang w:val="en-GB"/>
        </w:rPr>
        <w:t xml:space="preserve">gains in </w:t>
      </w:r>
      <w:r w:rsidR="008469B2" w:rsidRPr="00071A10">
        <w:rPr>
          <w:lang w:val="en-GB"/>
        </w:rPr>
        <w:t xml:space="preserve">poverty reduction, disaster risk management and use </w:t>
      </w:r>
      <w:r w:rsidR="00F45922" w:rsidRPr="00071A10">
        <w:rPr>
          <w:lang w:val="en-GB"/>
        </w:rPr>
        <w:t>of evidence-based policy tools</w:t>
      </w:r>
      <w:r w:rsidR="003F06E8" w:rsidRPr="00071A10">
        <w:rPr>
          <w:lang w:val="en-GB"/>
        </w:rPr>
        <w:t xml:space="preserve"> such as development finance assessments</w:t>
      </w:r>
      <w:r w:rsidR="00F45922" w:rsidRPr="00071A10">
        <w:rPr>
          <w:lang w:val="en-GB"/>
        </w:rPr>
        <w:t xml:space="preserve">. </w:t>
      </w:r>
      <w:r w:rsidR="00AB72A5" w:rsidRPr="00071A10">
        <w:rPr>
          <w:lang w:val="en-GB"/>
        </w:rPr>
        <w:t xml:space="preserve">In keeping with the Framework for Pacific Regionalism, </w:t>
      </w:r>
      <w:r w:rsidR="008469B2" w:rsidRPr="00071A10">
        <w:rPr>
          <w:lang w:val="en-GB"/>
        </w:rPr>
        <w:t xml:space="preserve">UNDP will </w:t>
      </w:r>
      <w:r w:rsidR="000711A4" w:rsidRPr="00071A10">
        <w:rPr>
          <w:lang w:val="en-GB"/>
        </w:rPr>
        <w:t xml:space="preserve">partner with regional organizations </w:t>
      </w:r>
      <w:r w:rsidR="00276C77" w:rsidRPr="00071A10">
        <w:rPr>
          <w:lang w:val="en-GB"/>
        </w:rPr>
        <w:t xml:space="preserve">and other development partners </w:t>
      </w:r>
      <w:r w:rsidR="000711A4" w:rsidRPr="00071A10">
        <w:rPr>
          <w:lang w:val="en-GB"/>
        </w:rPr>
        <w:t xml:space="preserve">to generate, document and apply development solutions in the context of the </w:t>
      </w:r>
      <w:r w:rsidR="00FE6735" w:rsidRPr="00071A10">
        <w:rPr>
          <w:lang w:val="en-GB"/>
        </w:rPr>
        <w:t>subregion</w:t>
      </w:r>
      <w:r w:rsidR="008469B2" w:rsidRPr="00071A10">
        <w:rPr>
          <w:lang w:val="en-GB"/>
        </w:rPr>
        <w:t xml:space="preserve">. UNDP will continue to promote </w:t>
      </w:r>
      <w:r w:rsidR="000711A4" w:rsidRPr="00071A10">
        <w:rPr>
          <w:lang w:val="en-GB"/>
        </w:rPr>
        <w:t xml:space="preserve">the voice and development experiences of the Pacific </w:t>
      </w:r>
      <w:r w:rsidR="008469B2" w:rsidRPr="00071A10">
        <w:rPr>
          <w:lang w:val="en-GB"/>
        </w:rPr>
        <w:t>in region</w:t>
      </w:r>
      <w:r w:rsidR="00BA601B" w:rsidRPr="00071A10">
        <w:rPr>
          <w:lang w:val="en-GB"/>
        </w:rPr>
        <w:t>al and global development for</w:t>
      </w:r>
      <w:r w:rsidR="00C3614A" w:rsidRPr="004435B3">
        <w:rPr>
          <w:lang w:val="en-GB"/>
        </w:rPr>
        <w:t>ums</w:t>
      </w:r>
      <w:r w:rsidR="008469B2" w:rsidRPr="00071A10">
        <w:rPr>
          <w:lang w:val="en-GB"/>
        </w:rPr>
        <w:t>.</w:t>
      </w:r>
    </w:p>
    <w:p w14:paraId="2F8FB79C" w14:textId="77777777" w:rsidR="008469B2" w:rsidRPr="00071A10" w:rsidRDefault="008469B2" w:rsidP="00733255">
      <w:pPr>
        <w:pStyle w:val="ListParagraph"/>
        <w:ind w:left="1134" w:right="1208"/>
        <w:contextualSpacing/>
        <w:jc w:val="both"/>
        <w:rPr>
          <w:sz w:val="12"/>
          <w:szCs w:val="12"/>
          <w:lang w:val="en-GB"/>
        </w:rPr>
      </w:pPr>
    </w:p>
    <w:p w14:paraId="3783BAD5" w14:textId="680414FE" w:rsidR="00733255" w:rsidRPr="00071A10" w:rsidRDefault="000711A4" w:rsidP="00733255">
      <w:pPr>
        <w:pStyle w:val="ListParagraph"/>
        <w:numPr>
          <w:ilvl w:val="0"/>
          <w:numId w:val="5"/>
        </w:numPr>
        <w:ind w:left="1134" w:right="1208" w:firstLine="0"/>
        <w:contextualSpacing/>
        <w:jc w:val="both"/>
        <w:rPr>
          <w:lang w:val="en-GB"/>
        </w:rPr>
      </w:pPr>
      <w:r w:rsidRPr="00071A10">
        <w:rPr>
          <w:lang w:val="en-GB"/>
        </w:rPr>
        <w:t>To support the ambition of the U</w:t>
      </w:r>
      <w:r w:rsidR="00C3614A" w:rsidRPr="00071A10">
        <w:rPr>
          <w:lang w:val="en-GB"/>
        </w:rPr>
        <w:t>nited Nations</w:t>
      </w:r>
      <w:r w:rsidRPr="00071A10">
        <w:rPr>
          <w:lang w:val="en-GB"/>
        </w:rPr>
        <w:t xml:space="preserve"> Pacific </w:t>
      </w:r>
      <w:r w:rsidR="00C3614A" w:rsidRPr="00071A10">
        <w:rPr>
          <w:lang w:val="en-GB"/>
        </w:rPr>
        <w:t>s</w:t>
      </w:r>
      <w:r w:rsidRPr="00071A10">
        <w:rPr>
          <w:lang w:val="en-GB"/>
        </w:rPr>
        <w:t xml:space="preserve">trategy to </w:t>
      </w:r>
      <w:r w:rsidR="008469B2" w:rsidRPr="00071A10">
        <w:rPr>
          <w:lang w:val="en-GB"/>
        </w:rPr>
        <w:t xml:space="preserve">advance </w:t>
      </w:r>
      <w:r w:rsidR="00C3614A" w:rsidRPr="00071A10">
        <w:rPr>
          <w:lang w:val="en-GB"/>
        </w:rPr>
        <w:t>the ‘d</w:t>
      </w:r>
      <w:r w:rsidR="008469B2" w:rsidRPr="00071A10">
        <w:rPr>
          <w:lang w:val="en-GB"/>
        </w:rPr>
        <w:t xml:space="preserve">elivering as </w:t>
      </w:r>
      <w:r w:rsidR="00C3614A" w:rsidRPr="00071A10">
        <w:rPr>
          <w:lang w:val="en-GB"/>
        </w:rPr>
        <w:t>o</w:t>
      </w:r>
      <w:r w:rsidR="008469B2" w:rsidRPr="00071A10">
        <w:rPr>
          <w:lang w:val="en-GB"/>
        </w:rPr>
        <w:t>ne</w:t>
      </w:r>
      <w:r w:rsidR="00C3614A" w:rsidRPr="00071A10">
        <w:rPr>
          <w:lang w:val="en-GB"/>
        </w:rPr>
        <w:t>’</w:t>
      </w:r>
      <w:r w:rsidR="008469B2" w:rsidRPr="00071A10">
        <w:rPr>
          <w:lang w:val="en-GB"/>
        </w:rPr>
        <w:t xml:space="preserve"> </w:t>
      </w:r>
      <w:r w:rsidRPr="00071A10">
        <w:rPr>
          <w:lang w:val="en-GB"/>
        </w:rPr>
        <w:t>agenda</w:t>
      </w:r>
      <w:r w:rsidR="008469B2" w:rsidRPr="00071A10">
        <w:rPr>
          <w:lang w:val="en-GB"/>
        </w:rPr>
        <w:t>, UNDP</w:t>
      </w:r>
      <w:r w:rsidR="00F45922" w:rsidRPr="00071A10">
        <w:rPr>
          <w:lang w:val="en-GB"/>
        </w:rPr>
        <w:t xml:space="preserve"> will promote </w:t>
      </w:r>
      <w:r w:rsidR="008469B2" w:rsidRPr="00071A10">
        <w:rPr>
          <w:lang w:val="en-GB"/>
        </w:rPr>
        <w:t xml:space="preserve">synergies with other </w:t>
      </w:r>
      <w:r w:rsidR="00C3614A" w:rsidRPr="00071A10">
        <w:rPr>
          <w:lang w:val="en-GB"/>
        </w:rPr>
        <w:t xml:space="preserve">United Nations </w:t>
      </w:r>
      <w:r w:rsidR="008469B2" w:rsidRPr="00071A10">
        <w:rPr>
          <w:lang w:val="en-GB"/>
        </w:rPr>
        <w:t>organizations through targeted</w:t>
      </w:r>
      <w:r w:rsidR="00C3614A" w:rsidRPr="00071A10">
        <w:rPr>
          <w:lang w:val="en-GB"/>
        </w:rPr>
        <w:t xml:space="preserve">, </w:t>
      </w:r>
      <w:r w:rsidRPr="00071A10">
        <w:rPr>
          <w:lang w:val="en-GB"/>
        </w:rPr>
        <w:t xml:space="preserve">joined-up programmatic actions, </w:t>
      </w:r>
      <w:r w:rsidR="008469B2" w:rsidRPr="00071A10">
        <w:rPr>
          <w:lang w:val="en-GB"/>
        </w:rPr>
        <w:t>joint advocacy</w:t>
      </w:r>
      <w:r w:rsidR="00C3614A" w:rsidRPr="00071A10">
        <w:rPr>
          <w:lang w:val="en-GB"/>
        </w:rPr>
        <w:t>,</w:t>
      </w:r>
      <w:r w:rsidR="008469B2" w:rsidRPr="00071A10">
        <w:rPr>
          <w:lang w:val="en-GB"/>
        </w:rPr>
        <w:t xml:space="preserve"> and </w:t>
      </w:r>
      <w:r w:rsidRPr="00071A10">
        <w:rPr>
          <w:lang w:val="en-GB"/>
        </w:rPr>
        <w:t>com</w:t>
      </w:r>
      <w:r w:rsidR="00827A6E" w:rsidRPr="00071A10">
        <w:rPr>
          <w:lang w:val="en-GB"/>
        </w:rPr>
        <w:t>mon</w:t>
      </w:r>
      <w:r w:rsidRPr="00071A10">
        <w:rPr>
          <w:lang w:val="en-GB"/>
        </w:rPr>
        <w:t xml:space="preserve"> approach</w:t>
      </w:r>
      <w:r w:rsidR="00827A6E" w:rsidRPr="00071A10">
        <w:rPr>
          <w:lang w:val="en-GB"/>
        </w:rPr>
        <w:t>es</w:t>
      </w:r>
      <w:r w:rsidRPr="00071A10">
        <w:rPr>
          <w:lang w:val="en-GB"/>
        </w:rPr>
        <w:t xml:space="preserve"> to measuring development progress through data and evidence</w:t>
      </w:r>
      <w:r w:rsidR="00F45922" w:rsidRPr="00071A10">
        <w:rPr>
          <w:lang w:val="en-GB"/>
        </w:rPr>
        <w:t>.</w:t>
      </w:r>
    </w:p>
    <w:p w14:paraId="53A34B14" w14:textId="77777777" w:rsidR="00733255" w:rsidRPr="00071A10" w:rsidRDefault="00733255" w:rsidP="00733255">
      <w:pPr>
        <w:pStyle w:val="ListParagraph"/>
        <w:rPr>
          <w:sz w:val="12"/>
          <w:szCs w:val="12"/>
          <w:lang w:val="en-GB"/>
        </w:rPr>
      </w:pPr>
    </w:p>
    <w:p w14:paraId="3A8425F8" w14:textId="6779953C" w:rsidR="008469B2" w:rsidRPr="00071A10" w:rsidRDefault="00C87F5A" w:rsidP="00733255">
      <w:pPr>
        <w:pStyle w:val="ListParagraph"/>
        <w:numPr>
          <w:ilvl w:val="0"/>
          <w:numId w:val="5"/>
        </w:numPr>
        <w:ind w:left="1134" w:right="1208" w:firstLine="0"/>
        <w:contextualSpacing/>
        <w:jc w:val="both"/>
        <w:rPr>
          <w:lang w:val="en-GB"/>
        </w:rPr>
      </w:pPr>
      <w:r w:rsidRPr="00071A10">
        <w:rPr>
          <w:lang w:val="en-GB"/>
        </w:rPr>
        <w:t xml:space="preserve">UNDP </w:t>
      </w:r>
      <w:r w:rsidR="008469B2" w:rsidRPr="00071A10">
        <w:rPr>
          <w:lang w:val="en-GB"/>
        </w:rPr>
        <w:t xml:space="preserve">will contribute to three interrelated </w:t>
      </w:r>
      <w:r w:rsidR="004953FF" w:rsidRPr="00071A10">
        <w:rPr>
          <w:lang w:val="en-GB"/>
        </w:rPr>
        <w:t>U</w:t>
      </w:r>
      <w:r w:rsidR="00C3614A" w:rsidRPr="00071A10">
        <w:rPr>
          <w:lang w:val="en-GB"/>
        </w:rPr>
        <w:t>nited Nations</w:t>
      </w:r>
      <w:r w:rsidR="004953FF" w:rsidRPr="00071A10">
        <w:rPr>
          <w:lang w:val="en-GB"/>
        </w:rPr>
        <w:t xml:space="preserve"> </w:t>
      </w:r>
      <w:r w:rsidR="008469B2" w:rsidRPr="00071A10">
        <w:rPr>
          <w:lang w:val="en-GB"/>
        </w:rPr>
        <w:t>outcomes</w:t>
      </w:r>
      <w:r w:rsidR="00F2263D" w:rsidRPr="00071A10">
        <w:rPr>
          <w:lang w:val="en-GB"/>
        </w:rPr>
        <w:t>, namely:</w:t>
      </w:r>
      <w:r w:rsidR="008469B2" w:rsidRPr="00071A10">
        <w:rPr>
          <w:lang w:val="en-GB"/>
        </w:rPr>
        <w:t xml:space="preserve"> </w:t>
      </w:r>
      <w:r w:rsidR="00AB19FB" w:rsidRPr="00071A10">
        <w:rPr>
          <w:lang w:val="en-GB"/>
        </w:rPr>
        <w:t>climate change, disaster resilience and environmental protection</w:t>
      </w:r>
      <w:r w:rsidR="008469B2" w:rsidRPr="00071A10">
        <w:rPr>
          <w:lang w:val="en-GB"/>
        </w:rPr>
        <w:t xml:space="preserve">; </w:t>
      </w:r>
      <w:r w:rsidR="00AB19FB" w:rsidRPr="00071A10">
        <w:rPr>
          <w:lang w:val="en-GB"/>
        </w:rPr>
        <w:t>sustainable and inclusive economic development; and</w:t>
      </w:r>
      <w:r w:rsidR="00C505D3" w:rsidRPr="00071A10">
        <w:rPr>
          <w:lang w:val="en-GB"/>
        </w:rPr>
        <w:t xml:space="preserve"> </w:t>
      </w:r>
      <w:r w:rsidR="00864176" w:rsidRPr="00071A10">
        <w:rPr>
          <w:lang w:val="en-GB"/>
        </w:rPr>
        <w:t>effective</w:t>
      </w:r>
      <w:r w:rsidR="00394C0E" w:rsidRPr="00071A10">
        <w:rPr>
          <w:lang w:val="en-GB"/>
        </w:rPr>
        <w:t xml:space="preserve"> </w:t>
      </w:r>
      <w:r w:rsidR="00AB089C" w:rsidRPr="00071A10">
        <w:rPr>
          <w:lang w:val="en-GB"/>
        </w:rPr>
        <w:t xml:space="preserve">governance </w:t>
      </w:r>
      <w:r w:rsidR="00AC4B9C" w:rsidRPr="00071A10">
        <w:rPr>
          <w:lang w:val="en-GB"/>
        </w:rPr>
        <w:t>for service delivery</w:t>
      </w:r>
      <w:r w:rsidR="008469B2" w:rsidRPr="00071A10">
        <w:rPr>
          <w:lang w:val="en-GB"/>
        </w:rPr>
        <w:t>.</w:t>
      </w:r>
    </w:p>
    <w:p w14:paraId="7AB15D8D" w14:textId="77777777" w:rsidR="00AC4B9C" w:rsidRPr="00071A10" w:rsidRDefault="00AC4B9C" w:rsidP="0077755C">
      <w:pPr>
        <w:pStyle w:val="ListParagraph"/>
        <w:ind w:left="1134" w:right="1208"/>
        <w:contextualSpacing/>
        <w:jc w:val="both"/>
        <w:rPr>
          <w:sz w:val="12"/>
          <w:szCs w:val="12"/>
          <w:lang w:val="en-GB"/>
        </w:rPr>
      </w:pPr>
    </w:p>
    <w:p w14:paraId="015EEEDA" w14:textId="6CC186B7" w:rsidR="00F142E5" w:rsidRPr="00071A10" w:rsidRDefault="00F142E5" w:rsidP="0077755C">
      <w:pPr>
        <w:pStyle w:val="ListParagraph"/>
        <w:ind w:left="1134" w:right="1208"/>
        <w:contextualSpacing/>
        <w:jc w:val="both"/>
        <w:rPr>
          <w:b/>
          <w:i/>
          <w:lang w:val="en-GB"/>
        </w:rPr>
      </w:pPr>
      <w:r w:rsidRPr="00071A10">
        <w:rPr>
          <w:b/>
          <w:i/>
          <w:lang w:val="en-GB"/>
        </w:rPr>
        <w:t>Outcome 1</w:t>
      </w:r>
      <w:r w:rsidR="006F2664">
        <w:rPr>
          <w:b/>
          <w:i/>
          <w:lang w:val="en-GB"/>
        </w:rPr>
        <w:t>.</w:t>
      </w:r>
      <w:r w:rsidRPr="00071A10">
        <w:rPr>
          <w:b/>
          <w:i/>
          <w:lang w:val="en-GB"/>
        </w:rPr>
        <w:t xml:space="preserve"> Climate </w:t>
      </w:r>
      <w:r w:rsidR="00C73E44" w:rsidRPr="00071A10">
        <w:rPr>
          <w:b/>
          <w:i/>
          <w:lang w:val="en-GB"/>
        </w:rPr>
        <w:t xml:space="preserve">change, disaster resilience and environmental </w:t>
      </w:r>
      <w:r w:rsidRPr="00071A10">
        <w:rPr>
          <w:b/>
          <w:i/>
          <w:lang w:val="en-GB"/>
        </w:rPr>
        <w:t>protection</w:t>
      </w:r>
    </w:p>
    <w:p w14:paraId="31FDC1CA" w14:textId="77777777" w:rsidR="00F142E5" w:rsidRPr="00071A10" w:rsidRDefault="00F142E5" w:rsidP="0077755C">
      <w:pPr>
        <w:pStyle w:val="ListParagraph"/>
        <w:ind w:left="1134" w:right="1208"/>
        <w:contextualSpacing/>
        <w:jc w:val="both"/>
        <w:rPr>
          <w:sz w:val="12"/>
          <w:szCs w:val="12"/>
          <w:lang w:val="en-GB"/>
        </w:rPr>
      </w:pPr>
    </w:p>
    <w:p w14:paraId="6F003CBF" w14:textId="76B737CC" w:rsidR="005E5EB9" w:rsidRPr="00071A10" w:rsidRDefault="004A1601" w:rsidP="00440E4C">
      <w:pPr>
        <w:pStyle w:val="ListParagraph"/>
        <w:numPr>
          <w:ilvl w:val="0"/>
          <w:numId w:val="5"/>
        </w:numPr>
        <w:ind w:left="1134" w:right="1208" w:firstLine="0"/>
        <w:contextualSpacing/>
        <w:jc w:val="both"/>
        <w:rPr>
          <w:lang w:val="en-GB"/>
        </w:rPr>
      </w:pPr>
      <w:r w:rsidRPr="00071A10">
        <w:rPr>
          <w:lang w:val="en-GB"/>
        </w:rPr>
        <w:t>R</w:t>
      </w:r>
      <w:r w:rsidR="00123CD6" w:rsidRPr="00071A10">
        <w:rPr>
          <w:lang w:val="en-GB"/>
        </w:rPr>
        <w:t xml:space="preserve">egional </w:t>
      </w:r>
      <w:r w:rsidRPr="00071A10">
        <w:rPr>
          <w:lang w:val="en-GB"/>
        </w:rPr>
        <w:t>organizations</w:t>
      </w:r>
      <w:r w:rsidR="00123CD6" w:rsidRPr="00071A10">
        <w:rPr>
          <w:lang w:val="en-GB"/>
        </w:rPr>
        <w:t xml:space="preserve">, governments, </w:t>
      </w:r>
      <w:r w:rsidR="00C3614A" w:rsidRPr="00071A10">
        <w:rPr>
          <w:lang w:val="en-GB"/>
        </w:rPr>
        <w:t xml:space="preserve">the </w:t>
      </w:r>
      <w:r w:rsidR="00123CD6" w:rsidRPr="00071A10">
        <w:rPr>
          <w:lang w:val="en-GB"/>
        </w:rPr>
        <w:t>private sector</w:t>
      </w:r>
      <w:r w:rsidR="00C3614A" w:rsidRPr="00071A10">
        <w:rPr>
          <w:lang w:val="en-GB"/>
        </w:rPr>
        <w:t xml:space="preserve"> and </w:t>
      </w:r>
      <w:r w:rsidR="00123CD6" w:rsidRPr="00071A10">
        <w:rPr>
          <w:lang w:val="en-GB"/>
        </w:rPr>
        <w:t>civil society</w:t>
      </w:r>
      <w:r w:rsidR="007C20FC" w:rsidRPr="00071A10">
        <w:rPr>
          <w:lang w:val="en-GB"/>
        </w:rPr>
        <w:t xml:space="preserve"> will be key partners</w:t>
      </w:r>
      <w:r w:rsidR="006F2664">
        <w:rPr>
          <w:lang w:val="en-GB"/>
        </w:rPr>
        <w:t>,</w:t>
      </w:r>
      <w:r w:rsidR="007C20FC" w:rsidRPr="00071A10">
        <w:rPr>
          <w:lang w:val="en-GB"/>
        </w:rPr>
        <w:t xml:space="preserve"> </w:t>
      </w:r>
      <w:r w:rsidR="00AC4B9C" w:rsidRPr="00071A10">
        <w:rPr>
          <w:lang w:val="en-GB"/>
        </w:rPr>
        <w:t>strengthen</w:t>
      </w:r>
      <w:r w:rsidR="006F2664">
        <w:rPr>
          <w:lang w:val="en-GB"/>
        </w:rPr>
        <w:t>ing</w:t>
      </w:r>
      <w:r w:rsidR="00AC4B9C" w:rsidRPr="00071A10">
        <w:rPr>
          <w:lang w:val="en-GB"/>
        </w:rPr>
        <w:t xml:space="preserve"> integrated climate change and disaster risk management to promote </w:t>
      </w:r>
      <w:r w:rsidR="00A300B9" w:rsidRPr="00071A10">
        <w:rPr>
          <w:lang w:val="en-GB"/>
        </w:rPr>
        <w:t>resilient</w:t>
      </w:r>
      <w:r w:rsidR="00C3614A" w:rsidRPr="00071A10">
        <w:rPr>
          <w:lang w:val="en-GB"/>
        </w:rPr>
        <w:t>,</w:t>
      </w:r>
      <w:r w:rsidR="00A300B9" w:rsidRPr="00071A10">
        <w:rPr>
          <w:lang w:val="en-GB"/>
        </w:rPr>
        <w:t xml:space="preserve"> </w:t>
      </w:r>
      <w:r w:rsidR="00AC4B9C" w:rsidRPr="00071A10">
        <w:rPr>
          <w:lang w:val="en-GB"/>
        </w:rPr>
        <w:t>sustainable development</w:t>
      </w:r>
      <w:r w:rsidR="00C3614A" w:rsidRPr="00071A10">
        <w:rPr>
          <w:lang w:val="en-GB"/>
        </w:rPr>
        <w:t>,</w:t>
      </w:r>
      <w:r w:rsidR="00AC4B9C" w:rsidRPr="00071A10">
        <w:rPr>
          <w:lang w:val="en-GB"/>
        </w:rPr>
        <w:t xml:space="preserve"> with </w:t>
      </w:r>
      <w:r w:rsidR="00A300B9" w:rsidRPr="00071A10">
        <w:rPr>
          <w:lang w:val="en-GB"/>
        </w:rPr>
        <w:t xml:space="preserve">an </w:t>
      </w:r>
      <w:r w:rsidR="00AC4B9C" w:rsidRPr="00071A10">
        <w:rPr>
          <w:lang w:val="en-GB"/>
        </w:rPr>
        <w:t xml:space="preserve">emphasis on </w:t>
      </w:r>
      <w:r w:rsidR="00D65861" w:rsidRPr="00071A10">
        <w:rPr>
          <w:lang w:val="en-GB"/>
        </w:rPr>
        <w:t>sustainable development goal</w:t>
      </w:r>
      <w:r w:rsidRPr="00071A10">
        <w:rPr>
          <w:lang w:val="en-GB"/>
        </w:rPr>
        <w:t>s</w:t>
      </w:r>
      <w:r w:rsidR="00AC4B9C" w:rsidRPr="00071A10">
        <w:rPr>
          <w:lang w:val="en-GB"/>
        </w:rPr>
        <w:t xml:space="preserve"> 7, 13,</w:t>
      </w:r>
      <w:r w:rsidR="00090858" w:rsidRPr="00071A10">
        <w:rPr>
          <w:lang w:val="en-GB"/>
        </w:rPr>
        <w:t xml:space="preserve"> </w:t>
      </w:r>
      <w:r w:rsidR="00AC4B9C" w:rsidRPr="00071A10">
        <w:rPr>
          <w:lang w:val="en-GB"/>
        </w:rPr>
        <w:t>14 and 15, the Sendai Framework</w:t>
      </w:r>
      <w:r w:rsidR="00C3614A" w:rsidRPr="00071A10">
        <w:rPr>
          <w:lang w:val="en-GB"/>
        </w:rPr>
        <w:t>,</w:t>
      </w:r>
      <w:r w:rsidR="00AC4B9C" w:rsidRPr="00071A10">
        <w:rPr>
          <w:lang w:val="en-GB"/>
        </w:rPr>
        <w:t xml:space="preserve"> and implementation of the Paris Agreement. UNDP support will address </w:t>
      </w:r>
      <w:r w:rsidR="006F2664">
        <w:rPr>
          <w:lang w:val="en-GB"/>
        </w:rPr>
        <w:t xml:space="preserve">the </w:t>
      </w:r>
      <w:r w:rsidR="00AC4B9C" w:rsidRPr="00071A10">
        <w:rPr>
          <w:lang w:val="en-GB"/>
        </w:rPr>
        <w:t xml:space="preserve">root causes of vulnerability and </w:t>
      </w:r>
      <w:r w:rsidR="006F2664">
        <w:rPr>
          <w:lang w:val="en-GB"/>
        </w:rPr>
        <w:t>increase</w:t>
      </w:r>
      <w:r w:rsidR="006F2664" w:rsidRPr="00071A10">
        <w:rPr>
          <w:lang w:val="en-GB"/>
        </w:rPr>
        <w:t xml:space="preserve"> </w:t>
      </w:r>
      <w:r w:rsidR="00AC4B9C" w:rsidRPr="00071A10">
        <w:rPr>
          <w:lang w:val="en-GB"/>
        </w:rPr>
        <w:t>resilience through</w:t>
      </w:r>
      <w:r w:rsidR="00A300B9" w:rsidRPr="00071A10">
        <w:rPr>
          <w:lang w:val="en-GB"/>
        </w:rPr>
        <w:t xml:space="preserve"> </w:t>
      </w:r>
      <w:r w:rsidR="00ED14E6" w:rsidRPr="00071A10">
        <w:rPr>
          <w:lang w:val="en-GB"/>
        </w:rPr>
        <w:t xml:space="preserve">policy advice and </w:t>
      </w:r>
      <w:r w:rsidR="00A300B9" w:rsidRPr="00071A10">
        <w:rPr>
          <w:lang w:val="en-GB"/>
        </w:rPr>
        <w:t>community-level action</w:t>
      </w:r>
      <w:r w:rsidR="00F5674F" w:rsidRPr="00071A10">
        <w:rPr>
          <w:lang w:val="en-GB"/>
        </w:rPr>
        <w:t xml:space="preserve"> involving </w:t>
      </w:r>
      <w:r w:rsidR="00AC4B9C" w:rsidRPr="00071A10">
        <w:rPr>
          <w:lang w:val="en-GB"/>
        </w:rPr>
        <w:t>women</w:t>
      </w:r>
      <w:r w:rsidR="006F2664">
        <w:rPr>
          <w:lang w:val="en-GB"/>
        </w:rPr>
        <w:t>,</w:t>
      </w:r>
      <w:r w:rsidR="008D02B5" w:rsidRPr="00071A10">
        <w:rPr>
          <w:lang w:val="en-GB"/>
        </w:rPr>
        <w:t xml:space="preserve"> </w:t>
      </w:r>
      <w:r w:rsidR="00AC4B9C" w:rsidRPr="00071A10">
        <w:rPr>
          <w:lang w:val="en-GB"/>
        </w:rPr>
        <w:t>youth</w:t>
      </w:r>
      <w:r w:rsidR="008D02B5" w:rsidRPr="00071A10">
        <w:rPr>
          <w:lang w:val="en-GB"/>
        </w:rPr>
        <w:t>, a</w:t>
      </w:r>
      <w:r w:rsidR="006F2664">
        <w:rPr>
          <w:lang w:val="en-GB"/>
        </w:rPr>
        <w:t>nd</w:t>
      </w:r>
      <w:r w:rsidR="008D02B5" w:rsidRPr="00071A10">
        <w:rPr>
          <w:lang w:val="en-GB"/>
        </w:rPr>
        <w:t xml:space="preserve"> other groups</w:t>
      </w:r>
      <w:r w:rsidR="00AC4B9C" w:rsidRPr="00071A10">
        <w:rPr>
          <w:lang w:val="en-GB"/>
        </w:rPr>
        <w:t xml:space="preserve">. </w:t>
      </w:r>
      <w:r w:rsidR="005A79BB" w:rsidRPr="00071A10">
        <w:rPr>
          <w:lang w:val="en-GB"/>
        </w:rPr>
        <w:t>V</w:t>
      </w:r>
      <w:r w:rsidR="00AC4B9C" w:rsidRPr="00071A10">
        <w:rPr>
          <w:lang w:val="en-GB"/>
        </w:rPr>
        <w:t xml:space="preserve">ulnerability will be addressed </w:t>
      </w:r>
      <w:r w:rsidR="00C3614A" w:rsidRPr="00071A10">
        <w:rPr>
          <w:lang w:val="en-GB"/>
        </w:rPr>
        <w:t xml:space="preserve">by </w:t>
      </w:r>
      <w:r w:rsidR="00673DA7" w:rsidRPr="00071A10">
        <w:rPr>
          <w:lang w:val="en-GB"/>
        </w:rPr>
        <w:t xml:space="preserve">scaling up </w:t>
      </w:r>
      <w:r w:rsidR="00AC4B9C" w:rsidRPr="00071A10">
        <w:rPr>
          <w:lang w:val="en-GB"/>
        </w:rPr>
        <w:t xml:space="preserve">transformational adaptation initiatives in </w:t>
      </w:r>
      <w:r w:rsidR="00A300B9" w:rsidRPr="00071A10">
        <w:rPr>
          <w:lang w:val="en-GB"/>
        </w:rPr>
        <w:t xml:space="preserve">flood </w:t>
      </w:r>
      <w:r w:rsidR="00F5674F" w:rsidRPr="00071A10">
        <w:rPr>
          <w:lang w:val="en-GB"/>
        </w:rPr>
        <w:t xml:space="preserve">control, </w:t>
      </w:r>
      <w:r w:rsidR="00AC4B9C" w:rsidRPr="00071A10">
        <w:rPr>
          <w:lang w:val="en-GB"/>
        </w:rPr>
        <w:t>coastal zone management</w:t>
      </w:r>
      <w:r w:rsidR="00DC14D4" w:rsidRPr="00071A10">
        <w:rPr>
          <w:lang w:val="en-GB"/>
        </w:rPr>
        <w:t>,</w:t>
      </w:r>
      <w:r w:rsidR="00AC4B9C" w:rsidRPr="00071A10">
        <w:rPr>
          <w:lang w:val="en-GB"/>
        </w:rPr>
        <w:t xml:space="preserve"> </w:t>
      </w:r>
      <w:r w:rsidR="0034666A" w:rsidRPr="00071A10">
        <w:rPr>
          <w:lang w:val="en-GB"/>
        </w:rPr>
        <w:t xml:space="preserve">and </w:t>
      </w:r>
      <w:r w:rsidR="00F5674F" w:rsidRPr="00071A10">
        <w:rPr>
          <w:lang w:val="en-GB"/>
        </w:rPr>
        <w:t>water and food security</w:t>
      </w:r>
      <w:r w:rsidR="0034666A" w:rsidRPr="00071A10">
        <w:rPr>
          <w:lang w:val="en-GB"/>
        </w:rPr>
        <w:t>,</w:t>
      </w:r>
      <w:r w:rsidR="00BB001C" w:rsidRPr="00071A10">
        <w:rPr>
          <w:lang w:val="en-GB"/>
        </w:rPr>
        <w:t xml:space="preserve"> including agriculture and fisheries</w:t>
      </w:r>
      <w:r w:rsidR="00F5674F" w:rsidRPr="00071A10">
        <w:rPr>
          <w:lang w:val="en-GB"/>
        </w:rPr>
        <w:t xml:space="preserve">, </w:t>
      </w:r>
      <w:r w:rsidR="00AC4B9C" w:rsidRPr="00071A10">
        <w:rPr>
          <w:lang w:val="en-GB"/>
        </w:rPr>
        <w:t xml:space="preserve">with strong community engagement </w:t>
      </w:r>
      <w:r w:rsidR="00F5674F" w:rsidRPr="00071A10">
        <w:rPr>
          <w:lang w:val="en-GB"/>
        </w:rPr>
        <w:t>and benefits for women and youth</w:t>
      </w:r>
      <w:r w:rsidR="00AC4B9C" w:rsidRPr="00071A10">
        <w:rPr>
          <w:lang w:val="en-GB"/>
        </w:rPr>
        <w:t xml:space="preserve">. </w:t>
      </w:r>
      <w:r w:rsidR="00ED14E6" w:rsidRPr="00071A10">
        <w:rPr>
          <w:lang w:val="en-GB"/>
        </w:rPr>
        <w:t>Resilience will be built through</w:t>
      </w:r>
      <w:r w:rsidR="00271B8F" w:rsidRPr="00071A10">
        <w:rPr>
          <w:lang w:val="en-GB"/>
        </w:rPr>
        <w:t xml:space="preserve"> </w:t>
      </w:r>
      <w:r w:rsidR="00ED14E6" w:rsidRPr="00071A10">
        <w:rPr>
          <w:lang w:val="en-GB"/>
        </w:rPr>
        <w:t>diversification of livelihoods and adaptive capacity for the vulnerable populations</w:t>
      </w:r>
      <w:r w:rsidR="0034666A" w:rsidRPr="00071A10">
        <w:rPr>
          <w:lang w:val="en-GB"/>
        </w:rPr>
        <w:t>,</w:t>
      </w:r>
      <w:r w:rsidR="00ED14E6" w:rsidRPr="00071A10">
        <w:rPr>
          <w:lang w:val="en-GB"/>
        </w:rPr>
        <w:t xml:space="preserve"> including those living on atolls</w:t>
      </w:r>
      <w:r w:rsidR="00DB46C9" w:rsidRPr="00071A10">
        <w:rPr>
          <w:lang w:val="en-GB"/>
        </w:rPr>
        <w:t>,</w:t>
      </w:r>
      <w:r w:rsidR="00ED14E6" w:rsidRPr="00071A10">
        <w:rPr>
          <w:lang w:val="en-GB"/>
        </w:rPr>
        <w:t xml:space="preserve"> along the coast</w:t>
      </w:r>
      <w:r w:rsidR="00DB46C9" w:rsidRPr="00071A10">
        <w:rPr>
          <w:lang w:val="en-GB"/>
        </w:rPr>
        <w:t xml:space="preserve"> and in urban areas.</w:t>
      </w:r>
      <w:r w:rsidR="00ED14E6" w:rsidRPr="00071A10">
        <w:rPr>
          <w:lang w:val="en-GB"/>
        </w:rPr>
        <w:t xml:space="preserve"> </w:t>
      </w:r>
      <w:r w:rsidR="005A79BB" w:rsidRPr="00071A10">
        <w:rPr>
          <w:lang w:val="en-GB"/>
        </w:rPr>
        <w:t xml:space="preserve">UNDP work in these initiatives will be guided by the application of </w:t>
      </w:r>
      <w:r w:rsidR="0034666A" w:rsidRPr="00071A10">
        <w:rPr>
          <w:lang w:val="en-GB"/>
        </w:rPr>
        <w:t xml:space="preserve">a </w:t>
      </w:r>
      <w:r w:rsidR="005A79BB" w:rsidRPr="00071A10">
        <w:rPr>
          <w:lang w:val="en-GB"/>
        </w:rPr>
        <w:t>human</w:t>
      </w:r>
      <w:r w:rsidR="0034666A" w:rsidRPr="00071A10">
        <w:rPr>
          <w:lang w:val="en-GB"/>
        </w:rPr>
        <w:t xml:space="preserve"> </w:t>
      </w:r>
      <w:r w:rsidR="005A79BB" w:rsidRPr="00071A10">
        <w:rPr>
          <w:lang w:val="en-GB"/>
        </w:rPr>
        <w:t>rights</w:t>
      </w:r>
      <w:r w:rsidR="0034666A" w:rsidRPr="00071A10">
        <w:rPr>
          <w:lang w:val="en-GB"/>
        </w:rPr>
        <w:t>-</w:t>
      </w:r>
      <w:r w:rsidR="005A79BB" w:rsidRPr="00071A10">
        <w:rPr>
          <w:lang w:val="en-GB"/>
        </w:rPr>
        <w:t xml:space="preserve">based approach and social and environmental norms and standards. </w:t>
      </w:r>
      <w:r w:rsidR="00090858" w:rsidRPr="00071A10">
        <w:rPr>
          <w:lang w:val="en-GB"/>
        </w:rPr>
        <w:t>UNDP</w:t>
      </w:r>
      <w:r w:rsidR="00AC4B9C" w:rsidRPr="00071A10">
        <w:rPr>
          <w:lang w:val="en-GB"/>
        </w:rPr>
        <w:t xml:space="preserve"> </w:t>
      </w:r>
      <w:r w:rsidR="00090858" w:rsidRPr="00071A10">
        <w:rPr>
          <w:lang w:val="en-GB"/>
        </w:rPr>
        <w:t xml:space="preserve">will support </w:t>
      </w:r>
      <w:r w:rsidR="00AC4B9C" w:rsidRPr="00071A10">
        <w:rPr>
          <w:lang w:val="en-GB"/>
        </w:rPr>
        <w:t>the Pacific voice in global for</w:t>
      </w:r>
      <w:r w:rsidR="0034666A" w:rsidRPr="00071A10">
        <w:rPr>
          <w:lang w:val="en-GB"/>
        </w:rPr>
        <w:t>ums</w:t>
      </w:r>
      <w:r w:rsidR="006F2664">
        <w:rPr>
          <w:lang w:val="en-GB"/>
        </w:rPr>
        <w:t>,</w:t>
      </w:r>
      <w:r w:rsidR="00AC4B9C" w:rsidRPr="00071A10">
        <w:rPr>
          <w:lang w:val="en-GB"/>
        </w:rPr>
        <w:t xml:space="preserve"> such as the </w:t>
      </w:r>
      <w:r w:rsidR="0034666A" w:rsidRPr="00071A10">
        <w:rPr>
          <w:lang w:val="en-GB"/>
        </w:rPr>
        <w:t>United Nations Framework Convention on Climate Change</w:t>
      </w:r>
      <w:r w:rsidR="006F2664">
        <w:rPr>
          <w:lang w:val="en-GB"/>
        </w:rPr>
        <w:t>,</w:t>
      </w:r>
      <w:r w:rsidR="0034666A" w:rsidRPr="00071A10" w:rsidDel="0034666A">
        <w:rPr>
          <w:lang w:val="en-GB"/>
        </w:rPr>
        <w:t xml:space="preserve"> </w:t>
      </w:r>
      <w:r w:rsidR="0034666A" w:rsidRPr="00071A10">
        <w:rPr>
          <w:lang w:val="en-GB"/>
        </w:rPr>
        <w:t xml:space="preserve">in </w:t>
      </w:r>
      <w:r w:rsidR="00090858" w:rsidRPr="00071A10">
        <w:rPr>
          <w:lang w:val="en-GB"/>
        </w:rPr>
        <w:t xml:space="preserve">forming partnerships </w:t>
      </w:r>
      <w:r w:rsidR="00DC14D4" w:rsidRPr="00071A10">
        <w:rPr>
          <w:lang w:val="en-GB"/>
        </w:rPr>
        <w:t xml:space="preserve">to </w:t>
      </w:r>
      <w:r w:rsidR="00F5674F" w:rsidRPr="00071A10">
        <w:rPr>
          <w:lang w:val="en-GB"/>
        </w:rPr>
        <w:t xml:space="preserve">address </w:t>
      </w:r>
      <w:r w:rsidR="00DC14D4" w:rsidRPr="00071A10">
        <w:rPr>
          <w:lang w:val="en-GB"/>
        </w:rPr>
        <w:t xml:space="preserve">the </w:t>
      </w:r>
      <w:r w:rsidR="00F07E62" w:rsidRPr="00071A10">
        <w:rPr>
          <w:lang w:val="en-GB"/>
        </w:rPr>
        <w:t>vulnerabilities</w:t>
      </w:r>
      <w:r w:rsidR="00F5674F" w:rsidRPr="00071A10">
        <w:rPr>
          <w:lang w:val="en-GB"/>
        </w:rPr>
        <w:t xml:space="preserve"> </w:t>
      </w:r>
      <w:r w:rsidR="0034666A" w:rsidRPr="00071A10">
        <w:rPr>
          <w:lang w:val="en-GB"/>
        </w:rPr>
        <w:t xml:space="preserve">of the subregion </w:t>
      </w:r>
      <w:r w:rsidR="00F5674F" w:rsidRPr="00071A10">
        <w:rPr>
          <w:lang w:val="en-GB"/>
        </w:rPr>
        <w:t>and</w:t>
      </w:r>
      <w:r w:rsidR="00270E2E" w:rsidRPr="00071A10">
        <w:rPr>
          <w:lang w:val="en-GB"/>
        </w:rPr>
        <w:t xml:space="preserve"> </w:t>
      </w:r>
      <w:r w:rsidR="00F5674F" w:rsidRPr="00071A10">
        <w:rPr>
          <w:lang w:val="en-GB"/>
        </w:rPr>
        <w:t>inform global policy choices</w:t>
      </w:r>
      <w:r w:rsidR="00D81C30" w:rsidRPr="00071A10">
        <w:rPr>
          <w:lang w:val="en-GB"/>
        </w:rPr>
        <w:t>.</w:t>
      </w:r>
    </w:p>
    <w:p w14:paraId="772752F9" w14:textId="77777777" w:rsidR="00AB3082" w:rsidRPr="00071A10" w:rsidRDefault="00AB3082" w:rsidP="00440E4C">
      <w:pPr>
        <w:pStyle w:val="ListParagraph"/>
        <w:ind w:left="1134" w:right="1208"/>
        <w:contextualSpacing/>
        <w:jc w:val="both"/>
        <w:rPr>
          <w:sz w:val="12"/>
          <w:szCs w:val="12"/>
          <w:lang w:val="en-GB"/>
        </w:rPr>
      </w:pPr>
    </w:p>
    <w:p w14:paraId="3AA70C20" w14:textId="139107CF" w:rsidR="006256B8" w:rsidRPr="00DE662D" w:rsidRDefault="005E5EB9" w:rsidP="006256B8">
      <w:pPr>
        <w:pStyle w:val="ListParagraph"/>
        <w:numPr>
          <w:ilvl w:val="0"/>
          <w:numId w:val="5"/>
        </w:numPr>
        <w:ind w:left="1134" w:right="1208" w:firstLine="0"/>
        <w:contextualSpacing/>
        <w:jc w:val="both"/>
        <w:rPr>
          <w:lang w:val="en-GB"/>
        </w:rPr>
      </w:pPr>
      <w:r w:rsidRPr="00071A10">
        <w:rPr>
          <w:lang w:val="en-GB"/>
        </w:rPr>
        <w:t>UN</w:t>
      </w:r>
      <w:r w:rsidR="00ED14E6" w:rsidRPr="00071A10">
        <w:rPr>
          <w:lang w:val="en-GB"/>
        </w:rPr>
        <w:t xml:space="preserve">DP will provide </w:t>
      </w:r>
      <w:r w:rsidR="00AC4B9C" w:rsidRPr="00071A10">
        <w:rPr>
          <w:lang w:val="en-GB"/>
        </w:rPr>
        <w:t xml:space="preserve">targeted policy advice and technical assistance at </w:t>
      </w:r>
      <w:r w:rsidR="007C20FC" w:rsidRPr="00071A10">
        <w:rPr>
          <w:lang w:val="en-GB"/>
        </w:rPr>
        <w:t xml:space="preserve">subnational, </w:t>
      </w:r>
      <w:r w:rsidR="00AC4B9C" w:rsidRPr="00071A10">
        <w:rPr>
          <w:lang w:val="en-GB"/>
        </w:rPr>
        <w:t xml:space="preserve">national and regional levels </w:t>
      </w:r>
      <w:r w:rsidR="00ED14E6" w:rsidRPr="00071A10">
        <w:rPr>
          <w:lang w:val="en-GB"/>
        </w:rPr>
        <w:t>for mobilizing and</w:t>
      </w:r>
      <w:r w:rsidR="00AC4B9C" w:rsidRPr="00071A10">
        <w:rPr>
          <w:lang w:val="en-GB"/>
        </w:rPr>
        <w:t xml:space="preserve"> </w:t>
      </w:r>
      <w:r w:rsidR="00ED14E6" w:rsidRPr="00071A10">
        <w:rPr>
          <w:lang w:val="en-GB"/>
        </w:rPr>
        <w:t xml:space="preserve">managing </w:t>
      </w:r>
      <w:r w:rsidR="00AC4B9C" w:rsidRPr="00071A10">
        <w:rPr>
          <w:lang w:val="en-GB"/>
        </w:rPr>
        <w:t>public and private, domestic and inter</w:t>
      </w:r>
      <w:r w:rsidR="00AC4B9C" w:rsidRPr="00DE662D">
        <w:rPr>
          <w:lang w:val="en-GB"/>
        </w:rPr>
        <w:t>national climate finance</w:t>
      </w:r>
      <w:r w:rsidR="00ED14E6" w:rsidRPr="00DE662D">
        <w:rPr>
          <w:lang w:val="en-GB"/>
        </w:rPr>
        <w:t>.</w:t>
      </w:r>
      <w:r w:rsidR="001A6CC4" w:rsidRPr="00DE662D">
        <w:rPr>
          <w:lang w:val="en-GB"/>
        </w:rPr>
        <w:t xml:space="preserve"> </w:t>
      </w:r>
      <w:r w:rsidR="00ED14E6" w:rsidRPr="00DE662D">
        <w:rPr>
          <w:lang w:val="en-GB"/>
        </w:rPr>
        <w:t>This will include</w:t>
      </w:r>
      <w:r w:rsidR="00AC4B9C" w:rsidRPr="00DE662D">
        <w:rPr>
          <w:lang w:val="en-GB"/>
        </w:rPr>
        <w:t xml:space="preserve"> exploring innovative financing </w:t>
      </w:r>
      <w:r w:rsidR="00ED14E6" w:rsidRPr="00DE662D">
        <w:rPr>
          <w:lang w:val="en-GB"/>
        </w:rPr>
        <w:t xml:space="preserve">options </w:t>
      </w:r>
      <w:r w:rsidR="00AC4B9C" w:rsidRPr="00DE662D">
        <w:rPr>
          <w:lang w:val="en-GB"/>
        </w:rPr>
        <w:t>such as micro</w:t>
      </w:r>
      <w:r w:rsidR="00ED14E6" w:rsidRPr="00DE662D">
        <w:rPr>
          <w:lang w:val="en-GB"/>
        </w:rPr>
        <w:t>-</w:t>
      </w:r>
      <w:r w:rsidR="00AC4B9C" w:rsidRPr="00DE662D">
        <w:rPr>
          <w:lang w:val="en-GB"/>
        </w:rPr>
        <w:t>insurance and crowdfunding</w:t>
      </w:r>
      <w:r w:rsidR="00ED14E6" w:rsidRPr="00DE662D">
        <w:rPr>
          <w:lang w:val="en-GB"/>
        </w:rPr>
        <w:t>, especially</w:t>
      </w:r>
      <w:r w:rsidR="00AC4B9C" w:rsidRPr="00DE662D">
        <w:rPr>
          <w:lang w:val="en-GB"/>
        </w:rPr>
        <w:t xml:space="preserve"> </w:t>
      </w:r>
      <w:r w:rsidR="00DC14D4" w:rsidRPr="00DE662D">
        <w:rPr>
          <w:lang w:val="en-GB"/>
        </w:rPr>
        <w:t xml:space="preserve">in </w:t>
      </w:r>
      <w:r w:rsidR="00AC4B9C" w:rsidRPr="00DE662D">
        <w:rPr>
          <w:lang w:val="en-GB"/>
        </w:rPr>
        <w:t>post-disaster</w:t>
      </w:r>
      <w:r w:rsidR="00DC14D4" w:rsidRPr="00DE662D">
        <w:rPr>
          <w:lang w:val="en-GB"/>
        </w:rPr>
        <w:t xml:space="preserve"> context</w:t>
      </w:r>
      <w:r w:rsidR="006F2664">
        <w:rPr>
          <w:lang w:val="en-GB"/>
        </w:rPr>
        <w:t>s</w:t>
      </w:r>
      <w:r w:rsidR="00AC4B9C" w:rsidRPr="00DE662D">
        <w:rPr>
          <w:lang w:val="en-GB"/>
        </w:rPr>
        <w:t xml:space="preserve">. UNDP will support </w:t>
      </w:r>
      <w:r w:rsidR="00DC14D4" w:rsidRPr="00DE662D">
        <w:rPr>
          <w:lang w:val="en-GB"/>
        </w:rPr>
        <w:t xml:space="preserve">the </w:t>
      </w:r>
      <w:r w:rsidR="00AC4B9C" w:rsidRPr="00DE662D">
        <w:rPr>
          <w:lang w:val="en-GB"/>
        </w:rPr>
        <w:t xml:space="preserve">implementation </w:t>
      </w:r>
      <w:r w:rsidR="00DC14D4" w:rsidRPr="00DE662D">
        <w:rPr>
          <w:lang w:val="en-GB"/>
        </w:rPr>
        <w:t xml:space="preserve">of </w:t>
      </w:r>
      <w:r w:rsidR="0034666A" w:rsidRPr="004435B3">
        <w:rPr>
          <w:lang w:val="en-GB"/>
        </w:rPr>
        <w:t>n</w:t>
      </w:r>
      <w:r w:rsidR="00AC4B9C" w:rsidRPr="00DE662D">
        <w:rPr>
          <w:lang w:val="en-GB"/>
        </w:rPr>
        <w:t xml:space="preserve">ationally </w:t>
      </w:r>
      <w:r w:rsidR="0034666A" w:rsidRPr="004435B3">
        <w:rPr>
          <w:lang w:val="en-GB"/>
        </w:rPr>
        <w:t>d</w:t>
      </w:r>
      <w:r w:rsidR="00AC4B9C" w:rsidRPr="00DE662D">
        <w:rPr>
          <w:lang w:val="en-GB"/>
        </w:rPr>
        <w:t xml:space="preserve">etermined </w:t>
      </w:r>
      <w:r w:rsidR="0034666A" w:rsidRPr="004435B3">
        <w:rPr>
          <w:lang w:val="en-GB"/>
        </w:rPr>
        <w:t>c</w:t>
      </w:r>
      <w:r w:rsidR="00AC4B9C" w:rsidRPr="00DE662D">
        <w:rPr>
          <w:lang w:val="en-GB"/>
        </w:rPr>
        <w:t>ontributions</w:t>
      </w:r>
      <w:r w:rsidR="00B04FEB" w:rsidRPr="00DE662D">
        <w:rPr>
          <w:lang w:val="en-GB"/>
        </w:rPr>
        <w:t>, including</w:t>
      </w:r>
      <w:r w:rsidR="00DE4CC1" w:rsidRPr="00DE662D">
        <w:rPr>
          <w:lang w:val="en-GB"/>
        </w:rPr>
        <w:t xml:space="preserve"> increasing</w:t>
      </w:r>
      <w:r w:rsidR="001E2FB7" w:rsidRPr="00DE662D">
        <w:rPr>
          <w:lang w:val="en-GB"/>
        </w:rPr>
        <w:t xml:space="preserve"> access to affordable, reliable and sustainable energy services</w:t>
      </w:r>
      <w:r w:rsidR="00DE4CC1" w:rsidRPr="00DE662D">
        <w:rPr>
          <w:lang w:val="en-GB"/>
        </w:rPr>
        <w:t>,</w:t>
      </w:r>
      <w:r w:rsidR="006C689E" w:rsidRPr="00DE662D">
        <w:rPr>
          <w:lang w:val="en-GB"/>
        </w:rPr>
        <w:t xml:space="preserve"> </w:t>
      </w:r>
      <w:r w:rsidR="001E2FB7" w:rsidRPr="00DE662D">
        <w:rPr>
          <w:lang w:val="en-GB"/>
        </w:rPr>
        <w:t>expanding the share of renewable energy</w:t>
      </w:r>
      <w:r w:rsidR="00DE4CC1" w:rsidRPr="00DE662D">
        <w:rPr>
          <w:lang w:val="en-GB"/>
        </w:rPr>
        <w:t>, and creating</w:t>
      </w:r>
      <w:r w:rsidR="00B04FEB" w:rsidRPr="00DE662D">
        <w:rPr>
          <w:lang w:val="en-GB"/>
        </w:rPr>
        <w:t xml:space="preserve"> incentives for public and private </w:t>
      </w:r>
      <w:r w:rsidR="00B04FEB" w:rsidRPr="00DE662D">
        <w:rPr>
          <w:lang w:val="en-GB"/>
        </w:rPr>
        <w:lastRenderedPageBreak/>
        <w:t>investment in energy efficiency.</w:t>
      </w:r>
      <w:r w:rsidR="00AC4B9C" w:rsidRPr="00DE662D">
        <w:rPr>
          <w:lang w:val="en-GB"/>
        </w:rPr>
        <w:t xml:space="preserve"> UNDP</w:t>
      </w:r>
      <w:r w:rsidR="004007AE" w:rsidRPr="00DE662D">
        <w:rPr>
          <w:lang w:val="en-GB"/>
        </w:rPr>
        <w:t xml:space="preserve"> global</w:t>
      </w:r>
      <w:r w:rsidR="00AC4B9C" w:rsidRPr="00DE662D">
        <w:rPr>
          <w:lang w:val="en-GB"/>
        </w:rPr>
        <w:t xml:space="preserve"> mitigation </w:t>
      </w:r>
      <w:r w:rsidR="006C689E" w:rsidRPr="00DE662D">
        <w:rPr>
          <w:lang w:val="en-GB"/>
        </w:rPr>
        <w:t xml:space="preserve">efforts will derive </w:t>
      </w:r>
      <w:r w:rsidR="0034666A" w:rsidRPr="004435B3">
        <w:rPr>
          <w:lang w:val="en-GB"/>
        </w:rPr>
        <w:t>the</w:t>
      </w:r>
      <w:r w:rsidR="00AC4B9C" w:rsidRPr="00DE662D">
        <w:rPr>
          <w:lang w:val="en-GB"/>
        </w:rPr>
        <w:t xml:space="preserve"> co-benefit of slowing down ocean acidification</w:t>
      </w:r>
      <w:r w:rsidR="006C689E" w:rsidRPr="00DE662D">
        <w:rPr>
          <w:lang w:val="en-GB"/>
        </w:rPr>
        <w:t xml:space="preserve"> and improving overall </w:t>
      </w:r>
      <w:r w:rsidR="00AC4B9C" w:rsidRPr="00DE662D">
        <w:rPr>
          <w:lang w:val="en-GB"/>
        </w:rPr>
        <w:t>ecosystem health in the Pacific.</w:t>
      </w:r>
    </w:p>
    <w:p w14:paraId="3588F03B" w14:textId="77777777" w:rsidR="006256B8" w:rsidRPr="00DE662D" w:rsidRDefault="006256B8" w:rsidP="00440E4C">
      <w:pPr>
        <w:ind w:right="1208"/>
        <w:contextualSpacing/>
        <w:jc w:val="both"/>
        <w:rPr>
          <w:sz w:val="12"/>
          <w:szCs w:val="12"/>
          <w:lang w:val="en-GB"/>
        </w:rPr>
      </w:pPr>
    </w:p>
    <w:p w14:paraId="6174E1A5" w14:textId="174E738C" w:rsidR="00440E4C" w:rsidRPr="00DE662D" w:rsidRDefault="00C263DF" w:rsidP="00300286">
      <w:pPr>
        <w:pStyle w:val="ListParagraph"/>
        <w:numPr>
          <w:ilvl w:val="0"/>
          <w:numId w:val="5"/>
        </w:numPr>
        <w:ind w:left="1134" w:right="1208" w:firstLine="0"/>
        <w:contextualSpacing/>
        <w:jc w:val="both"/>
        <w:rPr>
          <w:lang w:val="en-GB"/>
        </w:rPr>
      </w:pPr>
      <w:r w:rsidRPr="00DE662D">
        <w:rPr>
          <w:lang w:val="en-GB"/>
        </w:rPr>
        <w:t xml:space="preserve">UNDP is well positioned to </w:t>
      </w:r>
      <w:r w:rsidR="00821838" w:rsidRPr="00DE662D">
        <w:rPr>
          <w:lang w:val="en-GB"/>
        </w:rPr>
        <w:t xml:space="preserve">promote </w:t>
      </w:r>
      <w:r w:rsidR="00A23C72" w:rsidRPr="00DE662D">
        <w:rPr>
          <w:lang w:val="en-GB"/>
        </w:rPr>
        <w:t xml:space="preserve">the </w:t>
      </w:r>
      <w:r w:rsidRPr="00DE662D">
        <w:rPr>
          <w:lang w:val="en-GB"/>
        </w:rPr>
        <w:t>humanitarian-development nexus</w:t>
      </w:r>
      <w:r w:rsidR="00821838" w:rsidRPr="00DE662D">
        <w:rPr>
          <w:lang w:val="en-GB"/>
        </w:rPr>
        <w:t xml:space="preserve"> throughout the </w:t>
      </w:r>
      <w:r w:rsidR="00C57A62" w:rsidRPr="00DE662D">
        <w:rPr>
          <w:lang w:val="en-GB"/>
        </w:rPr>
        <w:t xml:space="preserve">development planning </w:t>
      </w:r>
      <w:r w:rsidR="00821838" w:rsidRPr="00DE662D">
        <w:rPr>
          <w:lang w:val="en-GB"/>
        </w:rPr>
        <w:t xml:space="preserve">cycle. </w:t>
      </w:r>
      <w:r w:rsidR="005314DC" w:rsidRPr="00DE662D">
        <w:rPr>
          <w:lang w:val="en-GB"/>
        </w:rPr>
        <w:t xml:space="preserve">UNDP will support a </w:t>
      </w:r>
      <w:r w:rsidR="009419E4" w:rsidRPr="00DE662D">
        <w:rPr>
          <w:lang w:val="en-GB"/>
        </w:rPr>
        <w:t xml:space="preserve">cross-cutting </w:t>
      </w:r>
      <w:r w:rsidR="005314DC" w:rsidRPr="00DE662D">
        <w:rPr>
          <w:lang w:val="en-GB"/>
        </w:rPr>
        <w:t xml:space="preserve">risk </w:t>
      </w:r>
      <w:r w:rsidR="0072333C" w:rsidRPr="00DE662D">
        <w:rPr>
          <w:lang w:val="en-GB"/>
        </w:rPr>
        <w:t>governance approach, mainstream</w:t>
      </w:r>
      <w:r w:rsidR="00A23C72" w:rsidRPr="00DE662D">
        <w:rPr>
          <w:lang w:val="en-GB"/>
        </w:rPr>
        <w:t>ing</w:t>
      </w:r>
      <w:r w:rsidR="0072333C" w:rsidRPr="00DE662D">
        <w:rPr>
          <w:lang w:val="en-GB"/>
        </w:rPr>
        <w:t xml:space="preserve"> climate and disaster risk</w:t>
      </w:r>
      <w:r w:rsidR="005314DC" w:rsidRPr="00DE662D">
        <w:rPr>
          <w:lang w:val="en-GB"/>
        </w:rPr>
        <w:t>s</w:t>
      </w:r>
      <w:r w:rsidR="0072333C" w:rsidRPr="00DE662D">
        <w:rPr>
          <w:lang w:val="en-GB"/>
        </w:rPr>
        <w:t xml:space="preserve"> </w:t>
      </w:r>
      <w:r w:rsidR="002F1C3A" w:rsidRPr="00DE662D">
        <w:rPr>
          <w:lang w:val="en-GB"/>
        </w:rPr>
        <w:t xml:space="preserve">within the overall framework of integrating </w:t>
      </w:r>
      <w:r w:rsidR="00D65861" w:rsidRPr="00DE662D">
        <w:rPr>
          <w:lang w:val="en-GB"/>
        </w:rPr>
        <w:t>sustainable development goal</w:t>
      </w:r>
      <w:r w:rsidR="002F1C3A" w:rsidRPr="00DE662D">
        <w:rPr>
          <w:lang w:val="en-GB"/>
        </w:rPr>
        <w:t xml:space="preserve">s into </w:t>
      </w:r>
      <w:r w:rsidR="007C20FC" w:rsidRPr="00DE662D">
        <w:rPr>
          <w:lang w:val="en-GB"/>
        </w:rPr>
        <w:t xml:space="preserve">subnational and </w:t>
      </w:r>
      <w:r w:rsidR="002F1C3A" w:rsidRPr="00DE662D">
        <w:rPr>
          <w:lang w:val="en-GB"/>
        </w:rPr>
        <w:t>national development strategies and planning processes</w:t>
      </w:r>
      <w:r w:rsidR="0072333C" w:rsidRPr="00DE662D">
        <w:rPr>
          <w:lang w:val="en-GB"/>
        </w:rPr>
        <w:t>. Th</w:t>
      </w:r>
      <w:r w:rsidR="006F2664">
        <w:rPr>
          <w:lang w:val="en-GB"/>
        </w:rPr>
        <w:t>ese</w:t>
      </w:r>
      <w:r w:rsidR="0072333C" w:rsidRPr="00DE662D">
        <w:rPr>
          <w:lang w:val="en-GB"/>
        </w:rPr>
        <w:t xml:space="preserve"> will include risk-informed</w:t>
      </w:r>
      <w:r w:rsidR="00A23C72" w:rsidRPr="00DE662D">
        <w:rPr>
          <w:lang w:val="en-GB"/>
        </w:rPr>
        <w:t>,</w:t>
      </w:r>
      <w:r w:rsidR="008A7697" w:rsidRPr="00DE662D">
        <w:rPr>
          <w:lang w:val="en-GB"/>
        </w:rPr>
        <w:t xml:space="preserve"> gender-sensitive</w:t>
      </w:r>
      <w:r w:rsidR="0072333C" w:rsidRPr="00DE662D">
        <w:rPr>
          <w:lang w:val="en-GB"/>
        </w:rPr>
        <w:t xml:space="preserve"> development plans and strengthened </w:t>
      </w:r>
      <w:r w:rsidR="008A7697" w:rsidRPr="00DE662D">
        <w:rPr>
          <w:lang w:val="en-GB"/>
        </w:rPr>
        <w:t xml:space="preserve">coordination </w:t>
      </w:r>
      <w:r w:rsidR="0072333C" w:rsidRPr="00DE662D">
        <w:rPr>
          <w:lang w:val="en-GB"/>
        </w:rPr>
        <w:t>for their implementation</w:t>
      </w:r>
      <w:r w:rsidR="00BF39B4" w:rsidRPr="00DE662D">
        <w:rPr>
          <w:lang w:val="en-GB"/>
        </w:rPr>
        <w:t xml:space="preserve"> that involves </w:t>
      </w:r>
      <w:r w:rsidR="008A7697" w:rsidRPr="00DE662D">
        <w:rPr>
          <w:lang w:val="en-GB"/>
        </w:rPr>
        <w:t xml:space="preserve">the communities. </w:t>
      </w:r>
      <w:r w:rsidR="002F1C3A" w:rsidRPr="00DE662D">
        <w:rPr>
          <w:lang w:val="en-GB"/>
        </w:rPr>
        <w:t xml:space="preserve">To </w:t>
      </w:r>
      <w:r w:rsidR="008A7697" w:rsidRPr="00DE662D">
        <w:rPr>
          <w:lang w:val="en-GB"/>
        </w:rPr>
        <w:t>prevent loss of life and productive assets</w:t>
      </w:r>
      <w:r w:rsidR="002F1C3A" w:rsidRPr="00DE662D">
        <w:rPr>
          <w:lang w:val="en-GB"/>
        </w:rPr>
        <w:t xml:space="preserve">, UNDP will </w:t>
      </w:r>
      <w:r w:rsidR="008A7697" w:rsidRPr="00DE662D">
        <w:rPr>
          <w:lang w:val="en-GB"/>
        </w:rPr>
        <w:t xml:space="preserve">strengthen </w:t>
      </w:r>
      <w:r w:rsidR="005532D2" w:rsidRPr="00DE662D">
        <w:rPr>
          <w:lang w:val="en-GB"/>
        </w:rPr>
        <w:t xml:space="preserve">disaster </w:t>
      </w:r>
      <w:r w:rsidR="00CF4486" w:rsidRPr="00DE662D">
        <w:rPr>
          <w:lang w:val="en-GB"/>
        </w:rPr>
        <w:t xml:space="preserve">preparedness </w:t>
      </w:r>
      <w:r w:rsidR="006256B8" w:rsidRPr="00DE662D">
        <w:rPr>
          <w:lang w:val="en-GB"/>
        </w:rPr>
        <w:t>and promote</w:t>
      </w:r>
      <w:r w:rsidR="008A7697" w:rsidRPr="00DE662D">
        <w:rPr>
          <w:lang w:val="en-GB"/>
        </w:rPr>
        <w:t xml:space="preserve"> r</w:t>
      </w:r>
      <w:r w:rsidR="002F1C3A" w:rsidRPr="00DE662D">
        <w:rPr>
          <w:lang w:val="en-GB"/>
        </w:rPr>
        <w:t xml:space="preserve">egional collaboration in </w:t>
      </w:r>
      <w:r w:rsidR="0072333C" w:rsidRPr="00DE662D">
        <w:rPr>
          <w:lang w:val="en-GB"/>
        </w:rPr>
        <w:t>climate monitoring</w:t>
      </w:r>
      <w:r w:rsidR="00025909" w:rsidRPr="00DE662D">
        <w:rPr>
          <w:lang w:val="en-GB"/>
        </w:rPr>
        <w:t>,</w:t>
      </w:r>
      <w:r w:rsidR="0072333C" w:rsidRPr="00DE662D">
        <w:rPr>
          <w:lang w:val="en-GB"/>
        </w:rPr>
        <w:t xml:space="preserve"> </w:t>
      </w:r>
      <w:r w:rsidR="002F1C3A" w:rsidRPr="00DE662D">
        <w:rPr>
          <w:lang w:val="en-GB"/>
        </w:rPr>
        <w:t>early warning systems</w:t>
      </w:r>
      <w:r w:rsidR="00025909" w:rsidRPr="00DE662D">
        <w:rPr>
          <w:lang w:val="en-GB"/>
        </w:rPr>
        <w:t xml:space="preserve"> and use of geospatial technology</w:t>
      </w:r>
      <w:r w:rsidR="008A7697" w:rsidRPr="00DE662D">
        <w:rPr>
          <w:lang w:val="en-GB"/>
        </w:rPr>
        <w:t xml:space="preserve">. </w:t>
      </w:r>
      <w:r w:rsidR="00025909" w:rsidRPr="00DE662D">
        <w:rPr>
          <w:lang w:val="en-GB"/>
        </w:rPr>
        <w:t xml:space="preserve">In a disaster context, </w:t>
      </w:r>
      <w:r w:rsidR="0072333C" w:rsidRPr="00DE662D">
        <w:rPr>
          <w:lang w:val="en-GB"/>
        </w:rPr>
        <w:t xml:space="preserve">UNDP will continue to </w:t>
      </w:r>
      <w:r w:rsidR="00025909" w:rsidRPr="00DE662D">
        <w:rPr>
          <w:lang w:val="en-GB"/>
        </w:rPr>
        <w:t>provide</w:t>
      </w:r>
      <w:r w:rsidR="0072333C" w:rsidRPr="00DE662D">
        <w:rPr>
          <w:lang w:val="en-GB"/>
        </w:rPr>
        <w:t xml:space="preserve"> </w:t>
      </w:r>
      <w:r w:rsidR="00626ECF" w:rsidRPr="00DE662D">
        <w:rPr>
          <w:lang w:val="en-GB"/>
        </w:rPr>
        <w:t>community infrastructure</w:t>
      </w:r>
      <w:r w:rsidR="006F2664">
        <w:rPr>
          <w:lang w:val="en-GB"/>
        </w:rPr>
        <w:t>,</w:t>
      </w:r>
      <w:r w:rsidR="002A0202" w:rsidRPr="00DE662D">
        <w:rPr>
          <w:lang w:val="en-GB"/>
        </w:rPr>
        <w:t xml:space="preserve"> essential public services</w:t>
      </w:r>
      <w:r w:rsidR="00626ECF" w:rsidRPr="00DE662D">
        <w:rPr>
          <w:lang w:val="en-GB"/>
        </w:rPr>
        <w:t>,</w:t>
      </w:r>
      <w:r w:rsidR="002A0202" w:rsidRPr="00DE662D">
        <w:rPr>
          <w:lang w:val="en-GB"/>
        </w:rPr>
        <w:t xml:space="preserve"> </w:t>
      </w:r>
      <w:r w:rsidR="006F2664" w:rsidRPr="00396E55">
        <w:rPr>
          <w:lang w:val="en-GB"/>
        </w:rPr>
        <w:t xml:space="preserve">gender-sensitive early recovery for the restoration of livelihoods, </w:t>
      </w:r>
      <w:r w:rsidR="002A0202" w:rsidRPr="00DE662D">
        <w:rPr>
          <w:lang w:val="en-GB"/>
        </w:rPr>
        <w:t xml:space="preserve">and </w:t>
      </w:r>
      <w:r w:rsidR="0072333C" w:rsidRPr="00DE662D">
        <w:rPr>
          <w:lang w:val="en-GB"/>
        </w:rPr>
        <w:t>disaster waste management</w:t>
      </w:r>
      <w:r w:rsidR="00626ECF" w:rsidRPr="00DE662D">
        <w:rPr>
          <w:lang w:val="en-GB"/>
        </w:rPr>
        <w:t>.</w:t>
      </w:r>
      <w:r w:rsidR="0072333C" w:rsidRPr="00DE662D">
        <w:rPr>
          <w:lang w:val="en-GB"/>
        </w:rPr>
        <w:t xml:space="preserve"> </w:t>
      </w:r>
      <w:r w:rsidR="00C25234" w:rsidRPr="00DE662D">
        <w:rPr>
          <w:lang w:val="en-GB"/>
        </w:rPr>
        <w:t>The recovery support will harness UNDP</w:t>
      </w:r>
      <w:r w:rsidR="00F85D11" w:rsidRPr="00DE662D">
        <w:rPr>
          <w:lang w:val="en-GB"/>
        </w:rPr>
        <w:t xml:space="preserve"> resources and capacities across all </w:t>
      </w:r>
      <w:r w:rsidR="00C25234" w:rsidRPr="00DE662D">
        <w:rPr>
          <w:lang w:val="en-GB"/>
        </w:rPr>
        <w:t xml:space="preserve">outcome </w:t>
      </w:r>
      <w:r w:rsidR="00F85D11" w:rsidRPr="00DE662D">
        <w:rPr>
          <w:lang w:val="en-GB"/>
        </w:rPr>
        <w:t>areas</w:t>
      </w:r>
      <w:r w:rsidR="0072637F" w:rsidRPr="00DE662D">
        <w:rPr>
          <w:lang w:val="en-GB"/>
        </w:rPr>
        <w:t xml:space="preserve"> </w:t>
      </w:r>
      <w:r w:rsidR="00C25234" w:rsidRPr="00DE662D">
        <w:rPr>
          <w:lang w:val="en-GB"/>
        </w:rPr>
        <w:t xml:space="preserve">and </w:t>
      </w:r>
      <w:r w:rsidR="00F85D11" w:rsidRPr="00DE662D">
        <w:rPr>
          <w:lang w:val="en-GB"/>
        </w:rPr>
        <w:t xml:space="preserve">inform </w:t>
      </w:r>
      <w:r w:rsidR="001163C0" w:rsidRPr="00DE662D">
        <w:rPr>
          <w:lang w:val="en-GB"/>
        </w:rPr>
        <w:t xml:space="preserve">the </w:t>
      </w:r>
      <w:r w:rsidR="00F85D11" w:rsidRPr="00DE662D">
        <w:rPr>
          <w:lang w:val="en-GB"/>
        </w:rPr>
        <w:t>design of development interventions.</w:t>
      </w:r>
      <w:r w:rsidR="00CC1258" w:rsidRPr="00DE662D">
        <w:rPr>
          <w:lang w:val="en-GB"/>
        </w:rPr>
        <w:t xml:space="preserve"> </w:t>
      </w:r>
    </w:p>
    <w:p w14:paraId="5C016B74" w14:textId="77777777" w:rsidR="00440E4C" w:rsidRPr="00DE662D" w:rsidRDefault="00440E4C" w:rsidP="00890DB9">
      <w:pPr>
        <w:pStyle w:val="ListParagraph"/>
        <w:ind w:left="1134" w:right="1208"/>
        <w:contextualSpacing/>
        <w:jc w:val="both"/>
        <w:rPr>
          <w:sz w:val="12"/>
          <w:szCs w:val="12"/>
          <w:lang w:val="en-GB"/>
        </w:rPr>
      </w:pPr>
    </w:p>
    <w:p w14:paraId="3D842C4A" w14:textId="5B389908" w:rsidR="00F142E5" w:rsidRPr="00DE662D" w:rsidRDefault="0072333C" w:rsidP="00300286">
      <w:pPr>
        <w:pStyle w:val="ListParagraph"/>
        <w:numPr>
          <w:ilvl w:val="0"/>
          <w:numId w:val="5"/>
        </w:numPr>
        <w:ind w:left="1134" w:right="1208" w:firstLine="0"/>
        <w:contextualSpacing/>
        <w:jc w:val="both"/>
        <w:rPr>
          <w:lang w:val="en-GB"/>
        </w:rPr>
      </w:pPr>
      <w:r w:rsidRPr="00DE662D">
        <w:rPr>
          <w:lang w:val="en-GB"/>
        </w:rPr>
        <w:t xml:space="preserve">UNDP will </w:t>
      </w:r>
      <w:r w:rsidR="0072637F" w:rsidRPr="00DE662D">
        <w:rPr>
          <w:lang w:val="en-GB"/>
        </w:rPr>
        <w:t xml:space="preserve">contribute to poverty reduction, sustainable livelihoods and climate resilience </w:t>
      </w:r>
      <w:r w:rsidR="006F2664">
        <w:rPr>
          <w:lang w:val="en-GB"/>
        </w:rPr>
        <w:t>through</w:t>
      </w:r>
      <w:r w:rsidR="0072637F" w:rsidRPr="00DE662D">
        <w:rPr>
          <w:lang w:val="en-GB"/>
        </w:rPr>
        <w:t xml:space="preserve"> </w:t>
      </w:r>
      <w:r w:rsidR="00782AAE" w:rsidRPr="00DE662D">
        <w:rPr>
          <w:lang w:val="en-GB"/>
        </w:rPr>
        <w:t>integrat</w:t>
      </w:r>
      <w:r w:rsidR="0072637F" w:rsidRPr="00DE662D">
        <w:rPr>
          <w:lang w:val="en-GB"/>
        </w:rPr>
        <w:t xml:space="preserve">ion </w:t>
      </w:r>
      <w:r w:rsidR="00782AAE" w:rsidRPr="00DE662D">
        <w:rPr>
          <w:lang w:val="en-GB"/>
        </w:rPr>
        <w:t xml:space="preserve">of </w:t>
      </w:r>
      <w:r w:rsidR="00403403" w:rsidRPr="00DE662D">
        <w:rPr>
          <w:lang w:val="en-GB"/>
        </w:rPr>
        <w:t xml:space="preserve">the management of </w:t>
      </w:r>
      <w:r w:rsidR="00782AAE" w:rsidRPr="00DE662D">
        <w:rPr>
          <w:lang w:val="en-GB"/>
        </w:rPr>
        <w:t xml:space="preserve">land, water, forest, biodiversity and coastal resources. </w:t>
      </w:r>
      <w:r w:rsidRPr="00DE662D">
        <w:rPr>
          <w:lang w:val="en-GB"/>
        </w:rPr>
        <w:t xml:space="preserve">This will be </w:t>
      </w:r>
      <w:r w:rsidR="0072637F" w:rsidRPr="00DE662D">
        <w:rPr>
          <w:lang w:val="en-GB"/>
        </w:rPr>
        <w:t xml:space="preserve">achieved </w:t>
      </w:r>
      <w:r w:rsidR="00403403" w:rsidRPr="00DE662D">
        <w:rPr>
          <w:lang w:val="en-GB"/>
        </w:rPr>
        <w:t xml:space="preserve">through </w:t>
      </w:r>
      <w:r w:rsidR="00E66500" w:rsidRPr="00DE662D">
        <w:rPr>
          <w:lang w:val="en-GB"/>
        </w:rPr>
        <w:t xml:space="preserve">innovative </w:t>
      </w:r>
      <w:r w:rsidR="00403403" w:rsidRPr="00DE662D">
        <w:rPr>
          <w:lang w:val="en-GB"/>
        </w:rPr>
        <w:t>climate-</w:t>
      </w:r>
      <w:r w:rsidRPr="00DE662D">
        <w:rPr>
          <w:lang w:val="en-GB"/>
        </w:rPr>
        <w:t>resilient</w:t>
      </w:r>
      <w:r w:rsidR="007577F7" w:rsidRPr="00DE662D">
        <w:rPr>
          <w:lang w:val="en-GB"/>
        </w:rPr>
        <w:t>, culturally</w:t>
      </w:r>
      <w:r w:rsidR="00E66500" w:rsidRPr="00DE662D">
        <w:rPr>
          <w:lang w:val="en-GB"/>
        </w:rPr>
        <w:t xml:space="preserve"> </w:t>
      </w:r>
      <w:r w:rsidR="009358B7" w:rsidRPr="00DE662D">
        <w:rPr>
          <w:lang w:val="en-GB"/>
        </w:rPr>
        <w:t>appropriate</w:t>
      </w:r>
      <w:r w:rsidRPr="00DE662D">
        <w:rPr>
          <w:lang w:val="en-GB"/>
        </w:rPr>
        <w:t xml:space="preserve"> ridge-to-reef approaches</w:t>
      </w:r>
      <w:r w:rsidR="00403403" w:rsidRPr="00DE662D">
        <w:rPr>
          <w:lang w:val="en-GB"/>
        </w:rPr>
        <w:t>,</w:t>
      </w:r>
      <w:r w:rsidRPr="00DE662D">
        <w:rPr>
          <w:lang w:val="en-GB"/>
        </w:rPr>
        <w:t xml:space="preserve"> </w:t>
      </w:r>
      <w:r w:rsidR="00E7456E" w:rsidRPr="00DE662D">
        <w:rPr>
          <w:lang w:val="en-GB"/>
        </w:rPr>
        <w:t xml:space="preserve">such as </w:t>
      </w:r>
      <w:r w:rsidR="00D904DA" w:rsidRPr="00DE662D">
        <w:rPr>
          <w:lang w:val="en-GB"/>
        </w:rPr>
        <w:t>people-centred design</w:t>
      </w:r>
      <w:r w:rsidR="00990D3E" w:rsidRPr="00DE662D">
        <w:rPr>
          <w:lang w:val="en-GB"/>
        </w:rPr>
        <w:t xml:space="preserve"> and</w:t>
      </w:r>
      <w:r w:rsidR="00D904DA" w:rsidRPr="00DE662D">
        <w:rPr>
          <w:lang w:val="en-GB"/>
        </w:rPr>
        <w:t xml:space="preserve"> </w:t>
      </w:r>
      <w:r w:rsidR="00990D3E" w:rsidRPr="00DE662D">
        <w:rPr>
          <w:lang w:val="en-GB"/>
        </w:rPr>
        <w:t>drone</w:t>
      </w:r>
      <w:r w:rsidR="00782AAE" w:rsidRPr="00DE662D">
        <w:rPr>
          <w:lang w:val="en-GB"/>
        </w:rPr>
        <w:t xml:space="preserve"> </w:t>
      </w:r>
      <w:r w:rsidRPr="00DE662D">
        <w:rPr>
          <w:lang w:val="en-GB"/>
        </w:rPr>
        <w:t>mapping.</w:t>
      </w:r>
      <w:r w:rsidR="00AC4B9C" w:rsidRPr="00DE662D">
        <w:rPr>
          <w:lang w:val="en-GB"/>
        </w:rPr>
        <w:t xml:space="preserve"> </w:t>
      </w:r>
      <w:r w:rsidR="00870515" w:rsidRPr="00DE662D">
        <w:rPr>
          <w:lang w:val="en-GB"/>
        </w:rPr>
        <w:t xml:space="preserve">In keeping with the cross-cutting theme of promoting blue/green economies, </w:t>
      </w:r>
      <w:r w:rsidRPr="00DE662D">
        <w:rPr>
          <w:lang w:val="en-GB"/>
        </w:rPr>
        <w:t xml:space="preserve">UNDP will </w:t>
      </w:r>
      <w:r w:rsidR="00D904DA" w:rsidRPr="00DE662D">
        <w:rPr>
          <w:lang w:val="en-GB"/>
        </w:rPr>
        <w:t xml:space="preserve">help </w:t>
      </w:r>
      <w:r w:rsidRPr="00DE662D">
        <w:rPr>
          <w:lang w:val="en-GB"/>
        </w:rPr>
        <w:t xml:space="preserve">unlock the </w:t>
      </w:r>
      <w:r w:rsidR="00D904DA" w:rsidRPr="00DE662D">
        <w:rPr>
          <w:lang w:val="en-GB"/>
        </w:rPr>
        <w:t xml:space="preserve">economic and social benefits </w:t>
      </w:r>
      <w:r w:rsidRPr="00DE662D">
        <w:rPr>
          <w:lang w:val="en-GB"/>
        </w:rPr>
        <w:t xml:space="preserve">of </w:t>
      </w:r>
      <w:r w:rsidR="00D904DA" w:rsidRPr="00DE662D">
        <w:rPr>
          <w:lang w:val="en-GB"/>
        </w:rPr>
        <w:t xml:space="preserve">community-based conservation in protected areas, </w:t>
      </w:r>
      <w:r w:rsidR="00B60B90" w:rsidRPr="00DE662D">
        <w:rPr>
          <w:lang w:val="en-GB"/>
        </w:rPr>
        <w:t>promote ecotourism</w:t>
      </w:r>
      <w:r w:rsidR="006F2664">
        <w:rPr>
          <w:lang w:val="en-GB"/>
        </w:rPr>
        <w:t>,</w:t>
      </w:r>
      <w:r w:rsidR="00B60B90" w:rsidRPr="00DE662D">
        <w:rPr>
          <w:lang w:val="en-GB"/>
        </w:rPr>
        <w:t xml:space="preserve"> </w:t>
      </w:r>
      <w:r w:rsidR="00D904DA" w:rsidRPr="00DE662D">
        <w:rPr>
          <w:lang w:val="en-GB"/>
        </w:rPr>
        <w:t xml:space="preserve">and support access to finance for biodiversity and ecosystems management. </w:t>
      </w:r>
      <w:r w:rsidR="00E66500" w:rsidRPr="00DE662D">
        <w:rPr>
          <w:lang w:val="en-GB"/>
        </w:rPr>
        <w:t xml:space="preserve">It </w:t>
      </w:r>
      <w:r w:rsidR="00870515" w:rsidRPr="00DE662D">
        <w:rPr>
          <w:lang w:val="en-GB"/>
        </w:rPr>
        <w:t>will strengthen the management of coastal biodiversity by promoting sustainable fisheries and livelihoods</w:t>
      </w:r>
      <w:r w:rsidR="00A10B2E" w:rsidRPr="00DE662D">
        <w:rPr>
          <w:lang w:val="en-GB"/>
        </w:rPr>
        <w:t>,</w:t>
      </w:r>
      <w:r w:rsidR="00870515" w:rsidRPr="00DE662D">
        <w:rPr>
          <w:lang w:val="en-GB"/>
        </w:rPr>
        <w:t xml:space="preserve"> focusing on the </w:t>
      </w:r>
      <w:r w:rsidR="00A10B2E" w:rsidRPr="00DE662D">
        <w:rPr>
          <w:lang w:val="en-GB"/>
        </w:rPr>
        <w:t xml:space="preserve">economic empowerment of </w:t>
      </w:r>
      <w:r w:rsidR="00870515" w:rsidRPr="00DE662D">
        <w:rPr>
          <w:lang w:val="en-GB"/>
        </w:rPr>
        <w:t>women</w:t>
      </w:r>
      <w:r w:rsidR="00A10B2E" w:rsidRPr="00DE662D">
        <w:rPr>
          <w:lang w:val="en-GB"/>
        </w:rPr>
        <w:t xml:space="preserve"> and youth</w:t>
      </w:r>
      <w:r w:rsidR="00870515" w:rsidRPr="00DE662D">
        <w:rPr>
          <w:lang w:val="en-GB"/>
        </w:rPr>
        <w:t>.</w:t>
      </w:r>
      <w:r w:rsidR="00A10B2E" w:rsidRPr="00DE662D">
        <w:rPr>
          <w:lang w:val="en-GB"/>
        </w:rPr>
        <w:t xml:space="preserve"> UNDP will build on its past support to </w:t>
      </w:r>
      <w:r w:rsidR="00870515" w:rsidRPr="00DE662D">
        <w:rPr>
          <w:lang w:val="en-GB"/>
        </w:rPr>
        <w:t>scal</w:t>
      </w:r>
      <w:r w:rsidR="00A10B2E" w:rsidRPr="00DE662D">
        <w:rPr>
          <w:lang w:val="en-GB"/>
        </w:rPr>
        <w:t>e</w:t>
      </w:r>
      <w:r w:rsidRPr="00DE662D">
        <w:rPr>
          <w:lang w:val="en-GB"/>
        </w:rPr>
        <w:t xml:space="preserve"> up </w:t>
      </w:r>
      <w:r w:rsidR="00A10B2E" w:rsidRPr="00DE662D">
        <w:rPr>
          <w:lang w:val="en-GB"/>
        </w:rPr>
        <w:t xml:space="preserve">sustainable </w:t>
      </w:r>
      <w:r w:rsidRPr="00DE662D">
        <w:rPr>
          <w:lang w:val="en-GB"/>
        </w:rPr>
        <w:t xml:space="preserve">waste </w:t>
      </w:r>
      <w:r w:rsidR="00A10B2E" w:rsidRPr="00DE662D">
        <w:rPr>
          <w:lang w:val="en-GB"/>
        </w:rPr>
        <w:t xml:space="preserve">management initiatives, focusing on </w:t>
      </w:r>
      <w:r w:rsidRPr="00DE662D">
        <w:rPr>
          <w:lang w:val="en-GB"/>
        </w:rPr>
        <w:t>behavioral change</w:t>
      </w:r>
      <w:r w:rsidR="00A10B2E" w:rsidRPr="00DE662D">
        <w:rPr>
          <w:lang w:val="en-GB"/>
        </w:rPr>
        <w:t xml:space="preserve"> towards reducing and recycling waste, and innovative treatment options in small island contexts</w:t>
      </w:r>
      <w:r w:rsidRPr="00DE662D">
        <w:rPr>
          <w:lang w:val="en-GB"/>
        </w:rPr>
        <w:t>.</w:t>
      </w:r>
      <w:r w:rsidR="00893E18" w:rsidRPr="00DE662D">
        <w:rPr>
          <w:lang w:val="en-GB"/>
        </w:rPr>
        <w:t xml:space="preserve"> </w:t>
      </w:r>
      <w:r w:rsidR="00E66500" w:rsidRPr="00DE662D">
        <w:rPr>
          <w:lang w:val="en-GB"/>
        </w:rPr>
        <w:t xml:space="preserve">It </w:t>
      </w:r>
      <w:r w:rsidR="00FF52A9" w:rsidRPr="00DE662D">
        <w:rPr>
          <w:lang w:val="en-GB"/>
        </w:rPr>
        <w:t xml:space="preserve">will support advocacy campaigns involving communities as agents of change, </w:t>
      </w:r>
      <w:r w:rsidR="00A46907" w:rsidRPr="00DE662D">
        <w:rPr>
          <w:lang w:val="en-GB"/>
        </w:rPr>
        <w:t xml:space="preserve">help countries develop appropriate policy incentives, </w:t>
      </w:r>
      <w:r w:rsidR="004F65F9" w:rsidRPr="00DE662D">
        <w:rPr>
          <w:lang w:val="en-GB"/>
        </w:rPr>
        <w:t>and promote social entrepreneurship, especially among youth.</w:t>
      </w:r>
    </w:p>
    <w:p w14:paraId="12A3E2FC" w14:textId="77777777" w:rsidR="00440E4C" w:rsidRPr="00DE662D" w:rsidRDefault="00440E4C" w:rsidP="00440E4C">
      <w:pPr>
        <w:ind w:right="1208"/>
        <w:contextualSpacing/>
        <w:jc w:val="both"/>
        <w:rPr>
          <w:sz w:val="12"/>
          <w:szCs w:val="12"/>
          <w:lang w:val="en-GB"/>
        </w:rPr>
      </w:pPr>
    </w:p>
    <w:p w14:paraId="344797B1" w14:textId="0C7D4FCA" w:rsidR="00AC4B9C" w:rsidRPr="00DE662D" w:rsidRDefault="00815C84" w:rsidP="0077755C">
      <w:pPr>
        <w:pStyle w:val="ListParagraph"/>
        <w:ind w:left="1134" w:right="1208"/>
        <w:contextualSpacing/>
        <w:jc w:val="both"/>
        <w:rPr>
          <w:b/>
          <w:i/>
          <w:lang w:val="en-GB"/>
        </w:rPr>
      </w:pPr>
      <w:r w:rsidRPr="00DE662D">
        <w:rPr>
          <w:b/>
          <w:i/>
          <w:lang w:val="en-GB"/>
        </w:rPr>
        <w:t>Outcome 3</w:t>
      </w:r>
      <w:r w:rsidR="006F2664">
        <w:rPr>
          <w:b/>
          <w:i/>
          <w:lang w:val="en-GB"/>
        </w:rPr>
        <w:t>.</w:t>
      </w:r>
      <w:r w:rsidRPr="00DE662D">
        <w:rPr>
          <w:b/>
          <w:i/>
          <w:lang w:val="en-GB"/>
        </w:rPr>
        <w:t xml:space="preserve"> Sustainable and inclusive economic development</w:t>
      </w:r>
    </w:p>
    <w:p w14:paraId="39933958" w14:textId="77777777" w:rsidR="00815C84" w:rsidRPr="00DE662D" w:rsidRDefault="00815C84" w:rsidP="00440E4C">
      <w:pPr>
        <w:pStyle w:val="ListParagraph"/>
        <w:rPr>
          <w:sz w:val="12"/>
          <w:szCs w:val="12"/>
          <w:lang w:val="en-GB"/>
        </w:rPr>
      </w:pPr>
    </w:p>
    <w:p w14:paraId="600BA8DA" w14:textId="39547519" w:rsidR="00890DB9" w:rsidRPr="00DE662D" w:rsidRDefault="00815C84" w:rsidP="00300286">
      <w:pPr>
        <w:pStyle w:val="ListParagraph"/>
        <w:numPr>
          <w:ilvl w:val="0"/>
          <w:numId w:val="5"/>
        </w:numPr>
        <w:ind w:left="1134" w:right="1208" w:firstLine="0"/>
        <w:contextualSpacing/>
        <w:jc w:val="both"/>
        <w:rPr>
          <w:lang w:val="en-GB"/>
        </w:rPr>
      </w:pPr>
      <w:r w:rsidRPr="00DE662D">
        <w:rPr>
          <w:lang w:val="en-GB"/>
        </w:rPr>
        <w:t>UNDP will</w:t>
      </w:r>
      <w:r w:rsidR="003353A9" w:rsidRPr="00DE662D">
        <w:rPr>
          <w:lang w:val="en-GB"/>
        </w:rPr>
        <w:t xml:space="preserve"> help countries address </w:t>
      </w:r>
      <w:r w:rsidRPr="00DE662D">
        <w:rPr>
          <w:lang w:val="en-GB"/>
        </w:rPr>
        <w:t xml:space="preserve">a range of policy and institutional bottlenecks </w:t>
      </w:r>
      <w:r w:rsidR="009850AA" w:rsidRPr="00DE662D">
        <w:rPr>
          <w:lang w:val="en-GB"/>
        </w:rPr>
        <w:t xml:space="preserve">to ensure </w:t>
      </w:r>
      <w:r w:rsidRPr="00DE662D">
        <w:rPr>
          <w:lang w:val="en-GB"/>
        </w:rPr>
        <w:t>more inclusive service delivery</w:t>
      </w:r>
      <w:r w:rsidR="003353A9" w:rsidRPr="00DE662D">
        <w:rPr>
          <w:lang w:val="en-GB"/>
        </w:rPr>
        <w:t xml:space="preserve">, focusing on </w:t>
      </w:r>
      <w:r w:rsidRPr="00DE662D">
        <w:rPr>
          <w:lang w:val="en-GB"/>
        </w:rPr>
        <w:t xml:space="preserve">issues facing women, youth and </w:t>
      </w:r>
      <w:r w:rsidR="008D02B5" w:rsidRPr="00DE662D">
        <w:rPr>
          <w:lang w:val="en-GB"/>
        </w:rPr>
        <w:t>vulnerable</w:t>
      </w:r>
      <w:r w:rsidR="00E60B81" w:rsidRPr="00DE662D">
        <w:rPr>
          <w:lang w:val="en-GB"/>
        </w:rPr>
        <w:t xml:space="preserve"> groups</w:t>
      </w:r>
      <w:r w:rsidRPr="00DE662D">
        <w:rPr>
          <w:lang w:val="en-GB"/>
        </w:rPr>
        <w:t>. U</w:t>
      </w:r>
      <w:r w:rsidR="00DC14D4" w:rsidRPr="00DE662D">
        <w:rPr>
          <w:lang w:val="en-GB"/>
        </w:rPr>
        <w:t>NDP</w:t>
      </w:r>
      <w:r w:rsidR="006C4CFB" w:rsidRPr="00DE662D">
        <w:rPr>
          <w:lang w:val="en-GB"/>
        </w:rPr>
        <w:t xml:space="preserve"> will draw on its</w:t>
      </w:r>
      <w:r w:rsidR="00DC14D4" w:rsidRPr="00DE662D">
        <w:rPr>
          <w:lang w:val="en-GB"/>
        </w:rPr>
        <w:t xml:space="preserve"> comparative advantage</w:t>
      </w:r>
      <w:r w:rsidR="003A011A" w:rsidRPr="00DE662D">
        <w:rPr>
          <w:lang w:val="en-GB"/>
        </w:rPr>
        <w:t xml:space="preserve"> and</w:t>
      </w:r>
      <w:r w:rsidRPr="00DE662D">
        <w:rPr>
          <w:lang w:val="en-GB"/>
        </w:rPr>
        <w:t xml:space="preserve"> experience</w:t>
      </w:r>
      <w:r w:rsidR="003A011A" w:rsidRPr="00DE662D">
        <w:rPr>
          <w:lang w:val="en-GB"/>
        </w:rPr>
        <w:t>s</w:t>
      </w:r>
      <w:r w:rsidRPr="00DE662D">
        <w:rPr>
          <w:lang w:val="en-GB"/>
        </w:rPr>
        <w:t xml:space="preserve"> in supporting t</w:t>
      </w:r>
      <w:r w:rsidR="003A011A" w:rsidRPr="00DE662D">
        <w:rPr>
          <w:lang w:val="en-GB"/>
        </w:rPr>
        <w:t>he implementation of</w:t>
      </w:r>
      <w:r w:rsidRPr="00DE662D">
        <w:rPr>
          <w:lang w:val="en-GB"/>
        </w:rPr>
        <w:t xml:space="preserve"> </w:t>
      </w:r>
      <w:r w:rsidR="00C647EC" w:rsidRPr="00DE662D">
        <w:rPr>
          <w:lang w:val="en-GB"/>
        </w:rPr>
        <w:t xml:space="preserve">Millennium Development Goals </w:t>
      </w:r>
      <w:r w:rsidR="00122081" w:rsidRPr="00DE662D">
        <w:rPr>
          <w:lang w:val="en-GB"/>
        </w:rPr>
        <w:t>a</w:t>
      </w:r>
      <w:r w:rsidRPr="00DE662D">
        <w:rPr>
          <w:lang w:val="en-GB"/>
        </w:rPr>
        <w:t xml:space="preserve">cceleration </w:t>
      </w:r>
      <w:r w:rsidR="00122081" w:rsidRPr="00DE662D">
        <w:rPr>
          <w:lang w:val="en-GB"/>
        </w:rPr>
        <w:t>f</w:t>
      </w:r>
      <w:r w:rsidRPr="00DE662D">
        <w:rPr>
          <w:lang w:val="en-GB"/>
        </w:rPr>
        <w:t>ramework</w:t>
      </w:r>
      <w:r w:rsidR="00122081" w:rsidRPr="00DE662D">
        <w:rPr>
          <w:lang w:val="en-GB"/>
        </w:rPr>
        <w:t>s</w:t>
      </w:r>
      <w:r w:rsidR="003353A9" w:rsidRPr="00DE662D">
        <w:rPr>
          <w:lang w:val="en-GB"/>
        </w:rPr>
        <w:t xml:space="preserve"> to support </w:t>
      </w:r>
      <w:r w:rsidR="00675CDF" w:rsidRPr="00DE662D">
        <w:rPr>
          <w:lang w:val="en-GB"/>
        </w:rPr>
        <w:t xml:space="preserve">localization </w:t>
      </w:r>
      <w:r w:rsidR="003353A9" w:rsidRPr="00DE662D">
        <w:rPr>
          <w:lang w:val="en-GB"/>
        </w:rPr>
        <w:t xml:space="preserve">of </w:t>
      </w:r>
      <w:r w:rsidR="00D65861" w:rsidRPr="00DE662D">
        <w:rPr>
          <w:lang w:val="en-GB"/>
        </w:rPr>
        <w:t>sustainable development goal</w:t>
      </w:r>
      <w:r w:rsidR="003A011A" w:rsidRPr="00DE662D">
        <w:rPr>
          <w:lang w:val="en-GB"/>
        </w:rPr>
        <w:t>s</w:t>
      </w:r>
      <w:r w:rsidRPr="00DE662D">
        <w:rPr>
          <w:lang w:val="en-GB"/>
        </w:rPr>
        <w:t xml:space="preserve"> 1, 5, 8, 1</w:t>
      </w:r>
      <w:r w:rsidR="003A011A" w:rsidRPr="00DE662D">
        <w:rPr>
          <w:lang w:val="en-GB"/>
        </w:rPr>
        <w:t>0</w:t>
      </w:r>
      <w:r w:rsidRPr="00DE662D">
        <w:rPr>
          <w:lang w:val="en-GB"/>
        </w:rPr>
        <w:t xml:space="preserve"> and 17</w:t>
      </w:r>
      <w:r w:rsidR="003353A9" w:rsidRPr="00DE662D">
        <w:rPr>
          <w:lang w:val="en-GB"/>
        </w:rPr>
        <w:t xml:space="preserve">. At the </w:t>
      </w:r>
      <w:r w:rsidR="003A011A" w:rsidRPr="00DE662D">
        <w:rPr>
          <w:lang w:val="en-GB"/>
        </w:rPr>
        <w:t xml:space="preserve">country </w:t>
      </w:r>
      <w:r w:rsidR="003353A9" w:rsidRPr="00DE662D">
        <w:rPr>
          <w:lang w:val="en-GB"/>
        </w:rPr>
        <w:t xml:space="preserve">level, UNDP will </w:t>
      </w:r>
      <w:r w:rsidR="003A011A" w:rsidRPr="00DE662D">
        <w:rPr>
          <w:lang w:val="en-GB"/>
        </w:rPr>
        <w:t xml:space="preserve">target the </w:t>
      </w:r>
      <w:r w:rsidR="003353A9" w:rsidRPr="00DE662D">
        <w:rPr>
          <w:lang w:val="en-GB"/>
        </w:rPr>
        <w:t>alignment of national and sector</w:t>
      </w:r>
      <w:r w:rsidR="00E66500" w:rsidRPr="00DE662D">
        <w:rPr>
          <w:lang w:val="en-GB"/>
        </w:rPr>
        <w:t>al</w:t>
      </w:r>
      <w:r w:rsidR="003353A9" w:rsidRPr="00DE662D">
        <w:rPr>
          <w:lang w:val="en-GB"/>
        </w:rPr>
        <w:t xml:space="preserve"> plans</w:t>
      </w:r>
      <w:r w:rsidR="00122081" w:rsidRPr="00DE662D">
        <w:rPr>
          <w:lang w:val="en-GB"/>
        </w:rPr>
        <w:t xml:space="preserve"> and </w:t>
      </w:r>
      <w:r w:rsidR="003353A9" w:rsidRPr="00DE662D">
        <w:rPr>
          <w:lang w:val="en-GB"/>
        </w:rPr>
        <w:t>multi-year results-based budgets</w:t>
      </w:r>
      <w:r w:rsidR="00E66500" w:rsidRPr="00DE662D">
        <w:rPr>
          <w:lang w:val="en-GB"/>
        </w:rPr>
        <w:t>,</w:t>
      </w:r>
      <w:r w:rsidR="003353A9" w:rsidRPr="00DE662D">
        <w:rPr>
          <w:lang w:val="en-GB"/>
        </w:rPr>
        <w:t xml:space="preserve"> </w:t>
      </w:r>
      <w:r w:rsidR="00E66500" w:rsidRPr="00DE662D">
        <w:rPr>
          <w:lang w:val="en-GB"/>
        </w:rPr>
        <w:t xml:space="preserve">exploring </w:t>
      </w:r>
      <w:r w:rsidR="003353A9" w:rsidRPr="00DE662D">
        <w:rPr>
          <w:lang w:val="en-GB"/>
        </w:rPr>
        <w:t xml:space="preserve">all potential sources of development finance. </w:t>
      </w:r>
      <w:r w:rsidRPr="00DE662D">
        <w:rPr>
          <w:lang w:val="en-GB"/>
        </w:rPr>
        <w:t xml:space="preserve">UNDP will assist </w:t>
      </w:r>
      <w:r w:rsidR="003353A9" w:rsidRPr="00DE662D">
        <w:rPr>
          <w:lang w:val="en-GB"/>
        </w:rPr>
        <w:t xml:space="preserve">the </w:t>
      </w:r>
      <w:r w:rsidR="003A011A" w:rsidRPr="00DE662D">
        <w:rPr>
          <w:lang w:val="en-GB"/>
        </w:rPr>
        <w:t xml:space="preserve">countries </w:t>
      </w:r>
      <w:r w:rsidR="00122081" w:rsidRPr="00DE662D">
        <w:rPr>
          <w:lang w:val="en-GB"/>
        </w:rPr>
        <w:t xml:space="preserve">in </w:t>
      </w:r>
      <w:r w:rsidRPr="00DE662D">
        <w:rPr>
          <w:lang w:val="en-GB"/>
        </w:rPr>
        <w:t>identify</w:t>
      </w:r>
      <w:r w:rsidR="00122081" w:rsidRPr="00DE662D">
        <w:rPr>
          <w:lang w:val="en-GB"/>
        </w:rPr>
        <w:t>ing</w:t>
      </w:r>
      <w:r w:rsidRPr="00DE662D">
        <w:rPr>
          <w:lang w:val="en-GB"/>
        </w:rPr>
        <w:t xml:space="preserve"> </w:t>
      </w:r>
      <w:r w:rsidR="003A011A" w:rsidRPr="00DE662D">
        <w:rPr>
          <w:lang w:val="en-GB"/>
        </w:rPr>
        <w:t>innovative technological solutions</w:t>
      </w:r>
      <w:r w:rsidR="00DF7D23" w:rsidRPr="00DE662D">
        <w:rPr>
          <w:lang w:val="en-GB"/>
        </w:rPr>
        <w:t xml:space="preserve"> to </w:t>
      </w:r>
      <w:r w:rsidRPr="00DE662D">
        <w:rPr>
          <w:lang w:val="en-GB"/>
        </w:rPr>
        <w:t>build</w:t>
      </w:r>
      <w:r w:rsidR="00EA3AEF" w:rsidRPr="00DE662D">
        <w:rPr>
          <w:lang w:val="en-GB"/>
        </w:rPr>
        <w:t xml:space="preserve"> national data ecosystems</w:t>
      </w:r>
      <w:r w:rsidRPr="00DE662D">
        <w:rPr>
          <w:lang w:val="en-GB"/>
        </w:rPr>
        <w:t xml:space="preserve"> </w:t>
      </w:r>
      <w:r w:rsidR="00DF7D23" w:rsidRPr="00DE662D">
        <w:rPr>
          <w:lang w:val="en-GB"/>
        </w:rPr>
        <w:t xml:space="preserve">for </w:t>
      </w:r>
      <w:r w:rsidRPr="00DE662D">
        <w:rPr>
          <w:lang w:val="en-GB"/>
        </w:rPr>
        <w:t xml:space="preserve">evidence-based </w:t>
      </w:r>
      <w:r w:rsidR="00DF7D23" w:rsidRPr="00DE662D">
        <w:rPr>
          <w:lang w:val="en-GB"/>
        </w:rPr>
        <w:t xml:space="preserve">policymaking </w:t>
      </w:r>
      <w:r w:rsidRPr="00DE662D">
        <w:rPr>
          <w:lang w:val="en-GB"/>
        </w:rPr>
        <w:t xml:space="preserve">using disaggregated </w:t>
      </w:r>
      <w:r w:rsidR="00DC14D4" w:rsidRPr="00DE662D">
        <w:rPr>
          <w:lang w:val="en-GB"/>
        </w:rPr>
        <w:t>data</w:t>
      </w:r>
      <w:r w:rsidR="00EA3AEF" w:rsidRPr="00DE662D">
        <w:rPr>
          <w:lang w:val="en-GB"/>
        </w:rPr>
        <w:t>.</w:t>
      </w:r>
      <w:r w:rsidRPr="00DE662D">
        <w:rPr>
          <w:lang w:val="en-GB"/>
        </w:rPr>
        <w:t xml:space="preserve"> </w:t>
      </w:r>
      <w:r w:rsidR="00E66500" w:rsidRPr="00DE662D">
        <w:rPr>
          <w:lang w:val="en-GB"/>
        </w:rPr>
        <w:t xml:space="preserve">It </w:t>
      </w:r>
      <w:r w:rsidRPr="00DE662D">
        <w:rPr>
          <w:lang w:val="en-GB"/>
        </w:rPr>
        <w:t xml:space="preserve">will foster </w:t>
      </w:r>
      <w:r w:rsidR="00122081" w:rsidRPr="00DE662D">
        <w:rPr>
          <w:lang w:val="en-GB"/>
        </w:rPr>
        <w:t>S</w:t>
      </w:r>
      <w:r w:rsidRPr="00DE662D">
        <w:rPr>
          <w:lang w:val="en-GB"/>
        </w:rPr>
        <w:t>outh-</w:t>
      </w:r>
      <w:r w:rsidR="00122081" w:rsidRPr="00DE662D">
        <w:rPr>
          <w:lang w:val="en-GB"/>
        </w:rPr>
        <w:t>S</w:t>
      </w:r>
      <w:r w:rsidRPr="00DE662D">
        <w:rPr>
          <w:lang w:val="en-GB"/>
        </w:rPr>
        <w:t xml:space="preserve">outh </w:t>
      </w:r>
      <w:r w:rsidR="003353A9" w:rsidRPr="00DE662D">
        <w:rPr>
          <w:lang w:val="en-GB"/>
        </w:rPr>
        <w:t xml:space="preserve">and triangular </w:t>
      </w:r>
      <w:r w:rsidRPr="00DE662D">
        <w:rPr>
          <w:lang w:val="en-GB"/>
        </w:rPr>
        <w:t xml:space="preserve">cooperation and </w:t>
      </w:r>
      <w:r w:rsidR="006B4DB4" w:rsidRPr="00DE662D">
        <w:rPr>
          <w:lang w:val="en-GB"/>
        </w:rPr>
        <w:t xml:space="preserve">implementation </w:t>
      </w:r>
      <w:r w:rsidR="00DF7D23" w:rsidRPr="00DE662D">
        <w:rPr>
          <w:lang w:val="en-GB"/>
        </w:rPr>
        <w:t xml:space="preserve">of the Pacific </w:t>
      </w:r>
      <w:r w:rsidR="00122081" w:rsidRPr="00DE662D">
        <w:rPr>
          <w:lang w:val="en-GB"/>
        </w:rPr>
        <w:t>sustainable development goals r</w:t>
      </w:r>
      <w:r w:rsidR="00DF7D23" w:rsidRPr="00DE662D">
        <w:rPr>
          <w:lang w:val="en-GB"/>
        </w:rPr>
        <w:t>oadmap</w:t>
      </w:r>
      <w:r w:rsidRPr="00DE662D">
        <w:rPr>
          <w:lang w:val="en-GB"/>
        </w:rPr>
        <w:t xml:space="preserve">, the Framework for Pacific Regionalism, the SAMOA Pathway and other regional and international </w:t>
      </w:r>
      <w:r w:rsidR="00DF7D23" w:rsidRPr="00DE662D">
        <w:rPr>
          <w:lang w:val="en-GB"/>
        </w:rPr>
        <w:t xml:space="preserve">instruments </w:t>
      </w:r>
      <w:r w:rsidR="007E20CA" w:rsidRPr="00DE662D">
        <w:rPr>
          <w:lang w:val="en-GB"/>
        </w:rPr>
        <w:t>to report on progress</w:t>
      </w:r>
      <w:r w:rsidR="00D65861" w:rsidRPr="00DE662D">
        <w:rPr>
          <w:lang w:val="en-GB"/>
        </w:rPr>
        <w:t xml:space="preserve"> towards the goals</w:t>
      </w:r>
      <w:r w:rsidRPr="00DE662D">
        <w:rPr>
          <w:lang w:val="en-GB"/>
        </w:rPr>
        <w:t>.</w:t>
      </w:r>
      <w:r w:rsidR="00890DB9" w:rsidRPr="00DE662D">
        <w:rPr>
          <w:lang w:val="en-GB"/>
        </w:rPr>
        <w:t xml:space="preserve"> </w:t>
      </w:r>
    </w:p>
    <w:p w14:paraId="3A59A2C4" w14:textId="77777777" w:rsidR="00890DB9" w:rsidRPr="00DE662D" w:rsidRDefault="00890DB9" w:rsidP="00890DB9">
      <w:pPr>
        <w:pStyle w:val="ListParagraph"/>
        <w:ind w:left="1134" w:right="1208"/>
        <w:contextualSpacing/>
        <w:jc w:val="both"/>
        <w:rPr>
          <w:sz w:val="12"/>
          <w:szCs w:val="12"/>
          <w:lang w:val="en-GB"/>
        </w:rPr>
      </w:pPr>
    </w:p>
    <w:p w14:paraId="1BC5FE70" w14:textId="2BEC7CC2" w:rsidR="00890DB9" w:rsidRPr="00DE662D" w:rsidRDefault="00815C84" w:rsidP="00300286">
      <w:pPr>
        <w:pStyle w:val="ListParagraph"/>
        <w:numPr>
          <w:ilvl w:val="0"/>
          <w:numId w:val="5"/>
        </w:numPr>
        <w:ind w:left="1134" w:right="1208" w:firstLine="0"/>
        <w:contextualSpacing/>
        <w:jc w:val="both"/>
        <w:rPr>
          <w:lang w:val="en-GB"/>
        </w:rPr>
      </w:pPr>
      <w:r w:rsidRPr="00DE662D">
        <w:rPr>
          <w:lang w:val="en-GB"/>
        </w:rPr>
        <w:t xml:space="preserve">UNDP will work with </w:t>
      </w:r>
      <w:r w:rsidR="009A1B22" w:rsidRPr="00DE662D">
        <w:rPr>
          <w:lang w:val="en-GB"/>
        </w:rPr>
        <w:t>regional organizations, governments, private sector, civil society and U</w:t>
      </w:r>
      <w:r w:rsidR="00E66500" w:rsidRPr="004435B3">
        <w:rPr>
          <w:lang w:val="en-GB"/>
        </w:rPr>
        <w:t>nited Nations</w:t>
      </w:r>
      <w:r w:rsidR="009A1B22" w:rsidRPr="00DE662D">
        <w:rPr>
          <w:lang w:val="en-GB"/>
        </w:rPr>
        <w:t xml:space="preserve"> partners </w:t>
      </w:r>
      <w:r w:rsidRPr="00DE662D">
        <w:rPr>
          <w:lang w:val="en-GB"/>
        </w:rPr>
        <w:t xml:space="preserve">to strengthen institutional arrangements </w:t>
      </w:r>
      <w:r w:rsidR="0091331A" w:rsidRPr="00DE662D">
        <w:rPr>
          <w:lang w:val="en-GB"/>
        </w:rPr>
        <w:t xml:space="preserve">and </w:t>
      </w:r>
      <w:r w:rsidR="0080389B" w:rsidRPr="00DE662D">
        <w:rPr>
          <w:lang w:val="en-GB"/>
        </w:rPr>
        <w:t xml:space="preserve">change </w:t>
      </w:r>
      <w:r w:rsidR="008B6E86" w:rsidRPr="00DE662D">
        <w:rPr>
          <w:lang w:val="en-GB"/>
        </w:rPr>
        <w:t>behavio</w:t>
      </w:r>
      <w:r w:rsidR="00E66500" w:rsidRPr="004435B3">
        <w:rPr>
          <w:lang w:val="en-GB"/>
        </w:rPr>
        <w:t>u</w:t>
      </w:r>
      <w:r w:rsidR="008B6E86" w:rsidRPr="00DE662D">
        <w:rPr>
          <w:lang w:val="en-GB"/>
        </w:rPr>
        <w:t>rs</w:t>
      </w:r>
      <w:r w:rsidR="0091331A" w:rsidRPr="00DE662D">
        <w:rPr>
          <w:lang w:val="en-GB"/>
        </w:rPr>
        <w:t xml:space="preserve"> to </w:t>
      </w:r>
      <w:r w:rsidRPr="00DE662D">
        <w:rPr>
          <w:lang w:val="en-GB"/>
        </w:rPr>
        <w:t>promote equal influence and participation of women and youth in priority</w:t>
      </w:r>
      <w:r w:rsidR="009A1B22" w:rsidRPr="00DE662D">
        <w:rPr>
          <w:lang w:val="en-GB"/>
        </w:rPr>
        <w:t>-</w:t>
      </w:r>
      <w:r w:rsidRPr="00DE662D">
        <w:rPr>
          <w:lang w:val="en-GB"/>
        </w:rPr>
        <w:t xml:space="preserve">setting and implementation of activities at </w:t>
      </w:r>
      <w:r w:rsidR="0091331A" w:rsidRPr="00DE662D">
        <w:rPr>
          <w:lang w:val="en-GB"/>
        </w:rPr>
        <w:t xml:space="preserve">all </w:t>
      </w:r>
      <w:r w:rsidRPr="00DE662D">
        <w:rPr>
          <w:lang w:val="en-GB"/>
        </w:rPr>
        <w:t xml:space="preserve">levels. Countries will be encouraged to establish measures that ensure </w:t>
      </w:r>
      <w:r w:rsidR="0091331A" w:rsidRPr="00DE662D">
        <w:rPr>
          <w:lang w:val="en-GB"/>
        </w:rPr>
        <w:t xml:space="preserve">the consistent engagement of </w:t>
      </w:r>
      <w:r w:rsidRPr="00DE662D">
        <w:rPr>
          <w:lang w:val="en-GB"/>
        </w:rPr>
        <w:t>communit</w:t>
      </w:r>
      <w:r w:rsidR="0091331A" w:rsidRPr="00DE662D">
        <w:rPr>
          <w:lang w:val="en-GB"/>
        </w:rPr>
        <w:t xml:space="preserve">ies in rural </w:t>
      </w:r>
      <w:r w:rsidR="0080389B" w:rsidRPr="00DE662D">
        <w:rPr>
          <w:lang w:val="en-GB"/>
        </w:rPr>
        <w:t xml:space="preserve">areas </w:t>
      </w:r>
      <w:r w:rsidR="0091331A" w:rsidRPr="00DE662D">
        <w:rPr>
          <w:lang w:val="en-GB"/>
        </w:rPr>
        <w:t>and outer islands</w:t>
      </w:r>
      <w:r w:rsidRPr="00DE662D">
        <w:rPr>
          <w:lang w:val="en-GB"/>
        </w:rPr>
        <w:t xml:space="preserve">, faith-based groups and the private sector in the design and delivery of </w:t>
      </w:r>
      <w:r w:rsidR="0091331A" w:rsidRPr="00DE662D">
        <w:rPr>
          <w:lang w:val="en-GB"/>
        </w:rPr>
        <w:t>essential</w:t>
      </w:r>
      <w:r w:rsidRPr="00DE662D">
        <w:rPr>
          <w:lang w:val="en-GB"/>
        </w:rPr>
        <w:t xml:space="preserve"> public services. </w:t>
      </w:r>
      <w:r w:rsidR="00570DD6" w:rsidRPr="00DE662D">
        <w:rPr>
          <w:lang w:val="en-GB"/>
        </w:rPr>
        <w:t>As part of a</w:t>
      </w:r>
      <w:r w:rsidR="009A1B22" w:rsidRPr="00DE662D">
        <w:rPr>
          <w:lang w:val="en-GB"/>
        </w:rPr>
        <w:t>n</w:t>
      </w:r>
      <w:r w:rsidR="00570DD6" w:rsidRPr="00DE662D">
        <w:rPr>
          <w:lang w:val="en-GB"/>
        </w:rPr>
        <w:t xml:space="preserve"> </w:t>
      </w:r>
      <w:r w:rsidR="009A1B22" w:rsidRPr="00DE662D">
        <w:rPr>
          <w:lang w:val="en-GB"/>
        </w:rPr>
        <w:t>integrated</w:t>
      </w:r>
      <w:r w:rsidR="00E66500" w:rsidRPr="004435B3">
        <w:rPr>
          <w:lang w:val="en-GB"/>
        </w:rPr>
        <w:t>,</w:t>
      </w:r>
      <w:r w:rsidR="009A1B22" w:rsidRPr="00DE662D">
        <w:rPr>
          <w:lang w:val="en-GB"/>
        </w:rPr>
        <w:t xml:space="preserve"> </w:t>
      </w:r>
      <w:r w:rsidR="0091331A" w:rsidRPr="00DE662D">
        <w:rPr>
          <w:lang w:val="en-GB"/>
        </w:rPr>
        <w:t>risk</w:t>
      </w:r>
      <w:r w:rsidR="00570DD6" w:rsidRPr="00DE662D">
        <w:rPr>
          <w:lang w:val="en-GB"/>
        </w:rPr>
        <w:t>-informed</w:t>
      </w:r>
      <w:r w:rsidR="0091331A" w:rsidRPr="00DE662D">
        <w:rPr>
          <w:lang w:val="en-GB"/>
        </w:rPr>
        <w:t xml:space="preserve"> </w:t>
      </w:r>
      <w:r w:rsidR="00570DD6" w:rsidRPr="00DE662D">
        <w:rPr>
          <w:lang w:val="en-GB"/>
        </w:rPr>
        <w:t>development approach</w:t>
      </w:r>
      <w:r w:rsidR="0091331A" w:rsidRPr="00DE662D">
        <w:rPr>
          <w:lang w:val="en-GB"/>
        </w:rPr>
        <w:t xml:space="preserve">, </w:t>
      </w:r>
      <w:r w:rsidRPr="00DE662D">
        <w:rPr>
          <w:lang w:val="en-GB"/>
        </w:rPr>
        <w:lastRenderedPageBreak/>
        <w:t>UNDP will help countries</w:t>
      </w:r>
      <w:r w:rsidR="000B269C" w:rsidRPr="00DE662D">
        <w:rPr>
          <w:lang w:val="en-GB"/>
        </w:rPr>
        <w:t xml:space="preserve"> and communities</w:t>
      </w:r>
      <w:r w:rsidRPr="00DE662D">
        <w:rPr>
          <w:lang w:val="en-GB"/>
        </w:rPr>
        <w:t xml:space="preserve"> integrate risk assessment and adapta</w:t>
      </w:r>
      <w:r w:rsidR="007568D6" w:rsidRPr="00DE662D">
        <w:rPr>
          <w:lang w:val="en-GB"/>
        </w:rPr>
        <w:t>tion</w:t>
      </w:r>
      <w:r w:rsidRPr="00DE662D">
        <w:rPr>
          <w:lang w:val="en-GB"/>
        </w:rPr>
        <w:t xml:space="preserve"> measures into planning processes </w:t>
      </w:r>
      <w:r w:rsidR="00570DD6" w:rsidRPr="00DE662D">
        <w:rPr>
          <w:lang w:val="en-GB"/>
        </w:rPr>
        <w:t xml:space="preserve">at all levels </w:t>
      </w:r>
      <w:r w:rsidRPr="00DE662D">
        <w:rPr>
          <w:lang w:val="en-GB"/>
        </w:rPr>
        <w:t>to address vulnerabilit</w:t>
      </w:r>
      <w:r w:rsidR="00570DD6" w:rsidRPr="00DE662D">
        <w:rPr>
          <w:lang w:val="en-GB"/>
        </w:rPr>
        <w:t>ies</w:t>
      </w:r>
      <w:r w:rsidR="00675CDF" w:rsidRPr="00DE662D">
        <w:rPr>
          <w:lang w:val="en-GB"/>
        </w:rPr>
        <w:t>.</w:t>
      </w:r>
      <w:r w:rsidR="00890DB9" w:rsidRPr="00DE662D">
        <w:rPr>
          <w:lang w:val="en-GB"/>
        </w:rPr>
        <w:t xml:space="preserve"> </w:t>
      </w:r>
    </w:p>
    <w:p w14:paraId="15BEE23C" w14:textId="77777777" w:rsidR="00890DB9" w:rsidRPr="00DE662D" w:rsidRDefault="00890DB9" w:rsidP="00890DB9">
      <w:pPr>
        <w:pStyle w:val="ListParagraph"/>
        <w:rPr>
          <w:sz w:val="12"/>
          <w:szCs w:val="12"/>
          <w:lang w:val="en-GB"/>
        </w:rPr>
      </w:pPr>
    </w:p>
    <w:p w14:paraId="56F9DF94" w14:textId="156FA747" w:rsidR="00815C84" w:rsidRPr="00DE662D" w:rsidRDefault="00617EE8" w:rsidP="00300286">
      <w:pPr>
        <w:pStyle w:val="ListParagraph"/>
        <w:numPr>
          <w:ilvl w:val="0"/>
          <w:numId w:val="5"/>
        </w:numPr>
        <w:ind w:left="1134" w:right="1208" w:firstLine="0"/>
        <w:contextualSpacing/>
        <w:jc w:val="both"/>
        <w:rPr>
          <w:lang w:val="en-GB"/>
        </w:rPr>
      </w:pPr>
      <w:r w:rsidRPr="00DE662D">
        <w:rPr>
          <w:lang w:val="en-GB"/>
        </w:rPr>
        <w:t>Responding to the c</w:t>
      </w:r>
      <w:r w:rsidR="00E966EC" w:rsidRPr="00DE662D">
        <w:rPr>
          <w:lang w:val="en-GB"/>
        </w:rPr>
        <w:t xml:space="preserve">hanging face of poverty and hardship in the Pacific, </w:t>
      </w:r>
      <w:r w:rsidR="00FF6F5A" w:rsidRPr="00DE662D">
        <w:rPr>
          <w:lang w:val="en-GB"/>
        </w:rPr>
        <w:t>UNDP will promote the concept of blu</w:t>
      </w:r>
      <w:r w:rsidRPr="00DE662D">
        <w:rPr>
          <w:lang w:val="en-GB"/>
        </w:rPr>
        <w:t>e/green economies t</w:t>
      </w:r>
      <w:r w:rsidR="006F2664">
        <w:rPr>
          <w:lang w:val="en-GB"/>
        </w:rPr>
        <w:t>o</w:t>
      </w:r>
      <w:r w:rsidRPr="00DE662D">
        <w:rPr>
          <w:lang w:val="en-GB"/>
        </w:rPr>
        <w:t xml:space="preserve"> help </w:t>
      </w:r>
      <w:r w:rsidR="00FF6F5A" w:rsidRPr="00DE662D">
        <w:rPr>
          <w:lang w:val="en-GB"/>
        </w:rPr>
        <w:t>countries establish an enabling environment for private sector initiatives that create jobs for women, men and youth</w:t>
      </w:r>
      <w:r w:rsidR="00E66500" w:rsidRPr="004435B3">
        <w:rPr>
          <w:lang w:val="en-GB"/>
        </w:rPr>
        <w:t>,</w:t>
      </w:r>
      <w:r w:rsidR="00FF6F5A" w:rsidRPr="00DE662D">
        <w:rPr>
          <w:lang w:val="en-GB"/>
        </w:rPr>
        <w:t xml:space="preserve"> recognizing the vast economic benefits of marine and land ecosystems while ensuring their sustainable management. </w:t>
      </w:r>
      <w:r w:rsidR="00283C10" w:rsidRPr="00DE662D">
        <w:rPr>
          <w:lang w:val="en-GB"/>
        </w:rPr>
        <w:t xml:space="preserve">To that end, </w:t>
      </w:r>
      <w:r w:rsidR="00FF6F5A" w:rsidRPr="00DE662D">
        <w:rPr>
          <w:lang w:val="en-GB"/>
        </w:rPr>
        <w:t xml:space="preserve">UNDP will scale up successful initiatives such as organic farming, </w:t>
      </w:r>
      <w:r w:rsidR="00FB1BF5" w:rsidRPr="00DE662D">
        <w:rPr>
          <w:lang w:val="en-GB"/>
        </w:rPr>
        <w:t xml:space="preserve">fisheries, </w:t>
      </w:r>
      <w:r w:rsidR="00FF6F5A" w:rsidRPr="00DE662D">
        <w:rPr>
          <w:lang w:val="en-GB"/>
        </w:rPr>
        <w:t>ecotourism and farm-to-table business models</w:t>
      </w:r>
      <w:r w:rsidR="001565F9" w:rsidRPr="00DE662D">
        <w:rPr>
          <w:lang w:val="en-GB"/>
        </w:rPr>
        <w:t xml:space="preserve">, </w:t>
      </w:r>
      <w:r w:rsidR="00E66500" w:rsidRPr="004435B3">
        <w:rPr>
          <w:lang w:val="en-GB"/>
        </w:rPr>
        <w:t>especi</w:t>
      </w:r>
      <w:r w:rsidR="00E66500" w:rsidRPr="00DE662D">
        <w:rPr>
          <w:lang w:val="en-GB"/>
        </w:rPr>
        <w:t xml:space="preserve">ally </w:t>
      </w:r>
      <w:r w:rsidR="001565F9" w:rsidRPr="00DE662D">
        <w:rPr>
          <w:lang w:val="en-GB"/>
        </w:rPr>
        <w:t>targeting marginalized urban youth</w:t>
      </w:r>
      <w:r w:rsidR="00FF6F5A" w:rsidRPr="00DE662D">
        <w:rPr>
          <w:lang w:val="en-GB"/>
        </w:rPr>
        <w:t xml:space="preserve">. </w:t>
      </w:r>
      <w:r w:rsidR="00B57A39" w:rsidRPr="00DE662D">
        <w:rPr>
          <w:lang w:val="en-GB"/>
        </w:rPr>
        <w:t xml:space="preserve">Building on past </w:t>
      </w:r>
      <w:r w:rsidR="002D3C3C" w:rsidRPr="00DE662D">
        <w:rPr>
          <w:lang w:val="en-GB"/>
        </w:rPr>
        <w:t>support to the informal sector</w:t>
      </w:r>
      <w:r w:rsidR="00B57A39" w:rsidRPr="00DE662D">
        <w:rPr>
          <w:lang w:val="en-GB"/>
        </w:rPr>
        <w:t>, UNDP will promote opportunities for employment</w:t>
      </w:r>
      <w:r w:rsidR="00EC1C71" w:rsidRPr="00DE662D">
        <w:rPr>
          <w:lang w:val="en-GB"/>
        </w:rPr>
        <w:t>,</w:t>
      </w:r>
      <w:r w:rsidR="00B57A39" w:rsidRPr="00DE662D">
        <w:rPr>
          <w:lang w:val="en-GB"/>
        </w:rPr>
        <w:t xml:space="preserve"> incomes </w:t>
      </w:r>
      <w:r w:rsidR="00EC1C71" w:rsidRPr="00DE662D">
        <w:rPr>
          <w:lang w:val="en-GB"/>
        </w:rPr>
        <w:t xml:space="preserve">and </w:t>
      </w:r>
      <w:r w:rsidR="00D46E31" w:rsidRPr="00DE662D">
        <w:rPr>
          <w:lang w:val="en-GB"/>
        </w:rPr>
        <w:t xml:space="preserve">matching </w:t>
      </w:r>
      <w:r w:rsidR="00EC1C71" w:rsidRPr="00DE662D">
        <w:rPr>
          <w:lang w:val="en-GB"/>
        </w:rPr>
        <w:t xml:space="preserve">investment in </w:t>
      </w:r>
      <w:r w:rsidR="00B57A39" w:rsidRPr="00DE662D">
        <w:rPr>
          <w:lang w:val="en-GB"/>
        </w:rPr>
        <w:t>social enterprises that tackle community</w:t>
      </w:r>
      <w:r w:rsidR="00EC1C71" w:rsidRPr="00DE662D">
        <w:rPr>
          <w:lang w:val="en-GB"/>
        </w:rPr>
        <w:t>-based</w:t>
      </w:r>
      <w:r w:rsidR="00B57A39" w:rsidRPr="00DE662D">
        <w:rPr>
          <w:lang w:val="en-GB"/>
        </w:rPr>
        <w:t xml:space="preserve"> improvement projects such as resilient village infrastructure </w:t>
      </w:r>
      <w:r w:rsidR="00E66500" w:rsidRPr="004435B3">
        <w:rPr>
          <w:lang w:val="en-GB"/>
        </w:rPr>
        <w:t>and</w:t>
      </w:r>
      <w:r w:rsidR="00E66500" w:rsidRPr="00DE662D">
        <w:rPr>
          <w:lang w:val="en-GB"/>
        </w:rPr>
        <w:t xml:space="preserve"> </w:t>
      </w:r>
      <w:r w:rsidR="00B57A39" w:rsidRPr="00DE662D">
        <w:rPr>
          <w:lang w:val="en-GB"/>
        </w:rPr>
        <w:t xml:space="preserve">waste management. </w:t>
      </w:r>
      <w:r w:rsidR="004E49A6" w:rsidRPr="00DE662D">
        <w:rPr>
          <w:lang w:val="en-GB"/>
        </w:rPr>
        <w:t xml:space="preserve">To promote </w:t>
      </w:r>
      <w:r w:rsidR="00E966EC" w:rsidRPr="00DE662D">
        <w:rPr>
          <w:lang w:val="en-GB"/>
        </w:rPr>
        <w:t>access to finance, UNDP will scale up a range of inclusive financial services targeting low-income women and men in rural areas.</w:t>
      </w:r>
    </w:p>
    <w:p w14:paraId="4B030B0E" w14:textId="77777777" w:rsidR="00890DB9" w:rsidRPr="00DE662D" w:rsidRDefault="00890DB9" w:rsidP="00890DB9">
      <w:pPr>
        <w:pStyle w:val="ListParagraph"/>
        <w:rPr>
          <w:sz w:val="12"/>
          <w:szCs w:val="12"/>
          <w:lang w:val="en-GB"/>
        </w:rPr>
      </w:pPr>
    </w:p>
    <w:p w14:paraId="4ECBED34" w14:textId="0AAB2084" w:rsidR="00890DB9" w:rsidRPr="00DE662D" w:rsidRDefault="00890DB9" w:rsidP="00890DB9">
      <w:pPr>
        <w:ind w:left="1134" w:right="1208"/>
        <w:contextualSpacing/>
        <w:jc w:val="both"/>
        <w:rPr>
          <w:b/>
          <w:i/>
          <w:lang w:val="en-GB"/>
        </w:rPr>
      </w:pPr>
      <w:r w:rsidRPr="00DE662D">
        <w:rPr>
          <w:b/>
          <w:i/>
          <w:lang w:val="en-GB"/>
        </w:rPr>
        <w:t>Outcome 5</w:t>
      </w:r>
      <w:r w:rsidR="006F2664">
        <w:rPr>
          <w:b/>
          <w:i/>
          <w:lang w:val="en-GB"/>
        </w:rPr>
        <w:t>.</w:t>
      </w:r>
      <w:r w:rsidRPr="00DE662D">
        <w:rPr>
          <w:b/>
          <w:i/>
          <w:lang w:val="en-GB"/>
        </w:rPr>
        <w:t xml:space="preserve"> Effective governance for service delivery</w:t>
      </w:r>
    </w:p>
    <w:p w14:paraId="0057CAEC" w14:textId="77777777" w:rsidR="00890DB9" w:rsidRPr="00DE662D" w:rsidRDefault="00890DB9" w:rsidP="00890DB9">
      <w:pPr>
        <w:ind w:right="1208"/>
        <w:contextualSpacing/>
        <w:jc w:val="both"/>
        <w:rPr>
          <w:sz w:val="12"/>
          <w:szCs w:val="12"/>
          <w:lang w:val="en-GB"/>
        </w:rPr>
      </w:pPr>
      <w:bookmarkStart w:id="0" w:name="_GoBack"/>
      <w:bookmarkEnd w:id="0"/>
    </w:p>
    <w:p w14:paraId="431069D8" w14:textId="4CD7D7E7" w:rsidR="008062BA" w:rsidRPr="00DE662D" w:rsidRDefault="00890DB9" w:rsidP="00300286">
      <w:pPr>
        <w:pStyle w:val="ListParagraph"/>
        <w:numPr>
          <w:ilvl w:val="0"/>
          <w:numId w:val="5"/>
        </w:numPr>
        <w:ind w:left="1134" w:right="1208" w:firstLine="0"/>
        <w:contextualSpacing/>
        <w:jc w:val="both"/>
        <w:rPr>
          <w:lang w:val="en-GB"/>
        </w:rPr>
      </w:pPr>
      <w:r w:rsidRPr="00DE662D">
        <w:rPr>
          <w:lang w:val="en-GB"/>
        </w:rPr>
        <w:t xml:space="preserve">In </w:t>
      </w:r>
      <w:r w:rsidR="004D3D9D" w:rsidRPr="00DE662D">
        <w:rPr>
          <w:lang w:val="en-GB"/>
        </w:rPr>
        <w:t xml:space="preserve">support of </w:t>
      </w:r>
      <w:r w:rsidR="00D65861" w:rsidRPr="00DE662D">
        <w:rPr>
          <w:lang w:val="en-GB"/>
        </w:rPr>
        <w:t>sustainable development goal</w:t>
      </w:r>
      <w:r w:rsidR="004D3D9D" w:rsidRPr="00DE662D">
        <w:rPr>
          <w:lang w:val="en-GB"/>
        </w:rPr>
        <w:t xml:space="preserve"> 16, </w:t>
      </w:r>
      <w:r w:rsidR="00845F0F" w:rsidRPr="00DE662D">
        <w:rPr>
          <w:lang w:val="en-GB"/>
        </w:rPr>
        <w:t>UNDP will</w:t>
      </w:r>
      <w:r w:rsidR="00150C7A" w:rsidRPr="00DE662D">
        <w:rPr>
          <w:lang w:val="en-GB"/>
        </w:rPr>
        <w:t xml:space="preserve"> promote national efforts to sustain peace and stability, </w:t>
      </w:r>
      <w:r w:rsidR="00845F0F" w:rsidRPr="00DE662D">
        <w:rPr>
          <w:lang w:val="en-GB"/>
        </w:rPr>
        <w:t>work</w:t>
      </w:r>
      <w:r w:rsidR="004F28C6">
        <w:rPr>
          <w:lang w:val="en-GB"/>
        </w:rPr>
        <w:t>ing</w:t>
      </w:r>
      <w:r w:rsidR="00845F0F" w:rsidRPr="00DE662D">
        <w:rPr>
          <w:lang w:val="en-GB"/>
        </w:rPr>
        <w:t xml:space="preserve"> with </w:t>
      </w:r>
      <w:r w:rsidR="00697719" w:rsidRPr="00DE662D">
        <w:rPr>
          <w:lang w:val="en-GB"/>
        </w:rPr>
        <w:t xml:space="preserve">governments and parliaments </w:t>
      </w:r>
      <w:r w:rsidR="00845F0F" w:rsidRPr="00DE662D">
        <w:rPr>
          <w:lang w:val="en-GB"/>
        </w:rPr>
        <w:t xml:space="preserve">to </w:t>
      </w:r>
      <w:r w:rsidR="00815C84" w:rsidRPr="00DE662D">
        <w:rPr>
          <w:lang w:val="en-GB"/>
        </w:rPr>
        <w:t>develop</w:t>
      </w:r>
      <w:r w:rsidR="00950432" w:rsidRPr="00DE662D">
        <w:rPr>
          <w:lang w:val="en-GB"/>
        </w:rPr>
        <w:t xml:space="preserve"> innovative</w:t>
      </w:r>
      <w:r w:rsidR="00815C84" w:rsidRPr="00DE662D">
        <w:rPr>
          <w:lang w:val="en-GB"/>
        </w:rPr>
        <w:t xml:space="preserve"> </w:t>
      </w:r>
      <w:r w:rsidR="0071198E" w:rsidRPr="00DE662D">
        <w:rPr>
          <w:lang w:val="en-GB"/>
        </w:rPr>
        <w:t xml:space="preserve">mechanisms to </w:t>
      </w:r>
      <w:r w:rsidR="00815C84" w:rsidRPr="00DE662D">
        <w:rPr>
          <w:lang w:val="en-GB"/>
        </w:rPr>
        <w:t xml:space="preserve">increase </w:t>
      </w:r>
      <w:r w:rsidR="0071198E" w:rsidRPr="00DE662D">
        <w:rPr>
          <w:lang w:val="en-GB"/>
        </w:rPr>
        <w:t xml:space="preserve">their </w:t>
      </w:r>
      <w:r w:rsidR="00815C84" w:rsidRPr="00DE662D">
        <w:rPr>
          <w:lang w:val="en-GB"/>
        </w:rPr>
        <w:t>interaction and consultation</w:t>
      </w:r>
      <w:r w:rsidR="0071198E" w:rsidRPr="00DE662D">
        <w:rPr>
          <w:lang w:val="en-GB"/>
        </w:rPr>
        <w:t>s</w:t>
      </w:r>
      <w:r w:rsidR="00815C84" w:rsidRPr="00DE662D">
        <w:rPr>
          <w:lang w:val="en-GB"/>
        </w:rPr>
        <w:t xml:space="preserve"> with marginalized groups, in particular women and youth. </w:t>
      </w:r>
      <w:r w:rsidR="0071198E" w:rsidRPr="00DE662D">
        <w:rPr>
          <w:lang w:val="en-GB"/>
        </w:rPr>
        <w:t>To address the issues of geographic remoteness</w:t>
      </w:r>
      <w:r w:rsidR="00942D72" w:rsidRPr="00DE662D">
        <w:rPr>
          <w:lang w:val="en-GB"/>
        </w:rPr>
        <w:t>,</w:t>
      </w:r>
      <w:r w:rsidR="0071198E" w:rsidRPr="00DE662D">
        <w:rPr>
          <w:lang w:val="en-GB"/>
        </w:rPr>
        <w:t xml:space="preserve"> </w:t>
      </w:r>
      <w:r w:rsidR="00942D72" w:rsidRPr="00DE662D">
        <w:rPr>
          <w:lang w:val="en-GB"/>
        </w:rPr>
        <w:t>access and voice</w:t>
      </w:r>
      <w:r w:rsidR="0071198E" w:rsidRPr="00DE662D">
        <w:rPr>
          <w:lang w:val="en-GB"/>
        </w:rPr>
        <w:t xml:space="preserve">, </w:t>
      </w:r>
      <w:r w:rsidR="00815C84" w:rsidRPr="00DE662D">
        <w:rPr>
          <w:lang w:val="en-GB"/>
        </w:rPr>
        <w:t xml:space="preserve">UNDP will </w:t>
      </w:r>
      <w:r w:rsidR="0071198E" w:rsidRPr="00DE662D">
        <w:rPr>
          <w:lang w:val="en-GB"/>
        </w:rPr>
        <w:t xml:space="preserve">promote </w:t>
      </w:r>
      <w:r w:rsidR="00302008" w:rsidRPr="00DE662D">
        <w:rPr>
          <w:lang w:val="en-GB"/>
        </w:rPr>
        <w:t xml:space="preserve">interactive </w:t>
      </w:r>
      <w:r w:rsidR="00942D72" w:rsidRPr="00DE662D">
        <w:rPr>
          <w:lang w:val="en-GB"/>
        </w:rPr>
        <w:t>community</w:t>
      </w:r>
      <w:r w:rsidR="00302008" w:rsidRPr="00DE662D">
        <w:rPr>
          <w:lang w:val="en-GB"/>
        </w:rPr>
        <w:t>-to-government</w:t>
      </w:r>
      <w:r w:rsidR="00942D72" w:rsidRPr="00DE662D">
        <w:rPr>
          <w:lang w:val="en-GB"/>
        </w:rPr>
        <w:t xml:space="preserve"> solutions through </w:t>
      </w:r>
      <w:r w:rsidR="0071198E" w:rsidRPr="00DE662D">
        <w:rPr>
          <w:lang w:val="en-GB"/>
        </w:rPr>
        <w:t xml:space="preserve">digital </w:t>
      </w:r>
      <w:r w:rsidR="00942D72" w:rsidRPr="00DE662D">
        <w:rPr>
          <w:lang w:val="en-GB"/>
        </w:rPr>
        <w:t xml:space="preserve">communications </w:t>
      </w:r>
      <w:r w:rsidR="0071198E" w:rsidRPr="00DE662D">
        <w:rPr>
          <w:lang w:val="en-GB"/>
        </w:rPr>
        <w:t xml:space="preserve">between </w:t>
      </w:r>
      <w:r w:rsidR="00942D72" w:rsidRPr="00DE662D">
        <w:rPr>
          <w:lang w:val="en-GB"/>
        </w:rPr>
        <w:t xml:space="preserve">people </w:t>
      </w:r>
      <w:r w:rsidR="0071198E" w:rsidRPr="00DE662D">
        <w:rPr>
          <w:lang w:val="en-GB"/>
        </w:rPr>
        <w:t xml:space="preserve">and </w:t>
      </w:r>
      <w:r w:rsidR="00942D72" w:rsidRPr="00DE662D">
        <w:rPr>
          <w:lang w:val="en-GB"/>
        </w:rPr>
        <w:t xml:space="preserve">their </w:t>
      </w:r>
      <w:r w:rsidR="0071198E" w:rsidRPr="00DE662D">
        <w:rPr>
          <w:lang w:val="en-GB"/>
        </w:rPr>
        <w:t>elected and appointed officials</w:t>
      </w:r>
      <w:r w:rsidR="00815C84" w:rsidRPr="00DE662D">
        <w:rPr>
          <w:lang w:val="en-GB"/>
        </w:rPr>
        <w:t xml:space="preserve">. To promote </w:t>
      </w:r>
      <w:r w:rsidR="00D65861" w:rsidRPr="00DE662D">
        <w:rPr>
          <w:lang w:val="en-GB"/>
        </w:rPr>
        <w:t xml:space="preserve">goal </w:t>
      </w:r>
      <w:r w:rsidR="00815C84" w:rsidRPr="00DE662D">
        <w:rPr>
          <w:lang w:val="en-GB"/>
        </w:rPr>
        <w:t xml:space="preserve">5, UNDP will work with national institutions, </w:t>
      </w:r>
      <w:r w:rsidR="00942D72" w:rsidRPr="00DE662D">
        <w:rPr>
          <w:lang w:val="en-GB"/>
        </w:rPr>
        <w:t>regional organizations</w:t>
      </w:r>
      <w:r w:rsidR="003C65D6" w:rsidRPr="00DE662D">
        <w:rPr>
          <w:lang w:val="en-GB"/>
        </w:rPr>
        <w:t>,</w:t>
      </w:r>
      <w:r w:rsidR="00942D72" w:rsidRPr="00DE662D">
        <w:rPr>
          <w:lang w:val="en-GB"/>
        </w:rPr>
        <w:t xml:space="preserve"> </w:t>
      </w:r>
      <w:r w:rsidR="003C65D6" w:rsidRPr="00DE662D">
        <w:rPr>
          <w:lang w:val="en-GB"/>
        </w:rPr>
        <w:t xml:space="preserve">civil society and </w:t>
      </w:r>
      <w:r w:rsidR="00815C84" w:rsidRPr="00DE662D">
        <w:rPr>
          <w:lang w:val="en-GB"/>
        </w:rPr>
        <w:t>U</w:t>
      </w:r>
      <w:r w:rsidR="00E66500" w:rsidRPr="004435B3">
        <w:rPr>
          <w:lang w:val="en-GB"/>
        </w:rPr>
        <w:t>nited Nations</w:t>
      </w:r>
      <w:r w:rsidR="00815C84" w:rsidRPr="00DE662D">
        <w:rPr>
          <w:lang w:val="en-GB"/>
        </w:rPr>
        <w:t xml:space="preserve"> </w:t>
      </w:r>
      <w:r w:rsidR="00942D72" w:rsidRPr="00DE662D">
        <w:rPr>
          <w:lang w:val="en-GB"/>
        </w:rPr>
        <w:t xml:space="preserve">partners </w:t>
      </w:r>
      <w:r w:rsidR="00CF4BCB" w:rsidRPr="00DE662D">
        <w:rPr>
          <w:lang w:val="en-GB"/>
        </w:rPr>
        <w:t xml:space="preserve">to advocate for legal and policy reforms to increase the number of women candidates in national and local </w:t>
      </w:r>
      <w:r w:rsidR="00905620" w:rsidRPr="00DE662D">
        <w:rPr>
          <w:lang w:val="en-GB"/>
        </w:rPr>
        <w:t>elections</w:t>
      </w:r>
      <w:r w:rsidR="00756E0C" w:rsidRPr="00DE662D">
        <w:rPr>
          <w:lang w:val="en-GB"/>
        </w:rPr>
        <w:t xml:space="preserve">. </w:t>
      </w:r>
      <w:r w:rsidR="00CF4BCB" w:rsidRPr="00DE662D">
        <w:rPr>
          <w:lang w:val="en-GB"/>
        </w:rPr>
        <w:t>To</w:t>
      </w:r>
      <w:r w:rsidR="00815C84" w:rsidRPr="00DE662D">
        <w:rPr>
          <w:lang w:val="en-GB"/>
        </w:rPr>
        <w:t xml:space="preserve"> address cultural and social barriers to women’s political participation</w:t>
      </w:r>
      <w:r w:rsidR="00CF4BCB" w:rsidRPr="00DE662D">
        <w:rPr>
          <w:lang w:val="en-GB"/>
        </w:rPr>
        <w:t>,</w:t>
      </w:r>
      <w:r w:rsidR="00815C84" w:rsidRPr="00DE662D">
        <w:rPr>
          <w:lang w:val="en-GB"/>
        </w:rPr>
        <w:t xml:space="preserve"> UNDP will work with political parties</w:t>
      </w:r>
      <w:r w:rsidR="004D3D9D" w:rsidRPr="00DE662D">
        <w:rPr>
          <w:lang w:val="en-GB"/>
        </w:rPr>
        <w:t>, role models</w:t>
      </w:r>
      <w:r w:rsidR="00CF4BCB" w:rsidRPr="00DE662D">
        <w:rPr>
          <w:lang w:val="en-GB"/>
        </w:rPr>
        <w:t xml:space="preserve"> and</w:t>
      </w:r>
      <w:r w:rsidR="00815C84" w:rsidRPr="00DE662D">
        <w:rPr>
          <w:lang w:val="en-GB"/>
        </w:rPr>
        <w:t xml:space="preserve"> male champions </w:t>
      </w:r>
      <w:r w:rsidR="00CF4BCB" w:rsidRPr="00DE662D">
        <w:rPr>
          <w:lang w:val="en-GB"/>
        </w:rPr>
        <w:t>to encourage behavior</w:t>
      </w:r>
      <w:r w:rsidR="00E66500" w:rsidRPr="004435B3">
        <w:rPr>
          <w:lang w:val="en-GB"/>
        </w:rPr>
        <w:t>al</w:t>
      </w:r>
      <w:r w:rsidR="00CF4BCB" w:rsidRPr="00DE662D">
        <w:rPr>
          <w:lang w:val="en-GB"/>
        </w:rPr>
        <w:t xml:space="preserve"> change and community support, especially among youth, to </w:t>
      </w:r>
      <w:r w:rsidR="004D3D9D" w:rsidRPr="00DE662D">
        <w:rPr>
          <w:lang w:val="en-GB"/>
        </w:rPr>
        <w:t>realize</w:t>
      </w:r>
      <w:r w:rsidR="00CF4BCB" w:rsidRPr="00DE662D">
        <w:rPr>
          <w:lang w:val="en-GB"/>
        </w:rPr>
        <w:t xml:space="preserve"> </w:t>
      </w:r>
      <w:r w:rsidR="004D3D9D" w:rsidRPr="00DE662D">
        <w:rPr>
          <w:lang w:val="en-GB"/>
        </w:rPr>
        <w:t xml:space="preserve">the benefits of gender-inclusive </w:t>
      </w:r>
      <w:r w:rsidR="00CF4BCB" w:rsidRPr="00DE662D">
        <w:rPr>
          <w:lang w:val="en-GB"/>
        </w:rPr>
        <w:t>decision-making.</w:t>
      </w:r>
      <w:r w:rsidR="00756E0C" w:rsidRPr="00DE662D">
        <w:rPr>
          <w:lang w:val="en-GB"/>
        </w:rPr>
        <w:t xml:space="preserve"> Th</w:t>
      </w:r>
      <w:r w:rsidR="00E66500" w:rsidRPr="004435B3">
        <w:rPr>
          <w:lang w:val="en-GB"/>
        </w:rPr>
        <w:t>o</w:t>
      </w:r>
      <w:r w:rsidR="00756E0C" w:rsidRPr="00DE662D">
        <w:rPr>
          <w:lang w:val="en-GB"/>
        </w:rPr>
        <w:t>se efforts will be complemented by support for electoral awareness and civic engagement</w:t>
      </w:r>
      <w:r w:rsidR="004F28C6">
        <w:rPr>
          <w:lang w:val="en-GB"/>
        </w:rPr>
        <w:t>,</w:t>
      </w:r>
      <w:r w:rsidR="00756E0C" w:rsidRPr="00DE662D">
        <w:rPr>
          <w:lang w:val="en-GB"/>
        </w:rPr>
        <w:t xml:space="preserve"> focusing on the role of civil society.</w:t>
      </w:r>
      <w:r w:rsidRPr="00DE662D">
        <w:rPr>
          <w:lang w:val="en-GB"/>
        </w:rPr>
        <w:t xml:space="preserve"> </w:t>
      </w:r>
    </w:p>
    <w:p w14:paraId="67B96074" w14:textId="77777777" w:rsidR="00762EAA" w:rsidRPr="00DE662D" w:rsidRDefault="00762EAA" w:rsidP="00762EAA">
      <w:pPr>
        <w:pStyle w:val="ListParagraph"/>
        <w:ind w:left="1134" w:right="1208"/>
        <w:contextualSpacing/>
        <w:jc w:val="both"/>
        <w:rPr>
          <w:sz w:val="12"/>
          <w:szCs w:val="12"/>
          <w:lang w:val="en-GB"/>
        </w:rPr>
      </w:pPr>
    </w:p>
    <w:p w14:paraId="4DB63A53" w14:textId="730C9FE1" w:rsidR="00815C84" w:rsidRPr="00DE662D" w:rsidRDefault="00845F0F" w:rsidP="00300286">
      <w:pPr>
        <w:pStyle w:val="ListParagraph"/>
        <w:numPr>
          <w:ilvl w:val="0"/>
          <w:numId w:val="5"/>
        </w:numPr>
        <w:ind w:left="1134" w:right="1208" w:firstLine="0"/>
        <w:contextualSpacing/>
        <w:jc w:val="both"/>
        <w:rPr>
          <w:lang w:val="en-GB"/>
        </w:rPr>
      </w:pPr>
      <w:r w:rsidRPr="00DE662D">
        <w:rPr>
          <w:lang w:val="en-GB"/>
        </w:rPr>
        <w:t xml:space="preserve">Governments, parliaments, civil society and the media will be key partners </w:t>
      </w:r>
      <w:r w:rsidR="00E66500" w:rsidRPr="004435B3">
        <w:rPr>
          <w:lang w:val="en-GB"/>
        </w:rPr>
        <w:t>in</w:t>
      </w:r>
      <w:r w:rsidRPr="00DE662D">
        <w:rPr>
          <w:lang w:val="en-GB"/>
        </w:rPr>
        <w:t xml:space="preserve"> increas</w:t>
      </w:r>
      <w:r w:rsidR="00E66500" w:rsidRPr="004435B3">
        <w:rPr>
          <w:lang w:val="en-GB"/>
        </w:rPr>
        <w:t>ing the</w:t>
      </w:r>
      <w:r w:rsidRPr="00DE662D">
        <w:rPr>
          <w:lang w:val="en-GB"/>
        </w:rPr>
        <w:t xml:space="preserve"> transparency of institutions and </w:t>
      </w:r>
      <w:r w:rsidR="00E66500" w:rsidRPr="004435B3">
        <w:rPr>
          <w:lang w:val="en-GB"/>
        </w:rPr>
        <w:t xml:space="preserve">the </w:t>
      </w:r>
      <w:r w:rsidRPr="00DE662D">
        <w:rPr>
          <w:lang w:val="en-GB"/>
        </w:rPr>
        <w:t>accountability of decision-makers</w:t>
      </w:r>
      <w:r w:rsidR="004D3D9D" w:rsidRPr="00DE662D">
        <w:rPr>
          <w:lang w:val="en-GB"/>
        </w:rPr>
        <w:t xml:space="preserve"> in issues of public concern </w:t>
      </w:r>
      <w:r w:rsidR="00815C84" w:rsidRPr="00DE662D">
        <w:rPr>
          <w:lang w:val="en-GB"/>
        </w:rPr>
        <w:t xml:space="preserve">such as </w:t>
      </w:r>
      <w:r w:rsidR="00F66C68" w:rsidRPr="00DE662D">
        <w:rPr>
          <w:lang w:val="en-GB"/>
        </w:rPr>
        <w:t>youth unemployment</w:t>
      </w:r>
      <w:r w:rsidR="004D4D96" w:rsidRPr="00DE662D">
        <w:rPr>
          <w:lang w:val="en-GB"/>
        </w:rPr>
        <w:t>,</w:t>
      </w:r>
      <w:r w:rsidR="00F66C68" w:rsidRPr="00DE662D">
        <w:rPr>
          <w:lang w:val="en-GB"/>
        </w:rPr>
        <w:t xml:space="preserve"> </w:t>
      </w:r>
      <w:r w:rsidR="00815C84" w:rsidRPr="00DE662D">
        <w:rPr>
          <w:lang w:val="en-GB"/>
        </w:rPr>
        <w:t>natural resource</w:t>
      </w:r>
      <w:r w:rsidR="004D3D9D" w:rsidRPr="00DE662D">
        <w:rPr>
          <w:lang w:val="en-GB"/>
        </w:rPr>
        <w:t>s</w:t>
      </w:r>
      <w:r w:rsidR="004F28C6" w:rsidRPr="004F28C6">
        <w:rPr>
          <w:lang w:val="en-GB"/>
        </w:rPr>
        <w:t xml:space="preserve"> </w:t>
      </w:r>
      <w:r w:rsidR="004F28C6">
        <w:rPr>
          <w:lang w:val="en-GB"/>
        </w:rPr>
        <w:t>management,</w:t>
      </w:r>
      <w:r w:rsidR="004D4D96" w:rsidRPr="00DE662D">
        <w:rPr>
          <w:lang w:val="en-GB"/>
        </w:rPr>
        <w:t xml:space="preserve"> and </w:t>
      </w:r>
      <w:r w:rsidR="00D24DE9" w:rsidRPr="004435B3">
        <w:rPr>
          <w:lang w:val="en-GB"/>
        </w:rPr>
        <w:t xml:space="preserve">the </w:t>
      </w:r>
      <w:r w:rsidR="00185916" w:rsidRPr="00DE662D">
        <w:rPr>
          <w:lang w:val="en-GB"/>
        </w:rPr>
        <w:t>transparent</w:t>
      </w:r>
      <w:r w:rsidR="004D4D96" w:rsidRPr="00DE662D">
        <w:rPr>
          <w:lang w:val="en-GB"/>
        </w:rPr>
        <w:t xml:space="preserve"> use of climate finance</w:t>
      </w:r>
      <w:r w:rsidR="00927540" w:rsidRPr="00DE662D">
        <w:rPr>
          <w:lang w:val="en-GB"/>
        </w:rPr>
        <w:t xml:space="preserve">. To </w:t>
      </w:r>
      <w:r w:rsidR="00EF45B4" w:rsidRPr="00DE662D">
        <w:rPr>
          <w:lang w:val="en-GB"/>
        </w:rPr>
        <w:t xml:space="preserve">further </w:t>
      </w:r>
      <w:r w:rsidR="00927540" w:rsidRPr="00DE662D">
        <w:rPr>
          <w:lang w:val="en-GB"/>
        </w:rPr>
        <w:t xml:space="preserve">the implementation of </w:t>
      </w:r>
      <w:r w:rsidR="00D24DE9" w:rsidRPr="004435B3">
        <w:rPr>
          <w:lang w:val="en-GB"/>
        </w:rPr>
        <w:t>United </w:t>
      </w:r>
      <w:r w:rsidR="00D24DE9" w:rsidRPr="00DE662D">
        <w:rPr>
          <w:lang w:val="en-GB"/>
        </w:rPr>
        <w:t>Nations Convention against Corruption</w:t>
      </w:r>
      <w:r w:rsidR="00D24DE9" w:rsidRPr="004435B3" w:rsidDel="00D24DE9">
        <w:rPr>
          <w:lang w:val="en-GB"/>
        </w:rPr>
        <w:t xml:space="preserve"> </w:t>
      </w:r>
      <w:r w:rsidR="00927540" w:rsidRPr="00DE662D">
        <w:rPr>
          <w:lang w:val="en-GB"/>
        </w:rPr>
        <w:t xml:space="preserve">commitments, </w:t>
      </w:r>
      <w:r w:rsidR="00815C84" w:rsidRPr="00DE662D">
        <w:rPr>
          <w:lang w:val="en-GB"/>
        </w:rPr>
        <w:t xml:space="preserve">UNDP </w:t>
      </w:r>
      <w:r w:rsidR="00927540" w:rsidRPr="00DE662D">
        <w:rPr>
          <w:lang w:val="en-GB"/>
        </w:rPr>
        <w:t xml:space="preserve">will </w:t>
      </w:r>
      <w:r w:rsidR="00EF45B4" w:rsidRPr="00DE662D">
        <w:rPr>
          <w:lang w:val="en-GB"/>
        </w:rPr>
        <w:t xml:space="preserve">support </w:t>
      </w:r>
      <w:r w:rsidR="00927540" w:rsidRPr="00DE662D">
        <w:rPr>
          <w:lang w:val="en-GB"/>
        </w:rPr>
        <w:t>the development of anti-corruption policies and institutions</w:t>
      </w:r>
      <w:r w:rsidR="00EF45B4" w:rsidRPr="00DE662D">
        <w:rPr>
          <w:lang w:val="en-GB"/>
        </w:rPr>
        <w:t xml:space="preserve"> and</w:t>
      </w:r>
      <w:r w:rsidR="00927540" w:rsidRPr="00DE662D">
        <w:rPr>
          <w:lang w:val="en-GB"/>
        </w:rPr>
        <w:t xml:space="preserve"> </w:t>
      </w:r>
      <w:r w:rsidR="00EF45B4" w:rsidRPr="00DE662D">
        <w:rPr>
          <w:lang w:val="en-GB"/>
        </w:rPr>
        <w:t xml:space="preserve">strengthen the oversight responsibilities of legislatures, </w:t>
      </w:r>
      <w:r w:rsidR="001A4DAB" w:rsidRPr="00DE662D">
        <w:rPr>
          <w:lang w:val="en-GB"/>
        </w:rPr>
        <w:t xml:space="preserve">the role of </w:t>
      </w:r>
      <w:r w:rsidR="00EF45B4" w:rsidRPr="00DE662D">
        <w:rPr>
          <w:lang w:val="en-GB"/>
        </w:rPr>
        <w:t>parliament</w:t>
      </w:r>
      <w:r w:rsidR="001A4DAB" w:rsidRPr="00DE662D">
        <w:rPr>
          <w:lang w:val="en-GB"/>
        </w:rPr>
        <w:t>ary</w:t>
      </w:r>
      <w:r w:rsidR="00EF45B4" w:rsidRPr="00DE662D">
        <w:rPr>
          <w:lang w:val="en-GB"/>
        </w:rPr>
        <w:t xml:space="preserve"> committees</w:t>
      </w:r>
      <w:r w:rsidR="004F28C6">
        <w:rPr>
          <w:lang w:val="en-GB"/>
        </w:rPr>
        <w:t>,</w:t>
      </w:r>
      <w:r w:rsidR="001A4DAB" w:rsidRPr="00DE662D">
        <w:rPr>
          <w:lang w:val="en-GB"/>
        </w:rPr>
        <w:t xml:space="preserve"> and the functions of independent constitutional offices</w:t>
      </w:r>
      <w:r w:rsidR="00EF45B4" w:rsidRPr="00DE662D">
        <w:rPr>
          <w:lang w:val="en-GB"/>
        </w:rPr>
        <w:t xml:space="preserve">. </w:t>
      </w:r>
      <w:r w:rsidR="00D24DE9" w:rsidRPr="004435B3">
        <w:rPr>
          <w:lang w:val="en-GB"/>
        </w:rPr>
        <w:t>It</w:t>
      </w:r>
      <w:r w:rsidR="00D24DE9" w:rsidRPr="00DE662D">
        <w:rPr>
          <w:lang w:val="en-GB"/>
        </w:rPr>
        <w:t xml:space="preserve"> </w:t>
      </w:r>
      <w:r w:rsidR="00EF45B4" w:rsidRPr="00DE662D">
        <w:rPr>
          <w:lang w:val="en-GB"/>
        </w:rPr>
        <w:t xml:space="preserve">will </w:t>
      </w:r>
      <w:r w:rsidR="00927540" w:rsidRPr="00DE662D">
        <w:rPr>
          <w:lang w:val="en-GB"/>
        </w:rPr>
        <w:t xml:space="preserve">work with youth </w:t>
      </w:r>
      <w:r w:rsidR="00EF45B4" w:rsidRPr="00DE662D">
        <w:rPr>
          <w:lang w:val="en-GB"/>
        </w:rPr>
        <w:t xml:space="preserve">and community </w:t>
      </w:r>
      <w:r w:rsidR="00927540" w:rsidRPr="00DE662D">
        <w:rPr>
          <w:lang w:val="en-GB"/>
        </w:rPr>
        <w:t xml:space="preserve">organizations to create networks and partnerships </w:t>
      </w:r>
      <w:r w:rsidR="00EF45B4" w:rsidRPr="00DE662D">
        <w:rPr>
          <w:lang w:val="en-GB"/>
        </w:rPr>
        <w:t xml:space="preserve">to </w:t>
      </w:r>
      <w:r w:rsidR="00B026AD" w:rsidRPr="00DE662D">
        <w:rPr>
          <w:lang w:val="en-GB"/>
        </w:rPr>
        <w:t>increase demand for social accountability</w:t>
      </w:r>
      <w:r w:rsidR="00927540" w:rsidRPr="00DE662D">
        <w:rPr>
          <w:lang w:val="en-GB"/>
        </w:rPr>
        <w:t>.</w:t>
      </w:r>
    </w:p>
    <w:p w14:paraId="62E8697A" w14:textId="77777777" w:rsidR="008062BA" w:rsidRPr="00DE662D" w:rsidRDefault="008062BA" w:rsidP="00AA6FFD">
      <w:pPr>
        <w:pStyle w:val="ListParagraph"/>
        <w:ind w:left="1134" w:right="1208"/>
        <w:contextualSpacing/>
        <w:jc w:val="both"/>
        <w:rPr>
          <w:sz w:val="12"/>
          <w:szCs w:val="12"/>
          <w:lang w:val="en-GB"/>
        </w:rPr>
      </w:pPr>
    </w:p>
    <w:p w14:paraId="092359AC" w14:textId="0CAC8A07" w:rsidR="007E706D" w:rsidRPr="00DE662D" w:rsidRDefault="00845F0F" w:rsidP="00300286">
      <w:pPr>
        <w:pStyle w:val="ListParagraph"/>
        <w:numPr>
          <w:ilvl w:val="0"/>
          <w:numId w:val="5"/>
        </w:numPr>
        <w:ind w:left="1134" w:right="1208" w:firstLine="0"/>
        <w:contextualSpacing/>
        <w:jc w:val="both"/>
        <w:rPr>
          <w:lang w:val="en-GB"/>
        </w:rPr>
      </w:pPr>
      <w:r w:rsidRPr="00DE662D">
        <w:rPr>
          <w:lang w:val="en-GB"/>
        </w:rPr>
        <w:t>In building responsive government institutions, UNDP will work at both national and subnational level</w:t>
      </w:r>
      <w:r w:rsidR="00F66C68" w:rsidRPr="00DE662D">
        <w:rPr>
          <w:lang w:val="en-GB"/>
        </w:rPr>
        <w:t>s</w:t>
      </w:r>
      <w:r w:rsidRPr="00DE662D">
        <w:rPr>
          <w:lang w:val="en-GB"/>
        </w:rPr>
        <w:t xml:space="preserve"> to </w:t>
      </w:r>
      <w:r w:rsidR="00056799" w:rsidRPr="00DE662D">
        <w:rPr>
          <w:lang w:val="en-GB"/>
        </w:rPr>
        <w:t xml:space="preserve">promote conditions for peace, </w:t>
      </w:r>
      <w:r w:rsidRPr="00DE662D">
        <w:rPr>
          <w:lang w:val="en-GB"/>
        </w:rPr>
        <w:t>strengthen capacities</w:t>
      </w:r>
      <w:r w:rsidR="00D24DE9" w:rsidRPr="004435B3">
        <w:rPr>
          <w:lang w:val="en-GB"/>
        </w:rPr>
        <w:t>,</w:t>
      </w:r>
      <w:r w:rsidRPr="00DE662D">
        <w:rPr>
          <w:lang w:val="en-GB"/>
        </w:rPr>
        <w:t xml:space="preserve"> and </w:t>
      </w:r>
      <w:r w:rsidR="00815C84" w:rsidRPr="00DE662D">
        <w:rPr>
          <w:lang w:val="en-GB"/>
        </w:rPr>
        <w:t>reform systems for improved service delivery</w:t>
      </w:r>
      <w:r w:rsidR="00674424" w:rsidRPr="00DE662D">
        <w:rPr>
          <w:lang w:val="en-GB"/>
        </w:rPr>
        <w:t xml:space="preserve"> </w:t>
      </w:r>
      <w:r w:rsidR="00A67459" w:rsidRPr="00DE662D">
        <w:rPr>
          <w:lang w:val="en-GB"/>
        </w:rPr>
        <w:t xml:space="preserve">to geographically isolated </w:t>
      </w:r>
      <w:r w:rsidR="00674424" w:rsidRPr="00DE662D">
        <w:rPr>
          <w:lang w:val="en-GB"/>
        </w:rPr>
        <w:t>areas</w:t>
      </w:r>
      <w:r w:rsidR="00815C84" w:rsidRPr="00DE662D">
        <w:rPr>
          <w:lang w:val="en-GB"/>
        </w:rPr>
        <w:t xml:space="preserve">. </w:t>
      </w:r>
      <w:r w:rsidR="00056799" w:rsidRPr="00DE662D">
        <w:rPr>
          <w:lang w:val="en-GB"/>
        </w:rPr>
        <w:t>In partnership with the U</w:t>
      </w:r>
      <w:r w:rsidR="00D24DE9" w:rsidRPr="004435B3">
        <w:rPr>
          <w:lang w:val="en-GB"/>
        </w:rPr>
        <w:t>nited Nations</w:t>
      </w:r>
      <w:r w:rsidR="00056799" w:rsidRPr="00DE662D">
        <w:rPr>
          <w:lang w:val="en-GB"/>
        </w:rPr>
        <w:t xml:space="preserve"> Peacebuilding Office and UN</w:t>
      </w:r>
      <w:r w:rsidR="00D24DE9" w:rsidRPr="004435B3">
        <w:rPr>
          <w:lang w:val="en-GB"/>
        </w:rPr>
        <w:t>-</w:t>
      </w:r>
      <w:r w:rsidR="00056799" w:rsidRPr="00DE662D">
        <w:rPr>
          <w:lang w:val="en-GB"/>
        </w:rPr>
        <w:t>Women, UNDP will empower youth and women in the Solomon Islands by providing for</w:t>
      </w:r>
      <w:r w:rsidR="00D24DE9" w:rsidRPr="004435B3">
        <w:rPr>
          <w:lang w:val="en-GB"/>
        </w:rPr>
        <w:t>ums</w:t>
      </w:r>
      <w:r w:rsidR="00056799" w:rsidRPr="00DE662D">
        <w:rPr>
          <w:lang w:val="en-GB"/>
        </w:rPr>
        <w:t xml:space="preserve"> for policy dialogue with decision-makers and improving conflict resolution skills. </w:t>
      </w:r>
      <w:r w:rsidR="00D24DE9" w:rsidRPr="004435B3">
        <w:rPr>
          <w:lang w:val="en-GB"/>
        </w:rPr>
        <w:t>It</w:t>
      </w:r>
      <w:r w:rsidR="00D24DE9" w:rsidRPr="00DE662D">
        <w:rPr>
          <w:lang w:val="en-GB"/>
        </w:rPr>
        <w:t xml:space="preserve"> </w:t>
      </w:r>
      <w:r w:rsidR="00815C84" w:rsidRPr="00DE662D">
        <w:rPr>
          <w:lang w:val="en-GB"/>
        </w:rPr>
        <w:t>will assist</w:t>
      </w:r>
      <w:r w:rsidR="001E1CCC" w:rsidRPr="00DE662D">
        <w:rPr>
          <w:lang w:val="en-GB"/>
        </w:rPr>
        <w:t xml:space="preserve"> countries</w:t>
      </w:r>
      <w:r w:rsidR="00815C84" w:rsidRPr="00DE662D">
        <w:rPr>
          <w:lang w:val="en-GB"/>
        </w:rPr>
        <w:t xml:space="preserve"> </w:t>
      </w:r>
      <w:r w:rsidR="00056799" w:rsidRPr="00DE662D">
        <w:rPr>
          <w:lang w:val="en-GB"/>
        </w:rPr>
        <w:t xml:space="preserve">in the Pacific </w:t>
      </w:r>
      <w:r w:rsidR="00815C84" w:rsidRPr="00DE662D">
        <w:rPr>
          <w:lang w:val="en-GB"/>
        </w:rPr>
        <w:t>to improve public services by promoting effective</w:t>
      </w:r>
      <w:r w:rsidR="00D24DE9" w:rsidRPr="004435B3">
        <w:rPr>
          <w:lang w:val="en-GB"/>
        </w:rPr>
        <w:t>,</w:t>
      </w:r>
      <w:r w:rsidR="00815C84" w:rsidRPr="00DE662D">
        <w:rPr>
          <w:lang w:val="en-GB"/>
        </w:rPr>
        <w:t xml:space="preserve"> inclusive governance for sustainable health outcomes. </w:t>
      </w:r>
      <w:r w:rsidR="00094A64" w:rsidRPr="00DE662D">
        <w:rPr>
          <w:lang w:val="en-GB"/>
        </w:rPr>
        <w:t xml:space="preserve">Building on past and ongoing work, </w:t>
      </w:r>
      <w:r w:rsidR="00815C84" w:rsidRPr="00DE662D">
        <w:rPr>
          <w:lang w:val="en-GB"/>
        </w:rPr>
        <w:t>UNDP</w:t>
      </w:r>
      <w:r w:rsidR="00094A64" w:rsidRPr="00DE662D">
        <w:rPr>
          <w:lang w:val="en-GB"/>
        </w:rPr>
        <w:t xml:space="preserve"> will partner with public and private sector actors to </w:t>
      </w:r>
      <w:r w:rsidR="00815C84" w:rsidRPr="00DE662D">
        <w:rPr>
          <w:lang w:val="en-GB"/>
        </w:rPr>
        <w:t xml:space="preserve">foster </w:t>
      </w:r>
      <w:r w:rsidR="00A06C08" w:rsidRPr="00DE662D">
        <w:rPr>
          <w:lang w:val="en-GB"/>
        </w:rPr>
        <w:t xml:space="preserve">policy action and </w:t>
      </w:r>
      <w:r w:rsidR="00815C84" w:rsidRPr="00DE662D">
        <w:rPr>
          <w:lang w:val="en-GB"/>
        </w:rPr>
        <w:t xml:space="preserve">coordination beyond the health sector </w:t>
      </w:r>
      <w:r w:rsidR="004F28C6">
        <w:rPr>
          <w:lang w:val="en-GB"/>
        </w:rPr>
        <w:t>so as</w:t>
      </w:r>
      <w:r w:rsidR="00094A64" w:rsidRPr="00DE662D">
        <w:rPr>
          <w:lang w:val="en-GB"/>
        </w:rPr>
        <w:t xml:space="preserve"> </w:t>
      </w:r>
      <w:r w:rsidR="00815C84" w:rsidRPr="00DE662D">
        <w:rPr>
          <w:lang w:val="en-GB"/>
        </w:rPr>
        <w:t xml:space="preserve">to address the social, economic, environmental and political factors </w:t>
      </w:r>
      <w:r w:rsidR="00094A64" w:rsidRPr="00DE662D">
        <w:rPr>
          <w:lang w:val="en-GB"/>
        </w:rPr>
        <w:t xml:space="preserve">that </w:t>
      </w:r>
      <w:r w:rsidR="00815C84" w:rsidRPr="00DE662D">
        <w:rPr>
          <w:lang w:val="en-GB"/>
        </w:rPr>
        <w:t>determi</w:t>
      </w:r>
      <w:r w:rsidR="00094A64" w:rsidRPr="00DE662D">
        <w:rPr>
          <w:lang w:val="en-GB"/>
        </w:rPr>
        <w:t>ne</w:t>
      </w:r>
      <w:r w:rsidR="00815C84" w:rsidRPr="00DE662D">
        <w:rPr>
          <w:lang w:val="en-GB"/>
        </w:rPr>
        <w:t xml:space="preserve"> the burden of non-communicable diseases. U</w:t>
      </w:r>
      <w:r w:rsidR="00D24DE9" w:rsidRPr="004435B3">
        <w:rPr>
          <w:lang w:val="en-GB"/>
        </w:rPr>
        <w:t>s</w:t>
      </w:r>
      <w:r w:rsidR="00815C84" w:rsidRPr="00DE662D">
        <w:rPr>
          <w:lang w:val="en-GB"/>
        </w:rPr>
        <w:t>ing its comparative advantage</w:t>
      </w:r>
      <w:r w:rsidR="00094A64" w:rsidRPr="00DE662D">
        <w:rPr>
          <w:lang w:val="en-GB"/>
        </w:rPr>
        <w:t xml:space="preserve"> and implementation capacities</w:t>
      </w:r>
      <w:r w:rsidR="00815C84" w:rsidRPr="00DE662D">
        <w:rPr>
          <w:lang w:val="en-GB"/>
        </w:rPr>
        <w:t xml:space="preserve">, </w:t>
      </w:r>
      <w:r w:rsidR="004F28C6">
        <w:rPr>
          <w:lang w:val="en-GB"/>
        </w:rPr>
        <w:t>UNDP</w:t>
      </w:r>
      <w:r w:rsidR="00D24DE9" w:rsidRPr="00DE662D">
        <w:rPr>
          <w:lang w:val="en-GB"/>
        </w:rPr>
        <w:t xml:space="preserve"> </w:t>
      </w:r>
      <w:r w:rsidR="00815C84" w:rsidRPr="00DE662D">
        <w:rPr>
          <w:lang w:val="en-GB"/>
        </w:rPr>
        <w:t xml:space="preserve">will </w:t>
      </w:r>
      <w:r w:rsidR="00094A64" w:rsidRPr="00DE662D">
        <w:rPr>
          <w:lang w:val="en-GB"/>
        </w:rPr>
        <w:t>strengthen</w:t>
      </w:r>
      <w:r w:rsidR="00815C84" w:rsidRPr="00DE662D">
        <w:rPr>
          <w:lang w:val="en-GB"/>
        </w:rPr>
        <w:t xml:space="preserve"> national </w:t>
      </w:r>
      <w:r w:rsidR="00094A64" w:rsidRPr="00DE662D">
        <w:rPr>
          <w:lang w:val="en-GB"/>
        </w:rPr>
        <w:t xml:space="preserve">systems </w:t>
      </w:r>
      <w:r w:rsidR="00815C84" w:rsidRPr="00DE662D">
        <w:rPr>
          <w:lang w:val="en-GB"/>
        </w:rPr>
        <w:t xml:space="preserve">to </w:t>
      </w:r>
      <w:r w:rsidR="00094A64" w:rsidRPr="00DE662D">
        <w:rPr>
          <w:lang w:val="en-GB"/>
        </w:rPr>
        <w:t xml:space="preserve">provide </w:t>
      </w:r>
      <w:r w:rsidR="00815C84" w:rsidRPr="00DE662D">
        <w:rPr>
          <w:lang w:val="en-GB"/>
        </w:rPr>
        <w:t xml:space="preserve">equitable access to services for people affected by AIDS, </w:t>
      </w:r>
      <w:r w:rsidR="00094A64" w:rsidRPr="00DE662D">
        <w:rPr>
          <w:lang w:val="en-GB"/>
        </w:rPr>
        <w:t xml:space="preserve">tuberculosis and malaria </w:t>
      </w:r>
      <w:r w:rsidR="00815C84" w:rsidRPr="00DE662D">
        <w:rPr>
          <w:lang w:val="en-GB"/>
        </w:rPr>
        <w:t xml:space="preserve">through </w:t>
      </w:r>
      <w:r w:rsidR="00094A64" w:rsidRPr="00DE662D">
        <w:rPr>
          <w:lang w:val="en-GB"/>
        </w:rPr>
        <w:t xml:space="preserve">improved </w:t>
      </w:r>
      <w:r w:rsidR="00815C84" w:rsidRPr="00DE662D">
        <w:rPr>
          <w:lang w:val="en-GB"/>
        </w:rPr>
        <w:t>financial management, procurement systems, monitoring and evaluation</w:t>
      </w:r>
      <w:r w:rsidR="00094A64" w:rsidRPr="00DE662D">
        <w:rPr>
          <w:lang w:val="en-GB"/>
        </w:rPr>
        <w:t>,</w:t>
      </w:r>
      <w:r w:rsidR="00815C84" w:rsidRPr="00DE662D">
        <w:rPr>
          <w:lang w:val="en-GB"/>
        </w:rPr>
        <w:t xml:space="preserve"> and civil society engagement.</w:t>
      </w:r>
      <w:r w:rsidR="00AA6FFD" w:rsidRPr="00DE662D">
        <w:rPr>
          <w:lang w:val="en-GB"/>
        </w:rPr>
        <w:t xml:space="preserve"> </w:t>
      </w:r>
    </w:p>
    <w:p w14:paraId="2C33C1A0" w14:textId="77777777" w:rsidR="00AA6FFD" w:rsidRPr="00DE662D" w:rsidRDefault="00AA6FFD" w:rsidP="00AA6FFD">
      <w:pPr>
        <w:pStyle w:val="ListParagraph"/>
        <w:rPr>
          <w:sz w:val="12"/>
          <w:szCs w:val="12"/>
          <w:lang w:val="en-GB"/>
        </w:rPr>
      </w:pPr>
    </w:p>
    <w:p w14:paraId="5897DC0F" w14:textId="26475F55" w:rsidR="007E706D" w:rsidRPr="00DE662D" w:rsidRDefault="00150C7A" w:rsidP="001B1248">
      <w:pPr>
        <w:pStyle w:val="ListParagraph"/>
        <w:numPr>
          <w:ilvl w:val="0"/>
          <w:numId w:val="5"/>
        </w:numPr>
        <w:ind w:left="1134" w:right="1208" w:firstLine="0"/>
        <w:contextualSpacing/>
        <w:jc w:val="both"/>
        <w:rPr>
          <w:lang w:val="en-GB"/>
        </w:rPr>
      </w:pPr>
      <w:r w:rsidRPr="00DE662D">
        <w:rPr>
          <w:lang w:val="en-GB"/>
        </w:rPr>
        <w:lastRenderedPageBreak/>
        <w:t>UNDP will support the promotion of peaceful</w:t>
      </w:r>
      <w:r w:rsidR="004F28C6">
        <w:rPr>
          <w:lang w:val="en-GB"/>
        </w:rPr>
        <w:t>,</w:t>
      </w:r>
      <w:r w:rsidRPr="00DE662D">
        <w:rPr>
          <w:lang w:val="en-GB"/>
        </w:rPr>
        <w:t xml:space="preserve"> inclusive societies </w:t>
      </w:r>
      <w:r w:rsidR="007E706D" w:rsidRPr="00DE662D">
        <w:rPr>
          <w:lang w:val="en-GB"/>
        </w:rPr>
        <w:t>by working with governments, justice and security sector institutions, and civil society</w:t>
      </w:r>
      <w:r w:rsidR="004F28C6">
        <w:rPr>
          <w:lang w:val="en-GB"/>
        </w:rPr>
        <w:t>,</w:t>
      </w:r>
      <w:r w:rsidR="007E706D" w:rsidRPr="00DE662D">
        <w:rPr>
          <w:lang w:val="en-GB"/>
        </w:rPr>
        <w:t xml:space="preserve"> to strengthen the rule of law and access to justice. Building on successful UNDP experiences in the </w:t>
      </w:r>
      <w:r w:rsidR="00FE6735" w:rsidRPr="00DE662D">
        <w:rPr>
          <w:lang w:val="en-GB"/>
        </w:rPr>
        <w:t>subregion</w:t>
      </w:r>
      <w:r w:rsidR="007E706D" w:rsidRPr="00DE662D">
        <w:rPr>
          <w:lang w:val="en-GB"/>
        </w:rPr>
        <w:t>, priority will be given to measures for effective delivery of justice outcomes, enhancing legal aid provision, alternative dispute resolution mechanisms, and expanding access to justice to remote areas</w:t>
      </w:r>
      <w:r w:rsidR="00D24DE9" w:rsidRPr="004435B3">
        <w:rPr>
          <w:lang w:val="en-GB"/>
        </w:rPr>
        <w:t>,</w:t>
      </w:r>
      <w:r w:rsidR="007E706D" w:rsidRPr="00DE662D">
        <w:rPr>
          <w:lang w:val="en-GB"/>
        </w:rPr>
        <w:t xml:space="preserve"> with a focus on women, youth and vulnerable groups. UNDP will scale up support to the successful centr</w:t>
      </w:r>
      <w:r w:rsidR="00D24DE9" w:rsidRPr="004435B3">
        <w:rPr>
          <w:lang w:val="en-GB"/>
        </w:rPr>
        <w:t>e</w:t>
      </w:r>
      <w:r w:rsidR="007E706D" w:rsidRPr="00DE662D">
        <w:rPr>
          <w:lang w:val="en-GB"/>
        </w:rPr>
        <w:t>-to-periphery service delivery</w:t>
      </w:r>
      <w:r w:rsidR="00E72A03" w:rsidRPr="00DE662D">
        <w:rPr>
          <w:lang w:val="en-GB"/>
        </w:rPr>
        <w:t xml:space="preserve"> by mobile teams</w:t>
      </w:r>
      <w:r w:rsidR="007E706D" w:rsidRPr="00DE662D">
        <w:rPr>
          <w:lang w:val="en-GB"/>
        </w:rPr>
        <w:t>. UNDP support will address ongoing and emerging issues such as early access to justice, grievances over land and property, risks related to extractive industries, management of natural resources</w:t>
      </w:r>
      <w:r w:rsidR="00D24DE9" w:rsidRPr="004435B3">
        <w:rPr>
          <w:lang w:val="en-GB"/>
        </w:rPr>
        <w:t>,</w:t>
      </w:r>
      <w:r w:rsidR="007E706D" w:rsidRPr="00DE662D">
        <w:rPr>
          <w:lang w:val="en-GB"/>
        </w:rPr>
        <w:t xml:space="preserve"> and the use of rapidly increasing climate finance.</w:t>
      </w:r>
    </w:p>
    <w:p w14:paraId="54E2097C" w14:textId="77777777" w:rsidR="007E706D" w:rsidRPr="00DE662D" w:rsidRDefault="007E706D" w:rsidP="007E706D">
      <w:pPr>
        <w:pStyle w:val="ListParagraph"/>
        <w:ind w:left="1134" w:right="1208"/>
        <w:contextualSpacing/>
        <w:jc w:val="both"/>
        <w:rPr>
          <w:lang w:val="en-GB"/>
        </w:rPr>
      </w:pPr>
      <w:r w:rsidRPr="00DE662D">
        <w:rPr>
          <w:lang w:val="en-GB"/>
        </w:rPr>
        <w:t xml:space="preserve"> </w:t>
      </w:r>
    </w:p>
    <w:p w14:paraId="7E92B24F" w14:textId="77777777" w:rsidR="001B3553" w:rsidRPr="00DE662D" w:rsidRDefault="000947BC" w:rsidP="00D24DE9">
      <w:pPr>
        <w:pStyle w:val="Heading1"/>
        <w:ind w:left="1080" w:hanging="630"/>
        <w:rPr>
          <w:rFonts w:ascii="Times New Roman" w:hAnsi="Times New Roman"/>
          <w:szCs w:val="28"/>
          <w:lang w:val="en-GB"/>
        </w:rPr>
      </w:pPr>
      <w:r w:rsidRPr="00DE662D">
        <w:rPr>
          <w:rFonts w:ascii="Times New Roman" w:hAnsi="Times New Roman"/>
          <w:szCs w:val="28"/>
          <w:lang w:val="en-GB"/>
        </w:rPr>
        <w:t>III.</w:t>
      </w:r>
      <w:r w:rsidRPr="00DE662D">
        <w:rPr>
          <w:rFonts w:ascii="Times New Roman" w:hAnsi="Times New Roman"/>
          <w:szCs w:val="28"/>
          <w:lang w:val="en-GB"/>
        </w:rPr>
        <w:tab/>
        <w:t>Programme and r</w:t>
      </w:r>
      <w:r w:rsidR="001B3553" w:rsidRPr="00DE662D">
        <w:rPr>
          <w:rFonts w:ascii="Times New Roman" w:hAnsi="Times New Roman"/>
          <w:szCs w:val="28"/>
          <w:lang w:val="en-GB"/>
        </w:rPr>
        <w:t xml:space="preserve">isk </w:t>
      </w:r>
      <w:r w:rsidRPr="00DE662D">
        <w:rPr>
          <w:rFonts w:ascii="Times New Roman" w:hAnsi="Times New Roman"/>
          <w:szCs w:val="28"/>
          <w:lang w:val="en-GB"/>
        </w:rPr>
        <w:t>m</w:t>
      </w:r>
      <w:r w:rsidR="001B3553" w:rsidRPr="00DE662D">
        <w:rPr>
          <w:rFonts w:ascii="Times New Roman" w:hAnsi="Times New Roman"/>
          <w:szCs w:val="28"/>
          <w:lang w:val="en-GB"/>
        </w:rPr>
        <w:t xml:space="preserve">anagement </w:t>
      </w:r>
    </w:p>
    <w:p w14:paraId="5CCF7FDA" w14:textId="77777777" w:rsidR="001B3553" w:rsidRPr="00DE662D" w:rsidRDefault="001B3553" w:rsidP="00C52A9B">
      <w:pPr>
        <w:ind w:right="1208"/>
        <w:contextualSpacing/>
        <w:jc w:val="both"/>
        <w:rPr>
          <w:lang w:val="en-GB"/>
        </w:rPr>
      </w:pPr>
    </w:p>
    <w:p w14:paraId="1F68B17A" w14:textId="7209664B" w:rsidR="00812E52" w:rsidRPr="00DE662D" w:rsidRDefault="00812E52" w:rsidP="00C52A9B">
      <w:pPr>
        <w:pStyle w:val="ListParagraph"/>
        <w:numPr>
          <w:ilvl w:val="0"/>
          <w:numId w:val="5"/>
        </w:numPr>
        <w:ind w:left="1134" w:right="1208" w:firstLine="0"/>
        <w:contextualSpacing/>
        <w:jc w:val="both"/>
        <w:rPr>
          <w:lang w:val="en-GB"/>
        </w:rPr>
      </w:pPr>
      <w:r w:rsidRPr="00DE662D">
        <w:rPr>
          <w:lang w:val="en-GB"/>
        </w:rPr>
        <w:t xml:space="preserve">This document outlines </w:t>
      </w:r>
      <w:r w:rsidR="00D24DE9" w:rsidRPr="004435B3">
        <w:rPr>
          <w:lang w:val="en-GB"/>
        </w:rPr>
        <w:t xml:space="preserve">the </w:t>
      </w:r>
      <w:r w:rsidRPr="00DE662D">
        <w:rPr>
          <w:lang w:val="en-GB"/>
        </w:rPr>
        <w:t>UNDP contributions to</w:t>
      </w:r>
      <w:r w:rsidR="001857C0" w:rsidRPr="00DE662D">
        <w:rPr>
          <w:lang w:val="en-GB"/>
        </w:rPr>
        <w:t xml:space="preserve"> </w:t>
      </w:r>
      <w:r w:rsidRPr="00DE662D">
        <w:rPr>
          <w:lang w:val="en-GB"/>
        </w:rPr>
        <w:t xml:space="preserve">national results and serves as the primary unit of accountability to the Executive Board for results alignment and resources assigned to the programme at </w:t>
      </w:r>
      <w:r w:rsidR="00D24DE9" w:rsidRPr="004435B3">
        <w:rPr>
          <w:lang w:val="en-GB"/>
        </w:rPr>
        <w:t xml:space="preserve">the </w:t>
      </w:r>
      <w:r w:rsidRPr="00DE662D">
        <w:rPr>
          <w:lang w:val="en-GB"/>
        </w:rPr>
        <w:t>country level. Accountabilities of managers at the country, regional and headquarter</w:t>
      </w:r>
      <w:r w:rsidR="00D24DE9" w:rsidRPr="004435B3">
        <w:rPr>
          <w:lang w:val="en-GB"/>
        </w:rPr>
        <w:t>s</w:t>
      </w:r>
      <w:r w:rsidRPr="00DE662D">
        <w:rPr>
          <w:lang w:val="en-GB"/>
        </w:rPr>
        <w:t xml:space="preserve"> levels with respect to country programmes </w:t>
      </w:r>
      <w:r w:rsidR="00FA6486" w:rsidRPr="00DE662D">
        <w:rPr>
          <w:lang w:val="en-GB"/>
        </w:rPr>
        <w:t xml:space="preserve">are </w:t>
      </w:r>
      <w:r w:rsidRPr="00DE662D">
        <w:rPr>
          <w:lang w:val="en-GB"/>
        </w:rPr>
        <w:t xml:space="preserve">prescribed in the </w:t>
      </w:r>
      <w:hyperlink r:id="rId12" w:history="1">
        <w:r w:rsidR="00D24DE9" w:rsidRPr="004435B3">
          <w:rPr>
            <w:lang w:val="en-GB"/>
          </w:rPr>
          <w:t>programme and operations policies and procedures</w:t>
        </w:r>
      </w:hyperlink>
      <w:r w:rsidR="00D24DE9" w:rsidRPr="004435B3">
        <w:rPr>
          <w:lang w:val="en-GB"/>
        </w:rPr>
        <w:t xml:space="preserve"> and the i</w:t>
      </w:r>
      <w:hyperlink r:id="rId13" w:history="1">
        <w:r w:rsidR="00D24DE9" w:rsidRPr="004435B3">
          <w:rPr>
            <w:lang w:val="en-GB"/>
          </w:rPr>
          <w:t>nternal control framework</w:t>
        </w:r>
      </w:hyperlink>
      <w:r w:rsidRPr="00DE662D">
        <w:rPr>
          <w:lang w:val="en-GB"/>
        </w:rPr>
        <w:t>. In accordance with Executive Board decision 2013/</w:t>
      </w:r>
      <w:r w:rsidR="004373CA">
        <w:rPr>
          <w:lang w:val="en-GB"/>
        </w:rPr>
        <w:t>9</w:t>
      </w:r>
      <w:r w:rsidRPr="00DE662D">
        <w:rPr>
          <w:lang w:val="en-GB"/>
        </w:rPr>
        <w:t xml:space="preserve"> all direct costs associated with project implementation should be charged to the concerned projects.</w:t>
      </w:r>
    </w:p>
    <w:p w14:paraId="0E6D62A6" w14:textId="77777777" w:rsidR="00812E52" w:rsidRPr="00DE662D" w:rsidRDefault="00812E52" w:rsidP="00C52A9B">
      <w:pPr>
        <w:pStyle w:val="ListParagraph"/>
        <w:ind w:left="1134" w:right="1208"/>
        <w:contextualSpacing/>
        <w:jc w:val="both"/>
        <w:rPr>
          <w:sz w:val="12"/>
          <w:szCs w:val="12"/>
          <w:lang w:val="en-GB"/>
        </w:rPr>
      </w:pPr>
    </w:p>
    <w:p w14:paraId="156E3F2B" w14:textId="754E15DF" w:rsidR="00D1088E" w:rsidRPr="00DE662D" w:rsidRDefault="00D1088E" w:rsidP="00C52A9B">
      <w:pPr>
        <w:pStyle w:val="ListParagraph"/>
        <w:numPr>
          <w:ilvl w:val="0"/>
          <w:numId w:val="5"/>
        </w:numPr>
        <w:ind w:left="1134" w:right="1208" w:firstLine="0"/>
        <w:contextualSpacing/>
        <w:jc w:val="both"/>
        <w:rPr>
          <w:lang w:val="en-GB"/>
        </w:rPr>
      </w:pPr>
      <w:r w:rsidRPr="00DE662D">
        <w:rPr>
          <w:lang w:val="en-GB"/>
        </w:rPr>
        <w:t>T</w:t>
      </w:r>
      <w:r w:rsidR="00241EB1" w:rsidRPr="00DE662D">
        <w:rPr>
          <w:lang w:val="en-GB"/>
        </w:rPr>
        <w:t>o ensure national ownership, th</w:t>
      </w:r>
      <w:r w:rsidRPr="00DE662D">
        <w:rPr>
          <w:lang w:val="en-GB"/>
        </w:rPr>
        <w:t xml:space="preserve">e </w:t>
      </w:r>
      <w:r w:rsidR="00FE6735" w:rsidRPr="00DE662D">
        <w:rPr>
          <w:lang w:val="en-GB"/>
        </w:rPr>
        <w:t>subregion</w:t>
      </w:r>
      <w:r w:rsidRPr="00DE662D">
        <w:rPr>
          <w:lang w:val="en-GB"/>
        </w:rPr>
        <w:t>al programme is nationally execu</w:t>
      </w:r>
      <w:r w:rsidR="00241EB1" w:rsidRPr="00DE662D">
        <w:rPr>
          <w:lang w:val="en-GB"/>
        </w:rPr>
        <w:t>ted by the 14 Pacific countries</w:t>
      </w:r>
      <w:r w:rsidR="00756E0C" w:rsidRPr="00DE662D">
        <w:rPr>
          <w:lang w:val="en-GB"/>
        </w:rPr>
        <w:t xml:space="preserve"> and territories</w:t>
      </w:r>
      <w:r w:rsidRPr="00DE662D">
        <w:rPr>
          <w:lang w:val="en-GB"/>
        </w:rPr>
        <w:t xml:space="preserve">. </w:t>
      </w:r>
      <w:r w:rsidR="00580B7F" w:rsidRPr="00DE662D">
        <w:rPr>
          <w:lang w:val="en-GB"/>
        </w:rPr>
        <w:t xml:space="preserve">Choice of implementation modalities, including national or direct implementation, will be determined by </w:t>
      </w:r>
      <w:r w:rsidR="00807825" w:rsidRPr="00DE662D">
        <w:rPr>
          <w:lang w:val="en-GB"/>
        </w:rPr>
        <w:t>assessments</w:t>
      </w:r>
      <w:r w:rsidR="00580B7F" w:rsidRPr="00DE662D">
        <w:rPr>
          <w:lang w:val="en-GB"/>
        </w:rPr>
        <w:t xml:space="preserve"> of necessary capacities, </w:t>
      </w:r>
      <w:r w:rsidR="00756E0C" w:rsidRPr="00DE662D">
        <w:rPr>
          <w:lang w:val="en-GB"/>
        </w:rPr>
        <w:t>comparative advantage and sustainability</w:t>
      </w:r>
      <w:r w:rsidR="00580B7F" w:rsidRPr="00DE662D">
        <w:rPr>
          <w:lang w:val="en-GB"/>
        </w:rPr>
        <w:t xml:space="preserve"> criteria</w:t>
      </w:r>
      <w:r w:rsidR="00756E0C" w:rsidRPr="00DE662D">
        <w:rPr>
          <w:lang w:val="en-GB"/>
        </w:rPr>
        <w:t xml:space="preserve">. </w:t>
      </w:r>
      <w:r w:rsidR="00580B7F" w:rsidRPr="00DE662D">
        <w:rPr>
          <w:lang w:val="en-GB"/>
        </w:rPr>
        <w:t xml:space="preserve">In national implementation contexts, the harmonized approach to cash transfers will be used to </w:t>
      </w:r>
      <w:r w:rsidR="00807825" w:rsidRPr="00DE662D">
        <w:rPr>
          <w:lang w:val="en-GB"/>
        </w:rPr>
        <w:t>manage</w:t>
      </w:r>
      <w:r w:rsidR="00580B7F" w:rsidRPr="00DE662D">
        <w:rPr>
          <w:lang w:val="en-GB"/>
        </w:rPr>
        <w:t xml:space="preserve"> the associated risks. UNDP will provide support services to implementing partners as needed, and all related costs will be directly charged to the projects in accordance with UNDP policies and procedures</w:t>
      </w:r>
      <w:r w:rsidR="00CE4E36" w:rsidRPr="00DE662D">
        <w:rPr>
          <w:lang w:val="en-GB"/>
        </w:rPr>
        <w:t>.</w:t>
      </w:r>
      <w:r w:rsidR="00580B7F" w:rsidRPr="00DE662D">
        <w:rPr>
          <w:lang w:val="en-GB"/>
        </w:rPr>
        <w:t xml:space="preserve"> </w:t>
      </w:r>
      <w:r w:rsidR="0045228C" w:rsidRPr="00DE662D">
        <w:rPr>
          <w:lang w:val="en-GB"/>
        </w:rPr>
        <w:t>In</w:t>
      </w:r>
      <w:r w:rsidR="00580B7F" w:rsidRPr="00DE662D">
        <w:rPr>
          <w:lang w:val="en-GB"/>
        </w:rPr>
        <w:t xml:space="preserve"> agreement with governments, </w:t>
      </w:r>
      <w:r w:rsidR="00756E0C" w:rsidRPr="00DE662D">
        <w:rPr>
          <w:lang w:val="en-GB"/>
        </w:rPr>
        <w:t>UNDP</w:t>
      </w:r>
      <w:r w:rsidR="00580B7F" w:rsidRPr="00DE662D">
        <w:rPr>
          <w:lang w:val="en-GB"/>
        </w:rPr>
        <w:t xml:space="preserve"> </w:t>
      </w:r>
      <w:r w:rsidR="00756E0C" w:rsidRPr="00DE662D">
        <w:rPr>
          <w:lang w:val="en-GB"/>
        </w:rPr>
        <w:t>will pursue direct implementation</w:t>
      </w:r>
      <w:r w:rsidR="00580B7F" w:rsidRPr="00DE662D">
        <w:rPr>
          <w:lang w:val="en-GB"/>
        </w:rPr>
        <w:t xml:space="preserve"> to enhance </w:t>
      </w:r>
      <w:r w:rsidR="00BA7275" w:rsidRPr="004435B3">
        <w:rPr>
          <w:lang w:val="en-GB"/>
        </w:rPr>
        <w:t xml:space="preserve">the </w:t>
      </w:r>
      <w:r w:rsidR="00580B7F" w:rsidRPr="00DE662D">
        <w:rPr>
          <w:lang w:val="en-GB"/>
        </w:rPr>
        <w:t>flexibility and efficiency of development support in challenging operating environments.</w:t>
      </w:r>
      <w:r w:rsidR="00CE4E36" w:rsidRPr="00DE662D">
        <w:rPr>
          <w:lang w:val="en-GB"/>
        </w:rPr>
        <w:t xml:space="preserve"> </w:t>
      </w:r>
      <w:r w:rsidR="00A42676">
        <w:rPr>
          <w:lang w:val="en-GB"/>
        </w:rPr>
        <w:t xml:space="preserve">Cost recovery from projects </w:t>
      </w:r>
      <w:r w:rsidR="00BB5C1F" w:rsidRPr="00DE662D">
        <w:rPr>
          <w:lang w:val="en-GB"/>
        </w:rPr>
        <w:t xml:space="preserve">will be </w:t>
      </w:r>
      <w:r w:rsidR="00A42676">
        <w:rPr>
          <w:lang w:val="en-GB"/>
        </w:rPr>
        <w:t>used</w:t>
      </w:r>
      <w:r w:rsidR="00A42676" w:rsidRPr="00DE662D">
        <w:rPr>
          <w:lang w:val="en-GB"/>
        </w:rPr>
        <w:t xml:space="preserve"> </w:t>
      </w:r>
      <w:r w:rsidR="00BB5C1F" w:rsidRPr="00DE662D">
        <w:rPr>
          <w:lang w:val="en-GB"/>
        </w:rPr>
        <w:t>to maintain the necessary human resources</w:t>
      </w:r>
      <w:r w:rsidR="000C6050" w:rsidRPr="00DE662D">
        <w:rPr>
          <w:lang w:val="en-GB"/>
        </w:rPr>
        <w:t xml:space="preserve"> and monitoring capacities</w:t>
      </w:r>
      <w:r w:rsidR="00BB5C1F" w:rsidRPr="00DE662D">
        <w:rPr>
          <w:lang w:val="en-GB"/>
        </w:rPr>
        <w:t>.</w:t>
      </w:r>
    </w:p>
    <w:p w14:paraId="417A0553" w14:textId="77777777" w:rsidR="0045228C" w:rsidRPr="00DE662D" w:rsidRDefault="0045228C" w:rsidP="00C52A9B">
      <w:pPr>
        <w:pStyle w:val="ListParagraph"/>
        <w:ind w:left="1134" w:right="1208"/>
        <w:contextualSpacing/>
        <w:jc w:val="both"/>
        <w:rPr>
          <w:sz w:val="12"/>
          <w:szCs w:val="12"/>
          <w:lang w:val="en-GB"/>
        </w:rPr>
      </w:pPr>
    </w:p>
    <w:p w14:paraId="012B1D8B" w14:textId="5AC0C341" w:rsidR="000305C9" w:rsidRPr="00A42676" w:rsidRDefault="0045228C" w:rsidP="000305C9">
      <w:pPr>
        <w:pStyle w:val="ListParagraph"/>
        <w:numPr>
          <w:ilvl w:val="0"/>
          <w:numId w:val="5"/>
        </w:numPr>
        <w:ind w:left="1134" w:right="1208" w:firstLine="0"/>
        <w:contextualSpacing/>
        <w:jc w:val="both"/>
        <w:rPr>
          <w:lang w:val="en-GB"/>
        </w:rPr>
      </w:pPr>
      <w:r w:rsidRPr="00DE662D">
        <w:rPr>
          <w:lang w:val="en-GB"/>
        </w:rPr>
        <w:t xml:space="preserve">UNDP will promote </w:t>
      </w:r>
      <w:r w:rsidR="00224108" w:rsidRPr="00DE662D">
        <w:rPr>
          <w:lang w:val="en-GB"/>
        </w:rPr>
        <w:t xml:space="preserve">a </w:t>
      </w:r>
      <w:r w:rsidRPr="00DE662D">
        <w:rPr>
          <w:lang w:val="en-GB"/>
        </w:rPr>
        <w:t xml:space="preserve">regional service delivery model with appropriate tailoring of </w:t>
      </w:r>
      <w:r w:rsidR="00864176" w:rsidRPr="00DE662D">
        <w:rPr>
          <w:lang w:val="en-GB"/>
        </w:rPr>
        <w:t xml:space="preserve">a </w:t>
      </w:r>
      <w:r w:rsidRPr="00DE662D">
        <w:rPr>
          <w:lang w:val="en-GB"/>
        </w:rPr>
        <w:t xml:space="preserve">regional offer to country-level circumstances. Regional projects will frame shared development issues and seek locally appropriate solutions to ensure </w:t>
      </w:r>
      <w:r w:rsidR="00BA7275" w:rsidRPr="004435B3">
        <w:rPr>
          <w:lang w:val="en-GB"/>
        </w:rPr>
        <w:t xml:space="preserve">the </w:t>
      </w:r>
      <w:r w:rsidRPr="00DE662D">
        <w:rPr>
          <w:lang w:val="en-GB"/>
        </w:rPr>
        <w:t>cost</w:t>
      </w:r>
      <w:r w:rsidR="00224108" w:rsidRPr="00DE662D">
        <w:rPr>
          <w:lang w:val="en-GB"/>
        </w:rPr>
        <w:t>-</w:t>
      </w:r>
      <w:r w:rsidRPr="00DE662D">
        <w:rPr>
          <w:lang w:val="en-GB"/>
        </w:rPr>
        <w:t xml:space="preserve">effectiveness of UNDP support, promote </w:t>
      </w:r>
      <w:r w:rsidR="00BA7275" w:rsidRPr="004435B3">
        <w:rPr>
          <w:lang w:val="en-GB"/>
        </w:rPr>
        <w:t>S</w:t>
      </w:r>
      <w:r w:rsidRPr="00DE662D">
        <w:rPr>
          <w:lang w:val="en-GB"/>
        </w:rPr>
        <w:t>outh-</w:t>
      </w:r>
      <w:r w:rsidR="00BA7275" w:rsidRPr="004435B3">
        <w:rPr>
          <w:lang w:val="en-GB"/>
        </w:rPr>
        <w:t>S</w:t>
      </w:r>
      <w:r w:rsidRPr="00DE662D">
        <w:rPr>
          <w:lang w:val="en-GB"/>
        </w:rPr>
        <w:t>outh links and knowledge</w:t>
      </w:r>
      <w:r w:rsidR="00BA7275" w:rsidRPr="004435B3">
        <w:rPr>
          <w:lang w:val="en-GB"/>
        </w:rPr>
        <w:t>-</w:t>
      </w:r>
      <w:r w:rsidR="002B45D3" w:rsidRPr="00DE662D">
        <w:rPr>
          <w:lang w:val="en-GB"/>
        </w:rPr>
        <w:t>sharing</w:t>
      </w:r>
      <w:r w:rsidRPr="00DE662D">
        <w:rPr>
          <w:lang w:val="en-GB"/>
        </w:rPr>
        <w:t xml:space="preserve"> within the </w:t>
      </w:r>
      <w:r w:rsidR="00FE6735" w:rsidRPr="00DE662D">
        <w:rPr>
          <w:lang w:val="en-GB"/>
        </w:rPr>
        <w:t>subregion</w:t>
      </w:r>
      <w:r w:rsidR="00461D5A" w:rsidRPr="00DE662D">
        <w:rPr>
          <w:lang w:val="en-GB"/>
        </w:rPr>
        <w:t>,</w:t>
      </w:r>
      <w:r w:rsidRPr="00DE662D">
        <w:rPr>
          <w:lang w:val="en-GB"/>
        </w:rPr>
        <w:t xml:space="preserve"> and address the risks associated with disjointed programming in a diverse multi-country context.</w:t>
      </w:r>
      <w:r w:rsidR="00461D5A" w:rsidRPr="00DE662D">
        <w:rPr>
          <w:lang w:val="en-GB"/>
        </w:rPr>
        <w:t xml:space="preserve"> </w:t>
      </w:r>
      <w:r w:rsidR="00B90EC9" w:rsidRPr="00DE662D">
        <w:rPr>
          <w:lang w:val="en-GB"/>
        </w:rPr>
        <w:t>T</w:t>
      </w:r>
      <w:r w:rsidR="00EB2728" w:rsidRPr="00DE662D">
        <w:rPr>
          <w:lang w:val="en-GB"/>
        </w:rPr>
        <w:t xml:space="preserve">he capacities of the Pacific </w:t>
      </w:r>
      <w:r w:rsidR="004534E7" w:rsidRPr="00DE662D">
        <w:rPr>
          <w:lang w:val="en-GB"/>
        </w:rPr>
        <w:t xml:space="preserve">office </w:t>
      </w:r>
      <w:r w:rsidR="00EB2728" w:rsidRPr="00DE662D">
        <w:rPr>
          <w:lang w:val="en-GB"/>
        </w:rPr>
        <w:t xml:space="preserve">in Fiji and </w:t>
      </w:r>
      <w:r w:rsidR="004534E7">
        <w:rPr>
          <w:lang w:val="en-GB"/>
        </w:rPr>
        <w:t xml:space="preserve">the </w:t>
      </w:r>
      <w:r w:rsidR="00EB2728" w:rsidRPr="00DE662D">
        <w:rPr>
          <w:lang w:val="en-GB"/>
        </w:rPr>
        <w:t xml:space="preserve">Samoa </w:t>
      </w:r>
      <w:r w:rsidR="00BA7275" w:rsidRPr="004435B3">
        <w:rPr>
          <w:lang w:val="en-GB"/>
        </w:rPr>
        <w:t>m</w:t>
      </w:r>
      <w:r w:rsidRPr="00A42676">
        <w:rPr>
          <w:lang w:val="en-GB"/>
        </w:rPr>
        <w:t>ulti-</w:t>
      </w:r>
      <w:r w:rsidR="00BA7275" w:rsidRPr="004435B3">
        <w:rPr>
          <w:lang w:val="en-GB"/>
        </w:rPr>
        <w:t>c</w:t>
      </w:r>
      <w:r w:rsidRPr="00A42676">
        <w:rPr>
          <w:lang w:val="en-GB"/>
        </w:rPr>
        <w:t xml:space="preserve">ountry </w:t>
      </w:r>
      <w:r w:rsidR="00BA7275" w:rsidRPr="004435B3">
        <w:rPr>
          <w:lang w:val="en-GB"/>
        </w:rPr>
        <w:t>o</w:t>
      </w:r>
      <w:r w:rsidRPr="00A42676">
        <w:rPr>
          <w:lang w:val="en-GB"/>
        </w:rPr>
        <w:t>ffice</w:t>
      </w:r>
      <w:r w:rsidR="00EB2728" w:rsidRPr="00A42676">
        <w:rPr>
          <w:lang w:val="en-GB"/>
        </w:rPr>
        <w:t xml:space="preserve"> will be </w:t>
      </w:r>
      <w:r w:rsidRPr="00A42676">
        <w:rPr>
          <w:lang w:val="en-GB"/>
        </w:rPr>
        <w:t xml:space="preserve">increasingly pooled </w:t>
      </w:r>
      <w:r w:rsidR="00EB2728" w:rsidRPr="00A42676">
        <w:rPr>
          <w:lang w:val="en-GB"/>
        </w:rPr>
        <w:t xml:space="preserve">to deliver programme and policy advisory services at country, multi-country and </w:t>
      </w:r>
      <w:r w:rsidR="00FE6735" w:rsidRPr="00A42676">
        <w:rPr>
          <w:lang w:val="en-GB"/>
        </w:rPr>
        <w:t>subregion</w:t>
      </w:r>
      <w:r w:rsidR="00EB2728" w:rsidRPr="00A42676">
        <w:rPr>
          <w:lang w:val="en-GB"/>
        </w:rPr>
        <w:t>al levels.</w:t>
      </w:r>
    </w:p>
    <w:p w14:paraId="6E190F8C" w14:textId="77777777" w:rsidR="000305C9" w:rsidRPr="00A42676" w:rsidRDefault="000305C9" w:rsidP="000305C9">
      <w:pPr>
        <w:pStyle w:val="ListParagraph"/>
        <w:ind w:left="1134" w:right="1208"/>
        <w:contextualSpacing/>
        <w:jc w:val="both"/>
        <w:rPr>
          <w:sz w:val="12"/>
          <w:szCs w:val="12"/>
          <w:lang w:val="en-GB"/>
        </w:rPr>
      </w:pPr>
    </w:p>
    <w:p w14:paraId="52765496" w14:textId="41BC404F" w:rsidR="00AE6AD4" w:rsidRPr="00A42676" w:rsidRDefault="00AE6AD4" w:rsidP="000305C9">
      <w:pPr>
        <w:pStyle w:val="ListParagraph"/>
        <w:numPr>
          <w:ilvl w:val="0"/>
          <w:numId w:val="5"/>
        </w:numPr>
        <w:ind w:left="1134" w:right="1208" w:firstLine="0"/>
        <w:contextualSpacing/>
        <w:jc w:val="both"/>
        <w:rPr>
          <w:lang w:val="en-GB"/>
        </w:rPr>
      </w:pPr>
      <w:r w:rsidRPr="00A42676">
        <w:rPr>
          <w:lang w:val="en-GB"/>
        </w:rPr>
        <w:t xml:space="preserve">The UNDP programme promotes an evidence-based analysis of </w:t>
      </w:r>
      <w:r w:rsidR="004F28C6">
        <w:rPr>
          <w:lang w:val="en-GB"/>
        </w:rPr>
        <w:t xml:space="preserve">the </w:t>
      </w:r>
      <w:r w:rsidRPr="00A42676">
        <w:rPr>
          <w:lang w:val="en-GB"/>
        </w:rPr>
        <w:t xml:space="preserve">interdependence of sectoral and thematic issues to ensure an integrated approach that identifies solutions and targets to unlock progress across a range of development goals. This approach will encompass people-centred programme design, social and behavioral innovation, and </w:t>
      </w:r>
      <w:r w:rsidR="004F28C6">
        <w:rPr>
          <w:lang w:val="en-GB"/>
        </w:rPr>
        <w:t xml:space="preserve">the </w:t>
      </w:r>
      <w:r w:rsidRPr="00A42676">
        <w:rPr>
          <w:lang w:val="en-GB"/>
        </w:rPr>
        <w:t>use of appropriate technologies and data. It will be supported by multi-disciplinary teams drawing on contributions from UNDP,</w:t>
      </w:r>
      <w:r w:rsidR="00BA7275" w:rsidRPr="004435B3">
        <w:rPr>
          <w:lang w:val="en-GB"/>
        </w:rPr>
        <w:t xml:space="preserve"> United Nations</w:t>
      </w:r>
      <w:r w:rsidRPr="00A42676">
        <w:rPr>
          <w:lang w:val="en-GB"/>
        </w:rPr>
        <w:t xml:space="preserve"> and development partner experts, think-tanks, academia and communities.</w:t>
      </w:r>
    </w:p>
    <w:p w14:paraId="2097E512" w14:textId="77777777" w:rsidR="00AE6AD4" w:rsidRPr="00A42676" w:rsidRDefault="00AE6AD4" w:rsidP="0045228C">
      <w:pPr>
        <w:pStyle w:val="ListParagraph"/>
        <w:ind w:left="1134" w:right="1208"/>
        <w:contextualSpacing/>
        <w:jc w:val="both"/>
        <w:rPr>
          <w:sz w:val="12"/>
          <w:szCs w:val="12"/>
          <w:lang w:val="en-GB"/>
        </w:rPr>
      </w:pPr>
    </w:p>
    <w:p w14:paraId="7E3BB090" w14:textId="6724E8FE" w:rsidR="00B90EC9" w:rsidRPr="00A42676" w:rsidRDefault="0045228C" w:rsidP="00BE607A">
      <w:pPr>
        <w:pStyle w:val="ListParagraph"/>
        <w:numPr>
          <w:ilvl w:val="0"/>
          <w:numId w:val="5"/>
        </w:numPr>
        <w:ind w:left="1134" w:right="1208" w:firstLine="0"/>
        <w:contextualSpacing/>
        <w:jc w:val="both"/>
        <w:rPr>
          <w:lang w:val="en-GB"/>
        </w:rPr>
      </w:pPr>
      <w:r w:rsidRPr="00A42676">
        <w:rPr>
          <w:lang w:val="en-GB"/>
        </w:rPr>
        <w:t>I</w:t>
      </w:r>
      <w:r w:rsidR="00241EB1" w:rsidRPr="00A42676">
        <w:rPr>
          <w:lang w:val="en-GB"/>
        </w:rPr>
        <w:t>ncreas</w:t>
      </w:r>
      <w:r w:rsidR="00EB2728" w:rsidRPr="00A42676">
        <w:rPr>
          <w:lang w:val="en-GB"/>
        </w:rPr>
        <w:t>ing</w:t>
      </w:r>
      <w:r w:rsidR="00241EB1" w:rsidRPr="00A42676">
        <w:rPr>
          <w:lang w:val="en-GB"/>
        </w:rPr>
        <w:t xml:space="preserve"> demand </w:t>
      </w:r>
      <w:r w:rsidR="00BA7275" w:rsidRPr="004435B3">
        <w:rPr>
          <w:lang w:val="en-GB"/>
        </w:rPr>
        <w:t>for</w:t>
      </w:r>
      <w:r w:rsidR="00BA7275" w:rsidRPr="00A42676">
        <w:rPr>
          <w:lang w:val="en-GB"/>
        </w:rPr>
        <w:t xml:space="preserve"> </w:t>
      </w:r>
      <w:r w:rsidR="00241EB1" w:rsidRPr="00A42676">
        <w:rPr>
          <w:lang w:val="en-GB"/>
        </w:rPr>
        <w:t xml:space="preserve">UNDP services </w:t>
      </w:r>
      <w:r w:rsidRPr="00A42676">
        <w:rPr>
          <w:lang w:val="en-GB"/>
        </w:rPr>
        <w:t xml:space="preserve">carries </w:t>
      </w:r>
      <w:r w:rsidR="004F28C6">
        <w:rPr>
          <w:lang w:val="en-GB"/>
        </w:rPr>
        <w:t>the</w:t>
      </w:r>
      <w:r w:rsidR="004F28C6" w:rsidRPr="00A42676">
        <w:rPr>
          <w:lang w:val="en-GB"/>
        </w:rPr>
        <w:t xml:space="preserve"> </w:t>
      </w:r>
      <w:r w:rsidRPr="00A42676">
        <w:rPr>
          <w:lang w:val="en-GB"/>
        </w:rPr>
        <w:t xml:space="preserve">risk of straining </w:t>
      </w:r>
      <w:r w:rsidR="00241EB1" w:rsidRPr="00A42676">
        <w:rPr>
          <w:lang w:val="en-GB"/>
        </w:rPr>
        <w:t>organization</w:t>
      </w:r>
      <w:r w:rsidRPr="00A42676">
        <w:rPr>
          <w:lang w:val="en-GB"/>
        </w:rPr>
        <w:t>al</w:t>
      </w:r>
      <w:r w:rsidR="00241EB1" w:rsidRPr="00A42676">
        <w:rPr>
          <w:lang w:val="en-GB"/>
        </w:rPr>
        <w:t xml:space="preserve"> </w:t>
      </w:r>
      <w:r w:rsidR="004F28C6">
        <w:rPr>
          <w:lang w:val="en-GB"/>
        </w:rPr>
        <w:t xml:space="preserve">response </w:t>
      </w:r>
      <w:r w:rsidR="00141433" w:rsidRPr="00A42676">
        <w:rPr>
          <w:lang w:val="en-GB"/>
        </w:rPr>
        <w:t>capacities</w:t>
      </w:r>
      <w:r w:rsidR="00241EB1" w:rsidRPr="00A42676">
        <w:rPr>
          <w:lang w:val="en-GB"/>
        </w:rPr>
        <w:t xml:space="preserve">. UNDP will review its operations and identify ways </w:t>
      </w:r>
      <w:r w:rsidR="004F28C6">
        <w:rPr>
          <w:lang w:val="en-GB"/>
        </w:rPr>
        <w:t>of</w:t>
      </w:r>
      <w:r w:rsidR="004F28C6" w:rsidRPr="00A42676">
        <w:rPr>
          <w:lang w:val="en-GB"/>
        </w:rPr>
        <w:t xml:space="preserve"> </w:t>
      </w:r>
      <w:r w:rsidR="00241EB1" w:rsidRPr="00A42676">
        <w:rPr>
          <w:lang w:val="en-GB"/>
        </w:rPr>
        <w:t>respond</w:t>
      </w:r>
      <w:r w:rsidR="004F28C6">
        <w:rPr>
          <w:lang w:val="en-GB"/>
        </w:rPr>
        <w:t>ing</w:t>
      </w:r>
      <w:r w:rsidR="00241EB1" w:rsidRPr="00A42676">
        <w:rPr>
          <w:lang w:val="en-GB"/>
        </w:rPr>
        <w:t xml:space="preserve"> to demands without affecting programme quality or delivery. To strengthen programmatic </w:t>
      </w:r>
      <w:r w:rsidR="00141F31" w:rsidRPr="00A42676">
        <w:rPr>
          <w:lang w:val="en-GB"/>
        </w:rPr>
        <w:t>coherence, UNDP will work across programmes</w:t>
      </w:r>
      <w:r w:rsidR="0036039A" w:rsidRPr="00A42676">
        <w:rPr>
          <w:lang w:val="en-GB"/>
        </w:rPr>
        <w:t xml:space="preserve"> and themes</w:t>
      </w:r>
      <w:r w:rsidR="00141F31" w:rsidRPr="00A42676">
        <w:rPr>
          <w:lang w:val="en-GB"/>
        </w:rPr>
        <w:t xml:space="preserve"> </w:t>
      </w:r>
      <w:r w:rsidR="002B0AB5" w:rsidRPr="00A42676">
        <w:rPr>
          <w:lang w:val="en-GB"/>
        </w:rPr>
        <w:t>to provide</w:t>
      </w:r>
      <w:r w:rsidR="00141F31" w:rsidRPr="00A42676">
        <w:rPr>
          <w:lang w:val="en-GB"/>
        </w:rPr>
        <w:t xml:space="preserve"> integrated development solutions.</w:t>
      </w:r>
      <w:r w:rsidR="00241EB1" w:rsidRPr="00A42676">
        <w:rPr>
          <w:lang w:val="en-GB"/>
        </w:rPr>
        <w:t xml:space="preserve"> </w:t>
      </w:r>
      <w:r w:rsidR="00E6785B" w:rsidRPr="00A42676">
        <w:rPr>
          <w:lang w:val="en-GB"/>
        </w:rPr>
        <w:t xml:space="preserve">Interdisciplinary teams will work on </w:t>
      </w:r>
      <w:r w:rsidR="004F28C6">
        <w:rPr>
          <w:lang w:val="en-GB"/>
        </w:rPr>
        <w:t>issues</w:t>
      </w:r>
      <w:r w:rsidR="004F28C6" w:rsidRPr="00A42676">
        <w:rPr>
          <w:lang w:val="en-GB"/>
        </w:rPr>
        <w:t xml:space="preserve"> </w:t>
      </w:r>
      <w:r w:rsidR="00E6785B" w:rsidRPr="00A42676">
        <w:rPr>
          <w:lang w:val="en-GB"/>
        </w:rPr>
        <w:t>such as youth, local service delivery, risk governance</w:t>
      </w:r>
      <w:r w:rsidR="004F28C6">
        <w:rPr>
          <w:lang w:val="en-GB"/>
        </w:rPr>
        <w:t>,</w:t>
      </w:r>
      <w:r w:rsidR="00E6785B" w:rsidRPr="00A42676">
        <w:rPr>
          <w:lang w:val="en-GB"/>
        </w:rPr>
        <w:t xml:space="preserve"> and </w:t>
      </w:r>
      <w:r w:rsidR="0013129F" w:rsidRPr="00A42676">
        <w:rPr>
          <w:lang w:val="en-GB"/>
        </w:rPr>
        <w:t>financing for development</w:t>
      </w:r>
      <w:r w:rsidR="00B90EC9" w:rsidRPr="00A42676">
        <w:rPr>
          <w:lang w:val="en-GB"/>
        </w:rPr>
        <w:t>.</w:t>
      </w:r>
    </w:p>
    <w:p w14:paraId="52F17A06" w14:textId="77777777" w:rsidR="00B90EC9" w:rsidRPr="00A42676" w:rsidRDefault="00B90EC9" w:rsidP="00BE607A">
      <w:pPr>
        <w:ind w:right="1208"/>
        <w:contextualSpacing/>
        <w:jc w:val="both"/>
        <w:rPr>
          <w:sz w:val="12"/>
          <w:szCs w:val="12"/>
          <w:lang w:val="en-GB"/>
        </w:rPr>
      </w:pPr>
    </w:p>
    <w:p w14:paraId="14E31FCF" w14:textId="0F3BC2E4" w:rsidR="00B25100" w:rsidRPr="00A42676" w:rsidRDefault="00B25100" w:rsidP="00B25100">
      <w:pPr>
        <w:pStyle w:val="ListParagraph"/>
        <w:numPr>
          <w:ilvl w:val="0"/>
          <w:numId w:val="5"/>
        </w:numPr>
        <w:ind w:left="1134" w:right="1208" w:firstLine="0"/>
        <w:contextualSpacing/>
        <w:jc w:val="both"/>
        <w:rPr>
          <w:lang w:val="en-GB"/>
        </w:rPr>
      </w:pPr>
      <w:r w:rsidRPr="00A42676">
        <w:rPr>
          <w:lang w:val="en-GB"/>
        </w:rPr>
        <w:lastRenderedPageBreak/>
        <w:t xml:space="preserve">UNDP will strengthen partnerships and systematically engage with governments, </w:t>
      </w:r>
      <w:r w:rsidR="00BA7275" w:rsidRPr="004435B3">
        <w:rPr>
          <w:lang w:val="en-GB"/>
        </w:rPr>
        <w:t xml:space="preserve">the </w:t>
      </w:r>
      <w:r w:rsidRPr="00A42676">
        <w:rPr>
          <w:lang w:val="en-GB"/>
        </w:rPr>
        <w:t>private sector and other partners to ensure commitment to implement</w:t>
      </w:r>
      <w:r w:rsidR="00BA7275" w:rsidRPr="004435B3">
        <w:rPr>
          <w:lang w:val="en-GB"/>
        </w:rPr>
        <w:t>ing</w:t>
      </w:r>
      <w:r w:rsidRPr="00A42676">
        <w:rPr>
          <w:lang w:val="en-GB"/>
        </w:rPr>
        <w:t xml:space="preserve"> the </w:t>
      </w:r>
      <w:r w:rsidR="00BA7275" w:rsidRPr="004435B3">
        <w:rPr>
          <w:lang w:val="en-GB"/>
        </w:rPr>
        <w:t>s</w:t>
      </w:r>
      <w:r w:rsidRPr="00A42676">
        <w:rPr>
          <w:lang w:val="en-GB"/>
        </w:rPr>
        <w:t xml:space="preserve">ustainable </w:t>
      </w:r>
      <w:r w:rsidR="00BA7275" w:rsidRPr="004435B3">
        <w:rPr>
          <w:lang w:val="en-GB"/>
        </w:rPr>
        <w:t>d</w:t>
      </w:r>
      <w:r w:rsidRPr="00A42676">
        <w:rPr>
          <w:lang w:val="en-GB"/>
        </w:rPr>
        <w:t xml:space="preserve">evelopment </w:t>
      </w:r>
      <w:r w:rsidR="00BA7275" w:rsidRPr="004435B3">
        <w:rPr>
          <w:lang w:val="en-GB"/>
        </w:rPr>
        <w:t>g</w:t>
      </w:r>
      <w:r w:rsidRPr="00A42676">
        <w:rPr>
          <w:lang w:val="en-GB"/>
        </w:rPr>
        <w:t xml:space="preserve">oals. </w:t>
      </w:r>
      <w:r w:rsidR="00BA7275" w:rsidRPr="004435B3">
        <w:rPr>
          <w:lang w:val="en-GB"/>
        </w:rPr>
        <w:t>It</w:t>
      </w:r>
      <w:r w:rsidR="00BA7275" w:rsidRPr="00A42676">
        <w:rPr>
          <w:lang w:val="en-GB"/>
        </w:rPr>
        <w:t xml:space="preserve"> </w:t>
      </w:r>
      <w:r w:rsidRPr="00A42676">
        <w:rPr>
          <w:lang w:val="en-GB"/>
        </w:rPr>
        <w:t>will engage with civil society, wh</w:t>
      </w:r>
      <w:r w:rsidR="00BA7275" w:rsidRPr="004435B3">
        <w:rPr>
          <w:lang w:val="en-GB"/>
        </w:rPr>
        <w:t>ich</w:t>
      </w:r>
      <w:r w:rsidRPr="00A42676">
        <w:rPr>
          <w:lang w:val="en-GB"/>
        </w:rPr>
        <w:t xml:space="preserve"> plays a </w:t>
      </w:r>
      <w:r w:rsidR="00BA7275" w:rsidRPr="00A42676">
        <w:rPr>
          <w:lang w:val="en-GB"/>
        </w:rPr>
        <w:t>cr</w:t>
      </w:r>
      <w:r w:rsidR="00BA7275" w:rsidRPr="004435B3">
        <w:rPr>
          <w:lang w:val="en-GB"/>
        </w:rPr>
        <w:t>uci</w:t>
      </w:r>
      <w:r w:rsidR="00BA7275" w:rsidRPr="00A42676">
        <w:rPr>
          <w:lang w:val="en-GB"/>
        </w:rPr>
        <w:t xml:space="preserve">al </w:t>
      </w:r>
      <w:r w:rsidRPr="00A42676">
        <w:rPr>
          <w:lang w:val="en-GB"/>
        </w:rPr>
        <w:t>role in enhancing voice and participation, and in supporting community resilience during disasters.</w:t>
      </w:r>
    </w:p>
    <w:p w14:paraId="684803B1" w14:textId="77777777" w:rsidR="00B25100" w:rsidRPr="00A42676" w:rsidRDefault="00B25100" w:rsidP="00B25100">
      <w:pPr>
        <w:ind w:right="1208"/>
        <w:contextualSpacing/>
        <w:jc w:val="both"/>
        <w:rPr>
          <w:sz w:val="12"/>
          <w:szCs w:val="12"/>
          <w:lang w:val="en-GB"/>
        </w:rPr>
      </w:pPr>
    </w:p>
    <w:p w14:paraId="2DC27FAF" w14:textId="5AAA1986" w:rsidR="00B25100" w:rsidRPr="00D07945" w:rsidRDefault="00B25100" w:rsidP="00B25100">
      <w:pPr>
        <w:pStyle w:val="ListParagraph"/>
        <w:numPr>
          <w:ilvl w:val="0"/>
          <w:numId w:val="5"/>
        </w:numPr>
        <w:ind w:left="1134" w:right="1208" w:firstLine="0"/>
        <w:contextualSpacing/>
        <w:jc w:val="both"/>
        <w:rPr>
          <w:lang w:val="en-GB"/>
        </w:rPr>
      </w:pPr>
      <w:r w:rsidRPr="00A42676">
        <w:rPr>
          <w:lang w:val="en-GB"/>
        </w:rPr>
        <w:t xml:space="preserve">Resource mobilization efforts will focus on ensuring the sustainability of the programme with a diverse donor base. </w:t>
      </w:r>
      <w:r w:rsidR="00BA7275" w:rsidRPr="004435B3">
        <w:rPr>
          <w:lang w:val="en-GB"/>
        </w:rPr>
        <w:t>R</w:t>
      </w:r>
      <w:r w:rsidRPr="00A42676">
        <w:rPr>
          <w:lang w:val="en-GB"/>
        </w:rPr>
        <w:t xml:space="preserve">egular </w:t>
      </w:r>
      <w:r w:rsidR="00BA7275" w:rsidRPr="004435B3">
        <w:rPr>
          <w:lang w:val="en-GB"/>
        </w:rPr>
        <w:t xml:space="preserve">UNDP </w:t>
      </w:r>
      <w:r w:rsidRPr="00A42676">
        <w:rPr>
          <w:lang w:val="en-GB"/>
        </w:rPr>
        <w:t xml:space="preserve">resources will be </w:t>
      </w:r>
      <w:r w:rsidR="00BA7275" w:rsidRPr="004435B3">
        <w:rPr>
          <w:lang w:val="en-GB"/>
        </w:rPr>
        <w:t xml:space="preserve">strategically </w:t>
      </w:r>
      <w:r w:rsidRPr="00A42676">
        <w:rPr>
          <w:lang w:val="en-GB"/>
        </w:rPr>
        <w:t xml:space="preserve">allocated to leverage other resources. Funding partnerships with Australia, </w:t>
      </w:r>
      <w:r w:rsidR="00BA7275" w:rsidRPr="004435B3">
        <w:rPr>
          <w:lang w:val="en-GB"/>
        </w:rPr>
        <w:t xml:space="preserve">the European Union, Japan, and </w:t>
      </w:r>
      <w:r w:rsidRPr="00A42676">
        <w:rPr>
          <w:lang w:val="en-GB"/>
        </w:rPr>
        <w:t xml:space="preserve">New Zealand will remain essential in areas of shared interest, while new partnerships, such as with global vertical funds, China, India and </w:t>
      </w:r>
      <w:r w:rsidR="00BA7275" w:rsidRPr="004435B3">
        <w:rPr>
          <w:lang w:val="en-GB"/>
        </w:rPr>
        <w:t xml:space="preserve">the </w:t>
      </w:r>
      <w:r w:rsidRPr="00D07945">
        <w:rPr>
          <w:lang w:val="en-GB"/>
        </w:rPr>
        <w:t>Russian Federation, will be further pursued.</w:t>
      </w:r>
      <w:r w:rsidR="00FE2EE6" w:rsidRPr="00D07945">
        <w:rPr>
          <w:lang w:val="en-GB"/>
        </w:rPr>
        <w:t xml:space="preserve"> Diversification of </w:t>
      </w:r>
      <w:r w:rsidR="00BA7275" w:rsidRPr="004435B3">
        <w:rPr>
          <w:lang w:val="en-GB"/>
        </w:rPr>
        <w:t xml:space="preserve">the </w:t>
      </w:r>
      <w:r w:rsidR="00FE2EE6" w:rsidRPr="00D07945">
        <w:rPr>
          <w:lang w:val="en-GB"/>
        </w:rPr>
        <w:t>funding base will help mitigate the risk of reductions in regular resource</w:t>
      </w:r>
      <w:r w:rsidR="00BA7275" w:rsidRPr="004435B3">
        <w:rPr>
          <w:lang w:val="en-GB"/>
        </w:rPr>
        <w:t>s</w:t>
      </w:r>
      <w:r w:rsidR="00FE2EE6" w:rsidRPr="00D07945">
        <w:rPr>
          <w:lang w:val="en-GB"/>
        </w:rPr>
        <w:t>.</w:t>
      </w:r>
    </w:p>
    <w:p w14:paraId="19A92302" w14:textId="77777777" w:rsidR="00B25100" w:rsidRPr="00D07945" w:rsidRDefault="00B25100" w:rsidP="00B25100">
      <w:pPr>
        <w:pStyle w:val="ListParagraph"/>
        <w:rPr>
          <w:sz w:val="12"/>
          <w:szCs w:val="12"/>
          <w:lang w:val="en-GB"/>
        </w:rPr>
      </w:pPr>
    </w:p>
    <w:p w14:paraId="08B0D3AE" w14:textId="604C938C" w:rsidR="00241EB1" w:rsidRPr="00D07945" w:rsidRDefault="00241EB1" w:rsidP="00BE607A">
      <w:pPr>
        <w:pStyle w:val="ListParagraph"/>
        <w:numPr>
          <w:ilvl w:val="0"/>
          <w:numId w:val="5"/>
        </w:numPr>
        <w:ind w:left="1134" w:right="1208" w:firstLine="0"/>
        <w:contextualSpacing/>
        <w:jc w:val="both"/>
        <w:rPr>
          <w:lang w:val="en-GB"/>
        </w:rPr>
      </w:pPr>
      <w:r w:rsidRPr="00D07945">
        <w:rPr>
          <w:lang w:val="en-GB"/>
        </w:rPr>
        <w:t>To strengthen local technical capacity, innovation, knowledge management and the scaling</w:t>
      </w:r>
      <w:r w:rsidR="0013129F" w:rsidRPr="00D07945">
        <w:rPr>
          <w:lang w:val="en-GB"/>
        </w:rPr>
        <w:t>-</w:t>
      </w:r>
      <w:r w:rsidRPr="00D07945">
        <w:rPr>
          <w:lang w:val="en-GB"/>
        </w:rPr>
        <w:t xml:space="preserve">up of actions, </w:t>
      </w:r>
      <w:r w:rsidR="00C265EF" w:rsidRPr="004435B3">
        <w:rPr>
          <w:lang w:val="en-GB"/>
        </w:rPr>
        <w:t>S</w:t>
      </w:r>
      <w:r w:rsidRPr="00D07945">
        <w:rPr>
          <w:lang w:val="en-GB"/>
        </w:rPr>
        <w:t>outh-</w:t>
      </w:r>
      <w:r w:rsidR="00C265EF" w:rsidRPr="004435B3">
        <w:rPr>
          <w:lang w:val="en-GB"/>
        </w:rPr>
        <w:t>S</w:t>
      </w:r>
      <w:r w:rsidRPr="00D07945">
        <w:rPr>
          <w:lang w:val="en-GB"/>
        </w:rPr>
        <w:t>outh and triangular cooperation will be promoted</w:t>
      </w:r>
      <w:r w:rsidR="002B45D3" w:rsidRPr="00D07945">
        <w:rPr>
          <w:lang w:val="en-GB"/>
        </w:rPr>
        <w:t xml:space="preserve"> across countries in Asia and the </w:t>
      </w:r>
      <w:r w:rsidR="008801A5" w:rsidRPr="00D07945">
        <w:rPr>
          <w:lang w:val="en-GB"/>
        </w:rPr>
        <w:t xml:space="preserve">Pacific and among </w:t>
      </w:r>
      <w:r w:rsidR="00C265EF" w:rsidRPr="004435B3">
        <w:rPr>
          <w:lang w:val="en-GB"/>
        </w:rPr>
        <w:t>small island developing States</w:t>
      </w:r>
      <w:r w:rsidR="00C265EF" w:rsidRPr="00D07945">
        <w:rPr>
          <w:lang w:val="en-GB"/>
        </w:rPr>
        <w:t xml:space="preserve"> </w:t>
      </w:r>
      <w:r w:rsidR="002B45D3" w:rsidRPr="00D07945">
        <w:rPr>
          <w:lang w:val="en-GB"/>
        </w:rPr>
        <w:t>facing similar challenges</w:t>
      </w:r>
      <w:r w:rsidRPr="00D07945">
        <w:rPr>
          <w:lang w:val="en-GB"/>
        </w:rPr>
        <w:t>.</w:t>
      </w:r>
      <w:r w:rsidR="00B90EC9" w:rsidRPr="00D07945">
        <w:rPr>
          <w:lang w:val="en-GB"/>
        </w:rPr>
        <w:t xml:space="preserve"> South-</w:t>
      </w:r>
      <w:r w:rsidR="00C265EF" w:rsidRPr="004435B3">
        <w:rPr>
          <w:lang w:val="en-GB"/>
        </w:rPr>
        <w:t>S</w:t>
      </w:r>
      <w:r w:rsidR="00B90EC9" w:rsidRPr="00D07945">
        <w:rPr>
          <w:lang w:val="en-GB"/>
        </w:rPr>
        <w:t xml:space="preserve">outh cooperation mechanisms will include pooling of country capacity for deployment within the </w:t>
      </w:r>
      <w:r w:rsidR="00FE6735" w:rsidRPr="00D07945">
        <w:rPr>
          <w:lang w:val="en-GB"/>
        </w:rPr>
        <w:t>subregion</w:t>
      </w:r>
      <w:r w:rsidR="00B90EC9" w:rsidRPr="00D07945">
        <w:rPr>
          <w:lang w:val="en-GB"/>
        </w:rPr>
        <w:t>, regional knowledge</w:t>
      </w:r>
      <w:r w:rsidR="004F28C6">
        <w:rPr>
          <w:lang w:val="en-GB"/>
        </w:rPr>
        <w:t>-</w:t>
      </w:r>
      <w:r w:rsidR="00B90EC9" w:rsidRPr="00D07945">
        <w:rPr>
          <w:lang w:val="en-GB"/>
        </w:rPr>
        <w:t xml:space="preserve">sharing and mutual support initiatives, and </w:t>
      </w:r>
      <w:r w:rsidR="00C265EF" w:rsidRPr="004435B3">
        <w:rPr>
          <w:lang w:val="en-GB"/>
        </w:rPr>
        <w:t>small island developing States</w:t>
      </w:r>
      <w:r w:rsidR="00B90EC9" w:rsidRPr="00D07945">
        <w:rPr>
          <w:lang w:val="en-GB"/>
        </w:rPr>
        <w:t xml:space="preserve"> outreach</w:t>
      </w:r>
      <w:r w:rsidR="004F28C6">
        <w:rPr>
          <w:lang w:val="en-GB"/>
        </w:rPr>
        <w:t>,</w:t>
      </w:r>
      <w:r w:rsidR="00B90EC9" w:rsidRPr="00D07945">
        <w:rPr>
          <w:lang w:val="en-GB"/>
        </w:rPr>
        <w:t xml:space="preserve"> focusing on </w:t>
      </w:r>
      <w:r w:rsidR="001876C1" w:rsidRPr="00D07945">
        <w:rPr>
          <w:lang w:val="en-GB"/>
        </w:rPr>
        <w:t xml:space="preserve">scaling up and </w:t>
      </w:r>
      <w:r w:rsidR="00B90EC9" w:rsidRPr="00D07945">
        <w:rPr>
          <w:lang w:val="en-GB"/>
        </w:rPr>
        <w:t>innovation.</w:t>
      </w:r>
    </w:p>
    <w:p w14:paraId="02B5666C" w14:textId="77777777" w:rsidR="001D6565" w:rsidRPr="00D07945" w:rsidRDefault="001D6565" w:rsidP="00BE607A">
      <w:pPr>
        <w:ind w:right="1208"/>
        <w:contextualSpacing/>
        <w:jc w:val="both"/>
        <w:rPr>
          <w:sz w:val="12"/>
          <w:szCs w:val="12"/>
          <w:lang w:val="en-GB"/>
        </w:rPr>
      </w:pPr>
    </w:p>
    <w:p w14:paraId="0426F728" w14:textId="1C40E137" w:rsidR="001D6565" w:rsidRPr="00D07945" w:rsidRDefault="001D6565" w:rsidP="00BE607A">
      <w:pPr>
        <w:pStyle w:val="ListParagraph"/>
        <w:numPr>
          <w:ilvl w:val="0"/>
          <w:numId w:val="5"/>
        </w:numPr>
        <w:ind w:left="1134" w:right="1208" w:firstLine="0"/>
        <w:contextualSpacing/>
        <w:jc w:val="both"/>
        <w:rPr>
          <w:lang w:val="en-GB"/>
        </w:rPr>
      </w:pPr>
      <w:r w:rsidRPr="00D07945">
        <w:rPr>
          <w:lang w:val="en-GB"/>
        </w:rPr>
        <w:t>To mitigate environmental and social risks, projects will undergo systematic reviews to ensure that risks are monitored and managed and safeguards are in place. Integrated, flexible and innovative design that meets UNDP quality standards</w:t>
      </w:r>
      <w:r w:rsidR="004F28C6">
        <w:rPr>
          <w:lang w:val="en-GB"/>
        </w:rPr>
        <w:t>,</w:t>
      </w:r>
      <w:r w:rsidRPr="00D07945">
        <w:rPr>
          <w:lang w:val="en-GB"/>
        </w:rPr>
        <w:t xml:space="preserve"> systems of data collection</w:t>
      </w:r>
      <w:r w:rsidR="004F28C6">
        <w:rPr>
          <w:lang w:val="en-GB"/>
        </w:rPr>
        <w:t>,</w:t>
      </w:r>
      <w:r w:rsidRPr="00D07945">
        <w:rPr>
          <w:lang w:val="en-GB"/>
        </w:rPr>
        <w:t xml:space="preserve"> evidence-based results reporting and communication will be emphasized. Lessons learned during implementation will be addressed</w:t>
      </w:r>
      <w:r w:rsidR="00C265EF" w:rsidRPr="004435B3">
        <w:rPr>
          <w:lang w:val="en-GB"/>
        </w:rPr>
        <w:t>,</w:t>
      </w:r>
      <w:r w:rsidRPr="00D07945">
        <w:rPr>
          <w:lang w:val="en-GB"/>
        </w:rPr>
        <w:t xml:space="preserve"> and successful initiatives will be scaled up.</w:t>
      </w:r>
    </w:p>
    <w:p w14:paraId="65E47CAB" w14:textId="77777777" w:rsidR="00241EB1" w:rsidRPr="00D07945" w:rsidRDefault="00241EB1" w:rsidP="00BE607A">
      <w:pPr>
        <w:ind w:right="1208"/>
        <w:contextualSpacing/>
        <w:jc w:val="both"/>
        <w:rPr>
          <w:sz w:val="12"/>
          <w:szCs w:val="12"/>
          <w:lang w:val="en-GB"/>
        </w:rPr>
      </w:pPr>
    </w:p>
    <w:p w14:paraId="098F935E" w14:textId="633B2236" w:rsidR="00B93176" w:rsidRPr="00D07945" w:rsidRDefault="00884E5B" w:rsidP="00BE607A">
      <w:pPr>
        <w:pStyle w:val="ListParagraph"/>
        <w:numPr>
          <w:ilvl w:val="0"/>
          <w:numId w:val="5"/>
        </w:numPr>
        <w:ind w:left="1134" w:right="1208" w:firstLine="0"/>
        <w:contextualSpacing/>
        <w:jc w:val="both"/>
        <w:rPr>
          <w:lang w:val="en-GB"/>
        </w:rPr>
      </w:pPr>
      <w:r w:rsidRPr="00D07945">
        <w:rPr>
          <w:lang w:val="en-GB"/>
        </w:rPr>
        <w:t>With the high risk of</w:t>
      </w:r>
      <w:r w:rsidR="00D1088E" w:rsidRPr="00D07945">
        <w:rPr>
          <w:lang w:val="en-GB"/>
        </w:rPr>
        <w:t xml:space="preserve"> disasters in the Pacific, UNDP will have in place a crisis preparedness and response action plan</w:t>
      </w:r>
      <w:r w:rsidR="004063D8" w:rsidRPr="00D07945">
        <w:rPr>
          <w:lang w:val="en-GB"/>
        </w:rPr>
        <w:t xml:space="preserve"> and </w:t>
      </w:r>
      <w:r w:rsidR="00D1088E" w:rsidRPr="00D07945">
        <w:rPr>
          <w:lang w:val="en-GB"/>
        </w:rPr>
        <w:t>a</w:t>
      </w:r>
      <w:r w:rsidR="00580B7F" w:rsidRPr="00D07945">
        <w:rPr>
          <w:lang w:val="en-GB"/>
        </w:rPr>
        <w:t xml:space="preserve"> business continuity plan</w:t>
      </w:r>
      <w:r w:rsidR="00D1088E" w:rsidRPr="00D07945">
        <w:rPr>
          <w:lang w:val="en-GB"/>
        </w:rPr>
        <w:t xml:space="preserve">. </w:t>
      </w:r>
      <w:r w:rsidR="00C265EF" w:rsidRPr="004435B3">
        <w:rPr>
          <w:lang w:val="en-GB"/>
        </w:rPr>
        <w:t>These</w:t>
      </w:r>
      <w:r w:rsidR="00C265EF" w:rsidRPr="00D07945">
        <w:rPr>
          <w:lang w:val="en-GB"/>
        </w:rPr>
        <w:t xml:space="preserve"> </w:t>
      </w:r>
      <w:r w:rsidR="00D1088E" w:rsidRPr="00D07945">
        <w:rPr>
          <w:lang w:val="en-GB"/>
        </w:rPr>
        <w:t>will enable UNDP to respond to cris</w:t>
      </w:r>
      <w:r w:rsidR="000146A6" w:rsidRPr="00D07945">
        <w:rPr>
          <w:lang w:val="en-GB"/>
        </w:rPr>
        <w:t>e</w:t>
      </w:r>
      <w:r w:rsidR="00D1088E" w:rsidRPr="00D07945">
        <w:rPr>
          <w:lang w:val="en-GB"/>
        </w:rPr>
        <w:t xml:space="preserve">s </w:t>
      </w:r>
      <w:r w:rsidR="00C265EF" w:rsidRPr="004435B3">
        <w:rPr>
          <w:lang w:val="en-GB"/>
        </w:rPr>
        <w:t>expeditiously and effectively</w:t>
      </w:r>
      <w:r w:rsidR="004F28C6">
        <w:rPr>
          <w:lang w:val="en-GB"/>
        </w:rPr>
        <w:t>,</w:t>
      </w:r>
      <w:r w:rsidR="00C265EF" w:rsidRPr="004435B3">
        <w:rPr>
          <w:lang w:val="en-GB"/>
        </w:rPr>
        <w:t xml:space="preserve"> </w:t>
      </w:r>
      <w:r w:rsidR="00D1088E" w:rsidRPr="00D07945">
        <w:rPr>
          <w:lang w:val="en-GB"/>
        </w:rPr>
        <w:t xml:space="preserve">and </w:t>
      </w:r>
      <w:r w:rsidR="004F28C6">
        <w:rPr>
          <w:lang w:val="en-GB"/>
        </w:rPr>
        <w:t xml:space="preserve">to </w:t>
      </w:r>
      <w:r w:rsidR="00D1088E" w:rsidRPr="00D07945">
        <w:rPr>
          <w:lang w:val="en-GB"/>
        </w:rPr>
        <w:t>operate with</w:t>
      </w:r>
      <w:r w:rsidR="00A73E5E" w:rsidRPr="00D07945">
        <w:rPr>
          <w:lang w:val="en-GB"/>
        </w:rPr>
        <w:t xml:space="preserve"> minimum</w:t>
      </w:r>
      <w:r w:rsidR="00D1088E" w:rsidRPr="00D07945">
        <w:rPr>
          <w:lang w:val="en-GB"/>
        </w:rPr>
        <w:t xml:space="preserve"> interruption. In the </w:t>
      </w:r>
      <w:r w:rsidR="00C265EF" w:rsidRPr="004435B3">
        <w:rPr>
          <w:lang w:val="en-GB"/>
        </w:rPr>
        <w:t>event</w:t>
      </w:r>
      <w:r w:rsidR="00C265EF" w:rsidRPr="00D07945">
        <w:rPr>
          <w:lang w:val="en-GB"/>
        </w:rPr>
        <w:t xml:space="preserve"> </w:t>
      </w:r>
      <w:r w:rsidR="00D1088E" w:rsidRPr="00D07945">
        <w:rPr>
          <w:lang w:val="en-GB"/>
        </w:rPr>
        <w:t>o</w:t>
      </w:r>
      <w:r w:rsidR="00580B7F" w:rsidRPr="00D07945">
        <w:rPr>
          <w:lang w:val="en-GB"/>
        </w:rPr>
        <w:t>f emergency, UNDP will use fast-</w:t>
      </w:r>
      <w:r w:rsidR="00D1088E" w:rsidRPr="00D07945">
        <w:rPr>
          <w:lang w:val="en-GB"/>
        </w:rPr>
        <w:t xml:space="preserve">track procedures </w:t>
      </w:r>
      <w:r w:rsidR="00C265EF" w:rsidRPr="004435B3">
        <w:rPr>
          <w:lang w:val="en-GB"/>
        </w:rPr>
        <w:t>to</w:t>
      </w:r>
      <w:r w:rsidR="00C265EF" w:rsidRPr="00D07945">
        <w:rPr>
          <w:lang w:val="en-GB"/>
        </w:rPr>
        <w:t xml:space="preserve"> </w:t>
      </w:r>
      <w:r w:rsidR="00D1088E" w:rsidRPr="00D07945">
        <w:rPr>
          <w:lang w:val="en-GB"/>
        </w:rPr>
        <w:t>efficiently manage emerging demands for support.</w:t>
      </w:r>
      <w:r w:rsidR="00E03466" w:rsidRPr="00D07945">
        <w:rPr>
          <w:lang w:val="en-GB"/>
        </w:rPr>
        <w:t xml:space="preserve"> </w:t>
      </w:r>
      <w:r w:rsidR="009C19C0" w:rsidRPr="00D07945">
        <w:rPr>
          <w:lang w:val="en-GB"/>
        </w:rPr>
        <w:t xml:space="preserve">In designing projects, </w:t>
      </w:r>
      <w:r w:rsidR="00E03466" w:rsidRPr="00D07945">
        <w:rPr>
          <w:lang w:val="en-GB"/>
        </w:rPr>
        <w:t>a risk-informed approach will be used</w:t>
      </w:r>
      <w:r w:rsidR="00894609" w:rsidRPr="00D07945">
        <w:rPr>
          <w:lang w:val="en-GB"/>
        </w:rPr>
        <w:t xml:space="preserve"> to </w:t>
      </w:r>
      <w:r w:rsidR="00F92518" w:rsidRPr="00D07945">
        <w:rPr>
          <w:lang w:val="en-GB"/>
        </w:rPr>
        <w:t xml:space="preserve">allow </w:t>
      </w:r>
      <w:r w:rsidR="009D186F" w:rsidRPr="00D07945">
        <w:rPr>
          <w:lang w:val="en-GB"/>
        </w:rPr>
        <w:t>reprogramm</w:t>
      </w:r>
      <w:r w:rsidR="00F92518" w:rsidRPr="00D07945">
        <w:rPr>
          <w:lang w:val="en-GB"/>
        </w:rPr>
        <w:t>ing</w:t>
      </w:r>
      <w:r w:rsidR="009D186F" w:rsidRPr="00D07945">
        <w:rPr>
          <w:lang w:val="en-GB"/>
        </w:rPr>
        <w:t xml:space="preserve"> for early recovery following disasters.</w:t>
      </w:r>
    </w:p>
    <w:p w14:paraId="64152CE0" w14:textId="77777777" w:rsidR="00FB48C2" w:rsidRPr="00D07945" w:rsidRDefault="00FB48C2" w:rsidP="00BE607A">
      <w:pPr>
        <w:ind w:right="1208"/>
        <w:contextualSpacing/>
        <w:jc w:val="both"/>
        <w:rPr>
          <w:sz w:val="12"/>
          <w:szCs w:val="12"/>
          <w:lang w:val="en-GB"/>
        </w:rPr>
      </w:pPr>
    </w:p>
    <w:p w14:paraId="1B678244" w14:textId="5267F882" w:rsidR="00B93176" w:rsidRPr="00D07945" w:rsidRDefault="0034784D" w:rsidP="00BE607A">
      <w:pPr>
        <w:pStyle w:val="ListParagraph"/>
        <w:numPr>
          <w:ilvl w:val="0"/>
          <w:numId w:val="5"/>
        </w:numPr>
        <w:ind w:left="1134" w:right="1208" w:firstLine="0"/>
        <w:contextualSpacing/>
        <w:jc w:val="both"/>
        <w:rPr>
          <w:lang w:val="en-GB"/>
        </w:rPr>
      </w:pPr>
      <w:r w:rsidRPr="00D07945">
        <w:rPr>
          <w:lang w:val="en-GB"/>
        </w:rPr>
        <w:t>UNDP works on sensitive pol</w:t>
      </w:r>
      <w:r w:rsidR="002977EA" w:rsidRPr="00D07945">
        <w:rPr>
          <w:lang w:val="en-GB"/>
        </w:rPr>
        <w:t>icy</w:t>
      </w:r>
      <w:r w:rsidRPr="00D07945">
        <w:rPr>
          <w:lang w:val="en-GB"/>
        </w:rPr>
        <w:t xml:space="preserve"> issues, with potential risk to perceptions of </w:t>
      </w:r>
      <w:r w:rsidR="00C265EF" w:rsidRPr="004435B3">
        <w:rPr>
          <w:lang w:val="en-GB"/>
        </w:rPr>
        <w:t xml:space="preserve">its </w:t>
      </w:r>
      <w:r w:rsidRPr="00D07945">
        <w:rPr>
          <w:lang w:val="en-GB"/>
        </w:rPr>
        <w:t xml:space="preserve">impartiality, one of </w:t>
      </w:r>
      <w:r w:rsidR="00C265EF" w:rsidRPr="004435B3">
        <w:rPr>
          <w:lang w:val="en-GB"/>
        </w:rPr>
        <w:t>its</w:t>
      </w:r>
      <w:r w:rsidRPr="00D07945">
        <w:rPr>
          <w:lang w:val="en-GB"/>
        </w:rPr>
        <w:t xml:space="preserve"> greatest assets. To mitigate th</w:t>
      </w:r>
      <w:r w:rsidR="00C265EF" w:rsidRPr="004435B3">
        <w:rPr>
          <w:lang w:val="en-GB"/>
        </w:rPr>
        <w:t>at</w:t>
      </w:r>
      <w:r w:rsidRPr="00D07945">
        <w:rPr>
          <w:lang w:val="en-GB"/>
        </w:rPr>
        <w:t xml:space="preserve"> risk, UNDP will develop and continually adjust its programme-specific risk management strategies based on political economy analysis.</w:t>
      </w:r>
      <w:r w:rsidR="00571F8C" w:rsidRPr="00D07945">
        <w:rPr>
          <w:lang w:val="en-GB"/>
        </w:rPr>
        <w:t xml:space="preserve"> This approach will build on the existing UNDP-</w:t>
      </w:r>
      <w:r w:rsidR="00C265EF" w:rsidRPr="004435B3">
        <w:rPr>
          <w:lang w:val="en-GB"/>
        </w:rPr>
        <w:t>Department of Political Affairs</w:t>
      </w:r>
      <w:r w:rsidR="00C265EF" w:rsidRPr="00D07945">
        <w:rPr>
          <w:lang w:val="en-GB"/>
        </w:rPr>
        <w:t xml:space="preserve"> </w:t>
      </w:r>
      <w:r w:rsidR="00571F8C" w:rsidRPr="00D07945">
        <w:rPr>
          <w:lang w:val="en-GB"/>
        </w:rPr>
        <w:t xml:space="preserve">peace and development advisory capacity in the </w:t>
      </w:r>
      <w:r w:rsidR="00FE6735" w:rsidRPr="00D07945">
        <w:rPr>
          <w:lang w:val="en-GB"/>
        </w:rPr>
        <w:t>subregion</w:t>
      </w:r>
      <w:r w:rsidR="00571F8C" w:rsidRPr="00D07945">
        <w:rPr>
          <w:lang w:val="en-GB"/>
        </w:rPr>
        <w:t>, and</w:t>
      </w:r>
      <w:r w:rsidR="004F28C6">
        <w:rPr>
          <w:lang w:val="en-GB"/>
        </w:rPr>
        <w:t xml:space="preserve"> will</w:t>
      </w:r>
      <w:r w:rsidR="00571F8C" w:rsidRPr="00D07945">
        <w:rPr>
          <w:lang w:val="en-GB"/>
        </w:rPr>
        <w:t xml:space="preserve"> help the organization anticipate and manage programmatic risks associated with political instability in some Pacific countries.</w:t>
      </w:r>
    </w:p>
    <w:p w14:paraId="6CFD2BF7" w14:textId="77777777" w:rsidR="00D1088E" w:rsidRPr="00D07945" w:rsidRDefault="00D1088E" w:rsidP="00BE607A">
      <w:pPr>
        <w:pStyle w:val="ListParagraph"/>
        <w:ind w:left="1134" w:right="1208"/>
        <w:contextualSpacing/>
        <w:jc w:val="both"/>
        <w:rPr>
          <w:lang w:val="en-GB"/>
        </w:rPr>
      </w:pPr>
    </w:p>
    <w:p w14:paraId="478C8496" w14:textId="77777777" w:rsidR="001B3553" w:rsidRPr="00D07945" w:rsidRDefault="001B3553" w:rsidP="000947BC">
      <w:pPr>
        <w:pStyle w:val="Heading1"/>
        <w:ind w:left="1170" w:hanging="540"/>
        <w:rPr>
          <w:rFonts w:ascii="Times New Roman" w:hAnsi="Times New Roman"/>
          <w:szCs w:val="28"/>
          <w:lang w:val="en-GB"/>
        </w:rPr>
      </w:pPr>
      <w:r w:rsidRPr="00D07945">
        <w:rPr>
          <w:rFonts w:ascii="Times New Roman" w:hAnsi="Times New Roman"/>
          <w:szCs w:val="28"/>
          <w:lang w:val="en-GB"/>
        </w:rPr>
        <w:t>IV</w:t>
      </w:r>
      <w:r w:rsidR="000947BC" w:rsidRPr="00D07945">
        <w:rPr>
          <w:rFonts w:ascii="Times New Roman" w:hAnsi="Times New Roman"/>
          <w:szCs w:val="28"/>
          <w:lang w:val="en-GB"/>
        </w:rPr>
        <w:t>.</w:t>
      </w:r>
      <w:r w:rsidR="000947BC" w:rsidRPr="00D07945">
        <w:rPr>
          <w:rFonts w:ascii="Times New Roman" w:hAnsi="Times New Roman"/>
          <w:szCs w:val="28"/>
          <w:lang w:val="en-GB"/>
        </w:rPr>
        <w:tab/>
      </w:r>
      <w:r w:rsidRPr="00D07945">
        <w:rPr>
          <w:rFonts w:ascii="Times New Roman" w:hAnsi="Times New Roman"/>
          <w:szCs w:val="28"/>
          <w:lang w:val="en-GB"/>
        </w:rPr>
        <w:t xml:space="preserve">Monitoring and </w:t>
      </w:r>
      <w:r w:rsidR="000947BC" w:rsidRPr="00D07945">
        <w:rPr>
          <w:rFonts w:ascii="Times New Roman" w:hAnsi="Times New Roman"/>
          <w:szCs w:val="28"/>
          <w:lang w:val="en-GB"/>
        </w:rPr>
        <w:t>e</w:t>
      </w:r>
      <w:r w:rsidRPr="00D07945">
        <w:rPr>
          <w:rFonts w:ascii="Times New Roman" w:hAnsi="Times New Roman"/>
          <w:szCs w:val="28"/>
          <w:lang w:val="en-GB"/>
        </w:rPr>
        <w:t>valuation</w:t>
      </w:r>
    </w:p>
    <w:p w14:paraId="74C75105" w14:textId="77777777" w:rsidR="001B3553" w:rsidRPr="00D07945" w:rsidRDefault="001B3553" w:rsidP="00BE607A">
      <w:pPr>
        <w:ind w:right="1208"/>
        <w:contextualSpacing/>
        <w:jc w:val="both"/>
        <w:rPr>
          <w:lang w:val="en-GB"/>
        </w:rPr>
      </w:pPr>
    </w:p>
    <w:p w14:paraId="1D7C278D" w14:textId="02A45EB0" w:rsidR="00102E67" w:rsidRPr="00D07945" w:rsidRDefault="00907586" w:rsidP="009D4E6E">
      <w:pPr>
        <w:pStyle w:val="ListParagraph"/>
        <w:numPr>
          <w:ilvl w:val="0"/>
          <w:numId w:val="5"/>
        </w:numPr>
        <w:ind w:left="1134" w:right="1208" w:firstLine="0"/>
        <w:contextualSpacing/>
        <w:jc w:val="both"/>
        <w:rPr>
          <w:lang w:val="en-GB"/>
        </w:rPr>
      </w:pPr>
      <w:r w:rsidRPr="00D07945">
        <w:rPr>
          <w:lang w:val="en-GB"/>
        </w:rPr>
        <w:t>Monitoring and evaluation will build on lessons learn</w:t>
      </w:r>
      <w:r w:rsidR="00C265EF" w:rsidRPr="004435B3">
        <w:rPr>
          <w:lang w:val="en-GB"/>
        </w:rPr>
        <w:t>ed</w:t>
      </w:r>
      <w:r w:rsidRPr="00D07945">
        <w:rPr>
          <w:lang w:val="en-GB"/>
        </w:rPr>
        <w:t xml:space="preserve"> from the </w:t>
      </w:r>
      <w:r w:rsidR="00EE3A15" w:rsidRPr="00D07945">
        <w:rPr>
          <w:lang w:val="en-GB"/>
        </w:rPr>
        <w:t>r</w:t>
      </w:r>
      <w:r w:rsidR="0061375E" w:rsidRPr="00D07945">
        <w:rPr>
          <w:lang w:val="en-GB"/>
        </w:rPr>
        <w:t xml:space="preserve">eview of the </w:t>
      </w:r>
      <w:r w:rsidR="00625A44" w:rsidRPr="004435B3">
        <w:rPr>
          <w:lang w:val="en-GB"/>
        </w:rPr>
        <w:t>s</w:t>
      </w:r>
      <w:r w:rsidR="00FE6735" w:rsidRPr="00D07945">
        <w:rPr>
          <w:lang w:val="en-GB"/>
        </w:rPr>
        <w:t>ubregion</w:t>
      </w:r>
      <w:r w:rsidRPr="00D07945">
        <w:rPr>
          <w:lang w:val="en-GB"/>
        </w:rPr>
        <w:t xml:space="preserve">al </w:t>
      </w:r>
      <w:r w:rsidR="00625A44" w:rsidRPr="004435B3">
        <w:rPr>
          <w:lang w:val="en-GB"/>
        </w:rPr>
        <w:t>p</w:t>
      </w:r>
      <w:r w:rsidRPr="00D07945">
        <w:rPr>
          <w:lang w:val="en-GB"/>
        </w:rPr>
        <w:t xml:space="preserve">rogramme </w:t>
      </w:r>
      <w:r w:rsidR="00625A44" w:rsidRPr="004435B3">
        <w:rPr>
          <w:lang w:val="en-GB"/>
        </w:rPr>
        <w:t>d</w:t>
      </w:r>
      <w:r w:rsidRPr="00D07945">
        <w:rPr>
          <w:lang w:val="en-GB"/>
        </w:rPr>
        <w:t>ocument</w:t>
      </w:r>
      <w:r w:rsidR="00C265EF" w:rsidRPr="004435B3">
        <w:rPr>
          <w:lang w:val="en-GB"/>
        </w:rPr>
        <w:t>,</w:t>
      </w:r>
      <w:r w:rsidRPr="00D07945">
        <w:rPr>
          <w:lang w:val="en-GB"/>
        </w:rPr>
        <w:t xml:space="preserve"> 2013-2017. The success of UNDP work in the region is directly linked to its capacity to harmonize and align with </w:t>
      </w:r>
      <w:r w:rsidR="00D32A9C" w:rsidRPr="004435B3">
        <w:rPr>
          <w:lang w:val="en-GB"/>
        </w:rPr>
        <w:t>the United Nations</w:t>
      </w:r>
      <w:r w:rsidR="00D32A9C" w:rsidRPr="00D07945">
        <w:rPr>
          <w:lang w:val="en-GB"/>
        </w:rPr>
        <w:t xml:space="preserve"> </w:t>
      </w:r>
      <w:r w:rsidRPr="00D07945">
        <w:rPr>
          <w:lang w:val="en-GB"/>
        </w:rPr>
        <w:t>as a whole, through effective monitoring, data collection and knowledge management.</w:t>
      </w:r>
      <w:r w:rsidR="00EE3A15" w:rsidRPr="00D07945">
        <w:rPr>
          <w:lang w:val="en-GB"/>
        </w:rPr>
        <w:t xml:space="preserve"> UNDP programme </w:t>
      </w:r>
      <w:r w:rsidR="00D32A9C" w:rsidRPr="004435B3">
        <w:rPr>
          <w:lang w:val="en-GB"/>
        </w:rPr>
        <w:t>monitoring and evaluation</w:t>
      </w:r>
      <w:r w:rsidR="00EE3A15" w:rsidRPr="00D07945">
        <w:rPr>
          <w:lang w:val="en-GB"/>
        </w:rPr>
        <w:t xml:space="preserve"> forms an integral part of the U</w:t>
      </w:r>
      <w:r w:rsidR="00E51D96">
        <w:rPr>
          <w:lang w:val="en-GB"/>
        </w:rPr>
        <w:t>nited </w:t>
      </w:r>
      <w:r w:rsidR="00D32A9C" w:rsidRPr="004435B3">
        <w:rPr>
          <w:lang w:val="en-GB"/>
        </w:rPr>
        <w:t>Nations</w:t>
      </w:r>
      <w:r w:rsidR="00EE3A15" w:rsidRPr="00D07945">
        <w:rPr>
          <w:lang w:val="en-GB"/>
        </w:rPr>
        <w:t xml:space="preserve"> Pacific </w:t>
      </w:r>
      <w:r w:rsidR="00D32A9C" w:rsidRPr="004435B3">
        <w:rPr>
          <w:lang w:val="en-GB"/>
        </w:rPr>
        <w:t>s</w:t>
      </w:r>
      <w:r w:rsidR="00EE3A15" w:rsidRPr="00D07945">
        <w:rPr>
          <w:lang w:val="en-GB"/>
        </w:rPr>
        <w:t>trategy results framework, including reporting and quality assurance actions. UNDP will contribute to the development and monitoring of relevant U</w:t>
      </w:r>
      <w:r w:rsidR="00D32A9C" w:rsidRPr="004435B3">
        <w:rPr>
          <w:lang w:val="en-GB"/>
        </w:rPr>
        <w:t>nited Nations</w:t>
      </w:r>
      <w:r w:rsidR="00EE3A15" w:rsidRPr="00D07945">
        <w:rPr>
          <w:lang w:val="en-GB"/>
        </w:rPr>
        <w:t xml:space="preserve"> </w:t>
      </w:r>
      <w:r w:rsidR="00D32A9C" w:rsidRPr="004435B3">
        <w:rPr>
          <w:lang w:val="en-GB"/>
        </w:rPr>
        <w:t>o</w:t>
      </w:r>
      <w:r w:rsidR="00EE3A15" w:rsidRPr="00D07945">
        <w:rPr>
          <w:lang w:val="en-GB"/>
        </w:rPr>
        <w:t xml:space="preserve">utcome </w:t>
      </w:r>
      <w:r w:rsidR="00D32A9C" w:rsidRPr="004435B3">
        <w:rPr>
          <w:lang w:val="en-GB"/>
        </w:rPr>
        <w:t>g</w:t>
      </w:r>
      <w:r w:rsidR="00EE3A15" w:rsidRPr="00D07945">
        <w:rPr>
          <w:lang w:val="en-GB"/>
        </w:rPr>
        <w:t xml:space="preserve">roup workplans to ensure coordination, joint programming and harmonized </w:t>
      </w:r>
      <w:r w:rsidR="00D32A9C" w:rsidRPr="004435B3">
        <w:rPr>
          <w:lang w:val="en-GB"/>
        </w:rPr>
        <w:t>results-based management</w:t>
      </w:r>
      <w:r w:rsidR="00D32A9C" w:rsidRPr="00D07945">
        <w:rPr>
          <w:lang w:val="en-GB"/>
        </w:rPr>
        <w:t xml:space="preserve"> </w:t>
      </w:r>
      <w:r w:rsidR="00EE3A15" w:rsidRPr="00D07945">
        <w:rPr>
          <w:lang w:val="en-GB"/>
        </w:rPr>
        <w:t xml:space="preserve">approaches. Joint </w:t>
      </w:r>
      <w:r w:rsidR="00D32A9C" w:rsidRPr="004435B3">
        <w:rPr>
          <w:lang w:val="en-GB"/>
        </w:rPr>
        <w:t>monitoring and evaluation</w:t>
      </w:r>
      <w:r w:rsidR="00EE3A15" w:rsidRPr="00D07945">
        <w:rPr>
          <w:lang w:val="en-GB"/>
        </w:rPr>
        <w:t xml:space="preserve"> and national </w:t>
      </w:r>
      <w:r w:rsidR="00D32A9C" w:rsidRPr="004435B3">
        <w:rPr>
          <w:lang w:val="en-GB"/>
        </w:rPr>
        <w:t>results-based management</w:t>
      </w:r>
      <w:r w:rsidR="00EE3A15" w:rsidRPr="00D07945">
        <w:rPr>
          <w:lang w:val="en-GB"/>
        </w:rPr>
        <w:t xml:space="preserve"> capacity development will be supported in coordination with governments and U</w:t>
      </w:r>
      <w:r w:rsidR="00D32A9C" w:rsidRPr="004435B3">
        <w:rPr>
          <w:lang w:val="en-GB"/>
        </w:rPr>
        <w:t>nited Nations</w:t>
      </w:r>
      <w:r w:rsidR="00EE3A15" w:rsidRPr="00D07945">
        <w:rPr>
          <w:lang w:val="en-GB"/>
        </w:rPr>
        <w:t xml:space="preserve"> partners.</w:t>
      </w:r>
    </w:p>
    <w:p w14:paraId="3F061414" w14:textId="77777777" w:rsidR="00102E67" w:rsidRPr="00D07945" w:rsidRDefault="00102E67" w:rsidP="009D4E6E">
      <w:pPr>
        <w:pStyle w:val="ListParagraph"/>
        <w:ind w:left="1134" w:right="1208"/>
        <w:contextualSpacing/>
        <w:jc w:val="both"/>
        <w:rPr>
          <w:sz w:val="12"/>
          <w:szCs w:val="12"/>
          <w:lang w:val="en-GB"/>
        </w:rPr>
      </w:pPr>
    </w:p>
    <w:p w14:paraId="673D2485" w14:textId="2709CBD1" w:rsidR="00150C7A" w:rsidRPr="004534E7" w:rsidRDefault="00D7190D" w:rsidP="009D4E6E">
      <w:pPr>
        <w:pStyle w:val="ListParagraph"/>
        <w:numPr>
          <w:ilvl w:val="0"/>
          <w:numId w:val="5"/>
        </w:numPr>
        <w:ind w:left="1134" w:right="1208" w:firstLine="0"/>
        <w:contextualSpacing/>
        <w:jc w:val="both"/>
        <w:rPr>
          <w:lang w:val="en-GB"/>
        </w:rPr>
      </w:pPr>
      <w:r w:rsidRPr="00D07945">
        <w:rPr>
          <w:lang w:val="en-GB"/>
        </w:rPr>
        <w:lastRenderedPageBreak/>
        <w:t>U</w:t>
      </w:r>
      <w:r w:rsidR="00D24E31" w:rsidRPr="00D07945">
        <w:rPr>
          <w:lang w:val="en-GB"/>
        </w:rPr>
        <w:t xml:space="preserve">NDP will strengthen its monitoring capacities through a </w:t>
      </w:r>
      <w:r w:rsidR="009B089B" w:rsidRPr="004435B3">
        <w:rPr>
          <w:lang w:val="en-GB"/>
        </w:rPr>
        <w:t>results-based management</w:t>
      </w:r>
      <w:r w:rsidR="00D24E31" w:rsidRPr="00D07945">
        <w:rPr>
          <w:lang w:val="en-GB"/>
        </w:rPr>
        <w:t xml:space="preserve"> framework that harmonizes monitoring and reporting across the UNDP Pacific </w:t>
      </w:r>
      <w:r w:rsidR="009B089B" w:rsidRPr="004435B3">
        <w:rPr>
          <w:lang w:val="en-GB"/>
        </w:rPr>
        <w:t>o</w:t>
      </w:r>
      <w:r w:rsidR="00D24E31" w:rsidRPr="00D07945">
        <w:rPr>
          <w:lang w:val="en-GB"/>
        </w:rPr>
        <w:t xml:space="preserve">ffice in Fiji and the Samoa </w:t>
      </w:r>
      <w:r w:rsidR="009B089B" w:rsidRPr="004435B3">
        <w:rPr>
          <w:lang w:val="en-GB"/>
        </w:rPr>
        <w:t>m</w:t>
      </w:r>
      <w:r w:rsidR="00D24E31" w:rsidRPr="00D07945">
        <w:rPr>
          <w:lang w:val="en-GB"/>
        </w:rPr>
        <w:t>ulti-</w:t>
      </w:r>
      <w:r w:rsidR="009B089B" w:rsidRPr="004435B3">
        <w:rPr>
          <w:lang w:val="en-GB"/>
        </w:rPr>
        <w:t>c</w:t>
      </w:r>
      <w:r w:rsidR="00D24E31" w:rsidRPr="00D07945">
        <w:rPr>
          <w:lang w:val="en-GB"/>
        </w:rPr>
        <w:t xml:space="preserve">ounty </w:t>
      </w:r>
      <w:r w:rsidR="009B089B" w:rsidRPr="004435B3">
        <w:rPr>
          <w:lang w:val="en-GB"/>
        </w:rPr>
        <w:t>o</w:t>
      </w:r>
      <w:r w:rsidR="00D24E31" w:rsidRPr="004534E7">
        <w:rPr>
          <w:lang w:val="en-GB"/>
        </w:rPr>
        <w:t xml:space="preserve">ffice. </w:t>
      </w:r>
      <w:r w:rsidR="00CE5ECB" w:rsidRPr="004534E7">
        <w:rPr>
          <w:lang w:val="en-GB"/>
        </w:rPr>
        <w:t xml:space="preserve">UNDP programme </w:t>
      </w:r>
      <w:r w:rsidR="009B089B" w:rsidRPr="004435B3">
        <w:rPr>
          <w:lang w:val="en-GB"/>
        </w:rPr>
        <w:t>monitoring and evaluation</w:t>
      </w:r>
      <w:r w:rsidR="00CE5ECB" w:rsidRPr="004534E7">
        <w:rPr>
          <w:lang w:val="en-GB"/>
        </w:rPr>
        <w:t xml:space="preserve"> will be aligned with </w:t>
      </w:r>
      <w:r w:rsidR="009B089B" w:rsidRPr="004435B3">
        <w:rPr>
          <w:lang w:val="en-GB"/>
        </w:rPr>
        <w:t xml:space="preserve">the </w:t>
      </w:r>
      <w:r w:rsidR="00CE5ECB" w:rsidRPr="004534E7">
        <w:rPr>
          <w:lang w:val="en-GB"/>
        </w:rPr>
        <w:t xml:space="preserve">indicators, baselines, and targets defined in the </w:t>
      </w:r>
      <w:r w:rsidR="009B089B" w:rsidRPr="004435B3">
        <w:rPr>
          <w:lang w:val="en-GB"/>
        </w:rPr>
        <w:t>s</w:t>
      </w:r>
      <w:r w:rsidR="00CE5ECB" w:rsidRPr="004534E7">
        <w:rPr>
          <w:lang w:val="en-GB"/>
        </w:rPr>
        <w:t xml:space="preserve">trategic </w:t>
      </w:r>
      <w:r w:rsidR="009B089B" w:rsidRPr="004435B3">
        <w:rPr>
          <w:lang w:val="en-GB"/>
        </w:rPr>
        <w:t>p</w:t>
      </w:r>
      <w:r w:rsidR="00CE5ECB" w:rsidRPr="004534E7">
        <w:rPr>
          <w:lang w:val="en-GB"/>
        </w:rPr>
        <w:t>lan.</w:t>
      </w:r>
      <w:r w:rsidR="004207FC" w:rsidRPr="004534E7">
        <w:rPr>
          <w:lang w:val="en-GB"/>
        </w:rPr>
        <w:t xml:space="preserve"> The </w:t>
      </w:r>
      <w:r w:rsidR="00D65861" w:rsidRPr="004534E7">
        <w:rPr>
          <w:lang w:val="en-GB"/>
        </w:rPr>
        <w:t>r</w:t>
      </w:r>
      <w:r w:rsidR="004207FC" w:rsidRPr="004534E7">
        <w:rPr>
          <w:lang w:val="en-GB"/>
        </w:rPr>
        <w:t xml:space="preserve">esults and </w:t>
      </w:r>
      <w:r w:rsidR="00D65861" w:rsidRPr="004534E7">
        <w:rPr>
          <w:lang w:val="en-GB"/>
        </w:rPr>
        <w:t>r</w:t>
      </w:r>
      <w:r w:rsidR="004207FC" w:rsidRPr="004534E7">
        <w:rPr>
          <w:lang w:val="en-GB"/>
        </w:rPr>
        <w:t xml:space="preserve">esources </w:t>
      </w:r>
      <w:r w:rsidR="00D65861" w:rsidRPr="004534E7">
        <w:rPr>
          <w:lang w:val="en-GB"/>
        </w:rPr>
        <w:t>f</w:t>
      </w:r>
      <w:r w:rsidR="004207FC" w:rsidRPr="004534E7">
        <w:rPr>
          <w:lang w:val="en-GB"/>
        </w:rPr>
        <w:t xml:space="preserve">ramework draws on </w:t>
      </w:r>
      <w:r w:rsidR="00FE2EE6" w:rsidRPr="004534E7">
        <w:rPr>
          <w:lang w:val="en-GB"/>
        </w:rPr>
        <w:t>the</w:t>
      </w:r>
      <w:r w:rsidR="00E51D96" w:rsidRPr="00E51D96">
        <w:rPr>
          <w:lang w:val="en-GB"/>
        </w:rPr>
        <w:t xml:space="preserve"> </w:t>
      </w:r>
      <w:r w:rsidR="00E51D96" w:rsidRPr="00396E55">
        <w:rPr>
          <w:lang w:val="en-GB"/>
        </w:rPr>
        <w:t>indicators</w:t>
      </w:r>
      <w:r w:rsidR="00E51D96">
        <w:rPr>
          <w:lang w:val="en-GB"/>
        </w:rPr>
        <w:t xml:space="preserve"> in the</w:t>
      </w:r>
      <w:r w:rsidR="00FE2EE6" w:rsidRPr="004534E7">
        <w:rPr>
          <w:lang w:val="en-GB"/>
        </w:rPr>
        <w:t xml:space="preserve"> </w:t>
      </w:r>
      <w:r w:rsidR="009B089B" w:rsidRPr="004435B3">
        <w:rPr>
          <w:lang w:val="en-GB"/>
        </w:rPr>
        <w:t>s</w:t>
      </w:r>
      <w:r w:rsidR="004207FC" w:rsidRPr="004534E7">
        <w:rPr>
          <w:lang w:val="en-GB"/>
        </w:rPr>
        <w:t xml:space="preserve">trategic </w:t>
      </w:r>
      <w:r w:rsidR="009B089B" w:rsidRPr="004435B3">
        <w:rPr>
          <w:lang w:val="en-GB"/>
        </w:rPr>
        <w:t>p</w:t>
      </w:r>
      <w:r w:rsidR="004207FC" w:rsidRPr="004534E7">
        <w:rPr>
          <w:lang w:val="en-GB"/>
        </w:rPr>
        <w:t>lan</w:t>
      </w:r>
      <w:r w:rsidR="009B089B" w:rsidRPr="004435B3">
        <w:rPr>
          <w:lang w:val="en-GB"/>
        </w:rPr>
        <w:t>,</w:t>
      </w:r>
      <w:r w:rsidR="004207FC" w:rsidRPr="004534E7">
        <w:rPr>
          <w:lang w:val="en-GB"/>
        </w:rPr>
        <w:t xml:space="preserve"> 2014-2018</w:t>
      </w:r>
      <w:r w:rsidR="009B089B" w:rsidRPr="004435B3">
        <w:rPr>
          <w:lang w:val="en-GB"/>
        </w:rPr>
        <w:t>,</w:t>
      </w:r>
      <w:r w:rsidR="004207FC" w:rsidRPr="004534E7">
        <w:rPr>
          <w:lang w:val="en-GB"/>
        </w:rPr>
        <w:t xml:space="preserve"> </w:t>
      </w:r>
      <w:r w:rsidR="00FE2EE6" w:rsidRPr="004534E7">
        <w:rPr>
          <w:lang w:val="en-GB"/>
        </w:rPr>
        <w:t xml:space="preserve">as well as </w:t>
      </w:r>
      <w:r w:rsidR="00150C7A" w:rsidRPr="004534E7">
        <w:rPr>
          <w:lang w:val="en-GB"/>
        </w:rPr>
        <w:t xml:space="preserve">select </w:t>
      </w:r>
      <w:r w:rsidR="00D65861" w:rsidRPr="004534E7">
        <w:rPr>
          <w:lang w:val="en-GB"/>
        </w:rPr>
        <w:t>sustainable development goals</w:t>
      </w:r>
      <w:r w:rsidR="004207FC" w:rsidRPr="004534E7">
        <w:rPr>
          <w:lang w:val="en-GB"/>
        </w:rPr>
        <w:t xml:space="preserve"> indicators. </w:t>
      </w:r>
      <w:r w:rsidR="00FE2EE6" w:rsidRPr="004534E7">
        <w:rPr>
          <w:lang w:val="en-GB"/>
        </w:rPr>
        <w:t xml:space="preserve">The </w:t>
      </w:r>
      <w:r w:rsidR="00D65861" w:rsidRPr="004534E7">
        <w:rPr>
          <w:lang w:val="en-GB"/>
        </w:rPr>
        <w:t xml:space="preserve">framework will </w:t>
      </w:r>
      <w:r w:rsidR="004207FC" w:rsidRPr="004534E7">
        <w:rPr>
          <w:lang w:val="en-GB"/>
        </w:rPr>
        <w:t xml:space="preserve">be adjusted to reflect the </w:t>
      </w:r>
      <w:r w:rsidR="00150C7A" w:rsidRPr="004534E7">
        <w:rPr>
          <w:lang w:val="en-GB"/>
        </w:rPr>
        <w:t xml:space="preserve">integrated results and resources framework </w:t>
      </w:r>
      <w:r w:rsidR="004207FC" w:rsidRPr="004534E7">
        <w:rPr>
          <w:lang w:val="en-GB"/>
        </w:rPr>
        <w:t xml:space="preserve">of the </w:t>
      </w:r>
      <w:r w:rsidR="00FE2EE6" w:rsidRPr="004534E7">
        <w:rPr>
          <w:lang w:val="en-GB"/>
        </w:rPr>
        <w:t xml:space="preserve">UNDP </w:t>
      </w:r>
      <w:r w:rsidR="00D65861" w:rsidRPr="004534E7">
        <w:rPr>
          <w:lang w:val="en-GB"/>
        </w:rPr>
        <w:t>s</w:t>
      </w:r>
      <w:r w:rsidR="004207FC" w:rsidRPr="004534E7">
        <w:rPr>
          <w:lang w:val="en-GB"/>
        </w:rPr>
        <w:t xml:space="preserve">trategic </w:t>
      </w:r>
      <w:r w:rsidR="009B089B" w:rsidRPr="004435B3">
        <w:rPr>
          <w:lang w:val="en-GB"/>
        </w:rPr>
        <w:t>plan</w:t>
      </w:r>
      <w:r w:rsidR="00D65861" w:rsidRPr="004534E7">
        <w:rPr>
          <w:lang w:val="en-GB"/>
        </w:rPr>
        <w:t>,</w:t>
      </w:r>
      <w:r w:rsidR="00150C7A" w:rsidRPr="004534E7">
        <w:rPr>
          <w:lang w:val="en-GB"/>
        </w:rPr>
        <w:t xml:space="preserve"> 2018-2021</w:t>
      </w:r>
      <w:r w:rsidR="004207FC" w:rsidRPr="004534E7">
        <w:rPr>
          <w:lang w:val="en-GB"/>
        </w:rPr>
        <w:t xml:space="preserve">. </w:t>
      </w:r>
    </w:p>
    <w:p w14:paraId="2FAEF9AE" w14:textId="77777777" w:rsidR="00150C7A" w:rsidRPr="004534E7" w:rsidRDefault="00150C7A" w:rsidP="00150C7A">
      <w:pPr>
        <w:pStyle w:val="ListParagraph"/>
        <w:rPr>
          <w:sz w:val="12"/>
          <w:szCs w:val="12"/>
          <w:lang w:val="en-GB"/>
        </w:rPr>
      </w:pPr>
    </w:p>
    <w:p w14:paraId="66AD493F" w14:textId="42849143" w:rsidR="0045372C" w:rsidRPr="004534E7" w:rsidRDefault="00D24E31" w:rsidP="009D4E6E">
      <w:pPr>
        <w:pStyle w:val="ListParagraph"/>
        <w:numPr>
          <w:ilvl w:val="0"/>
          <w:numId w:val="5"/>
        </w:numPr>
        <w:ind w:left="1134" w:right="1208" w:firstLine="0"/>
        <w:contextualSpacing/>
        <w:jc w:val="both"/>
        <w:rPr>
          <w:lang w:val="en-GB"/>
        </w:rPr>
      </w:pPr>
      <w:r w:rsidRPr="004534E7">
        <w:rPr>
          <w:lang w:val="en-GB"/>
        </w:rPr>
        <w:t xml:space="preserve">UNDP will strengthen </w:t>
      </w:r>
      <w:r w:rsidR="009B089B" w:rsidRPr="004435B3">
        <w:rPr>
          <w:lang w:val="en-GB"/>
        </w:rPr>
        <w:t>monitoring and evaluation</w:t>
      </w:r>
      <w:r w:rsidRPr="004534E7">
        <w:rPr>
          <w:lang w:val="en-GB"/>
        </w:rPr>
        <w:t xml:space="preserve"> practices to generate data and evidence through</w:t>
      </w:r>
      <w:r w:rsidR="00394C0E" w:rsidRPr="004534E7">
        <w:rPr>
          <w:lang w:val="en-GB"/>
        </w:rPr>
        <w:t xml:space="preserve"> </w:t>
      </w:r>
      <w:r w:rsidRPr="004534E7">
        <w:rPr>
          <w:lang w:val="en-GB"/>
        </w:rPr>
        <w:t>periodic reviews</w:t>
      </w:r>
      <w:r w:rsidR="00E51D96">
        <w:rPr>
          <w:lang w:val="en-GB"/>
        </w:rPr>
        <w:t>,</w:t>
      </w:r>
      <w:r w:rsidRPr="004534E7">
        <w:rPr>
          <w:lang w:val="en-GB"/>
        </w:rPr>
        <w:t xml:space="preserve"> midterm and final evaluations</w:t>
      </w:r>
      <w:r w:rsidR="00E51D96">
        <w:rPr>
          <w:lang w:val="en-GB"/>
        </w:rPr>
        <w:t>,</w:t>
      </w:r>
      <w:r w:rsidRPr="004534E7">
        <w:rPr>
          <w:lang w:val="en-GB"/>
        </w:rPr>
        <w:t xml:space="preserve"> and fully</w:t>
      </w:r>
      <w:r w:rsidR="009B089B" w:rsidRPr="004435B3">
        <w:rPr>
          <w:lang w:val="en-GB"/>
        </w:rPr>
        <w:t xml:space="preserve"> </w:t>
      </w:r>
      <w:r w:rsidRPr="004534E7">
        <w:rPr>
          <w:lang w:val="en-GB"/>
        </w:rPr>
        <w:t xml:space="preserve">costed evaluations covering all outcome areas, including full evaluations of large-scale projects. As noted in the </w:t>
      </w:r>
      <w:r w:rsidR="00625A44" w:rsidRPr="004435B3">
        <w:rPr>
          <w:lang w:val="en-GB"/>
        </w:rPr>
        <w:t>subregional programme document</w:t>
      </w:r>
      <w:r w:rsidRPr="004534E7">
        <w:rPr>
          <w:lang w:val="en-GB"/>
        </w:rPr>
        <w:t xml:space="preserve"> </w:t>
      </w:r>
      <w:r w:rsidR="00625A44" w:rsidRPr="004435B3">
        <w:rPr>
          <w:lang w:val="en-GB"/>
        </w:rPr>
        <w:t>r</w:t>
      </w:r>
      <w:r w:rsidRPr="004534E7">
        <w:rPr>
          <w:lang w:val="en-GB"/>
        </w:rPr>
        <w:t>eview, UNDP needs to establish clear baseline data and systematic multi-country data aggregation and monitoring practices. This will be accomplished through joint project reviews and regular field visits with partners</w:t>
      </w:r>
      <w:r w:rsidR="009B089B" w:rsidRPr="004435B3">
        <w:rPr>
          <w:lang w:val="en-GB"/>
        </w:rPr>
        <w:t>;</w:t>
      </w:r>
      <w:r w:rsidRPr="004534E7">
        <w:rPr>
          <w:lang w:val="en-GB"/>
        </w:rPr>
        <w:t xml:space="preserve"> use of project governance mechanisms</w:t>
      </w:r>
      <w:r w:rsidR="009B089B" w:rsidRPr="004435B3">
        <w:rPr>
          <w:lang w:val="en-GB"/>
        </w:rPr>
        <w:t>;</w:t>
      </w:r>
      <w:r w:rsidRPr="004534E7">
        <w:rPr>
          <w:lang w:val="en-GB"/>
        </w:rPr>
        <w:t xml:space="preserve"> and strengthened quality and use of evaluative evidence.</w:t>
      </w:r>
      <w:r w:rsidR="0045372C" w:rsidRPr="004534E7">
        <w:rPr>
          <w:lang w:val="en-GB"/>
        </w:rPr>
        <w:t xml:space="preserve"> Direct project costing will be mobilized to meet the cost of </w:t>
      </w:r>
      <w:r w:rsidR="00102E67" w:rsidRPr="004534E7">
        <w:rPr>
          <w:lang w:val="en-GB"/>
        </w:rPr>
        <w:t xml:space="preserve">results </w:t>
      </w:r>
      <w:r w:rsidR="0045372C" w:rsidRPr="004534E7">
        <w:rPr>
          <w:lang w:val="en-GB"/>
        </w:rPr>
        <w:t>monitoring.</w:t>
      </w:r>
    </w:p>
    <w:p w14:paraId="20DFE934" w14:textId="77777777" w:rsidR="0045372C" w:rsidRPr="004534E7" w:rsidRDefault="0045372C" w:rsidP="009D4E6E">
      <w:pPr>
        <w:pStyle w:val="ListParagraph"/>
        <w:ind w:left="1134" w:right="1208"/>
        <w:contextualSpacing/>
        <w:jc w:val="both"/>
        <w:rPr>
          <w:sz w:val="12"/>
          <w:szCs w:val="12"/>
          <w:lang w:val="en-GB"/>
        </w:rPr>
      </w:pPr>
    </w:p>
    <w:p w14:paraId="49023845" w14:textId="1C39B41A" w:rsidR="00D24E31" w:rsidRPr="004534E7" w:rsidRDefault="00665427" w:rsidP="009D4E6E">
      <w:pPr>
        <w:pStyle w:val="ListParagraph"/>
        <w:numPr>
          <w:ilvl w:val="0"/>
          <w:numId w:val="5"/>
        </w:numPr>
        <w:ind w:left="1134" w:right="1208" w:firstLine="0"/>
        <w:contextualSpacing/>
        <w:jc w:val="both"/>
        <w:rPr>
          <w:lang w:val="en-GB"/>
        </w:rPr>
      </w:pPr>
      <w:r w:rsidRPr="004534E7">
        <w:rPr>
          <w:lang w:val="en-GB"/>
        </w:rPr>
        <w:t xml:space="preserve">The </w:t>
      </w:r>
      <w:r w:rsidR="009B089B" w:rsidRPr="004435B3">
        <w:rPr>
          <w:lang w:val="en-GB"/>
        </w:rPr>
        <w:t>g</w:t>
      </w:r>
      <w:r w:rsidRPr="004534E7">
        <w:rPr>
          <w:lang w:val="en-GB"/>
        </w:rPr>
        <w:t xml:space="preserve">ender </w:t>
      </w:r>
      <w:r w:rsidR="009B089B" w:rsidRPr="004435B3">
        <w:rPr>
          <w:lang w:val="en-GB"/>
        </w:rPr>
        <w:t>m</w:t>
      </w:r>
      <w:r w:rsidRPr="004534E7">
        <w:rPr>
          <w:lang w:val="en-GB"/>
        </w:rPr>
        <w:t xml:space="preserve">arker will be used to </w:t>
      </w:r>
      <w:r w:rsidR="00A25127" w:rsidRPr="004534E7">
        <w:rPr>
          <w:lang w:val="en-GB"/>
        </w:rPr>
        <w:t>track</w:t>
      </w:r>
      <w:r w:rsidRPr="004534E7">
        <w:rPr>
          <w:lang w:val="en-GB"/>
        </w:rPr>
        <w:t xml:space="preserve"> gender-related </w:t>
      </w:r>
      <w:r w:rsidR="00A25127" w:rsidRPr="004534E7">
        <w:rPr>
          <w:lang w:val="en-GB"/>
        </w:rPr>
        <w:t xml:space="preserve">allocations </w:t>
      </w:r>
      <w:r w:rsidRPr="004534E7">
        <w:rPr>
          <w:lang w:val="en-GB"/>
        </w:rPr>
        <w:t>and expenditures across the entire programme and improve funds allocation for gender equality and women’s empowerment.</w:t>
      </w:r>
      <w:r w:rsidR="00690645" w:rsidRPr="004534E7">
        <w:rPr>
          <w:lang w:val="en-GB"/>
        </w:rPr>
        <w:t xml:space="preserve"> </w:t>
      </w:r>
      <w:r w:rsidR="00102E67" w:rsidRPr="004534E7">
        <w:rPr>
          <w:lang w:val="en-GB"/>
        </w:rPr>
        <w:t xml:space="preserve">Monitoring actions will be complemented with a results tracker to profile and communicate results attributable to UNDP. </w:t>
      </w:r>
      <w:r w:rsidR="00D7190D" w:rsidRPr="004534E7">
        <w:rPr>
          <w:lang w:val="en-GB"/>
        </w:rPr>
        <w:t>Adequate resources for communications and outreach will be earmarked</w:t>
      </w:r>
      <w:r w:rsidR="004534E7">
        <w:rPr>
          <w:lang w:val="en-GB"/>
        </w:rPr>
        <w:t xml:space="preserve"> in each programme</w:t>
      </w:r>
      <w:r w:rsidR="00D7190D" w:rsidRPr="004534E7">
        <w:rPr>
          <w:lang w:val="en-GB"/>
        </w:rPr>
        <w:t>.</w:t>
      </w:r>
    </w:p>
    <w:p w14:paraId="75359ABC" w14:textId="77777777" w:rsidR="00D24E31" w:rsidRPr="004534E7" w:rsidRDefault="00D24E31" w:rsidP="009D4E6E">
      <w:pPr>
        <w:pStyle w:val="ListParagraph"/>
        <w:ind w:left="1134" w:right="1208"/>
        <w:contextualSpacing/>
        <w:jc w:val="both"/>
        <w:rPr>
          <w:sz w:val="12"/>
          <w:szCs w:val="12"/>
          <w:lang w:val="en-GB"/>
        </w:rPr>
      </w:pPr>
    </w:p>
    <w:p w14:paraId="247E1F2D" w14:textId="6E285EAA" w:rsidR="0045372C" w:rsidRPr="004534E7" w:rsidRDefault="00CE5ECB" w:rsidP="009D4E6E">
      <w:pPr>
        <w:pStyle w:val="ListParagraph"/>
        <w:numPr>
          <w:ilvl w:val="0"/>
          <w:numId w:val="5"/>
        </w:numPr>
        <w:ind w:left="1134" w:right="1208" w:firstLine="0"/>
        <w:contextualSpacing/>
        <w:jc w:val="both"/>
        <w:rPr>
          <w:lang w:val="en-GB"/>
        </w:rPr>
      </w:pPr>
      <w:r w:rsidRPr="004534E7">
        <w:rPr>
          <w:lang w:val="en-GB"/>
        </w:rPr>
        <w:t xml:space="preserve">Building on UNDP experiences with poverty and other survey instruments, options for innovative data collection through modern technology will be pursued </w:t>
      </w:r>
      <w:r w:rsidR="009B089B" w:rsidRPr="004435B3">
        <w:rPr>
          <w:lang w:val="en-GB"/>
        </w:rPr>
        <w:t>to</w:t>
      </w:r>
      <w:r w:rsidR="009B089B" w:rsidRPr="004534E7">
        <w:rPr>
          <w:lang w:val="en-GB"/>
        </w:rPr>
        <w:t xml:space="preserve"> </w:t>
      </w:r>
      <w:r w:rsidRPr="004534E7">
        <w:rPr>
          <w:lang w:val="en-GB"/>
        </w:rPr>
        <w:t xml:space="preserve">track progress </w:t>
      </w:r>
      <w:r w:rsidR="00D65861" w:rsidRPr="004534E7">
        <w:rPr>
          <w:lang w:val="en-GB"/>
        </w:rPr>
        <w:t>towards the sustainable development goals</w:t>
      </w:r>
      <w:r w:rsidR="00E51D96">
        <w:rPr>
          <w:lang w:val="en-GB"/>
        </w:rPr>
        <w:t>,</w:t>
      </w:r>
      <w:r w:rsidR="00D65861" w:rsidRPr="004534E7">
        <w:rPr>
          <w:lang w:val="en-GB"/>
        </w:rPr>
        <w:t xml:space="preserve"> </w:t>
      </w:r>
      <w:r w:rsidRPr="004534E7">
        <w:rPr>
          <w:lang w:val="en-GB"/>
        </w:rPr>
        <w:t xml:space="preserve">as well as UNDP contributions to development results. </w:t>
      </w:r>
      <w:r w:rsidR="00907586" w:rsidRPr="004534E7">
        <w:rPr>
          <w:lang w:val="en-GB"/>
        </w:rPr>
        <w:t xml:space="preserve">In collaboration with other </w:t>
      </w:r>
      <w:r w:rsidR="009B089B" w:rsidRPr="004435B3">
        <w:rPr>
          <w:lang w:val="en-GB"/>
        </w:rPr>
        <w:t>United Nations organizations</w:t>
      </w:r>
      <w:r w:rsidR="00907586" w:rsidRPr="004534E7">
        <w:rPr>
          <w:lang w:val="en-GB"/>
        </w:rPr>
        <w:t xml:space="preserve"> through the Data Monitoring and Evaluation Group, and with the </w:t>
      </w:r>
      <w:r w:rsidR="009B089B" w:rsidRPr="004435B3">
        <w:rPr>
          <w:lang w:val="en-GB"/>
        </w:rPr>
        <w:t>s</w:t>
      </w:r>
      <w:r w:rsidR="00907586" w:rsidRPr="004534E7">
        <w:rPr>
          <w:lang w:val="en-GB"/>
        </w:rPr>
        <w:t xml:space="preserve">ecretariat of the Pacific Community, UNDP will contribute to </w:t>
      </w:r>
      <w:r w:rsidR="00D65861" w:rsidRPr="004534E7">
        <w:rPr>
          <w:lang w:val="en-GB"/>
        </w:rPr>
        <w:t xml:space="preserve">the sustainable development goals </w:t>
      </w:r>
      <w:r w:rsidR="00907586" w:rsidRPr="004534E7">
        <w:rPr>
          <w:lang w:val="en-GB"/>
        </w:rPr>
        <w:t>indicator monitoring</w:t>
      </w:r>
      <w:r w:rsidR="000C6050" w:rsidRPr="004534E7">
        <w:rPr>
          <w:lang w:val="en-GB"/>
        </w:rPr>
        <w:t xml:space="preserve"> and</w:t>
      </w:r>
      <w:r w:rsidR="00907586" w:rsidRPr="004534E7">
        <w:rPr>
          <w:lang w:val="en-GB"/>
        </w:rPr>
        <w:t xml:space="preserve"> coordination</w:t>
      </w:r>
      <w:r w:rsidRPr="004534E7">
        <w:rPr>
          <w:lang w:val="en-GB"/>
        </w:rPr>
        <w:t xml:space="preserve"> framework for the Pacific</w:t>
      </w:r>
      <w:r w:rsidR="00907586" w:rsidRPr="004534E7">
        <w:rPr>
          <w:lang w:val="en-GB"/>
        </w:rPr>
        <w:t xml:space="preserve">. </w:t>
      </w:r>
      <w:r w:rsidR="009B089B" w:rsidRPr="004435B3">
        <w:rPr>
          <w:lang w:val="en-GB"/>
        </w:rPr>
        <w:t>I</w:t>
      </w:r>
      <w:r w:rsidR="00907586" w:rsidRPr="004534E7">
        <w:rPr>
          <w:lang w:val="en-GB"/>
        </w:rPr>
        <w:t xml:space="preserve">n association with national partners and other regional </w:t>
      </w:r>
      <w:r w:rsidR="00666332" w:rsidRPr="004534E7">
        <w:rPr>
          <w:lang w:val="en-GB"/>
        </w:rPr>
        <w:t>organizations</w:t>
      </w:r>
      <w:r w:rsidR="000C6050" w:rsidRPr="004534E7">
        <w:rPr>
          <w:lang w:val="en-GB"/>
        </w:rPr>
        <w:t>,</w:t>
      </w:r>
      <w:r w:rsidR="00907586" w:rsidRPr="004534E7">
        <w:rPr>
          <w:lang w:val="en-GB"/>
        </w:rPr>
        <w:t xml:space="preserve"> </w:t>
      </w:r>
      <w:r w:rsidR="00E51D96">
        <w:rPr>
          <w:lang w:val="en-GB"/>
        </w:rPr>
        <w:t>UNDP</w:t>
      </w:r>
      <w:r w:rsidR="009B089B" w:rsidRPr="004435B3">
        <w:rPr>
          <w:lang w:val="en-GB"/>
        </w:rPr>
        <w:t xml:space="preserve"> </w:t>
      </w:r>
      <w:r w:rsidR="00907586" w:rsidRPr="004534E7">
        <w:rPr>
          <w:lang w:val="en-GB"/>
        </w:rPr>
        <w:t>will support strengthening the capacities of national statistic</w:t>
      </w:r>
      <w:r w:rsidR="000C6050" w:rsidRPr="004534E7">
        <w:rPr>
          <w:lang w:val="en-GB"/>
        </w:rPr>
        <w:t>al</w:t>
      </w:r>
      <w:r w:rsidR="00907586" w:rsidRPr="004534E7">
        <w:rPr>
          <w:lang w:val="en-GB"/>
        </w:rPr>
        <w:t xml:space="preserve"> system</w:t>
      </w:r>
      <w:r w:rsidR="000C6050" w:rsidRPr="004534E7">
        <w:rPr>
          <w:lang w:val="en-GB"/>
        </w:rPr>
        <w:t>s</w:t>
      </w:r>
      <w:r w:rsidR="00907586" w:rsidRPr="004534E7">
        <w:rPr>
          <w:lang w:val="en-GB"/>
        </w:rPr>
        <w:t xml:space="preserve"> to collect </w:t>
      </w:r>
      <w:r w:rsidR="00684736" w:rsidRPr="004435B3">
        <w:rPr>
          <w:lang w:val="en-GB"/>
        </w:rPr>
        <w:t>high-</w:t>
      </w:r>
      <w:r w:rsidR="00907586" w:rsidRPr="004534E7">
        <w:rPr>
          <w:lang w:val="en-GB"/>
        </w:rPr>
        <w:t>quality data</w:t>
      </w:r>
      <w:r w:rsidR="00684736" w:rsidRPr="004435B3">
        <w:rPr>
          <w:lang w:val="en-GB"/>
        </w:rPr>
        <w:t>, disaggregated by sex and other variables,</w:t>
      </w:r>
      <w:r w:rsidR="00907586" w:rsidRPr="004534E7">
        <w:rPr>
          <w:lang w:val="en-GB"/>
        </w:rPr>
        <w:t xml:space="preserve"> </w:t>
      </w:r>
      <w:r w:rsidRPr="004534E7">
        <w:rPr>
          <w:lang w:val="en-GB"/>
        </w:rPr>
        <w:t xml:space="preserve">for monitoring </w:t>
      </w:r>
      <w:r w:rsidR="00684736" w:rsidRPr="004435B3">
        <w:rPr>
          <w:lang w:val="en-GB"/>
        </w:rPr>
        <w:t>the goals</w:t>
      </w:r>
      <w:r w:rsidRPr="004534E7">
        <w:rPr>
          <w:lang w:val="en-GB"/>
        </w:rPr>
        <w:t xml:space="preserve">. Use of national data and </w:t>
      </w:r>
      <w:r w:rsidR="00684736" w:rsidRPr="004435B3">
        <w:rPr>
          <w:lang w:val="en-GB"/>
        </w:rPr>
        <w:t xml:space="preserve">monitoring and evaluation </w:t>
      </w:r>
      <w:r w:rsidRPr="004534E7">
        <w:rPr>
          <w:lang w:val="en-GB"/>
        </w:rPr>
        <w:t>systems will be maximized.</w:t>
      </w:r>
    </w:p>
    <w:p w14:paraId="157EC503" w14:textId="77777777" w:rsidR="0045372C" w:rsidRPr="004534E7" w:rsidRDefault="0045372C" w:rsidP="009D4E6E">
      <w:pPr>
        <w:pStyle w:val="ListParagraph"/>
        <w:ind w:left="1134" w:right="1208"/>
        <w:contextualSpacing/>
        <w:jc w:val="both"/>
        <w:rPr>
          <w:sz w:val="12"/>
          <w:szCs w:val="12"/>
          <w:lang w:val="en-GB"/>
        </w:rPr>
      </w:pPr>
    </w:p>
    <w:p w14:paraId="3B58B864" w14:textId="0559215D" w:rsidR="0045372C" w:rsidRPr="004534E7" w:rsidRDefault="00102E67" w:rsidP="009D4E6E">
      <w:pPr>
        <w:pStyle w:val="ListParagraph"/>
        <w:numPr>
          <w:ilvl w:val="0"/>
          <w:numId w:val="5"/>
        </w:numPr>
        <w:ind w:left="1134" w:right="1208" w:firstLine="0"/>
        <w:contextualSpacing/>
        <w:jc w:val="both"/>
        <w:rPr>
          <w:lang w:val="en-GB"/>
        </w:rPr>
      </w:pPr>
      <w:r w:rsidRPr="004534E7">
        <w:rPr>
          <w:lang w:val="en-GB"/>
        </w:rPr>
        <w:t xml:space="preserve">Using its </w:t>
      </w:r>
      <w:r w:rsidR="00FE6735" w:rsidRPr="004534E7">
        <w:rPr>
          <w:lang w:val="en-GB"/>
        </w:rPr>
        <w:t>subregion</w:t>
      </w:r>
      <w:r w:rsidRPr="004534E7">
        <w:rPr>
          <w:lang w:val="en-GB"/>
        </w:rPr>
        <w:t>al presence and policy expertise</w:t>
      </w:r>
      <w:r w:rsidR="0045372C" w:rsidRPr="004534E7">
        <w:rPr>
          <w:lang w:val="en-GB"/>
        </w:rPr>
        <w:t xml:space="preserve">, UNDP will continue to provide thought leadership and develop knowledge products on a range of </w:t>
      </w:r>
      <w:r w:rsidRPr="004534E7">
        <w:rPr>
          <w:lang w:val="en-GB"/>
        </w:rPr>
        <w:t>topics</w:t>
      </w:r>
      <w:r w:rsidR="00684736" w:rsidRPr="004435B3">
        <w:rPr>
          <w:lang w:val="en-GB"/>
        </w:rPr>
        <w:t>,</w:t>
      </w:r>
      <w:r w:rsidRPr="004534E7">
        <w:rPr>
          <w:lang w:val="en-GB"/>
        </w:rPr>
        <w:t xml:space="preserve"> such as localization</w:t>
      </w:r>
      <w:r w:rsidR="00D65861" w:rsidRPr="004534E7">
        <w:rPr>
          <w:lang w:val="en-GB"/>
        </w:rPr>
        <w:t xml:space="preserve"> of the </w:t>
      </w:r>
      <w:r w:rsidR="00E51D96">
        <w:rPr>
          <w:lang w:val="en-GB"/>
        </w:rPr>
        <w:t xml:space="preserve">sustainable development </w:t>
      </w:r>
      <w:r w:rsidR="00D65861" w:rsidRPr="004534E7">
        <w:rPr>
          <w:lang w:val="en-GB"/>
        </w:rPr>
        <w:t>goals</w:t>
      </w:r>
      <w:r w:rsidR="00684736" w:rsidRPr="004435B3">
        <w:rPr>
          <w:lang w:val="en-GB"/>
        </w:rPr>
        <w:t>;</w:t>
      </w:r>
      <w:r w:rsidRPr="004534E7">
        <w:rPr>
          <w:lang w:val="en-GB"/>
        </w:rPr>
        <w:t xml:space="preserve"> </w:t>
      </w:r>
      <w:r w:rsidR="00044656" w:rsidRPr="004534E7">
        <w:rPr>
          <w:lang w:val="en-GB"/>
        </w:rPr>
        <w:t>women in politics</w:t>
      </w:r>
      <w:r w:rsidR="00684736" w:rsidRPr="004435B3">
        <w:rPr>
          <w:lang w:val="en-GB"/>
        </w:rPr>
        <w:t>;</w:t>
      </w:r>
      <w:r w:rsidR="00044656" w:rsidRPr="004534E7">
        <w:rPr>
          <w:lang w:val="en-GB"/>
        </w:rPr>
        <w:t xml:space="preserve"> </w:t>
      </w:r>
      <w:r w:rsidRPr="004534E7">
        <w:rPr>
          <w:lang w:val="en-GB"/>
        </w:rPr>
        <w:t>p</w:t>
      </w:r>
      <w:r w:rsidR="0045372C" w:rsidRPr="004534E7">
        <w:rPr>
          <w:lang w:val="en-GB"/>
        </w:rPr>
        <w:t>arliamentary development</w:t>
      </w:r>
      <w:r w:rsidR="00684736" w:rsidRPr="004435B3">
        <w:rPr>
          <w:lang w:val="en-GB"/>
        </w:rPr>
        <w:t>;</w:t>
      </w:r>
      <w:r w:rsidR="0045372C" w:rsidRPr="004534E7">
        <w:rPr>
          <w:lang w:val="en-GB"/>
        </w:rPr>
        <w:t xml:space="preserve"> </w:t>
      </w:r>
      <w:r w:rsidR="00044656" w:rsidRPr="004534E7">
        <w:rPr>
          <w:lang w:val="en-GB"/>
        </w:rPr>
        <w:t>risk governance</w:t>
      </w:r>
      <w:r w:rsidR="00684736" w:rsidRPr="004435B3">
        <w:rPr>
          <w:lang w:val="en-GB"/>
        </w:rPr>
        <w:t>;</w:t>
      </w:r>
      <w:r w:rsidR="00044656" w:rsidRPr="004534E7">
        <w:rPr>
          <w:lang w:val="en-GB"/>
        </w:rPr>
        <w:t xml:space="preserve"> resilience</w:t>
      </w:r>
      <w:r w:rsidR="004534E7">
        <w:rPr>
          <w:lang w:val="en-GB"/>
        </w:rPr>
        <w:t>;</w:t>
      </w:r>
      <w:r w:rsidR="004534E7" w:rsidRPr="004534E7">
        <w:rPr>
          <w:lang w:val="en-GB"/>
        </w:rPr>
        <w:t xml:space="preserve"> </w:t>
      </w:r>
      <w:r w:rsidR="00044656" w:rsidRPr="004534E7">
        <w:rPr>
          <w:lang w:val="en-GB"/>
        </w:rPr>
        <w:t xml:space="preserve">and </w:t>
      </w:r>
      <w:r w:rsidRPr="004534E7">
        <w:rPr>
          <w:lang w:val="en-GB"/>
        </w:rPr>
        <w:t xml:space="preserve">climate finance, </w:t>
      </w:r>
      <w:r w:rsidR="00044656" w:rsidRPr="004534E7">
        <w:rPr>
          <w:lang w:val="en-GB"/>
        </w:rPr>
        <w:t xml:space="preserve">as well as on enabling factors such as regional cooperation and innovation to maximize development impact in small countries with limited human and financial capacities. </w:t>
      </w:r>
      <w:r w:rsidR="0045372C" w:rsidRPr="004534E7">
        <w:rPr>
          <w:lang w:val="en-GB"/>
        </w:rPr>
        <w:t>Speci</w:t>
      </w:r>
      <w:r w:rsidR="00684736" w:rsidRPr="004435B3">
        <w:rPr>
          <w:lang w:val="en-GB"/>
        </w:rPr>
        <w:t>al</w:t>
      </w:r>
      <w:r w:rsidR="0045372C" w:rsidRPr="004534E7">
        <w:rPr>
          <w:lang w:val="en-GB"/>
        </w:rPr>
        <w:t xml:space="preserve"> consideration will be given to undertaking research on the role of traditional governance systems in modern societies.</w:t>
      </w:r>
    </w:p>
    <w:p w14:paraId="55A6A5ED" w14:textId="77777777" w:rsidR="000947BC" w:rsidRPr="004534E7" w:rsidRDefault="000947BC" w:rsidP="000947BC">
      <w:pPr>
        <w:pStyle w:val="ListParagraph"/>
        <w:rPr>
          <w:lang w:val="en-GB"/>
        </w:rPr>
      </w:pPr>
    </w:p>
    <w:p w14:paraId="75384784" w14:textId="77777777" w:rsidR="000947BC" w:rsidRPr="004534E7" w:rsidRDefault="000947BC" w:rsidP="000947BC">
      <w:pPr>
        <w:pStyle w:val="ListParagraph"/>
        <w:ind w:left="1134" w:right="1208"/>
        <w:contextualSpacing/>
        <w:jc w:val="both"/>
        <w:rPr>
          <w:lang w:val="en-GB"/>
        </w:rPr>
      </w:pPr>
    </w:p>
    <w:p w14:paraId="0B1C8BAB" w14:textId="77777777" w:rsidR="00BB5C1F" w:rsidRPr="004534E7" w:rsidRDefault="00BB5C1F" w:rsidP="00044656">
      <w:pPr>
        <w:ind w:left="1134" w:right="1208"/>
        <w:contextualSpacing/>
        <w:jc w:val="both"/>
        <w:rPr>
          <w:lang w:val="en-GB"/>
        </w:rPr>
        <w:sectPr w:rsidR="00BB5C1F" w:rsidRPr="004534E7" w:rsidSect="003D1A73">
          <w:headerReference w:type="even" r:id="rId14"/>
          <w:headerReference w:type="default" r:id="rId15"/>
          <w:footerReference w:type="even" r:id="rId16"/>
          <w:footerReference w:type="default" r:id="rId17"/>
          <w:headerReference w:type="first" r:id="rId18"/>
          <w:pgSz w:w="12240" w:h="15840"/>
          <w:pgMar w:top="1152" w:right="1440" w:bottom="1152" w:left="1440" w:header="720" w:footer="720" w:gutter="0"/>
          <w:cols w:space="720"/>
          <w:titlePg/>
          <w:docGrid w:linePitch="272"/>
        </w:sectPr>
      </w:pPr>
    </w:p>
    <w:p w14:paraId="6126C435" w14:textId="77777777" w:rsidR="00A971B5" w:rsidRPr="004534E7" w:rsidRDefault="00A971B5" w:rsidP="00A971B5">
      <w:pPr>
        <w:pStyle w:val="Heading1"/>
        <w:spacing w:after="120"/>
        <w:ind w:left="142"/>
        <w:rPr>
          <w:rFonts w:ascii="Times New Roman" w:hAnsi="Times New Roman"/>
          <w:szCs w:val="28"/>
          <w:lang w:val="en-GB"/>
        </w:rPr>
      </w:pPr>
      <w:r w:rsidRPr="004534E7">
        <w:rPr>
          <w:rFonts w:ascii="Times New Roman" w:hAnsi="Times New Roman"/>
          <w:szCs w:val="28"/>
          <w:lang w:val="en-GB"/>
        </w:rPr>
        <w:lastRenderedPageBreak/>
        <w:t>Annex. Results and resources framework</w:t>
      </w:r>
    </w:p>
    <w:tbl>
      <w:tblPr>
        <w:tblW w:w="47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2733"/>
        <w:gridCol w:w="121"/>
        <w:gridCol w:w="16"/>
        <w:gridCol w:w="2241"/>
        <w:gridCol w:w="3436"/>
        <w:gridCol w:w="2607"/>
        <w:gridCol w:w="1801"/>
      </w:tblGrid>
      <w:tr w:rsidR="009808E2" w:rsidRPr="004435B3" w14:paraId="5755B9A8" w14:textId="77777777" w:rsidTr="00486C93">
        <w:tc>
          <w:tcPr>
            <w:tcW w:w="5000" w:type="pct"/>
            <w:gridSpan w:val="7"/>
            <w:tcMar>
              <w:top w:w="72" w:type="dxa"/>
              <w:left w:w="144" w:type="dxa"/>
              <w:bottom w:w="72" w:type="dxa"/>
              <w:right w:w="144" w:type="dxa"/>
            </w:tcMar>
          </w:tcPr>
          <w:p w14:paraId="27422216" w14:textId="09855AA3" w:rsidR="009808E2" w:rsidRPr="004534E7" w:rsidRDefault="00C76AB4" w:rsidP="00B6740A">
            <w:pPr>
              <w:rPr>
                <w:bCs/>
                <w:sz w:val="18"/>
                <w:szCs w:val="18"/>
                <w:lang w:val="en-GB"/>
              </w:rPr>
            </w:pPr>
            <w:r w:rsidRPr="004534E7">
              <w:rPr>
                <w:b/>
                <w:bCs/>
                <w:sz w:val="18"/>
                <w:szCs w:val="18"/>
                <w:lang w:val="en-GB"/>
              </w:rPr>
              <w:t>Regional priority</w:t>
            </w:r>
            <w:r w:rsidR="009808E2" w:rsidRPr="004534E7">
              <w:rPr>
                <w:b/>
                <w:bCs/>
                <w:sz w:val="18"/>
                <w:szCs w:val="18"/>
                <w:lang w:val="en-GB"/>
              </w:rPr>
              <w:t xml:space="preserve">: </w:t>
            </w:r>
            <w:r w:rsidR="009808E2" w:rsidRPr="004534E7">
              <w:rPr>
                <w:bCs/>
                <w:sz w:val="18"/>
                <w:szCs w:val="18"/>
                <w:lang w:val="en-GB"/>
              </w:rPr>
              <w:t xml:space="preserve">Pacific people, societies, economies, cultures and natural environments are resilient to changing conditions and extreme events resulting from climate change, climate variability and geological processes, to enhance the well-being of the people and to promote their sustainable development </w:t>
            </w:r>
            <w:r w:rsidR="009808E2" w:rsidRPr="004534E7">
              <w:rPr>
                <w:bCs/>
                <w:i/>
                <w:sz w:val="18"/>
                <w:szCs w:val="18"/>
                <w:lang w:val="en-GB"/>
              </w:rPr>
              <w:t>(Framework for Resilient Development in the Pacific</w:t>
            </w:r>
            <w:r w:rsidR="00E51D96">
              <w:rPr>
                <w:bCs/>
                <w:i/>
                <w:sz w:val="18"/>
                <w:szCs w:val="18"/>
                <w:lang w:val="en-GB"/>
              </w:rPr>
              <w:t xml:space="preserve"> </w:t>
            </w:r>
            <w:r w:rsidR="00D06D12" w:rsidRPr="004534E7">
              <w:rPr>
                <w:bCs/>
                <w:i/>
                <w:sz w:val="18"/>
                <w:szCs w:val="18"/>
                <w:lang w:val="en-GB"/>
              </w:rPr>
              <w:t>(FRDP</w:t>
            </w:r>
            <w:r w:rsidR="009808E2" w:rsidRPr="004534E7">
              <w:rPr>
                <w:bCs/>
                <w:i/>
                <w:sz w:val="18"/>
                <w:szCs w:val="18"/>
                <w:lang w:val="en-GB"/>
              </w:rPr>
              <w:t>)</w:t>
            </w:r>
          </w:p>
          <w:p w14:paraId="2F2270FF" w14:textId="3B9CE2A1" w:rsidR="009808E2" w:rsidRPr="004534E7" w:rsidRDefault="00C76AB4" w:rsidP="00B6740A">
            <w:pPr>
              <w:rPr>
                <w:b/>
                <w:sz w:val="18"/>
                <w:szCs w:val="18"/>
                <w:lang w:val="en-GB"/>
              </w:rPr>
            </w:pPr>
            <w:r w:rsidRPr="004534E7">
              <w:rPr>
                <w:b/>
                <w:bCs/>
                <w:sz w:val="18"/>
                <w:szCs w:val="18"/>
                <w:lang w:val="en-GB"/>
              </w:rPr>
              <w:t>Sustainable development goals (</w:t>
            </w:r>
            <w:r w:rsidR="009808E2" w:rsidRPr="004534E7">
              <w:rPr>
                <w:b/>
                <w:bCs/>
                <w:sz w:val="18"/>
                <w:szCs w:val="18"/>
                <w:lang w:val="en-GB"/>
              </w:rPr>
              <w:t>SDGs</w:t>
            </w:r>
            <w:r w:rsidRPr="004534E7">
              <w:rPr>
                <w:b/>
                <w:bCs/>
                <w:sz w:val="18"/>
                <w:szCs w:val="18"/>
                <w:lang w:val="en-GB"/>
              </w:rPr>
              <w:t>)</w:t>
            </w:r>
            <w:r w:rsidR="009808E2" w:rsidRPr="004534E7">
              <w:rPr>
                <w:b/>
                <w:bCs/>
                <w:sz w:val="18"/>
                <w:szCs w:val="18"/>
                <w:lang w:val="en-GB"/>
              </w:rPr>
              <w:t xml:space="preserve"> </w:t>
            </w:r>
            <w:r w:rsidR="009808E2" w:rsidRPr="004534E7">
              <w:rPr>
                <w:bCs/>
                <w:sz w:val="18"/>
                <w:szCs w:val="18"/>
                <w:lang w:val="en-GB"/>
              </w:rPr>
              <w:t>7, 13, 14, 15</w:t>
            </w:r>
          </w:p>
        </w:tc>
      </w:tr>
      <w:tr w:rsidR="009808E2" w:rsidRPr="004435B3" w14:paraId="01411A9E" w14:textId="77777777" w:rsidTr="00486C93">
        <w:tc>
          <w:tcPr>
            <w:tcW w:w="5000" w:type="pct"/>
            <w:gridSpan w:val="7"/>
            <w:tcMar>
              <w:top w:w="72" w:type="dxa"/>
              <w:left w:w="144" w:type="dxa"/>
              <w:bottom w:w="72" w:type="dxa"/>
              <w:right w:w="144" w:type="dxa"/>
            </w:tcMar>
          </w:tcPr>
          <w:p w14:paraId="0EC045C4" w14:textId="66DC6A37" w:rsidR="009808E2" w:rsidRPr="004534E7" w:rsidRDefault="009808E2" w:rsidP="00B6740A">
            <w:pPr>
              <w:rPr>
                <w:b/>
                <w:sz w:val="18"/>
                <w:szCs w:val="18"/>
                <w:lang w:val="en-GB"/>
              </w:rPr>
            </w:pPr>
            <w:r w:rsidRPr="004534E7">
              <w:rPr>
                <w:b/>
                <w:bCs/>
                <w:sz w:val="18"/>
                <w:szCs w:val="18"/>
                <w:lang w:val="en-GB"/>
              </w:rPr>
              <w:t>U</w:t>
            </w:r>
            <w:r w:rsidR="00C76AB4" w:rsidRPr="004534E7">
              <w:rPr>
                <w:b/>
                <w:bCs/>
                <w:sz w:val="18"/>
                <w:szCs w:val="18"/>
                <w:lang w:val="en-GB"/>
              </w:rPr>
              <w:t>nited Nations</w:t>
            </w:r>
            <w:r w:rsidRPr="004534E7">
              <w:rPr>
                <w:b/>
                <w:bCs/>
                <w:sz w:val="18"/>
                <w:szCs w:val="18"/>
                <w:lang w:val="en-GB"/>
              </w:rPr>
              <w:t xml:space="preserve"> </w:t>
            </w:r>
            <w:r w:rsidR="00C76AB4" w:rsidRPr="004534E7">
              <w:rPr>
                <w:b/>
                <w:bCs/>
                <w:sz w:val="18"/>
                <w:szCs w:val="18"/>
                <w:lang w:val="en-GB"/>
              </w:rPr>
              <w:t xml:space="preserve">outcome 1 involving </w:t>
            </w:r>
            <w:r w:rsidRPr="004534E7">
              <w:rPr>
                <w:b/>
                <w:bCs/>
                <w:sz w:val="18"/>
                <w:szCs w:val="18"/>
                <w:lang w:val="en-GB"/>
              </w:rPr>
              <w:t>UNDP:</w:t>
            </w:r>
            <w:r w:rsidRPr="004534E7">
              <w:rPr>
                <w:sz w:val="18"/>
                <w:szCs w:val="18"/>
                <w:lang w:val="en-GB"/>
              </w:rPr>
              <w:t xml:space="preserve"> </w:t>
            </w:r>
            <w:r w:rsidRPr="004534E7">
              <w:rPr>
                <w:bCs/>
                <w:sz w:val="18"/>
                <w:szCs w:val="18"/>
                <w:lang w:val="en-GB"/>
              </w:rPr>
              <w:t>By 2022, people and ecosystems in the Pacific are more resilient to the impacts of climate change, climate variability and disasters; and environmental protection is strengthened</w:t>
            </w:r>
            <w:r w:rsidR="00E51D96">
              <w:rPr>
                <w:bCs/>
                <w:sz w:val="18"/>
                <w:szCs w:val="18"/>
                <w:lang w:val="en-GB"/>
              </w:rPr>
              <w:t>.</w:t>
            </w:r>
          </w:p>
        </w:tc>
      </w:tr>
      <w:tr w:rsidR="009808E2" w:rsidRPr="004435B3" w14:paraId="4EDAF9B9" w14:textId="77777777" w:rsidTr="00486C93">
        <w:tc>
          <w:tcPr>
            <w:tcW w:w="5000" w:type="pct"/>
            <w:gridSpan w:val="7"/>
            <w:tcBorders>
              <w:bottom w:val="single" w:sz="4" w:space="0" w:color="auto"/>
            </w:tcBorders>
            <w:tcMar>
              <w:top w:w="72" w:type="dxa"/>
              <w:left w:w="144" w:type="dxa"/>
              <w:bottom w:w="72" w:type="dxa"/>
              <w:right w:w="144" w:type="dxa"/>
            </w:tcMar>
          </w:tcPr>
          <w:p w14:paraId="39A6CB88" w14:textId="7156D786" w:rsidR="009808E2" w:rsidRPr="004534E7" w:rsidRDefault="00C76AB4" w:rsidP="00B6740A">
            <w:pPr>
              <w:rPr>
                <w:b/>
                <w:sz w:val="18"/>
                <w:szCs w:val="18"/>
                <w:lang w:val="en-GB"/>
              </w:rPr>
            </w:pPr>
            <w:r w:rsidRPr="004534E7">
              <w:rPr>
                <w:b/>
                <w:sz w:val="18"/>
                <w:szCs w:val="18"/>
                <w:lang w:val="en-GB"/>
              </w:rPr>
              <w:t xml:space="preserve">Strategic plan outcome </w:t>
            </w:r>
            <w:r w:rsidR="009808E2" w:rsidRPr="004534E7">
              <w:rPr>
                <w:b/>
                <w:sz w:val="18"/>
                <w:szCs w:val="18"/>
                <w:lang w:val="en-GB"/>
              </w:rPr>
              <w:t>5</w:t>
            </w:r>
            <w:r w:rsidRPr="004534E7">
              <w:rPr>
                <w:b/>
                <w:sz w:val="18"/>
                <w:szCs w:val="18"/>
                <w:lang w:val="en-GB"/>
              </w:rPr>
              <w:t>.</w:t>
            </w:r>
            <w:r w:rsidR="009808E2" w:rsidRPr="004534E7">
              <w:rPr>
                <w:b/>
                <w:sz w:val="18"/>
                <w:szCs w:val="18"/>
                <w:lang w:val="en-GB"/>
              </w:rPr>
              <w:t xml:space="preserve"> </w:t>
            </w:r>
            <w:r w:rsidR="009808E2" w:rsidRPr="004534E7">
              <w:rPr>
                <w:sz w:val="18"/>
                <w:szCs w:val="18"/>
                <w:lang w:val="en-GB"/>
              </w:rPr>
              <w:t>Countries are able to reduce the likelihood of conflict and lower the risk of natural disasters, including from climate change</w:t>
            </w:r>
            <w:r w:rsidR="00E51D96">
              <w:rPr>
                <w:sz w:val="18"/>
                <w:szCs w:val="18"/>
                <w:lang w:val="en-GB"/>
              </w:rPr>
              <w:t>.</w:t>
            </w:r>
          </w:p>
        </w:tc>
      </w:tr>
      <w:tr w:rsidR="009808E2" w:rsidRPr="004435B3" w14:paraId="68D343DF" w14:textId="77777777" w:rsidTr="0029445C">
        <w:tc>
          <w:tcPr>
            <w:tcW w:w="1055" w:type="pct"/>
            <w:shd w:val="clear" w:color="auto" w:fill="auto"/>
            <w:tcMar>
              <w:top w:w="72" w:type="dxa"/>
              <w:left w:w="144" w:type="dxa"/>
              <w:bottom w:w="72" w:type="dxa"/>
              <w:right w:w="144" w:type="dxa"/>
            </w:tcMar>
            <w:vAlign w:val="center"/>
          </w:tcPr>
          <w:p w14:paraId="41AB00EE" w14:textId="1761B334" w:rsidR="009808E2" w:rsidRPr="004534E7" w:rsidRDefault="00E51D96" w:rsidP="00E51D96">
            <w:pPr>
              <w:jc w:val="center"/>
              <w:rPr>
                <w:i/>
                <w:iCs/>
                <w:sz w:val="16"/>
                <w:szCs w:val="16"/>
                <w:lang w:val="en-GB"/>
              </w:rPr>
            </w:pPr>
            <w:r w:rsidRPr="004534E7">
              <w:rPr>
                <w:b/>
                <w:bCs/>
                <w:sz w:val="16"/>
                <w:szCs w:val="16"/>
                <w:lang w:val="en-GB"/>
              </w:rPr>
              <w:t>U</w:t>
            </w:r>
            <w:r>
              <w:rPr>
                <w:b/>
                <w:bCs/>
                <w:sz w:val="16"/>
                <w:szCs w:val="16"/>
                <w:lang w:val="en-GB"/>
              </w:rPr>
              <w:t>nited Nations</w:t>
            </w:r>
            <w:r w:rsidRPr="004534E7">
              <w:rPr>
                <w:b/>
                <w:bCs/>
                <w:sz w:val="16"/>
                <w:szCs w:val="16"/>
                <w:lang w:val="en-GB"/>
              </w:rPr>
              <w:t xml:space="preserve"> </w:t>
            </w:r>
            <w:r w:rsidR="00A971B5" w:rsidRPr="004534E7">
              <w:rPr>
                <w:b/>
                <w:bCs/>
                <w:sz w:val="16"/>
                <w:szCs w:val="16"/>
                <w:lang w:val="en-GB"/>
              </w:rPr>
              <w:t>Pacific strategy outcome indicators, baselines, targets</w:t>
            </w:r>
          </w:p>
        </w:tc>
        <w:tc>
          <w:tcPr>
            <w:tcW w:w="918" w:type="pct"/>
            <w:gridSpan w:val="3"/>
            <w:shd w:val="clear" w:color="auto" w:fill="auto"/>
            <w:vAlign w:val="center"/>
          </w:tcPr>
          <w:p w14:paraId="584F7251" w14:textId="77777777" w:rsidR="009808E2" w:rsidRPr="004534E7" w:rsidRDefault="00A971B5" w:rsidP="00B6740A">
            <w:pPr>
              <w:jc w:val="center"/>
              <w:rPr>
                <w:i/>
                <w:iCs/>
                <w:sz w:val="16"/>
                <w:szCs w:val="16"/>
                <w:lang w:val="en-GB"/>
              </w:rPr>
            </w:pPr>
            <w:r w:rsidRPr="004534E7">
              <w:rPr>
                <w:b/>
                <w:sz w:val="16"/>
                <w:szCs w:val="16"/>
                <w:lang w:val="en-GB"/>
              </w:rPr>
              <w:t>Data source and frequency of data collection, and responsibilities</w:t>
            </w:r>
          </w:p>
        </w:tc>
        <w:tc>
          <w:tcPr>
            <w:tcW w:w="1326" w:type="pct"/>
            <w:shd w:val="clear" w:color="auto" w:fill="auto"/>
            <w:tcMar>
              <w:top w:w="72" w:type="dxa"/>
              <w:left w:w="144" w:type="dxa"/>
              <w:bottom w:w="72" w:type="dxa"/>
              <w:right w:w="144" w:type="dxa"/>
            </w:tcMar>
            <w:vAlign w:val="center"/>
          </w:tcPr>
          <w:p w14:paraId="28E48B55" w14:textId="77777777" w:rsidR="00C76AB4" w:rsidRPr="004534E7" w:rsidRDefault="00A971B5" w:rsidP="00B6740A">
            <w:pPr>
              <w:jc w:val="center"/>
              <w:rPr>
                <w:b/>
                <w:bCs/>
                <w:sz w:val="16"/>
                <w:szCs w:val="16"/>
                <w:lang w:val="en-GB"/>
              </w:rPr>
            </w:pPr>
            <w:r w:rsidRPr="004534E7">
              <w:rPr>
                <w:b/>
                <w:bCs/>
                <w:sz w:val="16"/>
                <w:szCs w:val="16"/>
                <w:lang w:val="en-GB"/>
              </w:rPr>
              <w:t xml:space="preserve">Indicative country programme outputs </w:t>
            </w:r>
          </w:p>
          <w:p w14:paraId="7AE16EAE" w14:textId="68F74A16" w:rsidR="009808E2" w:rsidRPr="004534E7" w:rsidRDefault="00A971B5" w:rsidP="00B6740A">
            <w:pPr>
              <w:jc w:val="center"/>
              <w:rPr>
                <w:i/>
                <w:iCs/>
                <w:sz w:val="16"/>
                <w:szCs w:val="16"/>
                <w:lang w:val="en-GB"/>
              </w:rPr>
            </w:pPr>
            <w:r w:rsidRPr="004534E7">
              <w:rPr>
                <w:b/>
                <w:bCs/>
                <w:i/>
                <w:sz w:val="16"/>
                <w:szCs w:val="16"/>
                <w:lang w:val="en-GB"/>
              </w:rPr>
              <w:t>(including indicators, baselines</w:t>
            </w:r>
            <w:r w:rsidR="00E51D96">
              <w:rPr>
                <w:b/>
                <w:bCs/>
                <w:i/>
                <w:sz w:val="16"/>
                <w:szCs w:val="16"/>
                <w:lang w:val="en-GB"/>
              </w:rPr>
              <w:t>,</w:t>
            </w:r>
            <w:r w:rsidRPr="004534E7">
              <w:rPr>
                <w:b/>
                <w:bCs/>
                <w:i/>
                <w:sz w:val="16"/>
                <w:szCs w:val="16"/>
                <w:lang w:val="en-GB"/>
              </w:rPr>
              <w:t xml:space="preserve"> targets)</w:t>
            </w:r>
          </w:p>
        </w:tc>
        <w:tc>
          <w:tcPr>
            <w:tcW w:w="1006" w:type="pct"/>
            <w:shd w:val="clear" w:color="auto" w:fill="auto"/>
            <w:vAlign w:val="center"/>
          </w:tcPr>
          <w:p w14:paraId="35600093" w14:textId="24663884" w:rsidR="009808E2" w:rsidRPr="004534E7" w:rsidRDefault="00A971B5">
            <w:pPr>
              <w:jc w:val="center"/>
              <w:rPr>
                <w:i/>
                <w:iCs/>
                <w:sz w:val="16"/>
                <w:szCs w:val="16"/>
                <w:lang w:val="en-GB"/>
              </w:rPr>
            </w:pPr>
            <w:r w:rsidRPr="004534E7">
              <w:rPr>
                <w:b/>
                <w:bCs/>
                <w:sz w:val="16"/>
                <w:szCs w:val="16"/>
                <w:lang w:val="en-GB"/>
              </w:rPr>
              <w:t>Major partners/partnerships</w:t>
            </w:r>
            <w:r w:rsidR="00C76AB4" w:rsidRPr="004534E7">
              <w:rPr>
                <w:b/>
                <w:bCs/>
                <w:sz w:val="16"/>
                <w:szCs w:val="16"/>
                <w:lang w:val="en-GB"/>
              </w:rPr>
              <w:t>/</w:t>
            </w:r>
            <w:r w:rsidRPr="004534E7">
              <w:rPr>
                <w:b/>
                <w:bCs/>
                <w:sz w:val="16"/>
                <w:szCs w:val="16"/>
                <w:lang w:val="en-GB"/>
              </w:rPr>
              <w:t xml:space="preserve"> frameworks</w:t>
            </w:r>
          </w:p>
        </w:tc>
        <w:tc>
          <w:tcPr>
            <w:tcW w:w="695" w:type="pct"/>
            <w:shd w:val="clear" w:color="auto" w:fill="auto"/>
            <w:tcMar>
              <w:top w:w="15" w:type="dxa"/>
              <w:left w:w="108" w:type="dxa"/>
              <w:bottom w:w="0" w:type="dxa"/>
              <w:right w:w="108" w:type="dxa"/>
            </w:tcMar>
            <w:vAlign w:val="center"/>
          </w:tcPr>
          <w:p w14:paraId="3F02C884" w14:textId="29079CEC" w:rsidR="009808E2" w:rsidRPr="004534E7" w:rsidRDefault="00A971B5" w:rsidP="00A971B5">
            <w:pPr>
              <w:jc w:val="center"/>
              <w:rPr>
                <w:b/>
                <w:sz w:val="16"/>
                <w:szCs w:val="16"/>
                <w:lang w:val="en-GB"/>
              </w:rPr>
            </w:pPr>
            <w:r w:rsidRPr="004534E7">
              <w:rPr>
                <w:b/>
                <w:bCs/>
                <w:sz w:val="16"/>
                <w:szCs w:val="16"/>
                <w:lang w:val="en-GB"/>
              </w:rPr>
              <w:t>Indicative resources by outcome ($</w:t>
            </w:r>
            <w:r w:rsidR="00C76AB4" w:rsidRPr="004534E7">
              <w:rPr>
                <w:b/>
                <w:bCs/>
                <w:sz w:val="16"/>
                <w:szCs w:val="16"/>
                <w:lang w:val="en-GB"/>
              </w:rPr>
              <w:t> thousands</w:t>
            </w:r>
            <w:r w:rsidRPr="004534E7">
              <w:rPr>
                <w:b/>
                <w:bCs/>
                <w:sz w:val="16"/>
                <w:szCs w:val="16"/>
                <w:lang w:val="en-GB"/>
              </w:rPr>
              <w:t>)</w:t>
            </w:r>
          </w:p>
        </w:tc>
      </w:tr>
      <w:tr w:rsidR="009808E2" w:rsidRPr="004435B3" w14:paraId="6E5E9CB4" w14:textId="77777777" w:rsidTr="0029445C">
        <w:tc>
          <w:tcPr>
            <w:tcW w:w="1055" w:type="pct"/>
            <w:vMerge w:val="restart"/>
            <w:tcMar>
              <w:top w:w="72" w:type="dxa"/>
              <w:left w:w="144" w:type="dxa"/>
              <w:bottom w:w="72" w:type="dxa"/>
              <w:right w:w="144" w:type="dxa"/>
            </w:tcMar>
          </w:tcPr>
          <w:p w14:paraId="0BDFACA3" w14:textId="4476CB7F" w:rsidR="009808E2" w:rsidRPr="004534E7" w:rsidRDefault="009808E2" w:rsidP="00B6740A">
            <w:pPr>
              <w:pStyle w:val="ListParagraph"/>
              <w:ind w:left="0"/>
              <w:rPr>
                <w:bCs/>
                <w:i/>
                <w:iCs/>
                <w:sz w:val="16"/>
                <w:szCs w:val="16"/>
                <w:lang w:val="en-GB"/>
              </w:rPr>
            </w:pPr>
            <w:r w:rsidRPr="004534E7">
              <w:rPr>
                <w:b/>
                <w:bCs/>
                <w:iCs/>
                <w:sz w:val="16"/>
                <w:szCs w:val="16"/>
                <w:lang w:val="en-GB"/>
              </w:rPr>
              <w:t xml:space="preserve">Indicator: </w:t>
            </w:r>
            <w:r w:rsidRPr="004534E7">
              <w:rPr>
                <w:bCs/>
                <w:iCs/>
                <w:sz w:val="16"/>
                <w:szCs w:val="16"/>
                <w:lang w:val="en-GB"/>
              </w:rPr>
              <w:t xml:space="preserve">Number of </w:t>
            </w:r>
            <w:r w:rsidR="00C76AB4" w:rsidRPr="004534E7">
              <w:rPr>
                <w:bCs/>
                <w:iCs/>
                <w:sz w:val="16"/>
                <w:szCs w:val="16"/>
                <w:lang w:val="en-GB"/>
              </w:rPr>
              <w:t>Pacific Island Countries and Territories (</w:t>
            </w:r>
            <w:r w:rsidRPr="004534E7">
              <w:rPr>
                <w:bCs/>
                <w:iCs/>
                <w:sz w:val="16"/>
                <w:szCs w:val="16"/>
                <w:lang w:val="en-GB"/>
              </w:rPr>
              <w:t>PICTs</w:t>
            </w:r>
            <w:r w:rsidR="00C76AB4" w:rsidRPr="004534E7">
              <w:rPr>
                <w:bCs/>
                <w:iCs/>
                <w:sz w:val="16"/>
                <w:szCs w:val="16"/>
                <w:lang w:val="en-GB"/>
              </w:rPr>
              <w:t>)</w:t>
            </w:r>
            <w:r w:rsidRPr="004534E7">
              <w:rPr>
                <w:bCs/>
                <w:iCs/>
                <w:sz w:val="16"/>
                <w:szCs w:val="16"/>
                <w:lang w:val="en-GB"/>
              </w:rPr>
              <w:t xml:space="preserve"> whose direct disaster economic loss in relation to regional </w:t>
            </w:r>
            <w:r w:rsidR="00BC305C" w:rsidRPr="004534E7">
              <w:rPr>
                <w:bCs/>
                <w:iCs/>
                <w:sz w:val="16"/>
                <w:szCs w:val="16"/>
                <w:lang w:val="en-GB"/>
              </w:rPr>
              <w:t>gross domestic product</w:t>
            </w:r>
            <w:r w:rsidRPr="004534E7">
              <w:rPr>
                <w:bCs/>
                <w:iCs/>
                <w:sz w:val="16"/>
                <w:szCs w:val="16"/>
                <w:lang w:val="en-GB"/>
              </w:rPr>
              <w:t>, including disaster damage to critical infrastructure and disruption of basic services</w:t>
            </w:r>
            <w:r w:rsidR="00C76AB4" w:rsidRPr="004534E7">
              <w:rPr>
                <w:bCs/>
                <w:iCs/>
                <w:sz w:val="16"/>
                <w:szCs w:val="16"/>
                <w:lang w:val="en-GB"/>
              </w:rPr>
              <w:t>,</w:t>
            </w:r>
            <w:r w:rsidRPr="004534E7">
              <w:rPr>
                <w:bCs/>
                <w:iCs/>
                <w:sz w:val="16"/>
                <w:szCs w:val="16"/>
                <w:lang w:val="en-GB"/>
              </w:rPr>
              <w:t xml:space="preserve"> has </w:t>
            </w:r>
            <w:r w:rsidR="00C76AB4" w:rsidRPr="004534E7">
              <w:rPr>
                <w:bCs/>
                <w:iCs/>
                <w:sz w:val="16"/>
                <w:szCs w:val="16"/>
                <w:lang w:val="en-GB"/>
              </w:rPr>
              <w:t xml:space="preserve">declined, </w:t>
            </w:r>
            <w:r w:rsidR="009862E2" w:rsidRPr="004534E7">
              <w:rPr>
                <w:bCs/>
                <w:iCs/>
                <w:sz w:val="16"/>
                <w:szCs w:val="16"/>
                <w:lang w:val="en-GB"/>
              </w:rPr>
              <w:t>based on the latest available dat</w:t>
            </w:r>
            <w:r w:rsidR="00DD14C0" w:rsidRPr="004534E7">
              <w:rPr>
                <w:bCs/>
                <w:iCs/>
                <w:sz w:val="16"/>
                <w:szCs w:val="16"/>
                <w:lang w:val="en-GB"/>
              </w:rPr>
              <w:t>a</w:t>
            </w:r>
          </w:p>
          <w:p w14:paraId="1EEEAEE7" w14:textId="77777777" w:rsidR="009808E2" w:rsidRPr="004534E7" w:rsidRDefault="009808E2" w:rsidP="00B6740A">
            <w:pPr>
              <w:pStyle w:val="ListParagraph"/>
              <w:ind w:left="0"/>
              <w:rPr>
                <w:b/>
                <w:bCs/>
                <w:iCs/>
                <w:sz w:val="16"/>
                <w:szCs w:val="16"/>
                <w:lang w:val="en-GB"/>
              </w:rPr>
            </w:pPr>
            <w:r w:rsidRPr="004534E7">
              <w:rPr>
                <w:b/>
                <w:bCs/>
                <w:iCs/>
                <w:sz w:val="16"/>
                <w:szCs w:val="16"/>
                <w:lang w:val="en-GB"/>
              </w:rPr>
              <w:t xml:space="preserve">Baseline: </w:t>
            </w:r>
            <w:r w:rsidR="0012549C" w:rsidRPr="004534E7">
              <w:rPr>
                <w:bCs/>
                <w:iCs/>
                <w:sz w:val="16"/>
                <w:szCs w:val="16"/>
                <w:lang w:val="en-GB"/>
              </w:rPr>
              <w:t>0</w:t>
            </w:r>
          </w:p>
          <w:p w14:paraId="45B8848C" w14:textId="77777777" w:rsidR="009808E2" w:rsidRPr="004534E7" w:rsidRDefault="009808E2" w:rsidP="00B6740A">
            <w:pPr>
              <w:pStyle w:val="ListParagraph"/>
              <w:ind w:left="0"/>
              <w:rPr>
                <w:b/>
                <w:bCs/>
                <w:iCs/>
                <w:sz w:val="16"/>
                <w:szCs w:val="16"/>
                <w:lang w:val="en-GB"/>
              </w:rPr>
            </w:pPr>
            <w:r w:rsidRPr="004534E7">
              <w:rPr>
                <w:b/>
                <w:bCs/>
                <w:iCs/>
                <w:sz w:val="16"/>
                <w:szCs w:val="16"/>
                <w:lang w:val="en-GB"/>
              </w:rPr>
              <w:t xml:space="preserve">Target: </w:t>
            </w:r>
            <w:r w:rsidR="0012549C" w:rsidRPr="004534E7">
              <w:rPr>
                <w:bCs/>
                <w:iCs/>
                <w:sz w:val="16"/>
                <w:szCs w:val="16"/>
                <w:lang w:val="en-GB"/>
              </w:rPr>
              <w:t>8</w:t>
            </w:r>
          </w:p>
          <w:p w14:paraId="52C1C447" w14:textId="77777777" w:rsidR="009808E2" w:rsidRPr="004534E7" w:rsidRDefault="009808E2" w:rsidP="00B6740A">
            <w:pPr>
              <w:pStyle w:val="ListParagraph"/>
              <w:ind w:left="0"/>
              <w:rPr>
                <w:b/>
                <w:bCs/>
                <w:iCs/>
                <w:sz w:val="16"/>
                <w:szCs w:val="16"/>
                <w:lang w:val="en-GB"/>
              </w:rPr>
            </w:pPr>
          </w:p>
          <w:p w14:paraId="6E93B454" w14:textId="5E217D34" w:rsidR="009808E2" w:rsidRPr="004534E7" w:rsidRDefault="009808E2" w:rsidP="00B6740A">
            <w:pPr>
              <w:pStyle w:val="ListParagraph"/>
              <w:ind w:left="0"/>
              <w:rPr>
                <w:i/>
                <w:iCs/>
                <w:sz w:val="16"/>
                <w:szCs w:val="16"/>
                <w:lang w:val="en-GB"/>
              </w:rPr>
            </w:pPr>
            <w:r w:rsidRPr="004534E7">
              <w:rPr>
                <w:b/>
                <w:bCs/>
                <w:iCs/>
                <w:sz w:val="16"/>
                <w:szCs w:val="16"/>
                <w:lang w:val="en-GB"/>
              </w:rPr>
              <w:t>Indicator:</w:t>
            </w:r>
            <w:r w:rsidRPr="004534E7">
              <w:rPr>
                <w:bCs/>
                <w:iCs/>
                <w:sz w:val="16"/>
                <w:szCs w:val="16"/>
                <w:lang w:val="en-GB"/>
              </w:rPr>
              <w:t xml:space="preserve"> Number of PICTs with </w:t>
            </w:r>
            <w:r w:rsidR="00C76AB4" w:rsidRPr="004534E7">
              <w:rPr>
                <w:bCs/>
                <w:iCs/>
                <w:sz w:val="16"/>
                <w:szCs w:val="16"/>
                <w:lang w:val="en-GB"/>
              </w:rPr>
              <w:t>n</w:t>
            </w:r>
            <w:r w:rsidRPr="004534E7">
              <w:rPr>
                <w:bCs/>
                <w:iCs/>
                <w:sz w:val="16"/>
                <w:szCs w:val="16"/>
                <w:lang w:val="en-GB"/>
              </w:rPr>
              <w:t xml:space="preserve">ationally </w:t>
            </w:r>
            <w:r w:rsidR="00C76AB4" w:rsidRPr="004534E7">
              <w:rPr>
                <w:bCs/>
                <w:iCs/>
                <w:sz w:val="16"/>
                <w:szCs w:val="16"/>
                <w:lang w:val="en-GB"/>
              </w:rPr>
              <w:t>d</w:t>
            </w:r>
            <w:r w:rsidRPr="004534E7">
              <w:rPr>
                <w:bCs/>
                <w:iCs/>
                <w:sz w:val="16"/>
                <w:szCs w:val="16"/>
                <w:lang w:val="en-GB"/>
              </w:rPr>
              <w:t xml:space="preserve">etermined </w:t>
            </w:r>
            <w:r w:rsidR="00C76AB4" w:rsidRPr="004534E7">
              <w:rPr>
                <w:bCs/>
                <w:iCs/>
                <w:sz w:val="16"/>
                <w:szCs w:val="16"/>
                <w:lang w:val="en-GB"/>
              </w:rPr>
              <w:t>c</w:t>
            </w:r>
            <w:r w:rsidRPr="004534E7">
              <w:rPr>
                <w:bCs/>
                <w:iCs/>
                <w:sz w:val="16"/>
                <w:szCs w:val="16"/>
                <w:lang w:val="en-GB"/>
              </w:rPr>
              <w:t xml:space="preserve">ontributions and </w:t>
            </w:r>
            <w:r w:rsidR="00C76AB4" w:rsidRPr="004534E7">
              <w:rPr>
                <w:bCs/>
                <w:iCs/>
                <w:sz w:val="16"/>
                <w:szCs w:val="16"/>
                <w:lang w:val="en-GB"/>
              </w:rPr>
              <w:t>n</w:t>
            </w:r>
            <w:r w:rsidRPr="004534E7">
              <w:rPr>
                <w:bCs/>
                <w:iCs/>
                <w:sz w:val="16"/>
                <w:szCs w:val="16"/>
                <w:lang w:val="en-GB"/>
              </w:rPr>
              <w:t xml:space="preserve">ational </w:t>
            </w:r>
            <w:r w:rsidR="00C76AB4" w:rsidRPr="004534E7">
              <w:rPr>
                <w:bCs/>
                <w:iCs/>
                <w:sz w:val="16"/>
                <w:szCs w:val="16"/>
                <w:lang w:val="en-GB"/>
              </w:rPr>
              <w:t>a</w:t>
            </w:r>
            <w:r w:rsidRPr="004534E7">
              <w:rPr>
                <w:bCs/>
                <w:iCs/>
                <w:sz w:val="16"/>
                <w:szCs w:val="16"/>
                <w:lang w:val="en-GB"/>
              </w:rPr>
              <w:t xml:space="preserve">daptation </w:t>
            </w:r>
            <w:r w:rsidR="00C76AB4" w:rsidRPr="004534E7">
              <w:rPr>
                <w:bCs/>
                <w:iCs/>
                <w:sz w:val="16"/>
                <w:szCs w:val="16"/>
                <w:lang w:val="en-GB"/>
              </w:rPr>
              <w:t>p</w:t>
            </w:r>
            <w:r w:rsidRPr="004534E7">
              <w:rPr>
                <w:bCs/>
                <w:iCs/>
                <w:sz w:val="16"/>
                <w:szCs w:val="16"/>
                <w:lang w:val="en-GB"/>
              </w:rPr>
              <w:t xml:space="preserve">lans under the </w:t>
            </w:r>
            <w:r w:rsidR="0034666A" w:rsidRPr="004534E7">
              <w:rPr>
                <w:bCs/>
                <w:iCs/>
                <w:sz w:val="16"/>
                <w:szCs w:val="16"/>
                <w:lang w:val="en-GB"/>
              </w:rPr>
              <w:t>Framework Convention on Climate Change</w:t>
            </w:r>
            <w:r w:rsidRPr="004534E7">
              <w:rPr>
                <w:bCs/>
                <w:iCs/>
                <w:sz w:val="16"/>
                <w:szCs w:val="16"/>
                <w:lang w:val="en-GB"/>
              </w:rPr>
              <w:t xml:space="preserve"> at least partially implemente</w:t>
            </w:r>
            <w:r w:rsidR="00DD14C0" w:rsidRPr="004534E7">
              <w:rPr>
                <w:bCs/>
                <w:iCs/>
                <w:sz w:val="16"/>
                <w:szCs w:val="16"/>
                <w:lang w:val="en-GB"/>
              </w:rPr>
              <w:t>d</w:t>
            </w:r>
          </w:p>
          <w:p w14:paraId="3379E0DE" w14:textId="77777777" w:rsidR="009808E2" w:rsidRPr="004534E7" w:rsidRDefault="009808E2" w:rsidP="00B6740A">
            <w:pPr>
              <w:pStyle w:val="ListParagraph"/>
              <w:ind w:left="0"/>
              <w:rPr>
                <w:iCs/>
                <w:sz w:val="16"/>
                <w:szCs w:val="16"/>
                <w:lang w:val="en-GB"/>
              </w:rPr>
            </w:pPr>
            <w:r w:rsidRPr="004534E7">
              <w:rPr>
                <w:b/>
                <w:iCs/>
                <w:sz w:val="16"/>
                <w:szCs w:val="16"/>
                <w:lang w:val="en-GB"/>
              </w:rPr>
              <w:t xml:space="preserve">Baseline (2016): </w:t>
            </w:r>
            <w:r w:rsidRPr="004534E7">
              <w:rPr>
                <w:iCs/>
                <w:sz w:val="16"/>
                <w:szCs w:val="16"/>
                <w:lang w:val="en-GB"/>
              </w:rPr>
              <w:t>0</w:t>
            </w:r>
          </w:p>
          <w:p w14:paraId="65B48348" w14:textId="77777777" w:rsidR="009808E2" w:rsidRPr="004534E7" w:rsidRDefault="009808E2" w:rsidP="00B6740A">
            <w:pPr>
              <w:pStyle w:val="ListParagraph"/>
              <w:ind w:left="0"/>
              <w:rPr>
                <w:iCs/>
                <w:sz w:val="16"/>
                <w:szCs w:val="16"/>
                <w:lang w:val="en-GB"/>
              </w:rPr>
            </w:pPr>
            <w:r w:rsidRPr="004534E7">
              <w:rPr>
                <w:b/>
                <w:iCs/>
                <w:sz w:val="16"/>
                <w:szCs w:val="16"/>
                <w:lang w:val="en-GB"/>
              </w:rPr>
              <w:t>Target:</w:t>
            </w:r>
            <w:r w:rsidRPr="004534E7">
              <w:rPr>
                <w:iCs/>
                <w:sz w:val="16"/>
                <w:szCs w:val="16"/>
                <w:lang w:val="en-GB"/>
              </w:rPr>
              <w:t xml:space="preserve"> 8</w:t>
            </w:r>
          </w:p>
          <w:p w14:paraId="591D4ACE" w14:textId="77777777" w:rsidR="009808E2" w:rsidRPr="004534E7" w:rsidRDefault="009808E2" w:rsidP="00B6740A">
            <w:pPr>
              <w:pStyle w:val="ListParagraph"/>
              <w:ind w:left="0"/>
              <w:rPr>
                <w:iCs/>
                <w:sz w:val="16"/>
                <w:szCs w:val="16"/>
                <w:lang w:val="en-GB"/>
              </w:rPr>
            </w:pPr>
          </w:p>
          <w:p w14:paraId="53CB9F05" w14:textId="77777777" w:rsidR="009808E2" w:rsidRPr="004534E7" w:rsidRDefault="009808E2" w:rsidP="00B6740A">
            <w:pPr>
              <w:pStyle w:val="ListParagraph"/>
              <w:ind w:left="0"/>
              <w:rPr>
                <w:iCs/>
                <w:sz w:val="16"/>
                <w:szCs w:val="16"/>
                <w:lang w:val="en-GB"/>
              </w:rPr>
            </w:pPr>
            <w:r w:rsidRPr="004534E7">
              <w:rPr>
                <w:b/>
                <w:iCs/>
                <w:sz w:val="16"/>
                <w:szCs w:val="16"/>
                <w:lang w:val="en-GB"/>
              </w:rPr>
              <w:t>Indicator:</w:t>
            </w:r>
            <w:r w:rsidRPr="004534E7">
              <w:rPr>
                <w:iCs/>
                <w:sz w:val="16"/>
                <w:szCs w:val="16"/>
                <w:lang w:val="en-GB"/>
              </w:rPr>
              <w:t xml:space="preserve"> </w:t>
            </w:r>
            <w:r w:rsidR="00A9050C" w:rsidRPr="004534E7">
              <w:rPr>
                <w:iCs/>
                <w:sz w:val="16"/>
                <w:szCs w:val="16"/>
                <w:lang w:val="en-GB"/>
              </w:rPr>
              <w:t>Number of PICTs with increased c</w:t>
            </w:r>
            <w:r w:rsidRPr="004534E7">
              <w:rPr>
                <w:iCs/>
                <w:sz w:val="16"/>
                <w:szCs w:val="16"/>
                <w:lang w:val="en-GB"/>
              </w:rPr>
              <w:t>overage of terrestrial and marine areas that are protected</w:t>
            </w:r>
          </w:p>
          <w:p w14:paraId="45A06905" w14:textId="77777777" w:rsidR="009808E2" w:rsidRPr="004534E7" w:rsidRDefault="009808E2" w:rsidP="00B6740A">
            <w:pPr>
              <w:pStyle w:val="ListParagraph"/>
              <w:ind w:left="0"/>
              <w:rPr>
                <w:iCs/>
                <w:sz w:val="16"/>
                <w:szCs w:val="16"/>
                <w:lang w:val="en-GB"/>
              </w:rPr>
            </w:pPr>
            <w:r w:rsidRPr="004534E7">
              <w:rPr>
                <w:b/>
                <w:iCs/>
                <w:sz w:val="16"/>
                <w:szCs w:val="16"/>
                <w:lang w:val="en-GB"/>
              </w:rPr>
              <w:t>Baseline</w:t>
            </w:r>
            <w:r w:rsidR="007D0FD7" w:rsidRPr="004534E7">
              <w:rPr>
                <w:b/>
                <w:iCs/>
                <w:sz w:val="16"/>
                <w:szCs w:val="16"/>
                <w:lang w:val="en-GB"/>
              </w:rPr>
              <w:t xml:space="preserve"> (2017)</w:t>
            </w:r>
            <w:r w:rsidRPr="004534E7">
              <w:rPr>
                <w:b/>
                <w:iCs/>
                <w:sz w:val="16"/>
                <w:szCs w:val="16"/>
                <w:lang w:val="en-GB"/>
              </w:rPr>
              <w:t xml:space="preserve">: </w:t>
            </w:r>
            <w:r w:rsidR="00AE715C" w:rsidRPr="004534E7">
              <w:rPr>
                <w:iCs/>
                <w:sz w:val="16"/>
                <w:szCs w:val="16"/>
                <w:lang w:val="en-GB"/>
              </w:rPr>
              <w:t>0</w:t>
            </w:r>
          </w:p>
          <w:p w14:paraId="35E9B55E" w14:textId="77777777" w:rsidR="009808E2" w:rsidRPr="004534E7" w:rsidRDefault="009808E2" w:rsidP="00AE715C">
            <w:pPr>
              <w:pStyle w:val="ListParagraph"/>
              <w:ind w:left="0"/>
              <w:rPr>
                <w:iCs/>
                <w:sz w:val="16"/>
                <w:szCs w:val="16"/>
                <w:lang w:val="en-GB"/>
              </w:rPr>
            </w:pPr>
            <w:r w:rsidRPr="004534E7">
              <w:rPr>
                <w:b/>
                <w:iCs/>
                <w:sz w:val="16"/>
                <w:szCs w:val="16"/>
                <w:lang w:val="en-GB"/>
              </w:rPr>
              <w:t>Target:</w:t>
            </w:r>
            <w:r w:rsidR="00AE715C" w:rsidRPr="004534E7">
              <w:rPr>
                <w:iCs/>
                <w:sz w:val="16"/>
                <w:szCs w:val="16"/>
                <w:lang w:val="en-GB"/>
              </w:rPr>
              <w:t xml:space="preserve"> </w:t>
            </w:r>
            <w:r w:rsidR="0044053A" w:rsidRPr="004534E7">
              <w:rPr>
                <w:iCs/>
                <w:sz w:val="16"/>
                <w:szCs w:val="16"/>
                <w:lang w:val="en-GB"/>
              </w:rPr>
              <w:t>10</w:t>
            </w:r>
          </w:p>
        </w:tc>
        <w:tc>
          <w:tcPr>
            <w:tcW w:w="918" w:type="pct"/>
            <w:gridSpan w:val="3"/>
            <w:vMerge w:val="restart"/>
          </w:tcPr>
          <w:p w14:paraId="61DF94BD" w14:textId="06D08974" w:rsidR="009808E2" w:rsidRPr="004534E7" w:rsidRDefault="009808E2" w:rsidP="00B6740A">
            <w:pPr>
              <w:rPr>
                <w:iCs/>
                <w:sz w:val="16"/>
                <w:szCs w:val="16"/>
                <w:lang w:val="en-GB"/>
              </w:rPr>
            </w:pPr>
            <w:r w:rsidRPr="004534E7">
              <w:rPr>
                <w:iCs/>
                <w:sz w:val="16"/>
                <w:szCs w:val="16"/>
                <w:lang w:val="en-GB"/>
              </w:rPr>
              <w:t>S</w:t>
            </w:r>
            <w:r w:rsidR="0023715D" w:rsidRPr="004534E7">
              <w:rPr>
                <w:iCs/>
                <w:sz w:val="16"/>
                <w:szCs w:val="16"/>
                <w:lang w:val="en-GB"/>
              </w:rPr>
              <w:t xml:space="preserve">endai Framework </w:t>
            </w:r>
            <w:r w:rsidRPr="004534E7">
              <w:rPr>
                <w:iCs/>
                <w:sz w:val="16"/>
                <w:szCs w:val="16"/>
                <w:lang w:val="en-GB"/>
              </w:rPr>
              <w:t xml:space="preserve">biennial national reporting; Pacific </w:t>
            </w:r>
            <w:r w:rsidR="00C76AB4" w:rsidRPr="004534E7">
              <w:rPr>
                <w:iCs/>
                <w:sz w:val="16"/>
                <w:szCs w:val="16"/>
                <w:lang w:val="en-GB"/>
              </w:rPr>
              <w:t>d</w:t>
            </w:r>
            <w:r w:rsidRPr="004534E7">
              <w:rPr>
                <w:iCs/>
                <w:sz w:val="16"/>
                <w:szCs w:val="16"/>
                <w:lang w:val="en-GB"/>
              </w:rPr>
              <w:t xml:space="preserve">amage and </w:t>
            </w:r>
            <w:r w:rsidR="00C76AB4" w:rsidRPr="004534E7">
              <w:rPr>
                <w:iCs/>
                <w:sz w:val="16"/>
                <w:szCs w:val="16"/>
                <w:lang w:val="en-GB"/>
              </w:rPr>
              <w:t>l</w:t>
            </w:r>
            <w:r w:rsidRPr="004534E7">
              <w:rPr>
                <w:iCs/>
                <w:sz w:val="16"/>
                <w:szCs w:val="16"/>
                <w:lang w:val="en-GB"/>
              </w:rPr>
              <w:t xml:space="preserve">oss reports; </w:t>
            </w:r>
            <w:r w:rsidR="00C76AB4" w:rsidRPr="004534E7">
              <w:rPr>
                <w:iCs/>
                <w:sz w:val="16"/>
                <w:szCs w:val="16"/>
                <w:lang w:val="en-GB"/>
              </w:rPr>
              <w:t>p</w:t>
            </w:r>
            <w:r w:rsidRPr="004534E7">
              <w:rPr>
                <w:iCs/>
                <w:sz w:val="16"/>
                <w:szCs w:val="16"/>
                <w:lang w:val="en-GB"/>
              </w:rPr>
              <w:t>ost-</w:t>
            </w:r>
            <w:r w:rsidR="00C76AB4" w:rsidRPr="004534E7">
              <w:rPr>
                <w:iCs/>
                <w:sz w:val="16"/>
                <w:szCs w:val="16"/>
                <w:lang w:val="en-GB"/>
              </w:rPr>
              <w:t>d</w:t>
            </w:r>
            <w:r w:rsidRPr="004534E7">
              <w:rPr>
                <w:iCs/>
                <w:sz w:val="16"/>
                <w:szCs w:val="16"/>
                <w:lang w:val="en-GB"/>
              </w:rPr>
              <w:t xml:space="preserve">isaster </w:t>
            </w:r>
            <w:r w:rsidR="00C76AB4" w:rsidRPr="004534E7">
              <w:rPr>
                <w:iCs/>
                <w:sz w:val="16"/>
                <w:szCs w:val="16"/>
                <w:lang w:val="en-GB"/>
              </w:rPr>
              <w:t>n</w:t>
            </w:r>
            <w:r w:rsidRPr="004534E7">
              <w:rPr>
                <w:iCs/>
                <w:sz w:val="16"/>
                <w:szCs w:val="16"/>
                <w:lang w:val="en-GB"/>
              </w:rPr>
              <w:t xml:space="preserve">eeds </w:t>
            </w:r>
            <w:r w:rsidR="00C76AB4" w:rsidRPr="004534E7">
              <w:rPr>
                <w:iCs/>
                <w:sz w:val="16"/>
                <w:szCs w:val="16"/>
                <w:lang w:val="en-GB"/>
              </w:rPr>
              <w:t>a</w:t>
            </w:r>
            <w:r w:rsidRPr="004534E7">
              <w:rPr>
                <w:iCs/>
                <w:sz w:val="16"/>
                <w:szCs w:val="16"/>
                <w:lang w:val="en-GB"/>
              </w:rPr>
              <w:t>ssessments</w:t>
            </w:r>
          </w:p>
          <w:p w14:paraId="5959FC56" w14:textId="77777777" w:rsidR="009808E2" w:rsidRPr="004534E7" w:rsidRDefault="009808E2" w:rsidP="00B6740A">
            <w:pPr>
              <w:rPr>
                <w:iCs/>
                <w:sz w:val="16"/>
                <w:szCs w:val="16"/>
                <w:lang w:val="en-GB"/>
              </w:rPr>
            </w:pPr>
          </w:p>
          <w:p w14:paraId="62F63C19" w14:textId="6D11BA7E" w:rsidR="009808E2" w:rsidRPr="004534E7" w:rsidRDefault="009808E2" w:rsidP="00B6740A">
            <w:pPr>
              <w:rPr>
                <w:iCs/>
                <w:sz w:val="16"/>
                <w:szCs w:val="16"/>
                <w:lang w:val="en-GB"/>
              </w:rPr>
            </w:pPr>
            <w:r w:rsidRPr="004534E7">
              <w:rPr>
                <w:iCs/>
                <w:sz w:val="16"/>
                <w:szCs w:val="16"/>
                <w:lang w:val="en-GB"/>
              </w:rPr>
              <w:t xml:space="preserve">National communications </w:t>
            </w:r>
            <w:r w:rsidR="006F1818" w:rsidRPr="004534E7">
              <w:rPr>
                <w:iCs/>
                <w:sz w:val="16"/>
                <w:szCs w:val="16"/>
                <w:lang w:val="en-GB"/>
              </w:rPr>
              <w:t>and</w:t>
            </w:r>
            <w:r w:rsidRPr="004534E7">
              <w:rPr>
                <w:iCs/>
                <w:sz w:val="16"/>
                <w:szCs w:val="16"/>
                <w:lang w:val="en-GB"/>
              </w:rPr>
              <w:t xml:space="preserve"> reports (</w:t>
            </w:r>
            <w:r w:rsidR="006F1818" w:rsidRPr="004534E7">
              <w:rPr>
                <w:iCs/>
                <w:sz w:val="16"/>
                <w:szCs w:val="16"/>
                <w:lang w:val="en-GB"/>
              </w:rPr>
              <w:t>a</w:t>
            </w:r>
            <w:r w:rsidRPr="004534E7">
              <w:rPr>
                <w:iCs/>
                <w:sz w:val="16"/>
                <w:szCs w:val="16"/>
                <w:lang w:val="en-GB"/>
              </w:rPr>
              <w:t>d</w:t>
            </w:r>
            <w:r w:rsidR="004435B3" w:rsidRPr="004534E7">
              <w:rPr>
                <w:iCs/>
                <w:sz w:val="16"/>
                <w:szCs w:val="16"/>
                <w:lang w:val="en-GB"/>
              </w:rPr>
              <w:t xml:space="preserve"> </w:t>
            </w:r>
            <w:r w:rsidRPr="004534E7">
              <w:rPr>
                <w:iCs/>
                <w:sz w:val="16"/>
                <w:szCs w:val="16"/>
                <w:lang w:val="en-GB"/>
              </w:rPr>
              <w:t xml:space="preserve">hoc) and </w:t>
            </w:r>
            <w:r w:rsidR="004435B3" w:rsidRPr="004534E7">
              <w:rPr>
                <w:iCs/>
                <w:sz w:val="16"/>
                <w:szCs w:val="16"/>
                <w:lang w:val="en-GB"/>
              </w:rPr>
              <w:t>b</w:t>
            </w:r>
            <w:r w:rsidRPr="004534E7">
              <w:rPr>
                <w:iCs/>
                <w:sz w:val="16"/>
                <w:szCs w:val="16"/>
                <w:lang w:val="en-GB"/>
              </w:rPr>
              <w:t xml:space="preserve">iennial </w:t>
            </w:r>
            <w:r w:rsidR="004435B3" w:rsidRPr="004534E7">
              <w:rPr>
                <w:iCs/>
                <w:sz w:val="16"/>
                <w:szCs w:val="16"/>
                <w:lang w:val="en-GB"/>
              </w:rPr>
              <w:t>u</w:t>
            </w:r>
            <w:r w:rsidRPr="004534E7">
              <w:rPr>
                <w:iCs/>
                <w:sz w:val="16"/>
                <w:szCs w:val="16"/>
                <w:lang w:val="en-GB"/>
              </w:rPr>
              <w:t xml:space="preserve">pdate </w:t>
            </w:r>
            <w:r w:rsidR="004435B3" w:rsidRPr="004534E7">
              <w:rPr>
                <w:iCs/>
                <w:sz w:val="16"/>
                <w:szCs w:val="16"/>
                <w:lang w:val="en-GB"/>
              </w:rPr>
              <w:t>r</w:t>
            </w:r>
            <w:r w:rsidRPr="004534E7">
              <w:rPr>
                <w:iCs/>
                <w:sz w:val="16"/>
                <w:szCs w:val="16"/>
                <w:lang w:val="en-GB"/>
              </w:rPr>
              <w:t>eports</w:t>
            </w:r>
            <w:r w:rsidR="006F1818" w:rsidRPr="004534E7">
              <w:rPr>
                <w:iCs/>
                <w:sz w:val="16"/>
                <w:szCs w:val="16"/>
                <w:lang w:val="en-GB"/>
              </w:rPr>
              <w:t xml:space="preserve"> </w:t>
            </w:r>
          </w:p>
          <w:p w14:paraId="1B6C6E37" w14:textId="77777777" w:rsidR="009808E2" w:rsidRPr="004534E7" w:rsidRDefault="009808E2" w:rsidP="00B6740A">
            <w:pPr>
              <w:rPr>
                <w:iCs/>
                <w:sz w:val="16"/>
                <w:szCs w:val="16"/>
                <w:lang w:val="en-GB"/>
              </w:rPr>
            </w:pPr>
          </w:p>
          <w:p w14:paraId="29CCF35F" w14:textId="3DED09D8" w:rsidR="009808E2" w:rsidRPr="004534E7" w:rsidRDefault="009808E2" w:rsidP="00B6740A">
            <w:pPr>
              <w:rPr>
                <w:iCs/>
                <w:sz w:val="16"/>
                <w:szCs w:val="16"/>
                <w:lang w:val="en-GB"/>
              </w:rPr>
            </w:pPr>
            <w:r w:rsidRPr="004534E7">
              <w:rPr>
                <w:iCs/>
                <w:sz w:val="16"/>
                <w:szCs w:val="16"/>
                <w:lang w:val="en-GB"/>
              </w:rPr>
              <w:t xml:space="preserve">World Database of Protected Areas; National </w:t>
            </w:r>
            <w:r w:rsidR="004435B3" w:rsidRPr="004534E7">
              <w:rPr>
                <w:iCs/>
                <w:sz w:val="16"/>
                <w:szCs w:val="16"/>
                <w:lang w:val="en-GB"/>
              </w:rPr>
              <w:t>r</w:t>
            </w:r>
            <w:r w:rsidRPr="004534E7">
              <w:rPr>
                <w:iCs/>
                <w:sz w:val="16"/>
                <w:szCs w:val="16"/>
                <w:lang w:val="en-GB"/>
              </w:rPr>
              <w:t>eports to the U</w:t>
            </w:r>
            <w:r w:rsidR="00E51D96" w:rsidRPr="00E51D96">
              <w:rPr>
                <w:iCs/>
                <w:sz w:val="16"/>
                <w:szCs w:val="16"/>
                <w:lang w:val="en-GB"/>
              </w:rPr>
              <w:t>nited </w:t>
            </w:r>
            <w:r w:rsidR="004435B3" w:rsidRPr="004534E7">
              <w:rPr>
                <w:iCs/>
                <w:sz w:val="16"/>
                <w:szCs w:val="16"/>
                <w:lang w:val="en-GB"/>
              </w:rPr>
              <w:t>Nations</w:t>
            </w:r>
            <w:r w:rsidRPr="004534E7">
              <w:rPr>
                <w:lang w:val="en-GB"/>
              </w:rPr>
              <w:t xml:space="preserve"> </w:t>
            </w:r>
            <w:r w:rsidRPr="004534E7">
              <w:rPr>
                <w:iCs/>
                <w:sz w:val="16"/>
                <w:szCs w:val="16"/>
                <w:lang w:val="en-GB"/>
              </w:rPr>
              <w:t>Convention o</w:t>
            </w:r>
            <w:r w:rsidR="004435B3" w:rsidRPr="004534E7">
              <w:rPr>
                <w:iCs/>
                <w:sz w:val="16"/>
                <w:szCs w:val="16"/>
                <w:lang w:val="en-GB"/>
              </w:rPr>
              <w:t>n</w:t>
            </w:r>
            <w:r w:rsidR="00E51D96">
              <w:rPr>
                <w:iCs/>
                <w:sz w:val="16"/>
                <w:szCs w:val="16"/>
                <w:lang w:val="en-GB"/>
              </w:rPr>
              <w:t> </w:t>
            </w:r>
            <w:r w:rsidRPr="004534E7">
              <w:rPr>
                <w:iCs/>
                <w:sz w:val="16"/>
                <w:szCs w:val="16"/>
                <w:lang w:val="en-GB"/>
              </w:rPr>
              <w:t>Biological Diversity</w:t>
            </w:r>
            <w:r w:rsidR="0023715D" w:rsidRPr="004534E7">
              <w:rPr>
                <w:iCs/>
                <w:sz w:val="16"/>
                <w:szCs w:val="16"/>
                <w:lang w:val="en-GB"/>
              </w:rPr>
              <w:t>.</w:t>
            </w:r>
          </w:p>
          <w:p w14:paraId="36A1509D" w14:textId="77777777" w:rsidR="009808E2" w:rsidRPr="004534E7" w:rsidRDefault="009808E2" w:rsidP="00B6740A">
            <w:pPr>
              <w:rPr>
                <w:iCs/>
                <w:sz w:val="16"/>
                <w:szCs w:val="16"/>
                <w:lang w:val="en-GB"/>
              </w:rPr>
            </w:pPr>
          </w:p>
        </w:tc>
        <w:tc>
          <w:tcPr>
            <w:tcW w:w="1326" w:type="pct"/>
            <w:vMerge w:val="restart"/>
            <w:tcMar>
              <w:top w:w="72" w:type="dxa"/>
              <w:left w:w="144" w:type="dxa"/>
              <w:bottom w:w="72" w:type="dxa"/>
              <w:right w:w="144" w:type="dxa"/>
            </w:tcMar>
          </w:tcPr>
          <w:p w14:paraId="09D5F921" w14:textId="72621907" w:rsidR="009808E2" w:rsidRPr="004534E7" w:rsidRDefault="009808E2" w:rsidP="004534E7">
            <w:pPr>
              <w:spacing w:after="80"/>
              <w:rPr>
                <w:iCs/>
                <w:sz w:val="16"/>
                <w:szCs w:val="16"/>
                <w:lang w:val="en-GB"/>
              </w:rPr>
            </w:pPr>
            <w:r w:rsidRPr="004534E7">
              <w:rPr>
                <w:b/>
                <w:iCs/>
                <w:sz w:val="16"/>
                <w:szCs w:val="16"/>
                <w:lang w:val="en-GB"/>
              </w:rPr>
              <w:t>Output 1.1</w:t>
            </w:r>
            <w:r w:rsidR="004435B3" w:rsidRPr="004534E7">
              <w:rPr>
                <w:b/>
                <w:iCs/>
                <w:sz w:val="16"/>
                <w:szCs w:val="16"/>
                <w:lang w:val="en-GB"/>
              </w:rPr>
              <w:t>.</w:t>
            </w:r>
            <w:r w:rsidR="00F9499F" w:rsidRPr="004534E7">
              <w:rPr>
                <w:b/>
                <w:iCs/>
                <w:sz w:val="16"/>
                <w:szCs w:val="16"/>
                <w:lang w:val="en-GB"/>
              </w:rPr>
              <w:t xml:space="preserve"> </w:t>
            </w:r>
            <w:r w:rsidRPr="004534E7">
              <w:rPr>
                <w:b/>
                <w:iCs/>
                <w:sz w:val="16"/>
                <w:szCs w:val="16"/>
                <w:lang w:val="en-GB"/>
              </w:rPr>
              <w:t>Scaled</w:t>
            </w:r>
            <w:r w:rsidR="004435B3" w:rsidRPr="004534E7">
              <w:rPr>
                <w:b/>
                <w:iCs/>
                <w:sz w:val="16"/>
                <w:szCs w:val="16"/>
                <w:lang w:val="en-GB"/>
              </w:rPr>
              <w:t>-</w:t>
            </w:r>
            <w:r w:rsidRPr="004534E7">
              <w:rPr>
                <w:b/>
                <w:iCs/>
                <w:sz w:val="16"/>
                <w:szCs w:val="16"/>
                <w:lang w:val="en-GB"/>
              </w:rPr>
              <w:t>up action on climate change adaptation and mitigation across sectors which is funded and implemente</w:t>
            </w:r>
            <w:r w:rsidR="00DD14C0" w:rsidRPr="004534E7">
              <w:rPr>
                <w:b/>
                <w:iCs/>
                <w:sz w:val="16"/>
                <w:szCs w:val="16"/>
                <w:lang w:val="en-GB"/>
              </w:rPr>
              <w:t>d</w:t>
            </w:r>
            <w:r w:rsidR="00373263">
              <w:rPr>
                <w:b/>
                <w:iCs/>
                <w:sz w:val="16"/>
                <w:szCs w:val="16"/>
                <w:lang w:val="en-GB"/>
              </w:rPr>
              <w:t>.</w:t>
            </w:r>
          </w:p>
          <w:p w14:paraId="70C31BE3" w14:textId="4BAB0AA3" w:rsidR="009808E2" w:rsidRPr="004534E7" w:rsidRDefault="009808E2" w:rsidP="00B6740A">
            <w:pPr>
              <w:ind w:left="125"/>
              <w:rPr>
                <w:iCs/>
                <w:sz w:val="16"/>
                <w:szCs w:val="16"/>
                <w:lang w:val="en-GB"/>
              </w:rPr>
            </w:pPr>
            <w:r w:rsidRPr="004534E7">
              <w:rPr>
                <w:b/>
                <w:iCs/>
                <w:sz w:val="16"/>
                <w:szCs w:val="16"/>
                <w:lang w:val="en-GB"/>
              </w:rPr>
              <w:t xml:space="preserve">Indicative </w:t>
            </w:r>
            <w:r w:rsidR="004435B3" w:rsidRPr="004534E7">
              <w:rPr>
                <w:b/>
                <w:iCs/>
                <w:sz w:val="16"/>
                <w:szCs w:val="16"/>
                <w:lang w:val="en-GB"/>
              </w:rPr>
              <w:t>i</w:t>
            </w:r>
            <w:r w:rsidRPr="004534E7">
              <w:rPr>
                <w:b/>
                <w:iCs/>
                <w:sz w:val="16"/>
                <w:szCs w:val="16"/>
                <w:lang w:val="en-GB"/>
              </w:rPr>
              <w:t>ndicator 1.1.1</w:t>
            </w:r>
            <w:r w:rsidR="004435B3" w:rsidRPr="004534E7">
              <w:rPr>
                <w:b/>
                <w:iCs/>
                <w:sz w:val="16"/>
                <w:szCs w:val="16"/>
                <w:lang w:val="en-GB"/>
              </w:rPr>
              <w:t>.</w:t>
            </w:r>
            <w:r w:rsidRPr="004534E7">
              <w:rPr>
                <w:b/>
                <w:iCs/>
                <w:sz w:val="16"/>
                <w:szCs w:val="16"/>
                <w:lang w:val="en-GB"/>
              </w:rPr>
              <w:t xml:space="preserve"> </w:t>
            </w:r>
            <w:r w:rsidR="004435B3" w:rsidRPr="004534E7">
              <w:rPr>
                <w:iCs/>
                <w:sz w:val="16"/>
                <w:szCs w:val="16"/>
                <w:lang w:val="en-GB"/>
              </w:rPr>
              <w:t>Dollar a</w:t>
            </w:r>
            <w:r w:rsidRPr="004534E7">
              <w:rPr>
                <w:iCs/>
                <w:sz w:val="16"/>
                <w:szCs w:val="16"/>
                <w:lang w:val="en-GB"/>
              </w:rPr>
              <w:t>mount mobilized with support from UNDP for climate change adaptation and mitigation (including energy efficiency, renewable energy, energy access)</w:t>
            </w:r>
          </w:p>
          <w:p w14:paraId="0811B673" w14:textId="212AFA87" w:rsidR="009808E2" w:rsidRPr="004534E7" w:rsidRDefault="009808E2" w:rsidP="00B6740A">
            <w:pPr>
              <w:ind w:left="125"/>
              <w:rPr>
                <w:iCs/>
                <w:sz w:val="16"/>
                <w:szCs w:val="16"/>
                <w:lang w:val="en-GB"/>
              </w:rPr>
            </w:pPr>
            <w:r w:rsidRPr="004534E7">
              <w:rPr>
                <w:b/>
                <w:iCs/>
                <w:sz w:val="16"/>
                <w:szCs w:val="16"/>
                <w:lang w:val="en-GB"/>
              </w:rPr>
              <w:t>Baseline (201</w:t>
            </w:r>
            <w:r w:rsidR="00A9050C" w:rsidRPr="004534E7">
              <w:rPr>
                <w:b/>
                <w:iCs/>
                <w:sz w:val="16"/>
                <w:szCs w:val="16"/>
                <w:lang w:val="en-GB"/>
              </w:rPr>
              <w:t>7</w:t>
            </w:r>
            <w:r w:rsidRPr="004534E7">
              <w:rPr>
                <w:b/>
                <w:iCs/>
                <w:sz w:val="16"/>
                <w:szCs w:val="16"/>
                <w:lang w:val="en-GB"/>
              </w:rPr>
              <w:t xml:space="preserve">): </w:t>
            </w:r>
            <w:r w:rsidR="001324EE" w:rsidRPr="004534E7">
              <w:rPr>
                <w:iCs/>
                <w:sz w:val="16"/>
                <w:szCs w:val="16"/>
                <w:lang w:val="en-GB"/>
              </w:rPr>
              <w:t>160 million (adaptation), 15</w:t>
            </w:r>
            <w:r w:rsidR="004435B3" w:rsidRPr="004534E7">
              <w:rPr>
                <w:iCs/>
                <w:sz w:val="16"/>
                <w:szCs w:val="16"/>
                <w:lang w:val="en-GB"/>
              </w:rPr>
              <w:t> </w:t>
            </w:r>
            <w:r w:rsidRPr="004534E7">
              <w:rPr>
                <w:iCs/>
                <w:sz w:val="16"/>
                <w:szCs w:val="16"/>
                <w:lang w:val="en-GB"/>
              </w:rPr>
              <w:t xml:space="preserve">million (mitigation) </w:t>
            </w:r>
          </w:p>
          <w:p w14:paraId="2A910B4E" w14:textId="77777777" w:rsidR="009808E2" w:rsidRPr="004534E7" w:rsidRDefault="009808E2" w:rsidP="00B6740A">
            <w:pPr>
              <w:ind w:left="125"/>
              <w:rPr>
                <w:iCs/>
                <w:sz w:val="16"/>
                <w:szCs w:val="16"/>
                <w:lang w:val="en-GB"/>
              </w:rPr>
            </w:pPr>
            <w:r w:rsidRPr="004534E7">
              <w:rPr>
                <w:b/>
                <w:iCs/>
                <w:sz w:val="16"/>
                <w:szCs w:val="16"/>
                <w:lang w:val="en-GB"/>
              </w:rPr>
              <w:t>Target:</w:t>
            </w:r>
            <w:r w:rsidR="00A9050C" w:rsidRPr="004534E7">
              <w:rPr>
                <w:iCs/>
                <w:sz w:val="16"/>
                <w:szCs w:val="16"/>
                <w:lang w:val="en-GB"/>
              </w:rPr>
              <w:t xml:space="preserve"> 30</w:t>
            </w:r>
            <w:r w:rsidRPr="004534E7">
              <w:rPr>
                <w:iCs/>
                <w:sz w:val="16"/>
                <w:szCs w:val="16"/>
                <w:lang w:val="en-GB"/>
              </w:rPr>
              <w:t>0 million (adaptation), 80 million (mitigation)</w:t>
            </w:r>
          </w:p>
          <w:p w14:paraId="494B5ED5" w14:textId="1C2D87EA" w:rsidR="003326A1" w:rsidRPr="00396E55" w:rsidRDefault="009808E2" w:rsidP="003326A1">
            <w:pPr>
              <w:spacing w:after="80"/>
              <w:rPr>
                <w:iCs/>
                <w:sz w:val="16"/>
                <w:szCs w:val="16"/>
                <w:lang w:val="en-GB"/>
              </w:rPr>
            </w:pPr>
            <w:r w:rsidRPr="004534E7">
              <w:rPr>
                <w:b/>
                <w:iCs/>
                <w:sz w:val="16"/>
                <w:szCs w:val="16"/>
                <w:lang w:val="en-GB"/>
              </w:rPr>
              <w:t xml:space="preserve">Source: </w:t>
            </w:r>
            <w:r w:rsidRPr="004534E7">
              <w:rPr>
                <w:iCs/>
                <w:sz w:val="16"/>
                <w:szCs w:val="16"/>
                <w:lang w:val="en-GB"/>
              </w:rPr>
              <w:t>Project documents, reports, eval</w:t>
            </w:r>
            <w:r w:rsidR="009428AE" w:rsidRPr="004534E7">
              <w:rPr>
                <w:iCs/>
                <w:sz w:val="16"/>
                <w:szCs w:val="16"/>
                <w:lang w:val="en-GB"/>
              </w:rPr>
              <w:t>uations.</w:t>
            </w:r>
            <w:r w:rsidR="003326A1" w:rsidRPr="00396E55">
              <w:rPr>
                <w:iCs/>
                <w:sz w:val="16"/>
                <w:szCs w:val="16"/>
                <w:lang w:val="en-GB"/>
              </w:rPr>
              <w:t xml:space="preserve"> </w:t>
            </w:r>
          </w:p>
          <w:p w14:paraId="2030209A" w14:textId="492B45DB" w:rsidR="009808E2" w:rsidRPr="004435B3" w:rsidRDefault="009808E2" w:rsidP="00B6740A">
            <w:pPr>
              <w:ind w:left="125"/>
              <w:rPr>
                <w:iCs/>
                <w:sz w:val="16"/>
                <w:szCs w:val="16"/>
                <w:lang w:val="en-GB"/>
              </w:rPr>
            </w:pPr>
            <w:r w:rsidRPr="004435B3">
              <w:rPr>
                <w:b/>
                <w:iCs/>
                <w:sz w:val="16"/>
                <w:szCs w:val="16"/>
                <w:lang w:val="en-GB"/>
              </w:rPr>
              <w:t xml:space="preserve">Indicative </w:t>
            </w:r>
            <w:r w:rsidR="004435B3" w:rsidRPr="004435B3">
              <w:rPr>
                <w:b/>
                <w:iCs/>
                <w:sz w:val="16"/>
                <w:szCs w:val="16"/>
                <w:lang w:val="en-GB"/>
              </w:rPr>
              <w:t>i</w:t>
            </w:r>
            <w:r w:rsidRPr="004435B3">
              <w:rPr>
                <w:b/>
                <w:iCs/>
                <w:sz w:val="16"/>
                <w:szCs w:val="16"/>
                <w:lang w:val="en-GB"/>
              </w:rPr>
              <w:t>ndicator 1.1.2</w:t>
            </w:r>
            <w:r w:rsidR="004435B3" w:rsidRPr="004435B3">
              <w:rPr>
                <w:b/>
                <w:iCs/>
                <w:sz w:val="16"/>
                <w:szCs w:val="16"/>
                <w:lang w:val="en-GB"/>
              </w:rPr>
              <w:t>.</w:t>
            </w:r>
            <w:r w:rsidRPr="004435B3">
              <w:rPr>
                <w:b/>
                <w:iCs/>
                <w:sz w:val="16"/>
                <w:szCs w:val="16"/>
                <w:lang w:val="en-GB"/>
              </w:rPr>
              <w:t xml:space="preserve"> </w:t>
            </w:r>
            <w:r w:rsidRPr="004435B3">
              <w:rPr>
                <w:iCs/>
                <w:sz w:val="16"/>
                <w:szCs w:val="16"/>
                <w:lang w:val="en-GB"/>
              </w:rPr>
              <w:t>Number of UNDP project beneficiaries, disaggregated by sex, with reduced vulnerability or increased resilience (</w:t>
            </w:r>
            <w:r w:rsidR="004435B3" w:rsidRPr="004435B3">
              <w:rPr>
                <w:iCs/>
                <w:sz w:val="16"/>
                <w:szCs w:val="16"/>
                <w:lang w:val="en-GB"/>
              </w:rPr>
              <w:t xml:space="preserve">Green Climate Fund </w:t>
            </w:r>
            <w:r w:rsidRPr="004435B3">
              <w:rPr>
                <w:iCs/>
                <w:sz w:val="16"/>
                <w:szCs w:val="16"/>
                <w:lang w:val="en-GB"/>
              </w:rPr>
              <w:t>Board indicator)</w:t>
            </w:r>
          </w:p>
          <w:p w14:paraId="715F682B" w14:textId="77777777" w:rsidR="009808E2" w:rsidRPr="004534E7" w:rsidRDefault="009428AE" w:rsidP="00B6740A">
            <w:pPr>
              <w:ind w:left="125"/>
              <w:rPr>
                <w:b/>
                <w:iCs/>
                <w:sz w:val="16"/>
                <w:szCs w:val="16"/>
                <w:lang w:val="en-GB"/>
              </w:rPr>
            </w:pPr>
            <w:r w:rsidRPr="004534E7">
              <w:rPr>
                <w:b/>
                <w:iCs/>
                <w:sz w:val="16"/>
                <w:szCs w:val="16"/>
                <w:lang w:val="en-GB"/>
              </w:rPr>
              <w:t>Baseline (2017</w:t>
            </w:r>
            <w:r w:rsidR="009808E2" w:rsidRPr="004534E7">
              <w:rPr>
                <w:b/>
                <w:iCs/>
                <w:sz w:val="16"/>
                <w:szCs w:val="16"/>
                <w:lang w:val="en-GB"/>
              </w:rPr>
              <w:t xml:space="preserve">): </w:t>
            </w:r>
            <w:r w:rsidR="009808E2" w:rsidRPr="004534E7">
              <w:rPr>
                <w:iCs/>
                <w:sz w:val="16"/>
                <w:szCs w:val="16"/>
                <w:lang w:val="en-GB"/>
              </w:rPr>
              <w:t>210,000 (male); 190,000 (female)</w:t>
            </w:r>
          </w:p>
          <w:p w14:paraId="742C2A9C" w14:textId="77777777" w:rsidR="009808E2" w:rsidRPr="004534E7" w:rsidRDefault="009808E2" w:rsidP="00B6740A">
            <w:pPr>
              <w:ind w:left="125"/>
              <w:rPr>
                <w:b/>
                <w:iCs/>
                <w:sz w:val="16"/>
                <w:szCs w:val="16"/>
                <w:lang w:val="en-GB"/>
              </w:rPr>
            </w:pPr>
            <w:r w:rsidRPr="004534E7">
              <w:rPr>
                <w:b/>
                <w:iCs/>
                <w:sz w:val="16"/>
                <w:szCs w:val="16"/>
                <w:lang w:val="en-GB"/>
              </w:rPr>
              <w:t xml:space="preserve">Target: </w:t>
            </w:r>
            <w:r w:rsidRPr="004534E7">
              <w:rPr>
                <w:iCs/>
                <w:sz w:val="16"/>
                <w:szCs w:val="16"/>
                <w:lang w:val="en-GB"/>
              </w:rPr>
              <w:t>300,000 (male); 300,000 (female)</w:t>
            </w:r>
          </w:p>
          <w:p w14:paraId="11492857" w14:textId="372A5AC4" w:rsidR="003326A1" w:rsidRPr="00396E55" w:rsidRDefault="009808E2" w:rsidP="003326A1">
            <w:pPr>
              <w:spacing w:after="80"/>
              <w:rPr>
                <w:iCs/>
                <w:sz w:val="16"/>
                <w:szCs w:val="16"/>
                <w:lang w:val="en-GB"/>
              </w:rPr>
            </w:pPr>
            <w:r w:rsidRPr="004534E7">
              <w:rPr>
                <w:b/>
                <w:iCs/>
                <w:sz w:val="16"/>
                <w:szCs w:val="16"/>
                <w:lang w:val="en-GB"/>
              </w:rPr>
              <w:t xml:space="preserve">Source: </w:t>
            </w:r>
            <w:r w:rsidR="009428AE" w:rsidRPr="004534E7">
              <w:rPr>
                <w:iCs/>
                <w:sz w:val="16"/>
                <w:szCs w:val="16"/>
                <w:lang w:val="en-GB"/>
              </w:rPr>
              <w:t>P</w:t>
            </w:r>
            <w:r w:rsidRPr="004534E7">
              <w:rPr>
                <w:iCs/>
                <w:sz w:val="16"/>
                <w:szCs w:val="16"/>
                <w:lang w:val="en-GB"/>
              </w:rPr>
              <w:t>roject reports</w:t>
            </w:r>
            <w:r w:rsidR="00E51D96">
              <w:rPr>
                <w:iCs/>
                <w:sz w:val="16"/>
                <w:szCs w:val="16"/>
                <w:lang w:val="en-GB"/>
              </w:rPr>
              <w:t xml:space="preserve">, </w:t>
            </w:r>
            <w:r w:rsidRPr="004534E7">
              <w:rPr>
                <w:iCs/>
                <w:sz w:val="16"/>
                <w:szCs w:val="16"/>
                <w:lang w:val="en-GB"/>
              </w:rPr>
              <w:t>evaluations</w:t>
            </w:r>
          </w:p>
          <w:p w14:paraId="179F7B6F" w14:textId="3B4C4037" w:rsidR="007D0FD7" w:rsidRPr="004435B3" w:rsidRDefault="007D0FD7" w:rsidP="007D0FD7">
            <w:pPr>
              <w:ind w:left="125"/>
              <w:rPr>
                <w:iCs/>
                <w:sz w:val="16"/>
                <w:szCs w:val="16"/>
                <w:lang w:val="en-GB"/>
              </w:rPr>
            </w:pPr>
            <w:r w:rsidRPr="004435B3">
              <w:rPr>
                <w:b/>
                <w:iCs/>
                <w:sz w:val="16"/>
                <w:szCs w:val="16"/>
                <w:lang w:val="en-GB"/>
              </w:rPr>
              <w:t xml:space="preserve">Indicative </w:t>
            </w:r>
            <w:r w:rsidR="004435B3" w:rsidRPr="004435B3">
              <w:rPr>
                <w:b/>
                <w:iCs/>
                <w:sz w:val="16"/>
                <w:szCs w:val="16"/>
                <w:lang w:val="en-GB"/>
              </w:rPr>
              <w:t>i</w:t>
            </w:r>
            <w:r w:rsidRPr="004435B3">
              <w:rPr>
                <w:b/>
                <w:iCs/>
                <w:sz w:val="16"/>
                <w:szCs w:val="16"/>
                <w:lang w:val="en-GB"/>
              </w:rPr>
              <w:t>ndicator 1.1.3</w:t>
            </w:r>
            <w:r w:rsidR="004435B3" w:rsidRPr="004435B3">
              <w:rPr>
                <w:b/>
                <w:iCs/>
                <w:sz w:val="16"/>
                <w:szCs w:val="16"/>
                <w:lang w:val="en-GB"/>
              </w:rPr>
              <w:t>.</w:t>
            </w:r>
            <w:r w:rsidRPr="004435B3">
              <w:rPr>
                <w:iCs/>
                <w:sz w:val="16"/>
                <w:szCs w:val="16"/>
                <w:lang w:val="en-GB"/>
              </w:rPr>
              <w:t xml:space="preserve"> Number of </w:t>
            </w:r>
            <w:r w:rsidR="00072067" w:rsidRPr="004435B3">
              <w:rPr>
                <w:iCs/>
                <w:sz w:val="16"/>
                <w:szCs w:val="16"/>
                <w:lang w:val="en-GB"/>
              </w:rPr>
              <w:t xml:space="preserve">countries with </w:t>
            </w:r>
            <w:r w:rsidR="00C7510B" w:rsidRPr="004435B3">
              <w:rPr>
                <w:iCs/>
                <w:sz w:val="16"/>
                <w:szCs w:val="16"/>
                <w:lang w:val="en-GB"/>
              </w:rPr>
              <w:t>policy instruments for renewable energy,</w:t>
            </w:r>
            <w:r w:rsidRPr="004435B3">
              <w:rPr>
                <w:iCs/>
                <w:sz w:val="16"/>
                <w:szCs w:val="16"/>
                <w:lang w:val="en-GB"/>
              </w:rPr>
              <w:t xml:space="preserve"> energy efficiency</w:t>
            </w:r>
            <w:r w:rsidR="00C7510B" w:rsidRPr="004435B3">
              <w:rPr>
                <w:iCs/>
                <w:sz w:val="16"/>
                <w:szCs w:val="16"/>
                <w:lang w:val="en-GB"/>
              </w:rPr>
              <w:t xml:space="preserve">, or </w:t>
            </w:r>
            <w:r w:rsidRPr="004435B3">
              <w:rPr>
                <w:iCs/>
                <w:sz w:val="16"/>
                <w:szCs w:val="16"/>
                <w:lang w:val="en-GB"/>
              </w:rPr>
              <w:t xml:space="preserve">energy access </w:t>
            </w:r>
            <w:r w:rsidR="00C7510B" w:rsidRPr="004435B3">
              <w:rPr>
                <w:iCs/>
                <w:sz w:val="16"/>
                <w:szCs w:val="16"/>
                <w:lang w:val="en-GB"/>
              </w:rPr>
              <w:t>i</w:t>
            </w:r>
            <w:r w:rsidRPr="004435B3">
              <w:rPr>
                <w:iCs/>
                <w:sz w:val="16"/>
                <w:szCs w:val="16"/>
                <w:lang w:val="en-GB"/>
              </w:rPr>
              <w:t>ntroduced</w:t>
            </w:r>
            <w:r w:rsidR="00072067" w:rsidRPr="004435B3">
              <w:rPr>
                <w:iCs/>
                <w:sz w:val="16"/>
                <w:szCs w:val="16"/>
                <w:lang w:val="en-GB"/>
              </w:rPr>
              <w:t xml:space="preserve"> as a result of UNDP</w:t>
            </w:r>
            <w:r w:rsidRPr="004435B3">
              <w:rPr>
                <w:iCs/>
                <w:sz w:val="16"/>
                <w:szCs w:val="16"/>
                <w:lang w:val="en-GB"/>
              </w:rPr>
              <w:t xml:space="preserve"> interventions </w:t>
            </w:r>
          </w:p>
          <w:p w14:paraId="5C4F0AF1" w14:textId="77777777" w:rsidR="007D0FD7" w:rsidRPr="004435B3" w:rsidRDefault="007D0FD7" w:rsidP="007D0FD7">
            <w:pPr>
              <w:ind w:left="125"/>
              <w:rPr>
                <w:iCs/>
                <w:sz w:val="16"/>
                <w:szCs w:val="16"/>
                <w:lang w:val="en-GB"/>
              </w:rPr>
            </w:pPr>
            <w:r w:rsidRPr="004435B3">
              <w:rPr>
                <w:b/>
                <w:iCs/>
                <w:sz w:val="16"/>
                <w:szCs w:val="16"/>
                <w:lang w:val="en-GB"/>
              </w:rPr>
              <w:t>Baseline</w:t>
            </w:r>
            <w:r w:rsidR="005423A2" w:rsidRPr="004435B3">
              <w:rPr>
                <w:b/>
                <w:iCs/>
                <w:sz w:val="16"/>
                <w:szCs w:val="16"/>
                <w:lang w:val="en-GB"/>
              </w:rPr>
              <w:t xml:space="preserve"> (2017)</w:t>
            </w:r>
            <w:r w:rsidRPr="004435B3">
              <w:rPr>
                <w:b/>
                <w:iCs/>
                <w:sz w:val="16"/>
                <w:szCs w:val="16"/>
                <w:lang w:val="en-GB"/>
              </w:rPr>
              <w:t>:</w:t>
            </w:r>
            <w:r w:rsidRPr="004435B3">
              <w:rPr>
                <w:iCs/>
                <w:sz w:val="16"/>
                <w:szCs w:val="16"/>
                <w:lang w:val="en-GB"/>
              </w:rPr>
              <w:t xml:space="preserve"> 0</w:t>
            </w:r>
          </w:p>
          <w:p w14:paraId="5F63B38A" w14:textId="77777777" w:rsidR="007D0FD7" w:rsidRPr="004435B3" w:rsidRDefault="007D0FD7" w:rsidP="007D0FD7">
            <w:pPr>
              <w:ind w:left="125"/>
              <w:rPr>
                <w:iCs/>
                <w:sz w:val="16"/>
                <w:szCs w:val="16"/>
                <w:lang w:val="en-GB"/>
              </w:rPr>
            </w:pPr>
            <w:r w:rsidRPr="004435B3">
              <w:rPr>
                <w:b/>
                <w:iCs/>
                <w:sz w:val="16"/>
                <w:szCs w:val="16"/>
                <w:lang w:val="en-GB"/>
              </w:rPr>
              <w:t>Target</w:t>
            </w:r>
            <w:r w:rsidRPr="004435B3">
              <w:rPr>
                <w:iCs/>
                <w:sz w:val="16"/>
                <w:szCs w:val="16"/>
                <w:lang w:val="en-GB"/>
              </w:rPr>
              <w:t xml:space="preserve">: 8 </w:t>
            </w:r>
          </w:p>
          <w:p w14:paraId="0EEB95DE" w14:textId="42377D1E" w:rsidR="007D0FD7" w:rsidRPr="004435B3" w:rsidRDefault="007D0FD7" w:rsidP="004534E7">
            <w:pPr>
              <w:spacing w:after="120"/>
              <w:ind w:left="130"/>
              <w:rPr>
                <w:iCs/>
                <w:sz w:val="16"/>
                <w:szCs w:val="16"/>
                <w:lang w:val="en-GB"/>
              </w:rPr>
            </w:pPr>
            <w:r w:rsidRPr="004435B3">
              <w:rPr>
                <w:b/>
                <w:iCs/>
                <w:sz w:val="16"/>
                <w:szCs w:val="16"/>
                <w:lang w:val="en-GB"/>
              </w:rPr>
              <w:t>Source:</w:t>
            </w:r>
            <w:r w:rsidRPr="004435B3">
              <w:rPr>
                <w:iCs/>
                <w:sz w:val="16"/>
                <w:szCs w:val="16"/>
                <w:lang w:val="en-GB"/>
              </w:rPr>
              <w:t xml:space="preserve"> Project reports</w:t>
            </w:r>
            <w:r w:rsidR="00E51D96">
              <w:rPr>
                <w:iCs/>
                <w:sz w:val="16"/>
                <w:szCs w:val="16"/>
                <w:lang w:val="en-GB"/>
              </w:rPr>
              <w:t xml:space="preserve">, </w:t>
            </w:r>
            <w:r w:rsidR="00D67D1C" w:rsidRPr="004435B3">
              <w:rPr>
                <w:iCs/>
                <w:sz w:val="16"/>
                <w:szCs w:val="16"/>
                <w:lang w:val="en-GB"/>
              </w:rPr>
              <w:t>evaluations</w:t>
            </w:r>
            <w:r w:rsidR="009428AE" w:rsidRPr="004435B3">
              <w:rPr>
                <w:iCs/>
                <w:sz w:val="16"/>
                <w:szCs w:val="16"/>
                <w:lang w:val="en-GB"/>
              </w:rPr>
              <w:t>.</w:t>
            </w:r>
          </w:p>
          <w:p w14:paraId="1A8728F5" w14:textId="59AC3716" w:rsidR="003326A1" w:rsidRPr="00396E55" w:rsidRDefault="009808E2" w:rsidP="003326A1">
            <w:pPr>
              <w:spacing w:after="80"/>
              <w:rPr>
                <w:iCs/>
                <w:sz w:val="16"/>
                <w:szCs w:val="16"/>
                <w:lang w:val="en-GB"/>
              </w:rPr>
            </w:pPr>
            <w:r w:rsidRPr="004534E7">
              <w:rPr>
                <w:b/>
                <w:iCs/>
                <w:sz w:val="16"/>
                <w:szCs w:val="16"/>
                <w:lang w:val="en-GB"/>
              </w:rPr>
              <w:lastRenderedPageBreak/>
              <w:t>Output 1.2</w:t>
            </w:r>
            <w:r w:rsidR="00F9499F" w:rsidRPr="004534E7">
              <w:rPr>
                <w:b/>
                <w:iCs/>
                <w:sz w:val="16"/>
                <w:szCs w:val="16"/>
                <w:lang w:val="en-GB"/>
              </w:rPr>
              <w:t xml:space="preserve">: </w:t>
            </w:r>
            <w:r w:rsidR="00C014E0" w:rsidRPr="004534E7">
              <w:rPr>
                <w:b/>
                <w:iCs/>
                <w:sz w:val="16"/>
                <w:szCs w:val="16"/>
                <w:lang w:val="en-GB"/>
              </w:rPr>
              <w:t>E</w:t>
            </w:r>
            <w:r w:rsidRPr="004534E7">
              <w:rPr>
                <w:b/>
                <w:iCs/>
                <w:sz w:val="16"/>
                <w:szCs w:val="16"/>
                <w:lang w:val="en-GB"/>
              </w:rPr>
              <w:t>ffective risk-informed development plans</w:t>
            </w:r>
            <w:r w:rsidR="00B850B3" w:rsidRPr="004534E7">
              <w:rPr>
                <w:b/>
                <w:iCs/>
                <w:sz w:val="16"/>
                <w:szCs w:val="16"/>
                <w:lang w:val="en-GB"/>
              </w:rPr>
              <w:t>,</w:t>
            </w:r>
            <w:r w:rsidRPr="004534E7">
              <w:rPr>
                <w:b/>
                <w:iCs/>
                <w:sz w:val="16"/>
                <w:szCs w:val="16"/>
                <w:lang w:val="en-GB"/>
              </w:rPr>
              <w:t xml:space="preserve"> </w:t>
            </w:r>
            <w:r w:rsidR="00B850B3" w:rsidRPr="004534E7">
              <w:rPr>
                <w:b/>
                <w:iCs/>
                <w:sz w:val="16"/>
                <w:szCs w:val="16"/>
                <w:lang w:val="en-GB"/>
              </w:rPr>
              <w:t xml:space="preserve">disaster preparedness and </w:t>
            </w:r>
            <w:r w:rsidR="00BE61DA" w:rsidRPr="004534E7">
              <w:rPr>
                <w:b/>
                <w:iCs/>
                <w:sz w:val="16"/>
                <w:szCs w:val="16"/>
                <w:lang w:val="en-GB"/>
              </w:rPr>
              <w:t>recovery</w:t>
            </w:r>
            <w:r w:rsidR="00B850B3" w:rsidRPr="004534E7">
              <w:rPr>
                <w:b/>
                <w:iCs/>
                <w:sz w:val="16"/>
                <w:szCs w:val="16"/>
                <w:lang w:val="en-GB"/>
              </w:rPr>
              <w:t xml:space="preserve"> </w:t>
            </w:r>
            <w:r w:rsidR="00BE61DA" w:rsidRPr="004534E7">
              <w:rPr>
                <w:b/>
                <w:iCs/>
                <w:sz w:val="16"/>
                <w:szCs w:val="16"/>
                <w:lang w:val="en-GB"/>
              </w:rPr>
              <w:t>mechanisms</w:t>
            </w:r>
            <w:r w:rsidR="000771F5" w:rsidRPr="004534E7">
              <w:rPr>
                <w:b/>
                <w:iCs/>
                <w:sz w:val="16"/>
                <w:szCs w:val="16"/>
                <w:lang w:val="en-GB"/>
              </w:rPr>
              <w:t xml:space="preserve"> in place at the national</w:t>
            </w:r>
            <w:r w:rsidR="00A32794" w:rsidRPr="004534E7">
              <w:rPr>
                <w:b/>
                <w:iCs/>
                <w:sz w:val="16"/>
                <w:szCs w:val="16"/>
                <w:lang w:val="en-GB"/>
              </w:rPr>
              <w:t>, sector and subnational</w:t>
            </w:r>
            <w:r w:rsidR="000771F5" w:rsidRPr="004534E7">
              <w:rPr>
                <w:b/>
                <w:iCs/>
                <w:sz w:val="16"/>
                <w:szCs w:val="16"/>
                <w:lang w:val="en-GB"/>
              </w:rPr>
              <w:t xml:space="preserve"> levels</w:t>
            </w:r>
            <w:r w:rsidR="00373263">
              <w:rPr>
                <w:b/>
                <w:iCs/>
                <w:sz w:val="16"/>
                <w:szCs w:val="16"/>
                <w:lang w:val="en-GB"/>
              </w:rPr>
              <w:t>.</w:t>
            </w:r>
            <w:r w:rsidR="003326A1" w:rsidRPr="00396E55">
              <w:rPr>
                <w:iCs/>
                <w:sz w:val="16"/>
                <w:szCs w:val="16"/>
                <w:lang w:val="en-GB"/>
              </w:rPr>
              <w:t xml:space="preserve"> </w:t>
            </w:r>
          </w:p>
          <w:p w14:paraId="2A9A7CCE" w14:textId="29175012" w:rsidR="00743204" w:rsidRPr="004534E7" w:rsidRDefault="00743204" w:rsidP="00743204">
            <w:pPr>
              <w:ind w:left="125"/>
              <w:rPr>
                <w:iCs/>
                <w:sz w:val="16"/>
                <w:szCs w:val="16"/>
                <w:lang w:val="en-GB"/>
              </w:rPr>
            </w:pPr>
            <w:r w:rsidRPr="004534E7">
              <w:rPr>
                <w:b/>
                <w:bCs/>
                <w:iCs/>
                <w:sz w:val="16"/>
                <w:szCs w:val="16"/>
                <w:lang w:val="en-GB"/>
              </w:rPr>
              <w:t xml:space="preserve">Indicative </w:t>
            </w:r>
            <w:r w:rsidR="004435B3">
              <w:rPr>
                <w:b/>
                <w:bCs/>
                <w:iCs/>
                <w:sz w:val="16"/>
                <w:szCs w:val="16"/>
                <w:lang w:val="en-GB"/>
              </w:rPr>
              <w:t>i</w:t>
            </w:r>
            <w:r w:rsidRPr="004534E7">
              <w:rPr>
                <w:b/>
                <w:bCs/>
                <w:iCs/>
                <w:sz w:val="16"/>
                <w:szCs w:val="16"/>
                <w:lang w:val="en-GB"/>
              </w:rPr>
              <w:t xml:space="preserve">ndicator 1.2.1. </w:t>
            </w:r>
            <w:r w:rsidRPr="004534E7">
              <w:rPr>
                <w:iCs/>
                <w:sz w:val="16"/>
                <w:szCs w:val="16"/>
                <w:lang w:val="en-GB"/>
              </w:rPr>
              <w:t>Number of newly endorsed development policies and plans at the national, sector and subnational level</w:t>
            </w:r>
            <w:r w:rsidR="004435B3">
              <w:rPr>
                <w:iCs/>
                <w:sz w:val="16"/>
                <w:szCs w:val="16"/>
                <w:lang w:val="en-GB"/>
              </w:rPr>
              <w:t>s</w:t>
            </w:r>
            <w:r w:rsidRPr="004534E7">
              <w:rPr>
                <w:iCs/>
                <w:sz w:val="16"/>
                <w:szCs w:val="16"/>
                <w:lang w:val="en-GB"/>
              </w:rPr>
              <w:t xml:space="preserve"> that mainstream climate and disaster risks</w:t>
            </w:r>
          </w:p>
          <w:p w14:paraId="03B2A2D0" w14:textId="77777777" w:rsidR="00743204" w:rsidRPr="004534E7" w:rsidRDefault="00743204" w:rsidP="00743204">
            <w:pPr>
              <w:ind w:left="125"/>
              <w:rPr>
                <w:b/>
                <w:bCs/>
                <w:iCs/>
                <w:sz w:val="16"/>
                <w:szCs w:val="16"/>
                <w:lang w:val="en-GB"/>
              </w:rPr>
            </w:pPr>
            <w:r w:rsidRPr="004534E7">
              <w:rPr>
                <w:b/>
                <w:bCs/>
                <w:iCs/>
                <w:sz w:val="16"/>
                <w:szCs w:val="16"/>
                <w:lang w:val="en-GB"/>
              </w:rPr>
              <w:t xml:space="preserve">Baseline (2017): </w:t>
            </w:r>
            <w:r w:rsidRPr="004534E7">
              <w:rPr>
                <w:bCs/>
                <w:iCs/>
                <w:sz w:val="16"/>
                <w:szCs w:val="16"/>
                <w:lang w:val="en-GB"/>
              </w:rPr>
              <w:t>0</w:t>
            </w:r>
          </w:p>
          <w:p w14:paraId="771CACF9" w14:textId="08B4DEAF" w:rsidR="00743204" w:rsidRPr="004534E7" w:rsidRDefault="00743204" w:rsidP="00743204">
            <w:pPr>
              <w:ind w:left="125"/>
              <w:rPr>
                <w:iCs/>
                <w:sz w:val="16"/>
                <w:szCs w:val="16"/>
                <w:lang w:val="en-GB"/>
              </w:rPr>
            </w:pPr>
            <w:r w:rsidRPr="004534E7">
              <w:rPr>
                <w:b/>
                <w:bCs/>
                <w:iCs/>
                <w:sz w:val="16"/>
                <w:szCs w:val="16"/>
                <w:lang w:val="en-GB"/>
              </w:rPr>
              <w:t>Target</w:t>
            </w:r>
            <w:r w:rsidRPr="004534E7">
              <w:rPr>
                <w:iCs/>
                <w:sz w:val="16"/>
                <w:szCs w:val="16"/>
                <w:lang w:val="en-GB"/>
              </w:rPr>
              <w:t>: At least 28 at national level</w:t>
            </w:r>
            <w:r w:rsidR="004435B3">
              <w:rPr>
                <w:iCs/>
                <w:sz w:val="16"/>
                <w:szCs w:val="16"/>
                <w:lang w:val="en-GB"/>
              </w:rPr>
              <w:t>,</w:t>
            </w:r>
            <w:r w:rsidRPr="004534E7">
              <w:rPr>
                <w:iCs/>
                <w:sz w:val="16"/>
                <w:szCs w:val="16"/>
                <w:lang w:val="en-GB"/>
              </w:rPr>
              <w:t xml:space="preserve"> including sectoral; 140 at subnational level</w:t>
            </w:r>
          </w:p>
          <w:p w14:paraId="7C53C214" w14:textId="2A863662" w:rsidR="003326A1" w:rsidRPr="00396E55" w:rsidRDefault="00743204" w:rsidP="003326A1">
            <w:pPr>
              <w:spacing w:after="80"/>
              <w:rPr>
                <w:iCs/>
                <w:sz w:val="16"/>
                <w:szCs w:val="16"/>
                <w:lang w:val="en-GB"/>
              </w:rPr>
            </w:pPr>
            <w:r w:rsidRPr="004534E7">
              <w:rPr>
                <w:b/>
                <w:bCs/>
                <w:iCs/>
                <w:sz w:val="16"/>
                <w:szCs w:val="16"/>
                <w:lang w:val="en-GB"/>
              </w:rPr>
              <w:t>Source/</w:t>
            </w:r>
            <w:r w:rsidR="00E51D96">
              <w:rPr>
                <w:b/>
                <w:bCs/>
                <w:iCs/>
                <w:sz w:val="16"/>
                <w:szCs w:val="16"/>
                <w:lang w:val="en-GB"/>
              </w:rPr>
              <w:t>f</w:t>
            </w:r>
            <w:r w:rsidRPr="004534E7">
              <w:rPr>
                <w:b/>
                <w:bCs/>
                <w:iCs/>
                <w:sz w:val="16"/>
                <w:szCs w:val="16"/>
                <w:lang w:val="en-GB"/>
              </w:rPr>
              <w:t xml:space="preserve">requency: </w:t>
            </w:r>
            <w:r w:rsidRPr="004534E7">
              <w:rPr>
                <w:iCs/>
                <w:sz w:val="16"/>
                <w:szCs w:val="16"/>
                <w:lang w:val="en-GB"/>
              </w:rPr>
              <w:t>Development policy and plans;</w:t>
            </w:r>
            <w:r w:rsidRPr="004534E7">
              <w:rPr>
                <w:b/>
                <w:bCs/>
                <w:iCs/>
                <w:sz w:val="16"/>
                <w:szCs w:val="16"/>
                <w:lang w:val="en-GB"/>
              </w:rPr>
              <w:t xml:space="preserve"> </w:t>
            </w:r>
            <w:r w:rsidR="00FB4277">
              <w:rPr>
                <w:iCs/>
                <w:sz w:val="16"/>
                <w:szCs w:val="16"/>
                <w:lang w:val="en-GB"/>
              </w:rPr>
              <w:t>n</w:t>
            </w:r>
            <w:r w:rsidRPr="004534E7">
              <w:rPr>
                <w:iCs/>
                <w:sz w:val="16"/>
                <w:szCs w:val="16"/>
                <w:lang w:val="en-GB"/>
              </w:rPr>
              <w:t xml:space="preserve">ational </w:t>
            </w:r>
            <w:r w:rsidR="004435B3">
              <w:rPr>
                <w:iCs/>
                <w:sz w:val="16"/>
                <w:szCs w:val="16"/>
                <w:lang w:val="en-GB"/>
              </w:rPr>
              <w:t>d</w:t>
            </w:r>
            <w:r w:rsidRPr="004534E7">
              <w:rPr>
                <w:iCs/>
                <w:sz w:val="16"/>
                <w:szCs w:val="16"/>
                <w:lang w:val="en-GB"/>
              </w:rPr>
              <w:t xml:space="preserve">isaster </w:t>
            </w:r>
            <w:r w:rsidR="004435B3">
              <w:rPr>
                <w:iCs/>
                <w:sz w:val="16"/>
                <w:szCs w:val="16"/>
                <w:lang w:val="en-GB"/>
              </w:rPr>
              <w:t>r</w:t>
            </w:r>
            <w:r w:rsidRPr="004534E7">
              <w:rPr>
                <w:iCs/>
                <w:sz w:val="16"/>
                <w:szCs w:val="16"/>
                <w:lang w:val="en-GB"/>
              </w:rPr>
              <w:t xml:space="preserve">isk </w:t>
            </w:r>
            <w:r w:rsidR="004435B3">
              <w:rPr>
                <w:iCs/>
                <w:sz w:val="16"/>
                <w:szCs w:val="16"/>
                <w:lang w:val="en-GB"/>
              </w:rPr>
              <w:t>m</w:t>
            </w:r>
            <w:r w:rsidRPr="004534E7">
              <w:rPr>
                <w:iCs/>
                <w:sz w:val="16"/>
                <w:szCs w:val="16"/>
                <w:lang w:val="en-GB"/>
              </w:rPr>
              <w:t xml:space="preserve">anagement and </w:t>
            </w:r>
            <w:r w:rsidR="004435B3">
              <w:rPr>
                <w:iCs/>
                <w:sz w:val="16"/>
                <w:szCs w:val="16"/>
                <w:lang w:val="en-GB"/>
              </w:rPr>
              <w:t>c</w:t>
            </w:r>
            <w:r w:rsidRPr="004534E7">
              <w:rPr>
                <w:iCs/>
                <w:sz w:val="16"/>
                <w:szCs w:val="16"/>
                <w:lang w:val="en-GB"/>
              </w:rPr>
              <w:t xml:space="preserve">limate </w:t>
            </w:r>
            <w:r w:rsidR="004435B3">
              <w:rPr>
                <w:iCs/>
                <w:sz w:val="16"/>
                <w:szCs w:val="16"/>
                <w:lang w:val="en-GB"/>
              </w:rPr>
              <w:t>c</w:t>
            </w:r>
            <w:r w:rsidRPr="004534E7">
              <w:rPr>
                <w:iCs/>
                <w:sz w:val="16"/>
                <w:szCs w:val="16"/>
                <w:lang w:val="en-GB"/>
              </w:rPr>
              <w:t>hange policies and plans (annual)</w:t>
            </w:r>
            <w:r w:rsidR="003326A1" w:rsidRPr="00396E55">
              <w:rPr>
                <w:iCs/>
                <w:sz w:val="16"/>
                <w:szCs w:val="16"/>
                <w:lang w:val="en-GB"/>
              </w:rPr>
              <w:t xml:space="preserve"> </w:t>
            </w:r>
          </w:p>
          <w:p w14:paraId="028F1806" w14:textId="005ADF21" w:rsidR="009808E2" w:rsidRPr="004534E7" w:rsidRDefault="00BE61DA" w:rsidP="00B6740A">
            <w:pPr>
              <w:ind w:left="125"/>
              <w:rPr>
                <w:iCs/>
                <w:sz w:val="16"/>
                <w:szCs w:val="16"/>
                <w:lang w:val="en-GB"/>
              </w:rPr>
            </w:pPr>
            <w:r w:rsidRPr="004534E7">
              <w:rPr>
                <w:b/>
                <w:iCs/>
                <w:sz w:val="16"/>
                <w:szCs w:val="16"/>
                <w:lang w:val="en-GB"/>
              </w:rPr>
              <w:t xml:space="preserve">Indicative </w:t>
            </w:r>
            <w:r w:rsidR="00FB4277">
              <w:rPr>
                <w:b/>
                <w:iCs/>
                <w:sz w:val="16"/>
                <w:szCs w:val="16"/>
                <w:lang w:val="en-GB"/>
              </w:rPr>
              <w:t>i</w:t>
            </w:r>
            <w:r w:rsidRPr="004534E7">
              <w:rPr>
                <w:b/>
                <w:iCs/>
                <w:sz w:val="16"/>
                <w:szCs w:val="16"/>
                <w:lang w:val="en-GB"/>
              </w:rPr>
              <w:t>nd</w:t>
            </w:r>
            <w:r w:rsidR="00743204" w:rsidRPr="004534E7">
              <w:rPr>
                <w:b/>
                <w:iCs/>
                <w:sz w:val="16"/>
                <w:szCs w:val="16"/>
                <w:lang w:val="en-GB"/>
              </w:rPr>
              <w:t>icator 1.2.2</w:t>
            </w:r>
            <w:r w:rsidR="00FB4277">
              <w:rPr>
                <w:b/>
                <w:iCs/>
                <w:sz w:val="16"/>
                <w:szCs w:val="16"/>
                <w:lang w:val="en-GB"/>
              </w:rPr>
              <w:t>.</w:t>
            </w:r>
            <w:r w:rsidRPr="004534E7">
              <w:rPr>
                <w:iCs/>
                <w:sz w:val="16"/>
                <w:szCs w:val="16"/>
                <w:lang w:val="en-GB"/>
              </w:rPr>
              <w:t xml:space="preserve"> Number of countries with</w:t>
            </w:r>
            <w:r w:rsidR="00351D29" w:rsidRPr="004534E7">
              <w:rPr>
                <w:iCs/>
                <w:sz w:val="16"/>
                <w:szCs w:val="16"/>
                <w:lang w:val="en-GB"/>
              </w:rPr>
              <w:t xml:space="preserve"> formalized</w:t>
            </w:r>
            <w:r w:rsidRPr="004534E7">
              <w:rPr>
                <w:iCs/>
                <w:sz w:val="16"/>
                <w:szCs w:val="16"/>
                <w:lang w:val="en-GB"/>
              </w:rPr>
              <w:t xml:space="preserve"> recovery preparedness mechanisms in place</w:t>
            </w:r>
          </w:p>
          <w:p w14:paraId="46995D58" w14:textId="77777777" w:rsidR="00BE61DA" w:rsidRPr="004534E7" w:rsidRDefault="00BE61DA" w:rsidP="00B6740A">
            <w:pPr>
              <w:ind w:left="125"/>
              <w:rPr>
                <w:iCs/>
                <w:sz w:val="16"/>
                <w:szCs w:val="16"/>
                <w:lang w:val="en-GB"/>
              </w:rPr>
            </w:pPr>
            <w:r w:rsidRPr="004534E7">
              <w:rPr>
                <w:b/>
                <w:iCs/>
                <w:sz w:val="16"/>
                <w:szCs w:val="16"/>
                <w:lang w:val="en-GB"/>
              </w:rPr>
              <w:t>Baseline (2017):</w:t>
            </w:r>
            <w:r w:rsidRPr="004534E7">
              <w:rPr>
                <w:iCs/>
                <w:sz w:val="16"/>
                <w:szCs w:val="16"/>
                <w:lang w:val="en-GB"/>
              </w:rPr>
              <w:t xml:space="preserve"> </w:t>
            </w:r>
            <w:r w:rsidR="00351D29" w:rsidRPr="004534E7">
              <w:rPr>
                <w:iCs/>
                <w:sz w:val="16"/>
                <w:szCs w:val="16"/>
                <w:lang w:val="en-GB"/>
              </w:rPr>
              <w:t>2</w:t>
            </w:r>
          </w:p>
          <w:p w14:paraId="049ED789" w14:textId="5E58177D" w:rsidR="00BE61DA" w:rsidRPr="004534E7" w:rsidRDefault="00BE61DA" w:rsidP="00B6740A">
            <w:pPr>
              <w:ind w:left="125"/>
              <w:rPr>
                <w:iCs/>
                <w:sz w:val="16"/>
                <w:szCs w:val="16"/>
                <w:lang w:val="en-GB"/>
              </w:rPr>
            </w:pPr>
            <w:r w:rsidRPr="004534E7">
              <w:rPr>
                <w:b/>
                <w:iCs/>
                <w:sz w:val="16"/>
                <w:szCs w:val="16"/>
                <w:lang w:val="en-GB"/>
              </w:rPr>
              <w:t>Target:</w:t>
            </w:r>
            <w:r w:rsidRPr="004534E7">
              <w:rPr>
                <w:iCs/>
                <w:sz w:val="16"/>
                <w:szCs w:val="16"/>
                <w:lang w:val="en-GB"/>
              </w:rPr>
              <w:t xml:space="preserve"> </w:t>
            </w:r>
            <w:r w:rsidR="00351D29" w:rsidRPr="004534E7">
              <w:rPr>
                <w:iCs/>
                <w:sz w:val="16"/>
                <w:szCs w:val="16"/>
                <w:lang w:val="en-GB"/>
              </w:rPr>
              <w:t>10</w:t>
            </w:r>
          </w:p>
          <w:p w14:paraId="2AA3AA08" w14:textId="29ADFF94" w:rsidR="003326A1" w:rsidRPr="00396E55" w:rsidRDefault="00BE61DA" w:rsidP="003326A1">
            <w:pPr>
              <w:spacing w:after="80"/>
              <w:rPr>
                <w:iCs/>
                <w:sz w:val="16"/>
                <w:szCs w:val="16"/>
                <w:lang w:val="en-GB"/>
              </w:rPr>
            </w:pPr>
            <w:r w:rsidRPr="004534E7">
              <w:rPr>
                <w:b/>
                <w:iCs/>
                <w:sz w:val="16"/>
                <w:szCs w:val="16"/>
                <w:lang w:val="en-GB"/>
              </w:rPr>
              <w:t>Source/</w:t>
            </w:r>
            <w:r w:rsidR="00E51D96">
              <w:rPr>
                <w:b/>
                <w:iCs/>
                <w:sz w:val="16"/>
                <w:szCs w:val="16"/>
                <w:lang w:val="en-GB"/>
              </w:rPr>
              <w:t>f</w:t>
            </w:r>
            <w:r w:rsidRPr="004534E7">
              <w:rPr>
                <w:b/>
                <w:iCs/>
                <w:sz w:val="16"/>
                <w:szCs w:val="16"/>
                <w:lang w:val="en-GB"/>
              </w:rPr>
              <w:t xml:space="preserve">requency: </w:t>
            </w:r>
            <w:r w:rsidR="007B0268" w:rsidRPr="004534E7">
              <w:rPr>
                <w:iCs/>
                <w:sz w:val="16"/>
                <w:szCs w:val="16"/>
                <w:lang w:val="en-GB"/>
              </w:rPr>
              <w:t>Post-</w:t>
            </w:r>
            <w:r w:rsidR="00FB4277">
              <w:rPr>
                <w:iCs/>
                <w:sz w:val="16"/>
                <w:szCs w:val="16"/>
                <w:lang w:val="en-GB"/>
              </w:rPr>
              <w:t>d</w:t>
            </w:r>
            <w:r w:rsidR="007B0268" w:rsidRPr="004534E7">
              <w:rPr>
                <w:iCs/>
                <w:sz w:val="16"/>
                <w:szCs w:val="16"/>
                <w:lang w:val="en-GB"/>
              </w:rPr>
              <w:t xml:space="preserve">isaster needs </w:t>
            </w:r>
            <w:r w:rsidR="00FB4277">
              <w:rPr>
                <w:iCs/>
                <w:sz w:val="16"/>
                <w:szCs w:val="16"/>
                <w:lang w:val="en-GB"/>
              </w:rPr>
              <w:t>a</w:t>
            </w:r>
            <w:r w:rsidR="007B0268" w:rsidRPr="004534E7">
              <w:rPr>
                <w:iCs/>
                <w:sz w:val="16"/>
                <w:szCs w:val="16"/>
                <w:lang w:val="en-GB"/>
              </w:rPr>
              <w:t>ssessments</w:t>
            </w:r>
            <w:r w:rsidR="00351D29" w:rsidRPr="004534E7">
              <w:rPr>
                <w:iCs/>
                <w:sz w:val="16"/>
                <w:szCs w:val="16"/>
                <w:lang w:val="en-GB"/>
              </w:rPr>
              <w:t xml:space="preserve">, </w:t>
            </w:r>
            <w:r w:rsidR="00FB4277">
              <w:rPr>
                <w:iCs/>
                <w:sz w:val="16"/>
                <w:szCs w:val="16"/>
                <w:lang w:val="en-GB"/>
              </w:rPr>
              <w:t>d</w:t>
            </w:r>
            <w:r w:rsidR="007B0268" w:rsidRPr="004534E7">
              <w:rPr>
                <w:iCs/>
                <w:sz w:val="16"/>
                <w:szCs w:val="16"/>
                <w:lang w:val="en-GB"/>
              </w:rPr>
              <w:t xml:space="preserve">isaster </w:t>
            </w:r>
            <w:r w:rsidR="00FB4277">
              <w:rPr>
                <w:iCs/>
                <w:sz w:val="16"/>
                <w:szCs w:val="16"/>
                <w:lang w:val="en-GB"/>
              </w:rPr>
              <w:t>r</w:t>
            </w:r>
            <w:r w:rsidR="007B0268" w:rsidRPr="004534E7">
              <w:rPr>
                <w:iCs/>
                <w:sz w:val="16"/>
                <w:szCs w:val="16"/>
                <w:lang w:val="en-GB"/>
              </w:rPr>
              <w:t xml:space="preserve">ecovery </w:t>
            </w:r>
            <w:r w:rsidR="00FB4277">
              <w:rPr>
                <w:iCs/>
                <w:sz w:val="16"/>
                <w:szCs w:val="16"/>
                <w:lang w:val="en-GB"/>
              </w:rPr>
              <w:t>f</w:t>
            </w:r>
            <w:r w:rsidR="007B0268" w:rsidRPr="004534E7">
              <w:rPr>
                <w:iCs/>
                <w:sz w:val="16"/>
                <w:szCs w:val="16"/>
                <w:lang w:val="en-GB"/>
              </w:rPr>
              <w:t>ramework</w:t>
            </w:r>
            <w:r w:rsidR="00351D29" w:rsidRPr="004534E7">
              <w:rPr>
                <w:iCs/>
                <w:sz w:val="16"/>
                <w:szCs w:val="16"/>
                <w:lang w:val="en-GB"/>
              </w:rPr>
              <w:t xml:space="preserve">, </w:t>
            </w:r>
            <w:r w:rsidR="00FB4277">
              <w:rPr>
                <w:iCs/>
                <w:sz w:val="16"/>
                <w:szCs w:val="16"/>
                <w:lang w:val="en-GB"/>
              </w:rPr>
              <w:t>g</w:t>
            </w:r>
            <w:r w:rsidR="00A658F9" w:rsidRPr="004435B3">
              <w:rPr>
                <w:iCs/>
                <w:sz w:val="16"/>
                <w:szCs w:val="16"/>
                <w:lang w:val="en-GB"/>
              </w:rPr>
              <w:t>overnment policy documents</w:t>
            </w:r>
            <w:r w:rsidR="00DF2D9D" w:rsidRPr="004435B3">
              <w:rPr>
                <w:iCs/>
                <w:sz w:val="16"/>
                <w:szCs w:val="16"/>
                <w:lang w:val="en-GB"/>
              </w:rPr>
              <w:t xml:space="preserve"> (ad</w:t>
            </w:r>
            <w:r w:rsidR="00FB4277">
              <w:rPr>
                <w:iCs/>
                <w:sz w:val="16"/>
                <w:szCs w:val="16"/>
                <w:lang w:val="en-GB"/>
              </w:rPr>
              <w:t xml:space="preserve"> </w:t>
            </w:r>
            <w:r w:rsidR="00DF2D9D" w:rsidRPr="004435B3">
              <w:rPr>
                <w:iCs/>
                <w:sz w:val="16"/>
                <w:szCs w:val="16"/>
                <w:lang w:val="en-GB"/>
              </w:rPr>
              <w:t>hoc)</w:t>
            </w:r>
            <w:r w:rsidR="003326A1" w:rsidRPr="00396E55">
              <w:rPr>
                <w:iCs/>
                <w:sz w:val="16"/>
                <w:szCs w:val="16"/>
                <w:lang w:val="en-GB"/>
              </w:rPr>
              <w:t xml:space="preserve"> </w:t>
            </w:r>
          </w:p>
          <w:p w14:paraId="2AD1B078" w14:textId="50BA4A8C" w:rsidR="003326A1" w:rsidRPr="00396E55" w:rsidRDefault="009808E2" w:rsidP="003326A1">
            <w:pPr>
              <w:spacing w:after="80"/>
              <w:rPr>
                <w:iCs/>
                <w:sz w:val="16"/>
                <w:szCs w:val="16"/>
                <w:lang w:val="en-GB"/>
              </w:rPr>
            </w:pPr>
            <w:r w:rsidRPr="004534E7">
              <w:rPr>
                <w:b/>
                <w:iCs/>
                <w:sz w:val="16"/>
                <w:szCs w:val="16"/>
                <w:lang w:val="en-GB"/>
              </w:rPr>
              <w:t>Output 1.3</w:t>
            </w:r>
            <w:r w:rsidR="00FB4277">
              <w:rPr>
                <w:b/>
                <w:iCs/>
                <w:sz w:val="16"/>
                <w:szCs w:val="16"/>
                <w:lang w:val="en-GB"/>
              </w:rPr>
              <w:t>.</w:t>
            </w:r>
            <w:r w:rsidR="00F9499F" w:rsidRPr="004534E7">
              <w:rPr>
                <w:b/>
                <w:iCs/>
                <w:sz w:val="16"/>
                <w:szCs w:val="16"/>
                <w:lang w:val="en-GB"/>
              </w:rPr>
              <w:t xml:space="preserve"> </w:t>
            </w:r>
            <w:r w:rsidRPr="004534E7">
              <w:rPr>
                <w:b/>
                <w:iCs/>
                <w:sz w:val="16"/>
                <w:szCs w:val="16"/>
                <w:lang w:val="en-GB"/>
              </w:rPr>
              <w:t xml:space="preserve">Solutions developed at national and subnational levels for sustainable management of natural </w:t>
            </w:r>
            <w:r w:rsidR="007B0268" w:rsidRPr="004534E7">
              <w:rPr>
                <w:b/>
                <w:iCs/>
                <w:sz w:val="16"/>
                <w:szCs w:val="16"/>
                <w:lang w:val="en-GB"/>
              </w:rPr>
              <w:t>resources</w:t>
            </w:r>
            <w:r w:rsidRPr="004534E7">
              <w:rPr>
                <w:b/>
                <w:iCs/>
                <w:sz w:val="16"/>
                <w:szCs w:val="16"/>
                <w:lang w:val="en-GB"/>
              </w:rPr>
              <w:t>, ecosystem services</w:t>
            </w:r>
            <w:r w:rsidR="008C5500" w:rsidRPr="004534E7">
              <w:rPr>
                <w:b/>
                <w:iCs/>
                <w:sz w:val="16"/>
                <w:szCs w:val="16"/>
                <w:lang w:val="en-GB"/>
              </w:rPr>
              <w:t xml:space="preserve"> </w:t>
            </w:r>
            <w:r w:rsidRPr="004435B3">
              <w:rPr>
                <w:b/>
                <w:iCs/>
                <w:sz w:val="16"/>
                <w:szCs w:val="16"/>
                <w:lang w:val="en-GB"/>
              </w:rPr>
              <w:t>and waste</w:t>
            </w:r>
            <w:r w:rsidR="00373263">
              <w:rPr>
                <w:b/>
                <w:iCs/>
                <w:sz w:val="16"/>
                <w:szCs w:val="16"/>
                <w:lang w:val="en-GB"/>
              </w:rPr>
              <w:t>.</w:t>
            </w:r>
          </w:p>
          <w:p w14:paraId="62F3E007" w14:textId="363DA2E7" w:rsidR="009808E2" w:rsidRPr="004435B3" w:rsidRDefault="009808E2" w:rsidP="00B6740A">
            <w:pPr>
              <w:ind w:left="125"/>
              <w:rPr>
                <w:iCs/>
                <w:sz w:val="16"/>
                <w:szCs w:val="16"/>
                <w:lang w:val="en-GB"/>
              </w:rPr>
            </w:pPr>
            <w:r w:rsidRPr="004435B3">
              <w:rPr>
                <w:b/>
                <w:iCs/>
                <w:sz w:val="16"/>
                <w:szCs w:val="16"/>
                <w:lang w:val="en-GB"/>
              </w:rPr>
              <w:t xml:space="preserve">Indicative </w:t>
            </w:r>
            <w:r w:rsidR="00FB4277">
              <w:rPr>
                <w:b/>
                <w:iCs/>
                <w:sz w:val="16"/>
                <w:szCs w:val="16"/>
                <w:lang w:val="en-GB"/>
              </w:rPr>
              <w:t>i</w:t>
            </w:r>
            <w:r w:rsidRPr="004435B3">
              <w:rPr>
                <w:b/>
                <w:iCs/>
                <w:sz w:val="16"/>
                <w:szCs w:val="16"/>
                <w:lang w:val="en-GB"/>
              </w:rPr>
              <w:t>ndicator 1.3.1</w:t>
            </w:r>
            <w:r w:rsidR="00FB4277">
              <w:rPr>
                <w:b/>
                <w:iCs/>
                <w:sz w:val="16"/>
                <w:szCs w:val="16"/>
                <w:lang w:val="en-GB"/>
              </w:rPr>
              <w:t>.</w:t>
            </w:r>
            <w:r w:rsidRPr="004435B3">
              <w:rPr>
                <w:iCs/>
                <w:sz w:val="16"/>
                <w:szCs w:val="16"/>
                <w:lang w:val="en-GB"/>
              </w:rPr>
              <w:t xml:space="preserve"> Number of UNDP project beneficiaries, disaggregated by sex, with access to sustainably managed natural resources</w:t>
            </w:r>
            <w:r w:rsidR="007B0268" w:rsidRPr="004435B3">
              <w:rPr>
                <w:iCs/>
                <w:sz w:val="16"/>
                <w:szCs w:val="16"/>
                <w:lang w:val="en-GB"/>
              </w:rPr>
              <w:t xml:space="preserve"> (e.g.</w:t>
            </w:r>
            <w:r w:rsidR="00FB4277">
              <w:rPr>
                <w:iCs/>
                <w:sz w:val="16"/>
                <w:szCs w:val="16"/>
                <w:lang w:val="en-GB"/>
              </w:rPr>
              <w:t>,</w:t>
            </w:r>
            <w:r w:rsidR="007B0268" w:rsidRPr="004435B3">
              <w:rPr>
                <w:iCs/>
                <w:sz w:val="16"/>
                <w:szCs w:val="16"/>
                <w:lang w:val="en-GB"/>
              </w:rPr>
              <w:t xml:space="preserve"> fisheries)</w:t>
            </w:r>
            <w:r w:rsidRPr="004435B3">
              <w:rPr>
                <w:iCs/>
                <w:sz w:val="16"/>
                <w:szCs w:val="16"/>
                <w:lang w:val="en-GB"/>
              </w:rPr>
              <w:t xml:space="preserve">, ecosystem services </w:t>
            </w:r>
            <w:r w:rsidR="007B0268" w:rsidRPr="004435B3">
              <w:rPr>
                <w:iCs/>
                <w:sz w:val="16"/>
                <w:szCs w:val="16"/>
                <w:lang w:val="en-GB"/>
              </w:rPr>
              <w:t>(e.g.</w:t>
            </w:r>
            <w:r w:rsidR="00FB4277">
              <w:rPr>
                <w:iCs/>
                <w:sz w:val="16"/>
                <w:szCs w:val="16"/>
                <w:lang w:val="en-GB"/>
              </w:rPr>
              <w:t>,</w:t>
            </w:r>
            <w:r w:rsidR="007B0268" w:rsidRPr="004435B3">
              <w:rPr>
                <w:iCs/>
                <w:sz w:val="16"/>
                <w:szCs w:val="16"/>
                <w:lang w:val="en-GB"/>
              </w:rPr>
              <w:t xml:space="preserve"> </w:t>
            </w:r>
            <w:r w:rsidR="00FC1BE9" w:rsidRPr="004435B3">
              <w:rPr>
                <w:iCs/>
                <w:sz w:val="16"/>
                <w:szCs w:val="16"/>
                <w:lang w:val="en-GB"/>
              </w:rPr>
              <w:t>ecotourism</w:t>
            </w:r>
            <w:r w:rsidR="007B0268" w:rsidRPr="004435B3">
              <w:rPr>
                <w:iCs/>
                <w:sz w:val="16"/>
                <w:szCs w:val="16"/>
                <w:lang w:val="en-GB"/>
              </w:rPr>
              <w:t>)</w:t>
            </w:r>
            <w:r w:rsidR="003969E8">
              <w:rPr>
                <w:iCs/>
                <w:sz w:val="16"/>
                <w:szCs w:val="16"/>
                <w:lang w:val="en-GB"/>
              </w:rPr>
              <w:t>,</w:t>
            </w:r>
            <w:r w:rsidR="00FC1BE9" w:rsidRPr="004435B3">
              <w:rPr>
                <w:iCs/>
                <w:sz w:val="16"/>
                <w:szCs w:val="16"/>
                <w:lang w:val="en-GB"/>
              </w:rPr>
              <w:t xml:space="preserve"> </w:t>
            </w:r>
            <w:r w:rsidRPr="004435B3">
              <w:rPr>
                <w:iCs/>
                <w:sz w:val="16"/>
                <w:szCs w:val="16"/>
                <w:lang w:val="en-GB"/>
              </w:rPr>
              <w:t>and waste</w:t>
            </w:r>
          </w:p>
          <w:p w14:paraId="40E65478" w14:textId="77777777" w:rsidR="009808E2" w:rsidRPr="004534E7" w:rsidRDefault="009808E2" w:rsidP="00B6740A">
            <w:pPr>
              <w:ind w:left="125"/>
              <w:rPr>
                <w:iCs/>
                <w:sz w:val="16"/>
                <w:szCs w:val="16"/>
                <w:lang w:val="en-GB"/>
              </w:rPr>
            </w:pPr>
            <w:r w:rsidRPr="004534E7">
              <w:rPr>
                <w:b/>
                <w:iCs/>
                <w:sz w:val="16"/>
                <w:szCs w:val="16"/>
                <w:lang w:val="en-GB"/>
              </w:rPr>
              <w:t>Baseline</w:t>
            </w:r>
            <w:r w:rsidR="009A156B" w:rsidRPr="004534E7">
              <w:rPr>
                <w:b/>
                <w:iCs/>
                <w:sz w:val="16"/>
                <w:szCs w:val="16"/>
                <w:lang w:val="en-GB"/>
              </w:rPr>
              <w:t xml:space="preserve"> (2017</w:t>
            </w:r>
            <w:r w:rsidRPr="004534E7">
              <w:rPr>
                <w:b/>
                <w:iCs/>
                <w:sz w:val="16"/>
                <w:szCs w:val="16"/>
                <w:lang w:val="en-GB"/>
              </w:rPr>
              <w:t>):</w:t>
            </w:r>
            <w:r w:rsidRPr="004534E7">
              <w:rPr>
                <w:iCs/>
                <w:sz w:val="16"/>
                <w:szCs w:val="16"/>
                <w:lang w:val="en-GB"/>
              </w:rPr>
              <w:t xml:space="preserve"> 160,000 (male) 140,000 (female)</w:t>
            </w:r>
          </w:p>
          <w:p w14:paraId="5F4356F5" w14:textId="77777777" w:rsidR="009808E2" w:rsidRPr="004534E7" w:rsidRDefault="009808E2" w:rsidP="00B6740A">
            <w:pPr>
              <w:ind w:left="125"/>
              <w:rPr>
                <w:iCs/>
                <w:sz w:val="16"/>
                <w:szCs w:val="16"/>
                <w:lang w:val="en-GB"/>
              </w:rPr>
            </w:pPr>
            <w:r w:rsidRPr="004534E7">
              <w:rPr>
                <w:b/>
                <w:iCs/>
                <w:sz w:val="16"/>
                <w:szCs w:val="16"/>
                <w:lang w:val="en-GB"/>
              </w:rPr>
              <w:t>Target:</w:t>
            </w:r>
            <w:r w:rsidRPr="004534E7">
              <w:rPr>
                <w:iCs/>
                <w:sz w:val="16"/>
                <w:szCs w:val="16"/>
                <w:lang w:val="en-GB"/>
              </w:rPr>
              <w:t xml:space="preserve"> 200,000 (male) 200,000 (female)</w:t>
            </w:r>
          </w:p>
          <w:p w14:paraId="087A11A3" w14:textId="71A1342A" w:rsidR="007279C8" w:rsidRPr="004534E7" w:rsidRDefault="009808E2" w:rsidP="004534E7">
            <w:pPr>
              <w:ind w:left="125"/>
              <w:rPr>
                <w:b/>
                <w:iCs/>
                <w:sz w:val="16"/>
                <w:szCs w:val="16"/>
                <w:lang w:val="en-GB"/>
              </w:rPr>
            </w:pPr>
            <w:r w:rsidRPr="004534E7">
              <w:rPr>
                <w:b/>
                <w:iCs/>
                <w:sz w:val="16"/>
                <w:szCs w:val="16"/>
                <w:lang w:val="en-GB"/>
              </w:rPr>
              <w:t xml:space="preserve">Source: </w:t>
            </w:r>
            <w:r w:rsidRPr="004534E7">
              <w:rPr>
                <w:iCs/>
                <w:sz w:val="16"/>
                <w:szCs w:val="16"/>
                <w:lang w:val="en-GB"/>
              </w:rPr>
              <w:t xml:space="preserve">Project documents, </w:t>
            </w:r>
            <w:r w:rsidR="009A156B" w:rsidRPr="004534E7">
              <w:rPr>
                <w:iCs/>
                <w:sz w:val="16"/>
                <w:szCs w:val="16"/>
                <w:lang w:val="en-GB"/>
              </w:rPr>
              <w:t xml:space="preserve">project </w:t>
            </w:r>
            <w:r w:rsidRPr="004534E7">
              <w:rPr>
                <w:iCs/>
                <w:sz w:val="16"/>
                <w:szCs w:val="16"/>
                <w:lang w:val="en-GB"/>
              </w:rPr>
              <w:t>reports</w:t>
            </w:r>
            <w:r w:rsidR="003969E8">
              <w:rPr>
                <w:iCs/>
                <w:sz w:val="16"/>
                <w:szCs w:val="16"/>
                <w:lang w:val="en-GB"/>
              </w:rPr>
              <w:t>,</w:t>
            </w:r>
            <w:r w:rsidRPr="004534E7">
              <w:rPr>
                <w:iCs/>
                <w:sz w:val="16"/>
                <w:szCs w:val="16"/>
                <w:lang w:val="en-GB"/>
              </w:rPr>
              <w:t xml:space="preserve"> evaluations</w:t>
            </w:r>
          </w:p>
        </w:tc>
        <w:tc>
          <w:tcPr>
            <w:tcW w:w="1006" w:type="pct"/>
            <w:vMerge w:val="restart"/>
          </w:tcPr>
          <w:p w14:paraId="4E035C14" w14:textId="77777777" w:rsidR="009808E2" w:rsidRPr="004534E7" w:rsidRDefault="009808E2" w:rsidP="00B6740A">
            <w:pPr>
              <w:rPr>
                <w:iCs/>
                <w:sz w:val="16"/>
                <w:szCs w:val="16"/>
                <w:lang w:val="en-GB"/>
              </w:rPr>
            </w:pPr>
            <w:r w:rsidRPr="004534E7">
              <w:rPr>
                <w:iCs/>
                <w:sz w:val="16"/>
                <w:szCs w:val="16"/>
                <w:lang w:val="en-GB"/>
              </w:rPr>
              <w:lastRenderedPageBreak/>
              <w:t>Ministries of Finance and Planning, Natural Resource and Environment, Climate Change, Disaster Management and Agriculture</w:t>
            </w:r>
          </w:p>
          <w:p w14:paraId="71F03824" w14:textId="77777777" w:rsidR="009808E2" w:rsidRPr="004534E7" w:rsidRDefault="009808E2" w:rsidP="00B6740A">
            <w:pPr>
              <w:rPr>
                <w:iCs/>
                <w:sz w:val="16"/>
                <w:szCs w:val="16"/>
                <w:lang w:val="en-GB"/>
              </w:rPr>
            </w:pPr>
          </w:p>
          <w:p w14:paraId="27A6A4DB" w14:textId="5C8F253F" w:rsidR="009808E2" w:rsidRPr="004534E7" w:rsidRDefault="009808E2" w:rsidP="00B6740A">
            <w:pPr>
              <w:rPr>
                <w:iCs/>
                <w:sz w:val="16"/>
                <w:szCs w:val="16"/>
                <w:lang w:val="en-GB"/>
              </w:rPr>
            </w:pPr>
            <w:r w:rsidRPr="004534E7">
              <w:rPr>
                <w:iCs/>
                <w:sz w:val="16"/>
                <w:szCs w:val="16"/>
                <w:lang w:val="en-GB"/>
              </w:rPr>
              <w:t xml:space="preserve">National </w:t>
            </w:r>
            <w:r w:rsidR="00E51D96">
              <w:rPr>
                <w:iCs/>
                <w:sz w:val="16"/>
                <w:szCs w:val="16"/>
                <w:lang w:val="en-GB"/>
              </w:rPr>
              <w:t>d</w:t>
            </w:r>
            <w:r w:rsidRPr="004534E7">
              <w:rPr>
                <w:iCs/>
                <w:sz w:val="16"/>
                <w:szCs w:val="16"/>
                <w:lang w:val="en-GB"/>
              </w:rPr>
              <w:t xml:space="preserve">evelopment </w:t>
            </w:r>
            <w:r w:rsidR="00E51D96">
              <w:rPr>
                <w:iCs/>
                <w:sz w:val="16"/>
                <w:szCs w:val="16"/>
                <w:lang w:val="en-GB"/>
              </w:rPr>
              <w:t>f</w:t>
            </w:r>
            <w:r w:rsidRPr="004534E7">
              <w:rPr>
                <w:iCs/>
                <w:sz w:val="16"/>
                <w:szCs w:val="16"/>
                <w:lang w:val="en-GB"/>
              </w:rPr>
              <w:t xml:space="preserve">inance </w:t>
            </w:r>
            <w:r w:rsidR="00E51D96">
              <w:rPr>
                <w:iCs/>
                <w:sz w:val="16"/>
                <w:szCs w:val="16"/>
                <w:lang w:val="en-GB"/>
              </w:rPr>
              <w:t>i</w:t>
            </w:r>
            <w:r w:rsidRPr="004534E7">
              <w:rPr>
                <w:iCs/>
                <w:sz w:val="16"/>
                <w:szCs w:val="16"/>
                <w:lang w:val="en-GB"/>
              </w:rPr>
              <w:t>nstitutions</w:t>
            </w:r>
          </w:p>
          <w:p w14:paraId="3F0F2F10" w14:textId="77777777" w:rsidR="009808E2" w:rsidRPr="004534E7" w:rsidRDefault="009808E2" w:rsidP="00B6740A">
            <w:pPr>
              <w:rPr>
                <w:iCs/>
                <w:sz w:val="16"/>
                <w:szCs w:val="16"/>
                <w:lang w:val="en-GB"/>
              </w:rPr>
            </w:pPr>
          </w:p>
          <w:p w14:paraId="448D59EB" w14:textId="77777777" w:rsidR="009808E2" w:rsidRPr="004534E7" w:rsidRDefault="009808E2" w:rsidP="00B6740A">
            <w:pPr>
              <w:rPr>
                <w:iCs/>
                <w:sz w:val="16"/>
                <w:szCs w:val="16"/>
                <w:lang w:val="en-GB"/>
              </w:rPr>
            </w:pPr>
            <w:r w:rsidRPr="004534E7">
              <w:rPr>
                <w:iCs/>
                <w:sz w:val="16"/>
                <w:szCs w:val="16"/>
                <w:lang w:val="en-GB"/>
              </w:rPr>
              <w:t>Select provincial and local authorities</w:t>
            </w:r>
          </w:p>
          <w:p w14:paraId="7DBF75CB" w14:textId="77777777" w:rsidR="009808E2" w:rsidRPr="004534E7" w:rsidRDefault="009808E2" w:rsidP="00B6740A">
            <w:pPr>
              <w:rPr>
                <w:iCs/>
                <w:sz w:val="16"/>
                <w:szCs w:val="16"/>
                <w:lang w:val="en-GB"/>
              </w:rPr>
            </w:pPr>
          </w:p>
          <w:p w14:paraId="3516DC64" w14:textId="4044A1A1" w:rsidR="009808E2" w:rsidRPr="004534E7" w:rsidRDefault="009808E2" w:rsidP="00B6740A">
            <w:pPr>
              <w:rPr>
                <w:iCs/>
                <w:sz w:val="16"/>
                <w:szCs w:val="16"/>
                <w:lang w:val="en-GB"/>
              </w:rPr>
            </w:pPr>
            <w:r w:rsidRPr="004534E7">
              <w:rPr>
                <w:iCs/>
                <w:sz w:val="16"/>
                <w:szCs w:val="16"/>
                <w:lang w:val="en-GB"/>
              </w:rPr>
              <w:t>Council of Regional Organi</w:t>
            </w:r>
            <w:r w:rsidR="004435B3" w:rsidRPr="004534E7">
              <w:rPr>
                <w:iCs/>
                <w:sz w:val="16"/>
                <w:szCs w:val="16"/>
                <w:lang w:val="en-GB"/>
              </w:rPr>
              <w:t>z</w:t>
            </w:r>
            <w:r w:rsidRPr="004534E7">
              <w:rPr>
                <w:iCs/>
                <w:sz w:val="16"/>
                <w:szCs w:val="16"/>
                <w:lang w:val="en-GB"/>
              </w:rPr>
              <w:t xml:space="preserve">ations in the Pacific (CROP) </w:t>
            </w:r>
            <w:r w:rsidR="00E51D96">
              <w:rPr>
                <w:iCs/>
                <w:sz w:val="16"/>
                <w:szCs w:val="16"/>
                <w:lang w:val="en-GB"/>
              </w:rPr>
              <w:t>a</w:t>
            </w:r>
            <w:r w:rsidRPr="004534E7">
              <w:rPr>
                <w:iCs/>
                <w:sz w:val="16"/>
                <w:szCs w:val="16"/>
                <w:lang w:val="en-GB"/>
              </w:rPr>
              <w:t>gencies: Secretariat of the Pacific Regional Environment Programme, Pacific Islands Forum Secretariat (PIFS), Secretariat of the Pacific Community (SPC), University of the South Pacific</w:t>
            </w:r>
            <w:r w:rsidR="004435B3" w:rsidRPr="004534E7">
              <w:rPr>
                <w:iCs/>
                <w:sz w:val="16"/>
                <w:szCs w:val="16"/>
                <w:lang w:val="en-GB"/>
              </w:rPr>
              <w:t>,</w:t>
            </w:r>
            <w:r w:rsidRPr="004534E7">
              <w:rPr>
                <w:iCs/>
                <w:sz w:val="16"/>
                <w:szCs w:val="16"/>
                <w:lang w:val="en-GB"/>
              </w:rPr>
              <w:t xml:space="preserve"> Forum Fisheries Agency </w:t>
            </w:r>
          </w:p>
          <w:p w14:paraId="4911B4AE" w14:textId="77777777" w:rsidR="009808E2" w:rsidRPr="004534E7" w:rsidRDefault="009808E2" w:rsidP="00B6740A">
            <w:pPr>
              <w:rPr>
                <w:iCs/>
                <w:sz w:val="16"/>
                <w:szCs w:val="16"/>
                <w:lang w:val="en-GB"/>
              </w:rPr>
            </w:pPr>
          </w:p>
          <w:p w14:paraId="474D5492" w14:textId="5F0F9A1E" w:rsidR="009808E2" w:rsidRPr="004534E7" w:rsidRDefault="009808E2" w:rsidP="00B6740A">
            <w:pPr>
              <w:rPr>
                <w:iCs/>
                <w:sz w:val="16"/>
                <w:szCs w:val="16"/>
                <w:lang w:val="en-GB"/>
              </w:rPr>
            </w:pPr>
            <w:r w:rsidRPr="004534E7">
              <w:rPr>
                <w:iCs/>
                <w:sz w:val="16"/>
                <w:szCs w:val="16"/>
                <w:lang w:val="en-GB"/>
              </w:rPr>
              <w:t>Rese</w:t>
            </w:r>
            <w:r w:rsidR="005653F8" w:rsidRPr="004534E7">
              <w:rPr>
                <w:iCs/>
                <w:sz w:val="16"/>
                <w:szCs w:val="16"/>
                <w:lang w:val="en-GB"/>
              </w:rPr>
              <w:t xml:space="preserve">arch and </w:t>
            </w:r>
            <w:r w:rsidR="004435B3" w:rsidRPr="004534E7">
              <w:rPr>
                <w:iCs/>
                <w:sz w:val="16"/>
                <w:szCs w:val="16"/>
                <w:lang w:val="en-GB"/>
              </w:rPr>
              <w:t>a</w:t>
            </w:r>
            <w:r w:rsidR="005653F8" w:rsidRPr="004534E7">
              <w:rPr>
                <w:iCs/>
                <w:sz w:val="16"/>
                <w:szCs w:val="16"/>
                <w:lang w:val="en-GB"/>
              </w:rPr>
              <w:t xml:space="preserve">cademic </w:t>
            </w:r>
            <w:r w:rsidR="004435B3" w:rsidRPr="004534E7">
              <w:rPr>
                <w:iCs/>
                <w:sz w:val="16"/>
                <w:szCs w:val="16"/>
                <w:lang w:val="en-GB"/>
              </w:rPr>
              <w:t>i</w:t>
            </w:r>
            <w:r w:rsidR="005653F8" w:rsidRPr="004534E7">
              <w:rPr>
                <w:iCs/>
                <w:sz w:val="16"/>
                <w:szCs w:val="16"/>
                <w:lang w:val="en-GB"/>
              </w:rPr>
              <w:t>nstitutions</w:t>
            </w:r>
          </w:p>
          <w:p w14:paraId="7CB24B50" w14:textId="77777777" w:rsidR="009808E2" w:rsidRPr="004534E7" w:rsidRDefault="009808E2" w:rsidP="00B6740A">
            <w:pPr>
              <w:rPr>
                <w:iCs/>
                <w:sz w:val="16"/>
                <w:szCs w:val="16"/>
                <w:lang w:val="en-GB"/>
              </w:rPr>
            </w:pPr>
          </w:p>
          <w:p w14:paraId="5F0039F1" w14:textId="1E475BD7" w:rsidR="009808E2" w:rsidRPr="004534E7" w:rsidRDefault="009808E2" w:rsidP="00B6740A">
            <w:pPr>
              <w:rPr>
                <w:iCs/>
                <w:sz w:val="16"/>
                <w:szCs w:val="16"/>
                <w:lang w:val="en-GB"/>
              </w:rPr>
            </w:pPr>
            <w:r w:rsidRPr="004534E7">
              <w:rPr>
                <w:iCs/>
                <w:sz w:val="16"/>
                <w:szCs w:val="16"/>
                <w:lang w:val="en-GB"/>
              </w:rPr>
              <w:t>Live and Learn, World Conservation Society, Conservation International, World Wildlife Fund</w:t>
            </w:r>
            <w:r w:rsidR="004435B3" w:rsidRPr="004534E7">
              <w:rPr>
                <w:iCs/>
                <w:sz w:val="16"/>
                <w:szCs w:val="16"/>
                <w:lang w:val="en-GB"/>
              </w:rPr>
              <w:t>,</w:t>
            </w:r>
            <w:r w:rsidRPr="004534E7">
              <w:rPr>
                <w:iCs/>
                <w:sz w:val="16"/>
                <w:szCs w:val="16"/>
                <w:lang w:val="en-GB"/>
              </w:rPr>
              <w:t xml:space="preserve"> other civil society organizations.</w:t>
            </w:r>
          </w:p>
          <w:p w14:paraId="26BBB263" w14:textId="77777777" w:rsidR="009808E2" w:rsidRPr="004534E7" w:rsidRDefault="009808E2" w:rsidP="00B6740A">
            <w:pPr>
              <w:rPr>
                <w:iCs/>
                <w:sz w:val="16"/>
                <w:szCs w:val="16"/>
                <w:lang w:val="en-GB"/>
              </w:rPr>
            </w:pPr>
          </w:p>
          <w:p w14:paraId="09B73FA8" w14:textId="77777777" w:rsidR="009808E2" w:rsidRPr="004534E7" w:rsidRDefault="009808E2" w:rsidP="00B6740A">
            <w:pPr>
              <w:rPr>
                <w:iCs/>
                <w:sz w:val="16"/>
                <w:szCs w:val="16"/>
                <w:lang w:val="en-GB"/>
              </w:rPr>
            </w:pPr>
            <w:r w:rsidRPr="004534E7">
              <w:rPr>
                <w:iCs/>
                <w:sz w:val="16"/>
                <w:szCs w:val="16"/>
                <w:lang w:val="en-GB"/>
              </w:rPr>
              <w:t>Global Environment Facility, Green Climate Fund, Adaptation Fund</w:t>
            </w:r>
          </w:p>
          <w:p w14:paraId="5611D2A4" w14:textId="77777777" w:rsidR="009808E2" w:rsidRPr="004534E7" w:rsidRDefault="009808E2" w:rsidP="00B6740A">
            <w:pPr>
              <w:rPr>
                <w:iCs/>
                <w:sz w:val="16"/>
                <w:szCs w:val="16"/>
                <w:lang w:val="en-GB"/>
              </w:rPr>
            </w:pPr>
          </w:p>
          <w:p w14:paraId="04CAC9C7" w14:textId="77777777" w:rsidR="009808E2" w:rsidRPr="004534E7" w:rsidRDefault="009808E2" w:rsidP="00B6740A">
            <w:pPr>
              <w:rPr>
                <w:iCs/>
                <w:sz w:val="16"/>
                <w:szCs w:val="16"/>
                <w:lang w:val="en-GB"/>
              </w:rPr>
            </w:pPr>
            <w:r w:rsidRPr="004534E7">
              <w:rPr>
                <w:iCs/>
                <w:sz w:val="16"/>
                <w:szCs w:val="16"/>
                <w:lang w:val="en-GB"/>
              </w:rPr>
              <w:t>Asian Development Bank, World Bank</w:t>
            </w:r>
          </w:p>
          <w:p w14:paraId="72AB95DB" w14:textId="77777777" w:rsidR="009808E2" w:rsidRPr="004534E7" w:rsidRDefault="009808E2" w:rsidP="00B6740A">
            <w:pPr>
              <w:rPr>
                <w:iCs/>
                <w:sz w:val="16"/>
                <w:szCs w:val="16"/>
                <w:lang w:val="en-GB"/>
              </w:rPr>
            </w:pPr>
          </w:p>
          <w:p w14:paraId="3BA0E619" w14:textId="6A2C8C58" w:rsidR="009808E2" w:rsidRPr="004534E7" w:rsidRDefault="009808E2" w:rsidP="00B6740A">
            <w:pPr>
              <w:rPr>
                <w:iCs/>
                <w:sz w:val="16"/>
                <w:szCs w:val="16"/>
                <w:lang w:val="en-GB"/>
              </w:rPr>
            </w:pPr>
            <w:r w:rsidRPr="004534E7">
              <w:rPr>
                <w:iCs/>
                <w:sz w:val="16"/>
                <w:szCs w:val="16"/>
                <w:lang w:val="en-GB"/>
              </w:rPr>
              <w:t>United States Agency for In</w:t>
            </w:r>
            <w:r w:rsidR="009428AE" w:rsidRPr="004534E7">
              <w:rPr>
                <w:iCs/>
                <w:sz w:val="16"/>
                <w:szCs w:val="16"/>
                <w:lang w:val="en-GB"/>
              </w:rPr>
              <w:t>ternational Development, G</w:t>
            </w:r>
            <w:r w:rsidR="00FB4277">
              <w:rPr>
                <w:iCs/>
                <w:sz w:val="16"/>
                <w:szCs w:val="16"/>
                <w:lang w:val="en-GB"/>
              </w:rPr>
              <w:t>erman Cooperation</w:t>
            </w:r>
            <w:r w:rsidRPr="004534E7">
              <w:rPr>
                <w:iCs/>
                <w:sz w:val="16"/>
                <w:szCs w:val="16"/>
                <w:lang w:val="en-GB"/>
              </w:rPr>
              <w:t xml:space="preserve">, </w:t>
            </w:r>
            <w:r w:rsidRPr="004534E7">
              <w:rPr>
                <w:iCs/>
                <w:sz w:val="16"/>
                <w:szCs w:val="16"/>
                <w:lang w:val="en-GB"/>
              </w:rPr>
              <w:lastRenderedPageBreak/>
              <w:t xml:space="preserve">Australia, Canada, </w:t>
            </w:r>
            <w:r w:rsidR="00FB4277" w:rsidRPr="00AC5E22">
              <w:rPr>
                <w:iCs/>
                <w:sz w:val="16"/>
                <w:szCs w:val="16"/>
                <w:lang w:val="en-GB"/>
              </w:rPr>
              <w:t>China</w:t>
            </w:r>
            <w:r w:rsidR="00FB4277">
              <w:rPr>
                <w:iCs/>
                <w:sz w:val="16"/>
                <w:szCs w:val="16"/>
                <w:lang w:val="en-GB"/>
              </w:rPr>
              <w:t>,</w:t>
            </w:r>
            <w:r w:rsidR="00FB4277" w:rsidRPr="00AC5E22">
              <w:rPr>
                <w:iCs/>
                <w:sz w:val="16"/>
                <w:szCs w:val="16"/>
                <w:lang w:val="en-GB"/>
              </w:rPr>
              <w:t xml:space="preserve"> </w:t>
            </w:r>
            <w:r w:rsidRPr="004534E7">
              <w:rPr>
                <w:iCs/>
                <w:sz w:val="16"/>
                <w:szCs w:val="16"/>
                <w:lang w:val="en-GB"/>
              </w:rPr>
              <w:t>Germany, Russia</w:t>
            </w:r>
            <w:r w:rsidR="00FB4277">
              <w:rPr>
                <w:iCs/>
                <w:sz w:val="16"/>
                <w:szCs w:val="16"/>
                <w:lang w:val="en-GB"/>
              </w:rPr>
              <w:t>n Federation</w:t>
            </w:r>
            <w:r w:rsidRPr="004534E7">
              <w:rPr>
                <w:iCs/>
                <w:sz w:val="16"/>
                <w:szCs w:val="16"/>
                <w:lang w:val="en-GB"/>
              </w:rPr>
              <w:t>, and other development partners</w:t>
            </w:r>
          </w:p>
          <w:p w14:paraId="26A82A85" w14:textId="77777777" w:rsidR="009808E2" w:rsidRPr="004534E7" w:rsidRDefault="009808E2" w:rsidP="00B6740A">
            <w:pPr>
              <w:rPr>
                <w:iCs/>
                <w:sz w:val="16"/>
                <w:szCs w:val="16"/>
                <w:lang w:val="en-GB"/>
              </w:rPr>
            </w:pPr>
          </w:p>
          <w:p w14:paraId="1C73F733" w14:textId="52EBB416" w:rsidR="009808E2" w:rsidRPr="004534E7" w:rsidRDefault="009808E2" w:rsidP="00B6740A">
            <w:pPr>
              <w:rPr>
                <w:iCs/>
                <w:sz w:val="16"/>
                <w:szCs w:val="16"/>
                <w:lang w:val="en-GB"/>
              </w:rPr>
            </w:pPr>
            <w:r w:rsidRPr="004534E7">
              <w:rPr>
                <w:iCs/>
                <w:sz w:val="16"/>
                <w:szCs w:val="16"/>
                <w:lang w:val="en-GB"/>
              </w:rPr>
              <w:t>United Nation Food and Agriculture Organization (FAO), United Nations Environment Programme, World Meteorological Organization, OCHA, World Health Organization (WHO), UN</w:t>
            </w:r>
            <w:r w:rsidR="00FB4277">
              <w:rPr>
                <w:iCs/>
                <w:sz w:val="16"/>
                <w:szCs w:val="16"/>
                <w:lang w:val="en-GB"/>
              </w:rPr>
              <w:t>-</w:t>
            </w:r>
            <w:r w:rsidRPr="004534E7">
              <w:rPr>
                <w:iCs/>
                <w:sz w:val="16"/>
                <w:szCs w:val="16"/>
                <w:lang w:val="en-GB"/>
              </w:rPr>
              <w:t>W</w:t>
            </w:r>
            <w:r w:rsidR="00FB4277">
              <w:rPr>
                <w:iCs/>
                <w:sz w:val="16"/>
                <w:szCs w:val="16"/>
                <w:lang w:val="en-GB"/>
              </w:rPr>
              <w:t>omen</w:t>
            </w:r>
            <w:r w:rsidRPr="004534E7">
              <w:rPr>
                <w:iCs/>
                <w:sz w:val="16"/>
                <w:szCs w:val="16"/>
                <w:lang w:val="en-GB"/>
              </w:rPr>
              <w:t xml:space="preserve"> and other </w:t>
            </w:r>
            <w:r w:rsidR="00FB4277">
              <w:rPr>
                <w:iCs/>
                <w:sz w:val="16"/>
                <w:szCs w:val="16"/>
                <w:lang w:val="en-GB"/>
              </w:rPr>
              <w:t>United Nations Organizations</w:t>
            </w:r>
          </w:p>
          <w:p w14:paraId="27DF32ED" w14:textId="77777777" w:rsidR="009808E2" w:rsidRPr="004534E7" w:rsidRDefault="009808E2" w:rsidP="00B6740A">
            <w:pPr>
              <w:rPr>
                <w:iCs/>
                <w:sz w:val="16"/>
                <w:szCs w:val="16"/>
                <w:lang w:val="en-GB"/>
              </w:rPr>
            </w:pPr>
          </w:p>
          <w:p w14:paraId="38B167F1" w14:textId="77777777" w:rsidR="007A03C8" w:rsidRPr="004534E7" w:rsidRDefault="007A03C8" w:rsidP="00B6740A">
            <w:pPr>
              <w:rPr>
                <w:iCs/>
                <w:sz w:val="16"/>
                <w:szCs w:val="16"/>
                <w:lang w:val="en-GB"/>
              </w:rPr>
            </w:pPr>
            <w:r w:rsidRPr="004534E7">
              <w:rPr>
                <w:iCs/>
                <w:sz w:val="16"/>
                <w:szCs w:val="16"/>
                <w:lang w:val="en-GB"/>
              </w:rPr>
              <w:t>Guiding partnership frameworks:</w:t>
            </w:r>
          </w:p>
          <w:p w14:paraId="08ED6B16" w14:textId="77777777" w:rsidR="009808E2" w:rsidRPr="004534E7" w:rsidRDefault="00150C7A" w:rsidP="00D06D12">
            <w:pPr>
              <w:rPr>
                <w:iCs/>
                <w:sz w:val="16"/>
                <w:szCs w:val="16"/>
                <w:lang w:val="en-GB"/>
              </w:rPr>
            </w:pPr>
            <w:r w:rsidRPr="004534E7">
              <w:rPr>
                <w:iCs/>
                <w:sz w:val="16"/>
                <w:szCs w:val="16"/>
                <w:lang w:val="en-GB"/>
              </w:rPr>
              <w:t>SAMOA Pathway,</w:t>
            </w:r>
            <w:r w:rsidR="007A03C8" w:rsidRPr="004534E7">
              <w:rPr>
                <w:iCs/>
                <w:sz w:val="16"/>
                <w:szCs w:val="16"/>
                <w:lang w:val="en-GB"/>
              </w:rPr>
              <w:t xml:space="preserve"> Framework for Pacific Regionalism, </w:t>
            </w:r>
            <w:r w:rsidR="00D06D12" w:rsidRPr="004534E7">
              <w:rPr>
                <w:iCs/>
                <w:sz w:val="16"/>
                <w:szCs w:val="16"/>
                <w:lang w:val="en-GB"/>
              </w:rPr>
              <w:t>FRDP.</w:t>
            </w:r>
          </w:p>
        </w:tc>
        <w:tc>
          <w:tcPr>
            <w:tcW w:w="695" w:type="pct"/>
            <w:tcMar>
              <w:top w:w="15" w:type="dxa"/>
              <w:left w:w="108" w:type="dxa"/>
              <w:bottom w:w="0" w:type="dxa"/>
              <w:right w:w="108" w:type="dxa"/>
            </w:tcMar>
          </w:tcPr>
          <w:p w14:paraId="1731D900" w14:textId="7CD9D104" w:rsidR="009808E2" w:rsidRPr="004534E7" w:rsidRDefault="009808E2" w:rsidP="00486C93">
            <w:pPr>
              <w:rPr>
                <w:b/>
                <w:sz w:val="16"/>
                <w:szCs w:val="16"/>
                <w:lang w:val="en-GB"/>
              </w:rPr>
            </w:pPr>
            <w:r w:rsidRPr="004534E7">
              <w:rPr>
                <w:b/>
                <w:sz w:val="16"/>
                <w:szCs w:val="16"/>
                <w:lang w:val="en-GB"/>
              </w:rPr>
              <w:lastRenderedPageBreak/>
              <w:t xml:space="preserve">Regular </w:t>
            </w:r>
            <w:r w:rsidR="0036737E" w:rsidRPr="004534E7">
              <w:rPr>
                <w:b/>
                <w:sz w:val="16"/>
                <w:szCs w:val="16"/>
                <w:lang w:val="en-GB"/>
              </w:rPr>
              <w:t>3</w:t>
            </w:r>
            <w:r w:rsidRPr="004534E7">
              <w:rPr>
                <w:b/>
                <w:sz w:val="16"/>
                <w:szCs w:val="16"/>
                <w:lang w:val="en-GB"/>
              </w:rPr>
              <w:t>,</w:t>
            </w:r>
            <w:r w:rsidR="0036737E" w:rsidRPr="004534E7">
              <w:rPr>
                <w:b/>
                <w:sz w:val="16"/>
                <w:szCs w:val="16"/>
                <w:lang w:val="en-GB"/>
              </w:rPr>
              <w:t>666</w:t>
            </w:r>
            <w:r w:rsidR="00E51D96">
              <w:rPr>
                <w:b/>
                <w:sz w:val="16"/>
                <w:szCs w:val="16"/>
                <w:lang w:val="en-GB"/>
              </w:rPr>
              <w:t>.</w:t>
            </w:r>
            <w:r w:rsidR="0036737E" w:rsidRPr="004534E7">
              <w:rPr>
                <w:b/>
                <w:sz w:val="16"/>
                <w:szCs w:val="16"/>
                <w:lang w:val="en-GB"/>
              </w:rPr>
              <w:t>667</w:t>
            </w:r>
          </w:p>
        </w:tc>
      </w:tr>
      <w:tr w:rsidR="009808E2" w:rsidRPr="004435B3" w14:paraId="313625DD" w14:textId="77777777" w:rsidTr="0029445C">
        <w:tc>
          <w:tcPr>
            <w:tcW w:w="1055" w:type="pct"/>
            <w:vMerge/>
            <w:tcMar>
              <w:top w:w="72" w:type="dxa"/>
              <w:left w:w="144" w:type="dxa"/>
              <w:bottom w:w="72" w:type="dxa"/>
              <w:right w:w="144" w:type="dxa"/>
            </w:tcMar>
          </w:tcPr>
          <w:p w14:paraId="3EAE9F13" w14:textId="77777777" w:rsidR="009808E2" w:rsidRPr="004534E7" w:rsidRDefault="009808E2" w:rsidP="00B6740A">
            <w:pPr>
              <w:rPr>
                <w:iCs/>
                <w:sz w:val="16"/>
                <w:szCs w:val="16"/>
                <w:lang w:val="en-GB"/>
              </w:rPr>
            </w:pPr>
          </w:p>
        </w:tc>
        <w:tc>
          <w:tcPr>
            <w:tcW w:w="918" w:type="pct"/>
            <w:gridSpan w:val="3"/>
            <w:vMerge/>
          </w:tcPr>
          <w:p w14:paraId="4C197524" w14:textId="77777777" w:rsidR="009808E2" w:rsidRPr="004534E7" w:rsidRDefault="009808E2" w:rsidP="00B6740A">
            <w:pPr>
              <w:rPr>
                <w:iCs/>
                <w:sz w:val="16"/>
                <w:szCs w:val="16"/>
                <w:lang w:val="en-GB"/>
              </w:rPr>
            </w:pPr>
          </w:p>
        </w:tc>
        <w:tc>
          <w:tcPr>
            <w:tcW w:w="1326" w:type="pct"/>
            <w:vMerge/>
            <w:tcMar>
              <w:top w:w="72" w:type="dxa"/>
              <w:left w:w="144" w:type="dxa"/>
              <w:bottom w:w="72" w:type="dxa"/>
              <w:right w:w="144" w:type="dxa"/>
            </w:tcMar>
          </w:tcPr>
          <w:p w14:paraId="07AFCCBC" w14:textId="77777777" w:rsidR="009808E2" w:rsidRPr="004534E7" w:rsidRDefault="009808E2" w:rsidP="00B6740A">
            <w:pPr>
              <w:rPr>
                <w:iCs/>
                <w:sz w:val="16"/>
                <w:szCs w:val="16"/>
                <w:lang w:val="en-GB"/>
              </w:rPr>
            </w:pPr>
          </w:p>
        </w:tc>
        <w:tc>
          <w:tcPr>
            <w:tcW w:w="1006" w:type="pct"/>
            <w:vMerge/>
          </w:tcPr>
          <w:p w14:paraId="7E4DF5ED" w14:textId="77777777" w:rsidR="009808E2" w:rsidRPr="004534E7" w:rsidRDefault="009808E2" w:rsidP="00B6740A">
            <w:pPr>
              <w:rPr>
                <w:iCs/>
                <w:sz w:val="16"/>
                <w:szCs w:val="16"/>
                <w:lang w:val="en-GB"/>
              </w:rPr>
            </w:pPr>
          </w:p>
        </w:tc>
        <w:tc>
          <w:tcPr>
            <w:tcW w:w="695" w:type="pct"/>
            <w:tcMar>
              <w:top w:w="15" w:type="dxa"/>
              <w:left w:w="108" w:type="dxa"/>
              <w:bottom w:w="0" w:type="dxa"/>
              <w:right w:w="108" w:type="dxa"/>
            </w:tcMar>
          </w:tcPr>
          <w:p w14:paraId="0FE076B1" w14:textId="0FCFCDE2" w:rsidR="009808E2" w:rsidRPr="004534E7" w:rsidRDefault="009808E2" w:rsidP="00486C93">
            <w:pPr>
              <w:rPr>
                <w:b/>
                <w:sz w:val="16"/>
                <w:szCs w:val="16"/>
                <w:lang w:val="en-GB"/>
              </w:rPr>
            </w:pPr>
            <w:r w:rsidRPr="004534E7">
              <w:rPr>
                <w:b/>
                <w:sz w:val="16"/>
                <w:szCs w:val="16"/>
                <w:lang w:val="en-GB"/>
              </w:rPr>
              <w:t xml:space="preserve">Other </w:t>
            </w:r>
            <w:r w:rsidR="004B3D28" w:rsidRPr="004534E7">
              <w:rPr>
                <w:b/>
                <w:sz w:val="16"/>
                <w:szCs w:val="16"/>
                <w:lang w:val="en-GB"/>
              </w:rPr>
              <w:t>2</w:t>
            </w:r>
            <w:r w:rsidR="0036737E" w:rsidRPr="004534E7">
              <w:rPr>
                <w:b/>
                <w:sz w:val="16"/>
                <w:szCs w:val="16"/>
                <w:lang w:val="en-GB"/>
              </w:rPr>
              <w:t>07</w:t>
            </w:r>
            <w:r w:rsidR="004B3D28" w:rsidRPr="004534E7">
              <w:rPr>
                <w:b/>
                <w:sz w:val="16"/>
                <w:szCs w:val="16"/>
                <w:lang w:val="en-GB"/>
              </w:rPr>
              <w:t>,000</w:t>
            </w:r>
          </w:p>
        </w:tc>
      </w:tr>
      <w:tr w:rsidR="009808E2" w:rsidRPr="004435B3" w14:paraId="67DF109B" w14:textId="77777777" w:rsidTr="00486C93">
        <w:tc>
          <w:tcPr>
            <w:tcW w:w="5000" w:type="pct"/>
            <w:gridSpan w:val="7"/>
            <w:tcMar>
              <w:top w:w="72" w:type="dxa"/>
              <w:left w:w="144" w:type="dxa"/>
              <w:bottom w:w="72" w:type="dxa"/>
              <w:right w:w="144" w:type="dxa"/>
            </w:tcMar>
          </w:tcPr>
          <w:p w14:paraId="055766A8" w14:textId="244F4F89" w:rsidR="009808E2" w:rsidRPr="004534E7" w:rsidRDefault="00FB4277" w:rsidP="00B6740A">
            <w:pPr>
              <w:rPr>
                <w:bCs/>
                <w:sz w:val="18"/>
                <w:szCs w:val="18"/>
                <w:lang w:val="en-GB"/>
              </w:rPr>
            </w:pPr>
            <w:r w:rsidRPr="004534E7">
              <w:rPr>
                <w:b/>
                <w:bCs/>
                <w:sz w:val="18"/>
                <w:szCs w:val="18"/>
                <w:lang w:val="en-GB"/>
              </w:rPr>
              <w:t>Regional priority</w:t>
            </w:r>
            <w:r w:rsidR="009808E2" w:rsidRPr="004534E7">
              <w:rPr>
                <w:b/>
                <w:bCs/>
                <w:sz w:val="18"/>
                <w:szCs w:val="18"/>
                <w:lang w:val="en-GB"/>
              </w:rPr>
              <w:t xml:space="preserve">: </w:t>
            </w:r>
            <w:r w:rsidR="009808E2" w:rsidRPr="004534E7">
              <w:rPr>
                <w:bCs/>
                <w:sz w:val="18"/>
                <w:szCs w:val="18"/>
                <w:lang w:val="en-GB"/>
              </w:rPr>
              <w:t>Sustainable development that combines economic, social and cultural development in ways that improve livelihoods and well-being and use the environment sustainably (</w:t>
            </w:r>
            <w:r w:rsidRPr="004534E7">
              <w:rPr>
                <w:bCs/>
                <w:sz w:val="18"/>
                <w:szCs w:val="18"/>
                <w:lang w:val="en-GB"/>
              </w:rPr>
              <w:t>FRDP</w:t>
            </w:r>
            <w:r w:rsidR="009808E2" w:rsidRPr="004534E7">
              <w:rPr>
                <w:bCs/>
                <w:sz w:val="18"/>
                <w:szCs w:val="18"/>
                <w:lang w:val="en-GB"/>
              </w:rPr>
              <w:t>)</w:t>
            </w:r>
          </w:p>
          <w:p w14:paraId="0509E692" w14:textId="77777777" w:rsidR="009808E2" w:rsidRPr="004534E7" w:rsidRDefault="009808E2" w:rsidP="00B6740A">
            <w:pPr>
              <w:rPr>
                <w:b/>
                <w:bCs/>
                <w:sz w:val="18"/>
                <w:szCs w:val="18"/>
                <w:lang w:val="en-GB"/>
              </w:rPr>
            </w:pPr>
            <w:r w:rsidRPr="004534E7">
              <w:rPr>
                <w:b/>
                <w:bCs/>
                <w:sz w:val="18"/>
                <w:szCs w:val="18"/>
                <w:lang w:val="en-GB"/>
              </w:rPr>
              <w:t xml:space="preserve">SDGs: </w:t>
            </w:r>
            <w:r w:rsidRPr="004534E7">
              <w:rPr>
                <w:bCs/>
                <w:sz w:val="18"/>
                <w:szCs w:val="18"/>
                <w:lang w:val="en-GB"/>
              </w:rPr>
              <w:t>1, 5, 8, 10, 17</w:t>
            </w:r>
          </w:p>
        </w:tc>
      </w:tr>
      <w:tr w:rsidR="009808E2" w:rsidRPr="004435B3" w14:paraId="01413EA6" w14:textId="77777777" w:rsidTr="00486C93">
        <w:tc>
          <w:tcPr>
            <w:tcW w:w="5000" w:type="pct"/>
            <w:gridSpan w:val="7"/>
            <w:tcMar>
              <w:top w:w="72" w:type="dxa"/>
              <w:left w:w="144" w:type="dxa"/>
              <w:bottom w:w="72" w:type="dxa"/>
              <w:right w:w="144" w:type="dxa"/>
            </w:tcMar>
          </w:tcPr>
          <w:p w14:paraId="738CF288" w14:textId="7407AFA5" w:rsidR="009808E2" w:rsidRPr="004534E7" w:rsidRDefault="009808E2" w:rsidP="00B6740A">
            <w:pPr>
              <w:rPr>
                <w:b/>
                <w:sz w:val="18"/>
                <w:szCs w:val="18"/>
                <w:lang w:val="en-GB"/>
              </w:rPr>
            </w:pPr>
            <w:r w:rsidRPr="004534E7">
              <w:rPr>
                <w:b/>
                <w:bCs/>
                <w:sz w:val="18"/>
                <w:szCs w:val="18"/>
                <w:lang w:val="en-GB"/>
              </w:rPr>
              <w:t>U</w:t>
            </w:r>
            <w:r w:rsidR="00FB4277" w:rsidRPr="004534E7">
              <w:rPr>
                <w:b/>
                <w:bCs/>
                <w:sz w:val="18"/>
                <w:szCs w:val="18"/>
                <w:lang w:val="en-GB"/>
              </w:rPr>
              <w:t>nited Nations</w:t>
            </w:r>
            <w:r w:rsidRPr="004534E7">
              <w:rPr>
                <w:b/>
                <w:bCs/>
                <w:sz w:val="18"/>
                <w:szCs w:val="18"/>
                <w:lang w:val="en-GB"/>
              </w:rPr>
              <w:t xml:space="preserve"> </w:t>
            </w:r>
            <w:r w:rsidR="00FB4277" w:rsidRPr="004534E7">
              <w:rPr>
                <w:b/>
                <w:bCs/>
                <w:sz w:val="18"/>
                <w:szCs w:val="18"/>
                <w:lang w:val="en-GB"/>
              </w:rPr>
              <w:t xml:space="preserve">outcome 3 involving </w:t>
            </w:r>
            <w:r w:rsidRPr="004534E7">
              <w:rPr>
                <w:b/>
                <w:bCs/>
                <w:sz w:val="18"/>
                <w:szCs w:val="18"/>
                <w:lang w:val="en-GB"/>
              </w:rPr>
              <w:t xml:space="preserve">UNDP: </w:t>
            </w:r>
            <w:r w:rsidRPr="004534E7">
              <w:rPr>
                <w:sz w:val="18"/>
                <w:szCs w:val="18"/>
                <w:lang w:val="en-GB"/>
              </w:rPr>
              <w:t>By 2022, people in the Pacific, in particular youth, women and vulnerable groups, benefit from inclusive and sustainable economic development that creates decent jobs, reduces multidimensional poverty and inequalities, and promotes economic empowerment</w:t>
            </w:r>
            <w:r w:rsidR="009F271D">
              <w:rPr>
                <w:sz w:val="18"/>
                <w:szCs w:val="18"/>
                <w:lang w:val="en-GB"/>
              </w:rPr>
              <w:t>.</w:t>
            </w:r>
          </w:p>
        </w:tc>
      </w:tr>
      <w:tr w:rsidR="009808E2" w:rsidRPr="004435B3" w14:paraId="76BF4703" w14:textId="77777777" w:rsidTr="00486C93">
        <w:tc>
          <w:tcPr>
            <w:tcW w:w="5000" w:type="pct"/>
            <w:gridSpan w:val="7"/>
            <w:tcMar>
              <w:top w:w="72" w:type="dxa"/>
              <w:left w:w="144" w:type="dxa"/>
              <w:bottom w:w="72" w:type="dxa"/>
              <w:right w:w="144" w:type="dxa"/>
            </w:tcMar>
          </w:tcPr>
          <w:p w14:paraId="1CDD4C2A" w14:textId="77777777" w:rsidR="009808E2" w:rsidRDefault="00BB49B2" w:rsidP="00B6740A">
            <w:pPr>
              <w:rPr>
                <w:sz w:val="18"/>
                <w:szCs w:val="18"/>
                <w:lang w:val="en-GB"/>
              </w:rPr>
            </w:pPr>
            <w:r w:rsidRPr="004534E7">
              <w:rPr>
                <w:b/>
                <w:sz w:val="18"/>
                <w:szCs w:val="18"/>
                <w:lang w:val="en-GB"/>
              </w:rPr>
              <w:t xml:space="preserve">Strategic plan outcome </w:t>
            </w:r>
            <w:r w:rsidR="009808E2" w:rsidRPr="004534E7">
              <w:rPr>
                <w:b/>
                <w:sz w:val="18"/>
                <w:szCs w:val="18"/>
                <w:lang w:val="en-GB"/>
              </w:rPr>
              <w:t>1</w:t>
            </w:r>
            <w:r w:rsidR="00FB4277" w:rsidRPr="004534E7">
              <w:rPr>
                <w:b/>
                <w:sz w:val="18"/>
                <w:szCs w:val="18"/>
                <w:lang w:val="en-GB"/>
              </w:rPr>
              <w:t>.</w:t>
            </w:r>
            <w:r w:rsidR="009808E2" w:rsidRPr="004534E7">
              <w:rPr>
                <w:b/>
                <w:sz w:val="18"/>
                <w:szCs w:val="18"/>
                <w:lang w:val="en-GB"/>
              </w:rPr>
              <w:t xml:space="preserve"> </w:t>
            </w:r>
            <w:r w:rsidR="009808E2" w:rsidRPr="004534E7">
              <w:rPr>
                <w:sz w:val="18"/>
                <w:szCs w:val="18"/>
                <w:lang w:val="en-GB"/>
              </w:rPr>
              <w:t>Growth and development are inclusive and sustainable, incorporating productive capacities that create employment and livelihoods for the poor and excluded</w:t>
            </w:r>
            <w:r w:rsidR="009F271D">
              <w:rPr>
                <w:sz w:val="18"/>
                <w:szCs w:val="18"/>
                <w:lang w:val="en-GB"/>
              </w:rPr>
              <w:t>.</w:t>
            </w:r>
          </w:p>
          <w:p w14:paraId="3F0D27DE" w14:textId="2A47BAFD" w:rsidR="00486C93" w:rsidRPr="004534E7" w:rsidRDefault="00486C93" w:rsidP="00B6740A">
            <w:pPr>
              <w:rPr>
                <w:b/>
                <w:sz w:val="18"/>
                <w:szCs w:val="18"/>
                <w:lang w:val="en-GB"/>
              </w:rPr>
            </w:pPr>
          </w:p>
        </w:tc>
      </w:tr>
      <w:tr w:rsidR="009808E2" w:rsidRPr="004435B3" w14:paraId="3012DCE4" w14:textId="77777777" w:rsidTr="0029445C">
        <w:tc>
          <w:tcPr>
            <w:tcW w:w="1102" w:type="pct"/>
            <w:gridSpan w:val="2"/>
            <w:vMerge w:val="restart"/>
            <w:tcMar>
              <w:top w:w="72" w:type="dxa"/>
              <w:left w:w="144" w:type="dxa"/>
              <w:bottom w:w="72" w:type="dxa"/>
              <w:right w:w="144" w:type="dxa"/>
            </w:tcMar>
          </w:tcPr>
          <w:p w14:paraId="231441D1" w14:textId="65AC1045" w:rsidR="009808E2" w:rsidRPr="004534E7" w:rsidRDefault="009808E2" w:rsidP="00B76D42">
            <w:pPr>
              <w:rPr>
                <w:i/>
                <w:sz w:val="16"/>
                <w:szCs w:val="16"/>
                <w:lang w:val="en-GB"/>
              </w:rPr>
            </w:pPr>
            <w:r w:rsidRPr="004534E7">
              <w:rPr>
                <w:b/>
                <w:sz w:val="16"/>
                <w:szCs w:val="16"/>
                <w:lang w:val="en-GB"/>
              </w:rPr>
              <w:lastRenderedPageBreak/>
              <w:t>Indicator:</w:t>
            </w:r>
            <w:r w:rsidRPr="004534E7">
              <w:rPr>
                <w:sz w:val="16"/>
                <w:szCs w:val="16"/>
                <w:lang w:val="en-GB"/>
              </w:rPr>
              <w:t xml:space="preserve"> Number of PICTs in which the proportion of men, women, youth and children of all ages living in poverty in all its dimensions</w:t>
            </w:r>
            <w:r w:rsidR="00BB49B2">
              <w:rPr>
                <w:sz w:val="16"/>
                <w:szCs w:val="16"/>
                <w:lang w:val="en-GB"/>
              </w:rPr>
              <w:t>,</w:t>
            </w:r>
            <w:r w:rsidRPr="004534E7">
              <w:rPr>
                <w:sz w:val="16"/>
                <w:szCs w:val="16"/>
                <w:lang w:val="en-GB"/>
              </w:rPr>
              <w:t xml:space="preserve"> according to national definitions</w:t>
            </w:r>
            <w:r w:rsidR="00BB49B2">
              <w:rPr>
                <w:sz w:val="16"/>
                <w:szCs w:val="16"/>
                <w:lang w:val="en-GB"/>
              </w:rPr>
              <w:t>,</w:t>
            </w:r>
            <w:r w:rsidRPr="004534E7">
              <w:rPr>
                <w:sz w:val="16"/>
                <w:szCs w:val="16"/>
                <w:lang w:val="en-GB"/>
              </w:rPr>
              <w:t xml:space="preserve"> has decreased</w:t>
            </w:r>
            <w:r w:rsidR="003969E8">
              <w:rPr>
                <w:sz w:val="16"/>
                <w:szCs w:val="16"/>
                <w:lang w:val="en-GB"/>
              </w:rPr>
              <w:t>,</w:t>
            </w:r>
            <w:r w:rsidRPr="004534E7">
              <w:rPr>
                <w:sz w:val="16"/>
                <w:szCs w:val="16"/>
                <w:lang w:val="en-GB"/>
              </w:rPr>
              <w:t xml:space="preserve"> based on the latest available data</w:t>
            </w:r>
          </w:p>
          <w:p w14:paraId="5B2DAEFD" w14:textId="77777777" w:rsidR="009808E2" w:rsidRPr="004534E7" w:rsidRDefault="009808E2" w:rsidP="00B76D42">
            <w:pPr>
              <w:rPr>
                <w:sz w:val="16"/>
                <w:szCs w:val="16"/>
                <w:lang w:val="en-GB"/>
              </w:rPr>
            </w:pPr>
            <w:r w:rsidRPr="004534E7">
              <w:rPr>
                <w:b/>
                <w:sz w:val="16"/>
                <w:szCs w:val="16"/>
                <w:lang w:val="en-GB"/>
              </w:rPr>
              <w:t>Baseline (</w:t>
            </w:r>
            <w:r w:rsidR="008D7413" w:rsidRPr="004534E7">
              <w:rPr>
                <w:b/>
                <w:sz w:val="16"/>
                <w:szCs w:val="16"/>
                <w:lang w:val="en-GB"/>
              </w:rPr>
              <w:t>2017</w:t>
            </w:r>
            <w:r w:rsidRPr="004534E7">
              <w:rPr>
                <w:sz w:val="16"/>
                <w:szCs w:val="16"/>
                <w:lang w:val="en-GB"/>
              </w:rPr>
              <w:t xml:space="preserve">): </w:t>
            </w:r>
            <w:r w:rsidR="005C12A9" w:rsidRPr="004534E7">
              <w:rPr>
                <w:sz w:val="16"/>
                <w:szCs w:val="16"/>
                <w:lang w:val="en-GB"/>
              </w:rPr>
              <w:t>0</w:t>
            </w:r>
          </w:p>
          <w:p w14:paraId="029F055E" w14:textId="77777777" w:rsidR="009808E2" w:rsidRPr="004534E7" w:rsidRDefault="009808E2" w:rsidP="00B76D42">
            <w:pPr>
              <w:rPr>
                <w:sz w:val="16"/>
                <w:szCs w:val="16"/>
                <w:lang w:val="en-GB"/>
              </w:rPr>
            </w:pPr>
            <w:r w:rsidRPr="004534E7">
              <w:rPr>
                <w:b/>
                <w:sz w:val="16"/>
                <w:szCs w:val="16"/>
                <w:lang w:val="en-GB"/>
              </w:rPr>
              <w:t>Target</w:t>
            </w:r>
            <w:r w:rsidRPr="004534E7">
              <w:rPr>
                <w:sz w:val="16"/>
                <w:szCs w:val="16"/>
                <w:lang w:val="en-GB"/>
              </w:rPr>
              <w:t xml:space="preserve">: </w:t>
            </w:r>
            <w:r w:rsidR="00B76D42" w:rsidRPr="004534E7">
              <w:rPr>
                <w:sz w:val="16"/>
                <w:szCs w:val="16"/>
                <w:lang w:val="en-GB"/>
              </w:rPr>
              <w:t>8</w:t>
            </w:r>
          </w:p>
          <w:p w14:paraId="299D9861" w14:textId="77777777" w:rsidR="008D7413" w:rsidRPr="004534E7" w:rsidRDefault="008D7413" w:rsidP="00B76D42">
            <w:pPr>
              <w:rPr>
                <w:sz w:val="16"/>
                <w:szCs w:val="16"/>
                <w:lang w:val="en-GB"/>
              </w:rPr>
            </w:pPr>
          </w:p>
          <w:p w14:paraId="1DEB81AE" w14:textId="77777777" w:rsidR="008D7413" w:rsidRPr="004534E7" w:rsidRDefault="008D7413" w:rsidP="00B76D42">
            <w:pPr>
              <w:rPr>
                <w:sz w:val="16"/>
                <w:szCs w:val="16"/>
                <w:lang w:val="en-GB"/>
              </w:rPr>
            </w:pPr>
          </w:p>
          <w:p w14:paraId="6EDAC2C8" w14:textId="1E968874" w:rsidR="008D7413" w:rsidRPr="004534E7" w:rsidRDefault="008D7413" w:rsidP="008D7413">
            <w:pPr>
              <w:rPr>
                <w:b/>
                <w:sz w:val="16"/>
                <w:szCs w:val="16"/>
                <w:lang w:val="en-GB"/>
              </w:rPr>
            </w:pPr>
            <w:r w:rsidRPr="004534E7">
              <w:rPr>
                <w:b/>
                <w:sz w:val="16"/>
                <w:szCs w:val="16"/>
                <w:lang w:val="en-GB"/>
              </w:rPr>
              <w:t xml:space="preserve">Indicator: </w:t>
            </w:r>
            <w:r w:rsidRPr="004534E7">
              <w:rPr>
                <w:sz w:val="16"/>
                <w:szCs w:val="16"/>
                <w:lang w:val="en-GB"/>
              </w:rPr>
              <w:t xml:space="preserve">Number of PICTs in which the percentage of the population with access to formal financial services has </w:t>
            </w:r>
            <w:r w:rsidR="00BB49B2" w:rsidRPr="004534E7">
              <w:rPr>
                <w:sz w:val="16"/>
                <w:szCs w:val="16"/>
                <w:lang w:val="en-GB"/>
              </w:rPr>
              <w:t>increased</w:t>
            </w:r>
            <w:r w:rsidR="00BB49B2">
              <w:rPr>
                <w:sz w:val="16"/>
                <w:szCs w:val="16"/>
                <w:lang w:val="en-GB"/>
              </w:rPr>
              <w:t xml:space="preserve">, </w:t>
            </w:r>
            <w:r w:rsidRPr="004534E7">
              <w:rPr>
                <w:sz w:val="16"/>
                <w:szCs w:val="16"/>
                <w:lang w:val="en-GB"/>
              </w:rPr>
              <w:t>based on the latest available data</w:t>
            </w:r>
          </w:p>
          <w:p w14:paraId="596F52F0" w14:textId="77777777" w:rsidR="008D7413" w:rsidRPr="004534E7" w:rsidRDefault="008D7413" w:rsidP="008D7413">
            <w:pPr>
              <w:rPr>
                <w:b/>
                <w:sz w:val="16"/>
                <w:szCs w:val="16"/>
                <w:lang w:val="en-GB"/>
              </w:rPr>
            </w:pPr>
            <w:r w:rsidRPr="004534E7">
              <w:rPr>
                <w:b/>
                <w:sz w:val="16"/>
                <w:szCs w:val="16"/>
                <w:lang w:val="en-GB"/>
              </w:rPr>
              <w:t xml:space="preserve">Baseline (2017): </w:t>
            </w:r>
            <w:r w:rsidRPr="004534E7">
              <w:rPr>
                <w:sz w:val="16"/>
                <w:szCs w:val="16"/>
                <w:lang w:val="en-GB"/>
              </w:rPr>
              <w:t>0</w:t>
            </w:r>
          </w:p>
          <w:p w14:paraId="1ECDAAC4" w14:textId="77777777" w:rsidR="008D7413" w:rsidRPr="004534E7" w:rsidRDefault="008D7413" w:rsidP="00B76D42">
            <w:pPr>
              <w:rPr>
                <w:sz w:val="16"/>
                <w:szCs w:val="16"/>
                <w:lang w:val="en-GB"/>
              </w:rPr>
            </w:pPr>
            <w:r w:rsidRPr="004534E7">
              <w:rPr>
                <w:b/>
                <w:sz w:val="16"/>
                <w:szCs w:val="16"/>
                <w:lang w:val="en-GB"/>
              </w:rPr>
              <w:t>Target:</w:t>
            </w:r>
            <w:r w:rsidRPr="004534E7">
              <w:rPr>
                <w:sz w:val="16"/>
                <w:szCs w:val="16"/>
                <w:lang w:val="en-GB"/>
              </w:rPr>
              <w:t xml:space="preserve"> 5</w:t>
            </w:r>
          </w:p>
          <w:p w14:paraId="531CD20E" w14:textId="77777777" w:rsidR="009808E2" w:rsidRPr="004534E7" w:rsidRDefault="009808E2" w:rsidP="008F3488">
            <w:pPr>
              <w:pStyle w:val="ListParagraph"/>
              <w:ind w:left="216"/>
              <w:rPr>
                <w:iCs/>
                <w:sz w:val="16"/>
                <w:szCs w:val="16"/>
                <w:lang w:val="en-GB"/>
              </w:rPr>
            </w:pPr>
          </w:p>
        </w:tc>
        <w:tc>
          <w:tcPr>
            <w:tcW w:w="871" w:type="pct"/>
            <w:gridSpan w:val="2"/>
            <w:vMerge w:val="restart"/>
          </w:tcPr>
          <w:p w14:paraId="13B34D6A" w14:textId="5E57813D" w:rsidR="009808E2" w:rsidRPr="004534E7" w:rsidRDefault="009808E2" w:rsidP="00B6740A">
            <w:pPr>
              <w:rPr>
                <w:iCs/>
                <w:sz w:val="16"/>
                <w:szCs w:val="16"/>
                <w:lang w:val="en-GB"/>
              </w:rPr>
            </w:pPr>
            <w:r w:rsidRPr="004534E7">
              <w:rPr>
                <w:iCs/>
                <w:sz w:val="16"/>
                <w:szCs w:val="16"/>
                <w:lang w:val="en-GB"/>
              </w:rPr>
              <w:t xml:space="preserve">Data source: Household </w:t>
            </w:r>
            <w:r w:rsidR="00BB49B2">
              <w:rPr>
                <w:iCs/>
                <w:sz w:val="16"/>
                <w:szCs w:val="16"/>
                <w:lang w:val="en-GB"/>
              </w:rPr>
              <w:t>i</w:t>
            </w:r>
            <w:r w:rsidRPr="004534E7">
              <w:rPr>
                <w:iCs/>
                <w:sz w:val="16"/>
                <w:szCs w:val="16"/>
                <w:lang w:val="en-GB"/>
              </w:rPr>
              <w:t xml:space="preserve">ncome and </w:t>
            </w:r>
            <w:r w:rsidR="00BB49B2">
              <w:rPr>
                <w:iCs/>
                <w:sz w:val="16"/>
                <w:szCs w:val="16"/>
                <w:lang w:val="en-GB"/>
              </w:rPr>
              <w:t>e</w:t>
            </w:r>
            <w:r w:rsidRPr="004534E7">
              <w:rPr>
                <w:iCs/>
                <w:sz w:val="16"/>
                <w:szCs w:val="16"/>
                <w:lang w:val="en-GB"/>
              </w:rPr>
              <w:t xml:space="preserve">xpenditure </w:t>
            </w:r>
            <w:r w:rsidR="00BB49B2">
              <w:rPr>
                <w:iCs/>
                <w:sz w:val="16"/>
                <w:szCs w:val="16"/>
                <w:lang w:val="en-GB"/>
              </w:rPr>
              <w:t>s</w:t>
            </w:r>
            <w:r w:rsidRPr="004534E7">
              <w:rPr>
                <w:iCs/>
                <w:sz w:val="16"/>
                <w:szCs w:val="16"/>
                <w:lang w:val="en-GB"/>
              </w:rPr>
              <w:t>urvey</w:t>
            </w:r>
          </w:p>
          <w:p w14:paraId="60AD8551" w14:textId="77777777" w:rsidR="009808E2" w:rsidRPr="004534E7" w:rsidRDefault="009808E2" w:rsidP="00B6740A">
            <w:pPr>
              <w:rPr>
                <w:iCs/>
                <w:sz w:val="16"/>
                <w:szCs w:val="16"/>
                <w:lang w:val="en-GB"/>
              </w:rPr>
            </w:pPr>
            <w:r w:rsidRPr="004534E7">
              <w:rPr>
                <w:iCs/>
                <w:sz w:val="16"/>
                <w:szCs w:val="16"/>
                <w:lang w:val="en-GB"/>
              </w:rPr>
              <w:t>Frequency: Every 4 to 6 years</w:t>
            </w:r>
          </w:p>
          <w:p w14:paraId="7BE05BE6" w14:textId="49DB6308" w:rsidR="009808E2" w:rsidRPr="004534E7" w:rsidRDefault="009808E2" w:rsidP="00B6740A">
            <w:pPr>
              <w:rPr>
                <w:iCs/>
                <w:sz w:val="16"/>
                <w:szCs w:val="16"/>
                <w:lang w:val="en-GB"/>
              </w:rPr>
            </w:pPr>
            <w:r w:rsidRPr="004534E7">
              <w:rPr>
                <w:iCs/>
                <w:sz w:val="16"/>
                <w:szCs w:val="16"/>
                <w:lang w:val="en-GB"/>
              </w:rPr>
              <w:t>Departments of Planning, Ministries of Finance</w:t>
            </w:r>
          </w:p>
          <w:p w14:paraId="693280D6" w14:textId="77777777" w:rsidR="009808E2" w:rsidRPr="004534E7" w:rsidRDefault="009808E2" w:rsidP="00B6740A">
            <w:pPr>
              <w:rPr>
                <w:iCs/>
                <w:sz w:val="16"/>
                <w:szCs w:val="16"/>
                <w:lang w:val="en-GB"/>
              </w:rPr>
            </w:pPr>
          </w:p>
          <w:p w14:paraId="51857C5D" w14:textId="0CEF3574" w:rsidR="009808E2" w:rsidRPr="004534E7" w:rsidRDefault="009808E2" w:rsidP="00B6740A">
            <w:pPr>
              <w:rPr>
                <w:iCs/>
                <w:sz w:val="16"/>
                <w:szCs w:val="16"/>
                <w:lang w:val="en-GB"/>
              </w:rPr>
            </w:pPr>
            <w:r w:rsidRPr="004534E7">
              <w:rPr>
                <w:iCs/>
                <w:sz w:val="16"/>
                <w:szCs w:val="16"/>
                <w:lang w:val="en-GB"/>
              </w:rPr>
              <w:t xml:space="preserve">Annual national development reports, sector annual progress reports, </w:t>
            </w:r>
            <w:r w:rsidR="00BB49B2">
              <w:rPr>
                <w:iCs/>
                <w:sz w:val="16"/>
                <w:szCs w:val="16"/>
                <w:lang w:val="en-GB"/>
              </w:rPr>
              <w:t>SDG</w:t>
            </w:r>
            <w:r w:rsidR="00BB49B2" w:rsidRPr="004534E7">
              <w:rPr>
                <w:iCs/>
                <w:sz w:val="16"/>
                <w:szCs w:val="16"/>
                <w:lang w:val="en-GB"/>
              </w:rPr>
              <w:t xml:space="preserve"> </w:t>
            </w:r>
            <w:r w:rsidRPr="004534E7">
              <w:rPr>
                <w:iCs/>
                <w:sz w:val="16"/>
                <w:szCs w:val="16"/>
                <w:lang w:val="en-GB"/>
              </w:rPr>
              <w:t xml:space="preserve">tracking reports </w:t>
            </w:r>
          </w:p>
          <w:p w14:paraId="0900E7D6" w14:textId="0A0035B4" w:rsidR="009808E2" w:rsidRPr="004534E7" w:rsidRDefault="009808E2" w:rsidP="00B6740A">
            <w:pPr>
              <w:rPr>
                <w:iCs/>
                <w:sz w:val="16"/>
                <w:szCs w:val="16"/>
                <w:lang w:val="en-GB"/>
              </w:rPr>
            </w:pPr>
            <w:r w:rsidRPr="004534E7">
              <w:rPr>
                <w:iCs/>
                <w:sz w:val="16"/>
                <w:szCs w:val="16"/>
                <w:lang w:val="en-GB"/>
              </w:rPr>
              <w:t xml:space="preserve">Frequency: national and sector reports (annual), </w:t>
            </w:r>
            <w:r w:rsidR="00B219C5" w:rsidRPr="004534E7">
              <w:rPr>
                <w:iCs/>
                <w:sz w:val="16"/>
                <w:szCs w:val="16"/>
                <w:lang w:val="en-GB"/>
              </w:rPr>
              <w:t xml:space="preserve">SDG </w:t>
            </w:r>
            <w:r w:rsidRPr="004534E7">
              <w:rPr>
                <w:iCs/>
                <w:sz w:val="16"/>
                <w:szCs w:val="16"/>
                <w:lang w:val="en-GB"/>
              </w:rPr>
              <w:t xml:space="preserve">reports </w:t>
            </w:r>
            <w:r w:rsidR="00BB49B2">
              <w:rPr>
                <w:iCs/>
                <w:sz w:val="16"/>
                <w:szCs w:val="16"/>
                <w:lang w:val="en-GB"/>
              </w:rPr>
              <w:t>(</w:t>
            </w:r>
            <w:r w:rsidRPr="004534E7">
              <w:rPr>
                <w:iCs/>
                <w:sz w:val="16"/>
                <w:szCs w:val="16"/>
                <w:lang w:val="en-GB"/>
              </w:rPr>
              <w:t>every 3 to 5 years</w:t>
            </w:r>
            <w:r w:rsidR="00BB49B2">
              <w:rPr>
                <w:iCs/>
                <w:sz w:val="16"/>
                <w:szCs w:val="16"/>
                <w:lang w:val="en-GB"/>
              </w:rPr>
              <w:t>)</w:t>
            </w:r>
          </w:p>
          <w:p w14:paraId="395308F6" w14:textId="77777777" w:rsidR="009808E2" w:rsidRPr="004534E7" w:rsidRDefault="009808E2" w:rsidP="00B6740A">
            <w:pPr>
              <w:rPr>
                <w:iCs/>
                <w:sz w:val="16"/>
                <w:szCs w:val="16"/>
                <w:lang w:val="en-GB"/>
              </w:rPr>
            </w:pPr>
          </w:p>
          <w:p w14:paraId="418B92B2" w14:textId="71B6400F" w:rsidR="009808E2" w:rsidRPr="004534E7" w:rsidRDefault="009808E2" w:rsidP="00B6740A">
            <w:pPr>
              <w:rPr>
                <w:iCs/>
                <w:sz w:val="16"/>
                <w:szCs w:val="16"/>
                <w:lang w:val="en-GB"/>
              </w:rPr>
            </w:pPr>
            <w:r w:rsidRPr="004534E7">
              <w:rPr>
                <w:iCs/>
                <w:sz w:val="16"/>
                <w:szCs w:val="16"/>
                <w:lang w:val="en-GB"/>
              </w:rPr>
              <w:t xml:space="preserve">Data source: Labour </w:t>
            </w:r>
            <w:r w:rsidR="00BB49B2">
              <w:rPr>
                <w:iCs/>
                <w:sz w:val="16"/>
                <w:szCs w:val="16"/>
                <w:lang w:val="en-GB"/>
              </w:rPr>
              <w:t>f</w:t>
            </w:r>
            <w:r w:rsidRPr="004534E7">
              <w:rPr>
                <w:iCs/>
                <w:sz w:val="16"/>
                <w:szCs w:val="16"/>
                <w:lang w:val="en-GB"/>
              </w:rPr>
              <w:t xml:space="preserve">orce </w:t>
            </w:r>
            <w:r w:rsidR="00BB49B2">
              <w:rPr>
                <w:iCs/>
                <w:sz w:val="16"/>
                <w:szCs w:val="16"/>
                <w:lang w:val="en-GB"/>
              </w:rPr>
              <w:t>s</w:t>
            </w:r>
            <w:r w:rsidRPr="004534E7">
              <w:rPr>
                <w:iCs/>
                <w:sz w:val="16"/>
                <w:szCs w:val="16"/>
                <w:lang w:val="en-GB"/>
              </w:rPr>
              <w:t xml:space="preserve">urvey </w:t>
            </w:r>
            <w:r w:rsidR="00BB49B2">
              <w:rPr>
                <w:iCs/>
                <w:sz w:val="16"/>
                <w:szCs w:val="16"/>
                <w:lang w:val="en-GB"/>
              </w:rPr>
              <w:t>r</w:t>
            </w:r>
            <w:r w:rsidRPr="004534E7">
              <w:rPr>
                <w:iCs/>
                <w:sz w:val="16"/>
                <w:szCs w:val="16"/>
                <w:lang w:val="en-GB"/>
              </w:rPr>
              <w:t xml:space="preserve">eports </w:t>
            </w:r>
          </w:p>
          <w:p w14:paraId="22877B86" w14:textId="77777777" w:rsidR="009808E2" w:rsidRPr="004534E7" w:rsidRDefault="009808E2" w:rsidP="00A971B5">
            <w:pPr>
              <w:rPr>
                <w:iCs/>
                <w:sz w:val="16"/>
                <w:szCs w:val="16"/>
                <w:lang w:val="en-GB"/>
              </w:rPr>
            </w:pPr>
          </w:p>
        </w:tc>
        <w:tc>
          <w:tcPr>
            <w:tcW w:w="1326" w:type="pct"/>
            <w:vMerge w:val="restart"/>
            <w:tcMar>
              <w:top w:w="72" w:type="dxa"/>
              <w:left w:w="144" w:type="dxa"/>
              <w:bottom w:w="72" w:type="dxa"/>
              <w:right w:w="144" w:type="dxa"/>
            </w:tcMar>
          </w:tcPr>
          <w:p w14:paraId="08229088" w14:textId="52156E0F" w:rsidR="003326A1" w:rsidRPr="00396E55" w:rsidRDefault="009808E2" w:rsidP="003326A1">
            <w:pPr>
              <w:spacing w:after="80"/>
              <w:rPr>
                <w:iCs/>
                <w:sz w:val="16"/>
                <w:szCs w:val="16"/>
                <w:lang w:val="en-GB"/>
              </w:rPr>
            </w:pPr>
            <w:r w:rsidRPr="004534E7">
              <w:rPr>
                <w:b/>
                <w:iCs/>
                <w:sz w:val="16"/>
                <w:szCs w:val="16"/>
                <w:lang w:val="en-GB"/>
              </w:rPr>
              <w:t>Output 3</w:t>
            </w:r>
            <w:r w:rsidR="00F9499F" w:rsidRPr="004534E7">
              <w:rPr>
                <w:b/>
                <w:iCs/>
                <w:sz w:val="16"/>
                <w:szCs w:val="16"/>
                <w:lang w:val="en-GB"/>
              </w:rPr>
              <w:t>.1</w:t>
            </w:r>
            <w:r w:rsidR="003969E8">
              <w:rPr>
                <w:b/>
                <w:iCs/>
                <w:sz w:val="16"/>
                <w:szCs w:val="16"/>
                <w:lang w:val="en-GB"/>
              </w:rPr>
              <w:t>.</w:t>
            </w:r>
            <w:r w:rsidR="00F9499F" w:rsidRPr="004534E7">
              <w:rPr>
                <w:b/>
                <w:iCs/>
                <w:sz w:val="16"/>
                <w:szCs w:val="16"/>
                <w:lang w:val="en-GB"/>
              </w:rPr>
              <w:t xml:space="preserve"> </w:t>
            </w:r>
            <w:r w:rsidRPr="004534E7">
              <w:rPr>
                <w:b/>
                <w:iCs/>
                <w:sz w:val="16"/>
                <w:szCs w:val="16"/>
                <w:lang w:val="en-GB"/>
              </w:rPr>
              <w:t xml:space="preserve">National and local institutions enabled to put in place </w:t>
            </w:r>
            <w:r w:rsidRPr="004534E7">
              <w:rPr>
                <w:b/>
                <w:sz w:val="16"/>
                <w:lang w:val="en-GB"/>
              </w:rPr>
              <w:t>evidence-based</w:t>
            </w:r>
            <w:r w:rsidRPr="004534E7">
              <w:rPr>
                <w:b/>
                <w:iCs/>
                <w:sz w:val="16"/>
                <w:szCs w:val="16"/>
                <w:lang w:val="en-GB"/>
              </w:rPr>
              <w:t>, risk-informed and gender-sensitive policies</w:t>
            </w:r>
            <w:r w:rsidR="00AD3093" w:rsidRPr="004534E7">
              <w:rPr>
                <w:b/>
                <w:iCs/>
                <w:sz w:val="16"/>
                <w:szCs w:val="16"/>
                <w:lang w:val="en-GB"/>
              </w:rPr>
              <w:t>,</w:t>
            </w:r>
            <w:r w:rsidRPr="004534E7">
              <w:rPr>
                <w:b/>
                <w:iCs/>
                <w:sz w:val="16"/>
                <w:szCs w:val="16"/>
                <w:lang w:val="en-GB"/>
              </w:rPr>
              <w:t xml:space="preserve"> guiding participatory planning and budgeting processes and aligned with SDGs</w:t>
            </w:r>
            <w:r w:rsidR="00373263">
              <w:rPr>
                <w:b/>
                <w:iCs/>
                <w:sz w:val="16"/>
                <w:szCs w:val="16"/>
                <w:lang w:val="en-GB"/>
              </w:rPr>
              <w:t>.</w:t>
            </w:r>
            <w:r w:rsidR="003326A1" w:rsidRPr="00396E55">
              <w:rPr>
                <w:iCs/>
                <w:sz w:val="16"/>
                <w:szCs w:val="16"/>
                <w:lang w:val="en-GB"/>
              </w:rPr>
              <w:t xml:space="preserve"> </w:t>
            </w:r>
          </w:p>
          <w:p w14:paraId="76931D58" w14:textId="6B79872B" w:rsidR="009808E2" w:rsidRPr="004534E7" w:rsidRDefault="009808E2" w:rsidP="00B6740A">
            <w:pPr>
              <w:ind w:left="125"/>
              <w:rPr>
                <w:b/>
                <w:iCs/>
                <w:sz w:val="16"/>
                <w:szCs w:val="16"/>
                <w:lang w:val="en-GB"/>
              </w:rPr>
            </w:pPr>
            <w:r w:rsidRPr="004534E7">
              <w:rPr>
                <w:b/>
                <w:iCs/>
                <w:sz w:val="16"/>
                <w:szCs w:val="16"/>
                <w:lang w:val="en-GB"/>
              </w:rPr>
              <w:t xml:space="preserve">Indicative </w:t>
            </w:r>
            <w:r w:rsidR="00BB49B2">
              <w:rPr>
                <w:b/>
                <w:iCs/>
                <w:sz w:val="16"/>
                <w:szCs w:val="16"/>
                <w:lang w:val="en-GB"/>
              </w:rPr>
              <w:t>i</w:t>
            </w:r>
            <w:r w:rsidRPr="004534E7">
              <w:rPr>
                <w:b/>
                <w:iCs/>
                <w:sz w:val="16"/>
                <w:szCs w:val="16"/>
                <w:lang w:val="en-GB"/>
              </w:rPr>
              <w:t>ndicator 3.1.1</w:t>
            </w:r>
            <w:r w:rsidR="00BB49B2">
              <w:rPr>
                <w:b/>
                <w:iCs/>
                <w:sz w:val="16"/>
                <w:szCs w:val="16"/>
                <w:lang w:val="en-GB"/>
              </w:rPr>
              <w:t>.</w:t>
            </w:r>
            <w:r w:rsidRPr="004534E7">
              <w:rPr>
                <w:b/>
                <w:iCs/>
                <w:sz w:val="16"/>
                <w:szCs w:val="16"/>
                <w:lang w:val="en-GB"/>
              </w:rPr>
              <w:t xml:space="preserve"> </w:t>
            </w:r>
            <w:r w:rsidRPr="004534E7">
              <w:rPr>
                <w:iCs/>
                <w:sz w:val="16"/>
                <w:szCs w:val="16"/>
                <w:lang w:val="en-GB"/>
              </w:rPr>
              <w:t>Number of countries that use nationally relevant SDG targets and indicators, including age and sex disaggregated data, to monitor the performance of national and subnational plans and budgets</w:t>
            </w:r>
          </w:p>
          <w:p w14:paraId="04D99FB3" w14:textId="77777777" w:rsidR="009808E2" w:rsidRPr="004435B3" w:rsidRDefault="009808E2" w:rsidP="00B6740A">
            <w:pPr>
              <w:ind w:left="125"/>
              <w:rPr>
                <w:b/>
                <w:iCs/>
                <w:sz w:val="16"/>
                <w:szCs w:val="16"/>
                <w:lang w:val="en-GB"/>
              </w:rPr>
            </w:pPr>
            <w:r w:rsidRPr="004435B3">
              <w:rPr>
                <w:b/>
                <w:iCs/>
                <w:sz w:val="16"/>
                <w:szCs w:val="16"/>
                <w:lang w:val="en-GB"/>
              </w:rPr>
              <w:t>Baseline (2017): 4</w:t>
            </w:r>
          </w:p>
          <w:p w14:paraId="2BD04AB4" w14:textId="77777777" w:rsidR="009808E2" w:rsidRPr="004534E7" w:rsidRDefault="009808E2" w:rsidP="00B6740A">
            <w:pPr>
              <w:ind w:left="125"/>
              <w:rPr>
                <w:b/>
                <w:iCs/>
                <w:sz w:val="16"/>
                <w:szCs w:val="16"/>
                <w:lang w:val="en-GB"/>
              </w:rPr>
            </w:pPr>
            <w:r w:rsidRPr="004534E7">
              <w:rPr>
                <w:b/>
                <w:iCs/>
                <w:sz w:val="16"/>
                <w:szCs w:val="16"/>
                <w:lang w:val="en-GB"/>
              </w:rPr>
              <w:t>Target: 10</w:t>
            </w:r>
          </w:p>
          <w:p w14:paraId="40427612" w14:textId="19E2B961" w:rsidR="003326A1" w:rsidRPr="00396E55" w:rsidRDefault="009808E2" w:rsidP="003326A1">
            <w:pPr>
              <w:spacing w:after="80"/>
              <w:rPr>
                <w:iCs/>
                <w:sz w:val="16"/>
                <w:szCs w:val="16"/>
                <w:lang w:val="en-GB"/>
              </w:rPr>
            </w:pPr>
            <w:r w:rsidRPr="004534E7">
              <w:rPr>
                <w:b/>
                <w:iCs/>
                <w:sz w:val="16"/>
                <w:szCs w:val="16"/>
                <w:lang w:val="en-GB"/>
              </w:rPr>
              <w:t xml:space="preserve">Source/Frequency: </w:t>
            </w:r>
            <w:r w:rsidRPr="004534E7">
              <w:rPr>
                <w:iCs/>
                <w:sz w:val="16"/>
                <w:szCs w:val="16"/>
                <w:lang w:val="en-GB"/>
              </w:rPr>
              <w:t xml:space="preserve">National and </w:t>
            </w:r>
            <w:r w:rsidR="008017FF" w:rsidRPr="004534E7">
              <w:rPr>
                <w:iCs/>
                <w:sz w:val="16"/>
                <w:szCs w:val="16"/>
                <w:lang w:val="en-GB"/>
              </w:rPr>
              <w:t xml:space="preserve">sector sustainable development strategies </w:t>
            </w:r>
            <w:r w:rsidRPr="004534E7">
              <w:rPr>
                <w:iCs/>
                <w:sz w:val="16"/>
                <w:szCs w:val="16"/>
                <w:lang w:val="en-GB"/>
              </w:rPr>
              <w:t>(every 3-5</w:t>
            </w:r>
            <w:r w:rsidR="00BB49B2">
              <w:rPr>
                <w:iCs/>
                <w:sz w:val="16"/>
                <w:szCs w:val="16"/>
                <w:lang w:val="en-GB"/>
              </w:rPr>
              <w:t> </w:t>
            </w:r>
            <w:r w:rsidRPr="004534E7">
              <w:rPr>
                <w:iCs/>
                <w:sz w:val="16"/>
                <w:szCs w:val="16"/>
                <w:lang w:val="en-GB"/>
              </w:rPr>
              <w:t>years); national and sectoral reports (annual); national SDG tracking reports (every 3 years).</w:t>
            </w:r>
            <w:r w:rsidR="003326A1" w:rsidRPr="00396E55">
              <w:rPr>
                <w:iCs/>
                <w:sz w:val="16"/>
                <w:szCs w:val="16"/>
                <w:lang w:val="en-GB"/>
              </w:rPr>
              <w:t xml:space="preserve"> </w:t>
            </w:r>
          </w:p>
          <w:p w14:paraId="40C37670" w14:textId="68AF4EB4" w:rsidR="009808E2" w:rsidRPr="004534E7" w:rsidRDefault="009808E2" w:rsidP="00B6740A">
            <w:pPr>
              <w:ind w:left="125"/>
              <w:rPr>
                <w:iCs/>
                <w:sz w:val="16"/>
                <w:szCs w:val="16"/>
                <w:lang w:val="en-GB"/>
              </w:rPr>
            </w:pPr>
            <w:r w:rsidRPr="004534E7">
              <w:rPr>
                <w:b/>
                <w:iCs/>
                <w:sz w:val="16"/>
                <w:szCs w:val="16"/>
                <w:lang w:val="en-GB"/>
              </w:rPr>
              <w:t xml:space="preserve">Indicative </w:t>
            </w:r>
            <w:r w:rsidR="00BB49B2">
              <w:rPr>
                <w:b/>
                <w:iCs/>
                <w:sz w:val="16"/>
                <w:szCs w:val="16"/>
                <w:lang w:val="en-GB"/>
              </w:rPr>
              <w:t>i</w:t>
            </w:r>
            <w:r w:rsidRPr="004534E7">
              <w:rPr>
                <w:b/>
                <w:iCs/>
                <w:sz w:val="16"/>
                <w:szCs w:val="16"/>
                <w:lang w:val="en-GB"/>
              </w:rPr>
              <w:t>ndicator 3.1.</w:t>
            </w:r>
            <w:r w:rsidR="00BE0DE9" w:rsidRPr="004534E7">
              <w:rPr>
                <w:b/>
                <w:iCs/>
                <w:sz w:val="16"/>
                <w:szCs w:val="16"/>
                <w:lang w:val="en-GB"/>
              </w:rPr>
              <w:t>2</w:t>
            </w:r>
            <w:r w:rsidR="00BB49B2">
              <w:rPr>
                <w:b/>
                <w:iCs/>
                <w:sz w:val="16"/>
                <w:szCs w:val="16"/>
                <w:lang w:val="en-GB"/>
              </w:rPr>
              <w:t>.</w:t>
            </w:r>
            <w:r w:rsidRPr="004534E7">
              <w:rPr>
                <w:b/>
                <w:iCs/>
                <w:sz w:val="16"/>
                <w:szCs w:val="16"/>
                <w:lang w:val="en-GB"/>
              </w:rPr>
              <w:t xml:space="preserve"> </w:t>
            </w:r>
            <w:r w:rsidRPr="004534E7">
              <w:rPr>
                <w:iCs/>
                <w:sz w:val="16"/>
                <w:szCs w:val="16"/>
                <w:lang w:val="en-GB"/>
              </w:rPr>
              <w:t>Number of countries with systems in place to track and make public allocations for gender equality, women’s empowerment and inclusion of marginali</w:t>
            </w:r>
            <w:r w:rsidR="00BB49B2">
              <w:rPr>
                <w:iCs/>
                <w:sz w:val="16"/>
                <w:szCs w:val="16"/>
                <w:lang w:val="en-GB"/>
              </w:rPr>
              <w:t>z</w:t>
            </w:r>
            <w:r w:rsidRPr="004534E7">
              <w:rPr>
                <w:iCs/>
                <w:sz w:val="16"/>
                <w:szCs w:val="16"/>
                <w:lang w:val="en-GB"/>
              </w:rPr>
              <w:t>ed individuals and communities</w:t>
            </w:r>
          </w:p>
          <w:p w14:paraId="25A38DCA" w14:textId="77777777" w:rsidR="009808E2" w:rsidRPr="004534E7" w:rsidRDefault="009808E2" w:rsidP="00B6740A">
            <w:pPr>
              <w:ind w:left="125"/>
              <w:rPr>
                <w:iCs/>
                <w:sz w:val="16"/>
                <w:szCs w:val="16"/>
                <w:lang w:val="en-GB"/>
              </w:rPr>
            </w:pPr>
            <w:r w:rsidRPr="004534E7">
              <w:rPr>
                <w:b/>
                <w:iCs/>
                <w:sz w:val="16"/>
                <w:szCs w:val="16"/>
                <w:lang w:val="en-GB"/>
              </w:rPr>
              <w:t>Baselin</w:t>
            </w:r>
            <w:r w:rsidRPr="004435B3">
              <w:rPr>
                <w:b/>
                <w:iCs/>
                <w:sz w:val="16"/>
                <w:szCs w:val="16"/>
                <w:lang w:val="en-GB"/>
              </w:rPr>
              <w:t xml:space="preserve">e (2017): </w:t>
            </w:r>
            <w:r w:rsidRPr="004435B3">
              <w:rPr>
                <w:iCs/>
                <w:sz w:val="16"/>
                <w:szCs w:val="16"/>
                <w:lang w:val="en-GB"/>
              </w:rPr>
              <w:t>0</w:t>
            </w:r>
          </w:p>
          <w:p w14:paraId="0E8355D4" w14:textId="77777777" w:rsidR="009808E2" w:rsidRPr="004534E7" w:rsidRDefault="009808E2" w:rsidP="00B6740A">
            <w:pPr>
              <w:ind w:left="125"/>
              <w:rPr>
                <w:b/>
                <w:iCs/>
                <w:sz w:val="16"/>
                <w:szCs w:val="16"/>
                <w:lang w:val="en-GB"/>
              </w:rPr>
            </w:pPr>
            <w:r w:rsidRPr="004534E7">
              <w:rPr>
                <w:b/>
                <w:iCs/>
                <w:sz w:val="16"/>
                <w:szCs w:val="16"/>
                <w:lang w:val="en-GB"/>
              </w:rPr>
              <w:t>Target:</w:t>
            </w:r>
            <w:r w:rsidRPr="004534E7">
              <w:rPr>
                <w:iCs/>
                <w:sz w:val="16"/>
                <w:szCs w:val="16"/>
                <w:lang w:val="en-GB"/>
              </w:rPr>
              <w:t xml:space="preserve"> 5</w:t>
            </w:r>
          </w:p>
          <w:p w14:paraId="3DFC94AA" w14:textId="79F453E2" w:rsidR="003326A1" w:rsidRPr="00396E55" w:rsidRDefault="009808E2" w:rsidP="003326A1">
            <w:pPr>
              <w:spacing w:after="80"/>
              <w:rPr>
                <w:iCs/>
                <w:sz w:val="16"/>
                <w:szCs w:val="16"/>
                <w:lang w:val="en-GB"/>
              </w:rPr>
            </w:pPr>
            <w:r w:rsidRPr="004534E7">
              <w:rPr>
                <w:b/>
                <w:iCs/>
                <w:sz w:val="16"/>
                <w:szCs w:val="16"/>
                <w:lang w:val="en-GB"/>
              </w:rPr>
              <w:t>Source/</w:t>
            </w:r>
            <w:r w:rsidR="003438BA">
              <w:rPr>
                <w:b/>
                <w:iCs/>
                <w:sz w:val="16"/>
                <w:szCs w:val="16"/>
                <w:lang w:val="en-GB"/>
              </w:rPr>
              <w:t>f</w:t>
            </w:r>
            <w:r w:rsidRPr="004534E7">
              <w:rPr>
                <w:b/>
                <w:iCs/>
                <w:sz w:val="16"/>
                <w:szCs w:val="16"/>
                <w:lang w:val="en-GB"/>
              </w:rPr>
              <w:t xml:space="preserve">requency: </w:t>
            </w:r>
            <w:r w:rsidR="00BE0DE9" w:rsidRPr="004435B3">
              <w:rPr>
                <w:iCs/>
                <w:sz w:val="16"/>
                <w:szCs w:val="16"/>
                <w:lang w:val="en-GB"/>
              </w:rPr>
              <w:t>P</w:t>
            </w:r>
            <w:r w:rsidRPr="004435B3">
              <w:rPr>
                <w:iCs/>
                <w:sz w:val="16"/>
                <w:szCs w:val="16"/>
                <w:lang w:val="en-GB"/>
              </w:rPr>
              <w:t xml:space="preserve">roject reports </w:t>
            </w:r>
            <w:r w:rsidR="008017FF" w:rsidRPr="004435B3">
              <w:rPr>
                <w:iCs/>
                <w:sz w:val="16"/>
                <w:szCs w:val="16"/>
                <w:lang w:val="en-GB"/>
              </w:rPr>
              <w:t>(annual)</w:t>
            </w:r>
            <w:r w:rsidR="003969E8">
              <w:rPr>
                <w:iCs/>
                <w:sz w:val="16"/>
                <w:szCs w:val="16"/>
                <w:lang w:val="en-GB"/>
              </w:rPr>
              <w:t>;</w:t>
            </w:r>
            <w:r w:rsidR="008017FF" w:rsidRPr="004435B3">
              <w:rPr>
                <w:iCs/>
                <w:sz w:val="16"/>
                <w:szCs w:val="16"/>
                <w:lang w:val="en-GB"/>
              </w:rPr>
              <w:t xml:space="preserve"> </w:t>
            </w:r>
            <w:r w:rsidR="00BE0DE9" w:rsidRPr="004435B3">
              <w:rPr>
                <w:iCs/>
                <w:sz w:val="16"/>
                <w:szCs w:val="16"/>
                <w:lang w:val="en-GB"/>
              </w:rPr>
              <w:t>evaluations.</w:t>
            </w:r>
            <w:r w:rsidR="003326A1" w:rsidRPr="00396E55">
              <w:rPr>
                <w:iCs/>
                <w:sz w:val="16"/>
                <w:szCs w:val="16"/>
                <w:lang w:val="en-GB"/>
              </w:rPr>
              <w:t xml:space="preserve"> </w:t>
            </w:r>
          </w:p>
          <w:p w14:paraId="6762F92A" w14:textId="5E2EED99" w:rsidR="003326A1" w:rsidRPr="00396E55" w:rsidRDefault="009808E2" w:rsidP="003326A1">
            <w:pPr>
              <w:spacing w:after="80"/>
              <w:rPr>
                <w:iCs/>
                <w:sz w:val="16"/>
                <w:szCs w:val="16"/>
                <w:lang w:val="en-GB"/>
              </w:rPr>
            </w:pPr>
            <w:r w:rsidRPr="004534E7">
              <w:rPr>
                <w:b/>
                <w:iCs/>
                <w:sz w:val="16"/>
                <w:szCs w:val="16"/>
                <w:lang w:val="en-GB"/>
              </w:rPr>
              <w:t>Output 3.2</w:t>
            </w:r>
            <w:r w:rsidR="00BB49B2">
              <w:rPr>
                <w:b/>
                <w:iCs/>
                <w:sz w:val="16"/>
                <w:szCs w:val="16"/>
                <w:lang w:val="en-GB"/>
              </w:rPr>
              <w:t>.</w:t>
            </w:r>
            <w:r w:rsidR="00F9499F" w:rsidRPr="004534E7">
              <w:rPr>
                <w:b/>
                <w:iCs/>
                <w:sz w:val="16"/>
                <w:szCs w:val="16"/>
                <w:lang w:val="en-GB"/>
              </w:rPr>
              <w:t xml:space="preserve"> </w:t>
            </w:r>
            <w:r w:rsidRPr="004534E7">
              <w:rPr>
                <w:b/>
                <w:iCs/>
                <w:sz w:val="16"/>
                <w:szCs w:val="16"/>
                <w:lang w:val="en-GB"/>
              </w:rPr>
              <w:t>Green/blue economic policies in place to support private sector initiatives that create sustainable and environmentally friendly jobs and entrepreneurial op</w:t>
            </w:r>
            <w:r w:rsidR="00BE0DE9" w:rsidRPr="004534E7">
              <w:rPr>
                <w:b/>
                <w:iCs/>
                <w:sz w:val="16"/>
                <w:szCs w:val="16"/>
                <w:lang w:val="en-GB"/>
              </w:rPr>
              <w:t>portunities for women and youth</w:t>
            </w:r>
            <w:r w:rsidR="00373263">
              <w:rPr>
                <w:b/>
                <w:iCs/>
                <w:sz w:val="16"/>
                <w:szCs w:val="16"/>
                <w:lang w:val="en-GB"/>
              </w:rPr>
              <w:t>.</w:t>
            </w:r>
          </w:p>
          <w:p w14:paraId="24B420C5" w14:textId="39E07837" w:rsidR="0020425F" w:rsidRPr="004534E7" w:rsidRDefault="009808E2" w:rsidP="0020425F">
            <w:pPr>
              <w:ind w:left="125"/>
              <w:rPr>
                <w:iCs/>
                <w:sz w:val="16"/>
                <w:szCs w:val="16"/>
                <w:lang w:val="en-GB"/>
              </w:rPr>
            </w:pPr>
            <w:r w:rsidRPr="004534E7">
              <w:rPr>
                <w:b/>
                <w:iCs/>
                <w:sz w:val="16"/>
                <w:szCs w:val="16"/>
                <w:lang w:val="en-GB"/>
              </w:rPr>
              <w:t xml:space="preserve">Indicative </w:t>
            </w:r>
            <w:r w:rsidR="00BB49B2">
              <w:rPr>
                <w:b/>
                <w:iCs/>
                <w:sz w:val="16"/>
                <w:szCs w:val="16"/>
                <w:lang w:val="en-GB"/>
              </w:rPr>
              <w:t>i</w:t>
            </w:r>
            <w:r w:rsidRPr="004534E7">
              <w:rPr>
                <w:b/>
                <w:iCs/>
                <w:sz w:val="16"/>
                <w:szCs w:val="16"/>
                <w:lang w:val="en-GB"/>
              </w:rPr>
              <w:t>ndicator 3.2.1</w:t>
            </w:r>
            <w:r w:rsidR="00BB49B2">
              <w:rPr>
                <w:b/>
                <w:iCs/>
                <w:sz w:val="16"/>
                <w:szCs w:val="16"/>
                <w:lang w:val="en-GB"/>
              </w:rPr>
              <w:t>.</w:t>
            </w:r>
            <w:r w:rsidRPr="004534E7">
              <w:rPr>
                <w:b/>
                <w:iCs/>
                <w:sz w:val="16"/>
                <w:szCs w:val="16"/>
                <w:lang w:val="en-GB"/>
              </w:rPr>
              <w:t xml:space="preserve"> </w:t>
            </w:r>
            <w:r w:rsidR="0020425F" w:rsidRPr="004534E7">
              <w:rPr>
                <w:iCs/>
                <w:sz w:val="16"/>
                <w:szCs w:val="16"/>
                <w:lang w:val="en-GB"/>
              </w:rPr>
              <w:t>Number of countries with policies, systems or institutional measures in place at the national and subnational levels to generate and strengthen employment and livelihoods</w:t>
            </w:r>
          </w:p>
          <w:p w14:paraId="2D59F105" w14:textId="77777777" w:rsidR="009808E2" w:rsidRPr="004534E7" w:rsidRDefault="009808E2" w:rsidP="00B6740A">
            <w:pPr>
              <w:ind w:left="125"/>
              <w:rPr>
                <w:b/>
                <w:iCs/>
                <w:sz w:val="16"/>
                <w:szCs w:val="16"/>
                <w:lang w:val="en-GB"/>
              </w:rPr>
            </w:pPr>
            <w:r w:rsidRPr="004534E7">
              <w:rPr>
                <w:b/>
                <w:iCs/>
                <w:sz w:val="16"/>
                <w:szCs w:val="16"/>
                <w:lang w:val="en-GB"/>
              </w:rPr>
              <w:t>Baseline (201</w:t>
            </w:r>
            <w:r w:rsidR="00F475C0" w:rsidRPr="004534E7">
              <w:rPr>
                <w:b/>
                <w:iCs/>
                <w:sz w:val="16"/>
                <w:szCs w:val="16"/>
                <w:lang w:val="en-GB"/>
              </w:rPr>
              <w:t>7</w:t>
            </w:r>
            <w:r w:rsidRPr="004534E7">
              <w:rPr>
                <w:b/>
                <w:iCs/>
                <w:sz w:val="16"/>
                <w:szCs w:val="16"/>
                <w:lang w:val="en-GB"/>
              </w:rPr>
              <w:t>):</w:t>
            </w:r>
            <w:r w:rsidRPr="004534E7">
              <w:rPr>
                <w:iCs/>
                <w:sz w:val="16"/>
                <w:szCs w:val="16"/>
                <w:lang w:val="en-GB"/>
              </w:rPr>
              <w:t xml:space="preserve"> 1</w:t>
            </w:r>
            <w:r w:rsidRPr="004534E7">
              <w:rPr>
                <w:b/>
                <w:iCs/>
                <w:sz w:val="16"/>
                <w:szCs w:val="16"/>
                <w:lang w:val="en-GB"/>
              </w:rPr>
              <w:t xml:space="preserve"> </w:t>
            </w:r>
          </w:p>
          <w:p w14:paraId="6E802348" w14:textId="77777777" w:rsidR="009808E2" w:rsidRPr="004534E7" w:rsidRDefault="009808E2" w:rsidP="00B6740A">
            <w:pPr>
              <w:ind w:left="125"/>
              <w:rPr>
                <w:b/>
                <w:iCs/>
                <w:sz w:val="16"/>
                <w:szCs w:val="16"/>
                <w:lang w:val="en-GB"/>
              </w:rPr>
            </w:pPr>
            <w:r w:rsidRPr="004534E7">
              <w:rPr>
                <w:b/>
                <w:iCs/>
                <w:sz w:val="16"/>
                <w:szCs w:val="16"/>
                <w:lang w:val="en-GB"/>
              </w:rPr>
              <w:t>Target:</w:t>
            </w:r>
            <w:r w:rsidRPr="004534E7">
              <w:rPr>
                <w:iCs/>
                <w:sz w:val="16"/>
                <w:szCs w:val="16"/>
                <w:lang w:val="en-GB"/>
              </w:rPr>
              <w:t xml:space="preserve"> 5</w:t>
            </w:r>
          </w:p>
          <w:p w14:paraId="44D67286" w14:textId="509DAF7B" w:rsidR="009808E2" w:rsidRPr="004435B3" w:rsidRDefault="009808E2" w:rsidP="00B6740A">
            <w:pPr>
              <w:ind w:left="125"/>
              <w:rPr>
                <w:iCs/>
                <w:sz w:val="16"/>
                <w:szCs w:val="16"/>
                <w:lang w:val="en-GB"/>
              </w:rPr>
            </w:pPr>
            <w:r w:rsidRPr="004435B3">
              <w:rPr>
                <w:b/>
                <w:iCs/>
                <w:sz w:val="16"/>
                <w:szCs w:val="16"/>
                <w:lang w:val="en-GB"/>
              </w:rPr>
              <w:t>Source/</w:t>
            </w:r>
            <w:r w:rsidR="003438BA">
              <w:rPr>
                <w:b/>
                <w:iCs/>
                <w:sz w:val="16"/>
                <w:szCs w:val="16"/>
                <w:lang w:val="en-GB"/>
              </w:rPr>
              <w:t>f</w:t>
            </w:r>
            <w:r w:rsidRPr="004435B3">
              <w:rPr>
                <w:b/>
                <w:iCs/>
                <w:sz w:val="16"/>
                <w:szCs w:val="16"/>
                <w:lang w:val="en-GB"/>
              </w:rPr>
              <w:t xml:space="preserve">requency: </w:t>
            </w:r>
            <w:r w:rsidR="000967FB" w:rsidRPr="004435B3">
              <w:rPr>
                <w:iCs/>
                <w:sz w:val="16"/>
                <w:szCs w:val="16"/>
                <w:lang w:val="en-GB"/>
              </w:rPr>
              <w:t xml:space="preserve">Project reports </w:t>
            </w:r>
            <w:r w:rsidR="008017FF" w:rsidRPr="004435B3">
              <w:rPr>
                <w:iCs/>
                <w:sz w:val="16"/>
                <w:szCs w:val="16"/>
                <w:lang w:val="en-GB"/>
              </w:rPr>
              <w:t>(annual)</w:t>
            </w:r>
            <w:r w:rsidR="003969E8">
              <w:rPr>
                <w:iCs/>
                <w:sz w:val="16"/>
                <w:szCs w:val="16"/>
                <w:lang w:val="en-GB"/>
              </w:rPr>
              <w:t>;</w:t>
            </w:r>
            <w:r w:rsidR="008017FF" w:rsidRPr="004435B3">
              <w:rPr>
                <w:iCs/>
                <w:sz w:val="16"/>
                <w:szCs w:val="16"/>
                <w:lang w:val="en-GB"/>
              </w:rPr>
              <w:t xml:space="preserve"> </w:t>
            </w:r>
            <w:r w:rsidR="000967FB" w:rsidRPr="004435B3">
              <w:rPr>
                <w:iCs/>
                <w:sz w:val="16"/>
                <w:szCs w:val="16"/>
                <w:lang w:val="en-GB"/>
              </w:rPr>
              <w:t>evaluations</w:t>
            </w:r>
          </w:p>
          <w:p w14:paraId="44F203A1" w14:textId="4073A850" w:rsidR="009A0103" w:rsidRPr="004534E7" w:rsidRDefault="009A0103" w:rsidP="00747650">
            <w:pPr>
              <w:ind w:left="125"/>
              <w:rPr>
                <w:iCs/>
                <w:sz w:val="16"/>
                <w:szCs w:val="16"/>
                <w:lang w:val="en-GB"/>
              </w:rPr>
            </w:pPr>
            <w:r w:rsidRPr="004534E7">
              <w:rPr>
                <w:b/>
                <w:iCs/>
                <w:sz w:val="16"/>
                <w:szCs w:val="16"/>
                <w:lang w:val="en-GB"/>
              </w:rPr>
              <w:t xml:space="preserve">Indicative </w:t>
            </w:r>
            <w:r w:rsidR="00155C82">
              <w:rPr>
                <w:b/>
                <w:iCs/>
                <w:sz w:val="16"/>
                <w:szCs w:val="16"/>
                <w:lang w:val="en-GB"/>
              </w:rPr>
              <w:t>i</w:t>
            </w:r>
            <w:r w:rsidRPr="004534E7">
              <w:rPr>
                <w:b/>
                <w:iCs/>
                <w:sz w:val="16"/>
                <w:szCs w:val="16"/>
                <w:lang w:val="en-GB"/>
              </w:rPr>
              <w:t>ndicator 3.2.2</w:t>
            </w:r>
            <w:r w:rsidR="00155C82">
              <w:rPr>
                <w:b/>
                <w:iCs/>
                <w:sz w:val="16"/>
                <w:szCs w:val="16"/>
                <w:lang w:val="en-GB"/>
              </w:rPr>
              <w:t>.</w:t>
            </w:r>
            <w:r w:rsidRPr="004534E7">
              <w:rPr>
                <w:b/>
                <w:iCs/>
                <w:sz w:val="16"/>
                <w:szCs w:val="16"/>
                <w:lang w:val="en-GB"/>
              </w:rPr>
              <w:t xml:space="preserve"> </w:t>
            </w:r>
            <w:r w:rsidRPr="004534E7">
              <w:rPr>
                <w:iCs/>
                <w:sz w:val="16"/>
                <w:szCs w:val="16"/>
                <w:lang w:val="en-GB"/>
              </w:rPr>
              <w:t xml:space="preserve">Number of </w:t>
            </w:r>
            <w:r w:rsidR="00616069" w:rsidRPr="004534E7">
              <w:rPr>
                <w:iCs/>
                <w:sz w:val="16"/>
                <w:szCs w:val="16"/>
                <w:lang w:val="en-GB"/>
              </w:rPr>
              <w:t>g</w:t>
            </w:r>
            <w:r w:rsidRPr="004534E7">
              <w:rPr>
                <w:iCs/>
                <w:sz w:val="16"/>
                <w:szCs w:val="16"/>
                <w:lang w:val="en-GB"/>
              </w:rPr>
              <w:t>reen/</w:t>
            </w:r>
            <w:r w:rsidR="00616069" w:rsidRPr="004534E7">
              <w:rPr>
                <w:iCs/>
                <w:sz w:val="16"/>
                <w:szCs w:val="16"/>
                <w:lang w:val="en-GB"/>
              </w:rPr>
              <w:t>b</w:t>
            </w:r>
            <w:r w:rsidRPr="004534E7">
              <w:rPr>
                <w:iCs/>
                <w:sz w:val="16"/>
                <w:szCs w:val="16"/>
                <w:lang w:val="en-GB"/>
              </w:rPr>
              <w:t xml:space="preserve">lue businesses started and jobs created </w:t>
            </w:r>
            <w:r w:rsidR="00747650" w:rsidRPr="004534E7">
              <w:rPr>
                <w:iCs/>
                <w:sz w:val="16"/>
                <w:szCs w:val="16"/>
                <w:lang w:val="en-GB"/>
              </w:rPr>
              <w:t xml:space="preserve">disaggregated by </w:t>
            </w:r>
            <w:r w:rsidRPr="004534E7">
              <w:rPr>
                <w:iCs/>
                <w:sz w:val="16"/>
                <w:szCs w:val="16"/>
                <w:lang w:val="en-GB"/>
              </w:rPr>
              <w:t>age, sex and geographical location (rural/urban)</w:t>
            </w:r>
          </w:p>
          <w:p w14:paraId="13820425" w14:textId="77777777" w:rsidR="009A0103" w:rsidRPr="004534E7" w:rsidRDefault="009A0103" w:rsidP="00747650">
            <w:pPr>
              <w:ind w:left="125"/>
              <w:rPr>
                <w:iCs/>
                <w:sz w:val="16"/>
                <w:szCs w:val="16"/>
                <w:lang w:val="en-GB"/>
              </w:rPr>
            </w:pPr>
            <w:r w:rsidRPr="004534E7">
              <w:rPr>
                <w:b/>
                <w:iCs/>
                <w:sz w:val="16"/>
                <w:szCs w:val="16"/>
                <w:lang w:val="en-GB"/>
              </w:rPr>
              <w:t xml:space="preserve">Baseline (2017): </w:t>
            </w:r>
            <w:r w:rsidRPr="004534E7">
              <w:rPr>
                <w:iCs/>
                <w:sz w:val="16"/>
                <w:szCs w:val="16"/>
                <w:lang w:val="en-GB"/>
              </w:rPr>
              <w:t>0</w:t>
            </w:r>
          </w:p>
          <w:p w14:paraId="1C8F200B" w14:textId="77777777" w:rsidR="00155C82" w:rsidRDefault="009A0103" w:rsidP="00747650">
            <w:pPr>
              <w:ind w:left="125"/>
              <w:rPr>
                <w:iCs/>
                <w:sz w:val="16"/>
                <w:szCs w:val="16"/>
                <w:lang w:val="en-GB"/>
              </w:rPr>
            </w:pPr>
            <w:r w:rsidRPr="004534E7">
              <w:rPr>
                <w:b/>
                <w:iCs/>
                <w:sz w:val="16"/>
                <w:szCs w:val="16"/>
                <w:lang w:val="en-GB"/>
              </w:rPr>
              <w:t xml:space="preserve">Target: </w:t>
            </w:r>
            <w:r w:rsidRPr="004534E7">
              <w:rPr>
                <w:iCs/>
                <w:sz w:val="16"/>
                <w:szCs w:val="16"/>
                <w:lang w:val="en-GB"/>
              </w:rPr>
              <w:t>50 new businesses</w:t>
            </w:r>
            <w:r w:rsidR="006C4E61" w:rsidRPr="004534E7">
              <w:rPr>
                <w:iCs/>
                <w:sz w:val="16"/>
                <w:szCs w:val="16"/>
                <w:lang w:val="en-GB"/>
              </w:rPr>
              <w:t xml:space="preserve"> and</w:t>
            </w:r>
            <w:r w:rsidRPr="004534E7">
              <w:rPr>
                <w:iCs/>
                <w:sz w:val="16"/>
                <w:szCs w:val="16"/>
                <w:lang w:val="en-GB"/>
              </w:rPr>
              <w:t xml:space="preserve"> 300 jobs</w:t>
            </w:r>
            <w:r w:rsidR="006C4E61" w:rsidRPr="004534E7">
              <w:rPr>
                <w:iCs/>
                <w:sz w:val="16"/>
                <w:szCs w:val="16"/>
                <w:lang w:val="en-GB"/>
              </w:rPr>
              <w:t xml:space="preserve"> (</w:t>
            </w:r>
            <w:r w:rsidR="00D976F3" w:rsidRPr="004534E7">
              <w:rPr>
                <w:iCs/>
                <w:sz w:val="16"/>
                <w:szCs w:val="16"/>
                <w:lang w:val="en-GB"/>
              </w:rPr>
              <w:t xml:space="preserve">in </w:t>
            </w:r>
          </w:p>
          <w:p w14:paraId="7DE5ABF2" w14:textId="39CD11F9" w:rsidR="009A0103" w:rsidRPr="004534E7" w:rsidRDefault="00D976F3" w:rsidP="00747650">
            <w:pPr>
              <w:ind w:left="125"/>
              <w:rPr>
                <w:iCs/>
                <w:sz w:val="16"/>
                <w:szCs w:val="16"/>
                <w:lang w:val="en-GB"/>
              </w:rPr>
            </w:pPr>
            <w:r w:rsidRPr="004534E7">
              <w:rPr>
                <w:iCs/>
                <w:sz w:val="16"/>
                <w:szCs w:val="16"/>
                <w:lang w:val="en-GB"/>
              </w:rPr>
              <w:t>5 pilot countries)</w:t>
            </w:r>
          </w:p>
          <w:p w14:paraId="030D1785" w14:textId="3BA83EB7" w:rsidR="003326A1" w:rsidRPr="00396E55" w:rsidRDefault="009A0103" w:rsidP="003326A1">
            <w:pPr>
              <w:spacing w:after="80"/>
              <w:rPr>
                <w:iCs/>
                <w:sz w:val="16"/>
                <w:szCs w:val="16"/>
                <w:lang w:val="en-GB"/>
              </w:rPr>
            </w:pPr>
            <w:r w:rsidRPr="004534E7">
              <w:rPr>
                <w:b/>
                <w:iCs/>
                <w:sz w:val="16"/>
                <w:szCs w:val="16"/>
                <w:lang w:val="en-GB"/>
              </w:rPr>
              <w:lastRenderedPageBreak/>
              <w:t>Source/</w:t>
            </w:r>
            <w:r w:rsidR="00FD6383">
              <w:rPr>
                <w:b/>
                <w:iCs/>
                <w:sz w:val="16"/>
                <w:szCs w:val="16"/>
                <w:lang w:val="en-GB"/>
              </w:rPr>
              <w:t>f</w:t>
            </w:r>
            <w:r w:rsidRPr="004534E7">
              <w:rPr>
                <w:b/>
                <w:iCs/>
                <w:sz w:val="16"/>
                <w:szCs w:val="16"/>
                <w:lang w:val="en-GB"/>
              </w:rPr>
              <w:t xml:space="preserve">requency: </w:t>
            </w:r>
            <w:r w:rsidRPr="004534E7">
              <w:rPr>
                <w:iCs/>
                <w:sz w:val="16"/>
                <w:szCs w:val="16"/>
                <w:lang w:val="en-GB"/>
              </w:rPr>
              <w:t>Project reports (annual)</w:t>
            </w:r>
            <w:r w:rsidR="003969E8">
              <w:rPr>
                <w:iCs/>
                <w:sz w:val="16"/>
                <w:szCs w:val="16"/>
                <w:lang w:val="en-GB"/>
              </w:rPr>
              <w:t>;</w:t>
            </w:r>
            <w:r w:rsidRPr="004534E7">
              <w:rPr>
                <w:iCs/>
                <w:sz w:val="16"/>
                <w:szCs w:val="16"/>
                <w:lang w:val="en-GB"/>
              </w:rPr>
              <w:t xml:space="preserve"> partner surveys </w:t>
            </w:r>
          </w:p>
          <w:p w14:paraId="1B94CE86" w14:textId="4A0F1643" w:rsidR="003326A1" w:rsidRPr="00396E55" w:rsidRDefault="009808E2" w:rsidP="003326A1">
            <w:pPr>
              <w:spacing w:after="80"/>
              <w:rPr>
                <w:iCs/>
                <w:sz w:val="16"/>
                <w:szCs w:val="16"/>
                <w:lang w:val="en-GB"/>
              </w:rPr>
            </w:pPr>
            <w:r w:rsidRPr="004534E7">
              <w:rPr>
                <w:b/>
                <w:iCs/>
                <w:sz w:val="16"/>
                <w:szCs w:val="16"/>
                <w:lang w:val="en-GB"/>
              </w:rPr>
              <w:t>Ou</w:t>
            </w:r>
            <w:r w:rsidR="00F9499F" w:rsidRPr="004534E7">
              <w:rPr>
                <w:b/>
                <w:iCs/>
                <w:sz w:val="16"/>
                <w:szCs w:val="16"/>
                <w:lang w:val="en-GB"/>
              </w:rPr>
              <w:t>tput 3.3</w:t>
            </w:r>
            <w:r w:rsidR="00155C82">
              <w:rPr>
                <w:b/>
                <w:iCs/>
                <w:sz w:val="16"/>
                <w:szCs w:val="16"/>
                <w:lang w:val="en-GB"/>
              </w:rPr>
              <w:t>.</w:t>
            </w:r>
            <w:r w:rsidR="00F9499F" w:rsidRPr="004534E7">
              <w:rPr>
                <w:b/>
                <w:iCs/>
                <w:sz w:val="16"/>
                <w:szCs w:val="16"/>
                <w:lang w:val="en-GB"/>
              </w:rPr>
              <w:t xml:space="preserve"> </w:t>
            </w:r>
            <w:r w:rsidRPr="004534E7">
              <w:rPr>
                <w:b/>
                <w:iCs/>
                <w:sz w:val="16"/>
                <w:szCs w:val="16"/>
                <w:lang w:val="en-GB"/>
              </w:rPr>
              <w:t>National financial inclusion policies and strategies in place and implemented to expand access to financial services for rural and low-income women and youth.</w:t>
            </w:r>
            <w:r w:rsidR="003326A1" w:rsidRPr="00396E55">
              <w:rPr>
                <w:iCs/>
                <w:sz w:val="16"/>
                <w:szCs w:val="16"/>
                <w:lang w:val="en-GB"/>
              </w:rPr>
              <w:t xml:space="preserve"> </w:t>
            </w:r>
          </w:p>
          <w:p w14:paraId="058D985D" w14:textId="17415FA7" w:rsidR="009808E2" w:rsidRPr="004534E7" w:rsidRDefault="009808E2" w:rsidP="00B6740A">
            <w:pPr>
              <w:ind w:left="125"/>
              <w:rPr>
                <w:iCs/>
                <w:sz w:val="16"/>
                <w:szCs w:val="16"/>
                <w:lang w:val="en-GB"/>
              </w:rPr>
            </w:pPr>
            <w:r w:rsidRPr="004534E7">
              <w:rPr>
                <w:b/>
                <w:iCs/>
                <w:sz w:val="16"/>
                <w:szCs w:val="16"/>
                <w:lang w:val="en-GB"/>
              </w:rPr>
              <w:t xml:space="preserve">Indicative </w:t>
            </w:r>
            <w:r w:rsidR="00155C82">
              <w:rPr>
                <w:b/>
                <w:iCs/>
                <w:sz w:val="16"/>
                <w:szCs w:val="16"/>
                <w:lang w:val="en-GB"/>
              </w:rPr>
              <w:t>i</w:t>
            </w:r>
            <w:r w:rsidRPr="004534E7">
              <w:rPr>
                <w:b/>
                <w:iCs/>
                <w:sz w:val="16"/>
                <w:szCs w:val="16"/>
                <w:lang w:val="en-GB"/>
              </w:rPr>
              <w:t>ndicator 3.3.1</w:t>
            </w:r>
            <w:r w:rsidR="00155C82">
              <w:rPr>
                <w:b/>
                <w:iCs/>
                <w:sz w:val="16"/>
                <w:szCs w:val="16"/>
                <w:lang w:val="en-GB"/>
              </w:rPr>
              <w:t>.</w:t>
            </w:r>
            <w:r w:rsidRPr="004534E7">
              <w:rPr>
                <w:b/>
                <w:iCs/>
                <w:sz w:val="16"/>
                <w:szCs w:val="16"/>
                <w:lang w:val="en-GB"/>
              </w:rPr>
              <w:t xml:space="preserve"> </w:t>
            </w:r>
            <w:r w:rsidRPr="004534E7">
              <w:rPr>
                <w:iCs/>
                <w:sz w:val="16"/>
                <w:szCs w:val="16"/>
                <w:lang w:val="en-GB"/>
              </w:rPr>
              <w:t>Number of countries adopting national financial inclusion policies and strategies</w:t>
            </w:r>
            <w:r w:rsidR="00645215" w:rsidRPr="004534E7">
              <w:rPr>
                <w:lang w:val="en-GB"/>
              </w:rPr>
              <w:t xml:space="preserve"> </w:t>
            </w:r>
            <w:r w:rsidR="00645215" w:rsidRPr="004534E7">
              <w:rPr>
                <w:iCs/>
                <w:sz w:val="16"/>
                <w:szCs w:val="16"/>
                <w:lang w:val="en-GB"/>
              </w:rPr>
              <w:t>with specific gender, rural and youth approaches</w:t>
            </w:r>
          </w:p>
          <w:p w14:paraId="241ACA67" w14:textId="77777777" w:rsidR="009808E2" w:rsidRPr="004534E7" w:rsidRDefault="009808E2" w:rsidP="00B6740A">
            <w:pPr>
              <w:ind w:left="125"/>
              <w:rPr>
                <w:b/>
                <w:iCs/>
                <w:sz w:val="16"/>
                <w:szCs w:val="16"/>
                <w:lang w:val="en-GB"/>
              </w:rPr>
            </w:pPr>
            <w:r w:rsidRPr="004534E7">
              <w:rPr>
                <w:b/>
                <w:iCs/>
                <w:sz w:val="16"/>
                <w:szCs w:val="16"/>
                <w:lang w:val="en-GB"/>
              </w:rPr>
              <w:t>Baseline (201</w:t>
            </w:r>
            <w:r w:rsidR="00DB6BB3" w:rsidRPr="004534E7">
              <w:rPr>
                <w:b/>
                <w:iCs/>
                <w:sz w:val="16"/>
                <w:szCs w:val="16"/>
                <w:lang w:val="en-GB"/>
              </w:rPr>
              <w:t>7</w:t>
            </w:r>
            <w:r w:rsidRPr="004534E7">
              <w:rPr>
                <w:b/>
                <w:iCs/>
                <w:sz w:val="16"/>
                <w:szCs w:val="16"/>
                <w:lang w:val="en-GB"/>
              </w:rPr>
              <w:t>):</w:t>
            </w:r>
            <w:r w:rsidRPr="004534E7">
              <w:rPr>
                <w:iCs/>
                <w:sz w:val="16"/>
                <w:szCs w:val="16"/>
                <w:lang w:val="en-GB"/>
              </w:rPr>
              <w:t xml:space="preserve"> 5</w:t>
            </w:r>
          </w:p>
          <w:p w14:paraId="32D3A81C" w14:textId="77777777" w:rsidR="009808E2" w:rsidRPr="004435B3" w:rsidRDefault="009808E2" w:rsidP="00B6740A">
            <w:pPr>
              <w:ind w:left="125"/>
              <w:rPr>
                <w:iCs/>
                <w:sz w:val="16"/>
                <w:szCs w:val="16"/>
                <w:lang w:val="en-GB"/>
              </w:rPr>
            </w:pPr>
            <w:r w:rsidRPr="004534E7">
              <w:rPr>
                <w:b/>
                <w:iCs/>
                <w:sz w:val="16"/>
                <w:szCs w:val="16"/>
                <w:lang w:val="en-GB"/>
              </w:rPr>
              <w:t xml:space="preserve">Target: </w:t>
            </w:r>
            <w:r w:rsidR="00F2324A" w:rsidRPr="004534E7">
              <w:rPr>
                <w:iCs/>
                <w:sz w:val="16"/>
                <w:szCs w:val="16"/>
                <w:lang w:val="en-GB"/>
              </w:rPr>
              <w:t>6</w:t>
            </w:r>
          </w:p>
          <w:p w14:paraId="424D195A" w14:textId="531A0A71" w:rsidR="003326A1" w:rsidRPr="00396E55" w:rsidRDefault="009808E2" w:rsidP="003326A1">
            <w:pPr>
              <w:spacing w:after="80"/>
              <w:rPr>
                <w:iCs/>
                <w:sz w:val="16"/>
                <w:szCs w:val="16"/>
                <w:lang w:val="en-GB"/>
              </w:rPr>
            </w:pPr>
            <w:r w:rsidRPr="004435B3">
              <w:rPr>
                <w:b/>
                <w:iCs/>
                <w:sz w:val="16"/>
                <w:szCs w:val="16"/>
                <w:lang w:val="en-GB"/>
              </w:rPr>
              <w:t>Source/</w:t>
            </w:r>
            <w:r w:rsidR="00FD6383">
              <w:rPr>
                <w:b/>
                <w:iCs/>
                <w:sz w:val="16"/>
                <w:szCs w:val="16"/>
                <w:lang w:val="en-GB"/>
              </w:rPr>
              <w:t>f</w:t>
            </w:r>
            <w:r w:rsidRPr="004435B3">
              <w:rPr>
                <w:b/>
                <w:iCs/>
                <w:sz w:val="16"/>
                <w:szCs w:val="16"/>
                <w:lang w:val="en-GB"/>
              </w:rPr>
              <w:t xml:space="preserve">requency: </w:t>
            </w:r>
            <w:r w:rsidR="00DB6BB3" w:rsidRPr="004435B3">
              <w:rPr>
                <w:iCs/>
                <w:sz w:val="16"/>
                <w:szCs w:val="16"/>
                <w:lang w:val="en-GB"/>
              </w:rPr>
              <w:t>Project reports (annual)</w:t>
            </w:r>
            <w:r w:rsidR="003969E8">
              <w:rPr>
                <w:iCs/>
                <w:sz w:val="16"/>
                <w:szCs w:val="16"/>
                <w:lang w:val="en-GB"/>
              </w:rPr>
              <w:t>;</w:t>
            </w:r>
            <w:r w:rsidR="00DB6BB3" w:rsidRPr="004435B3">
              <w:rPr>
                <w:iCs/>
                <w:sz w:val="16"/>
                <w:szCs w:val="16"/>
                <w:lang w:val="en-GB"/>
              </w:rPr>
              <w:t xml:space="preserve"> partner surveys (quarterly)</w:t>
            </w:r>
            <w:r w:rsidR="003326A1" w:rsidRPr="00396E55">
              <w:rPr>
                <w:iCs/>
                <w:sz w:val="16"/>
                <w:szCs w:val="16"/>
                <w:lang w:val="en-GB"/>
              </w:rPr>
              <w:t xml:space="preserve"> </w:t>
            </w:r>
          </w:p>
          <w:p w14:paraId="66FBFB72" w14:textId="0990CD64" w:rsidR="009808E2" w:rsidRPr="004435B3" w:rsidRDefault="009808E2" w:rsidP="00B6740A">
            <w:pPr>
              <w:ind w:left="125"/>
              <w:rPr>
                <w:iCs/>
                <w:sz w:val="16"/>
                <w:szCs w:val="16"/>
                <w:lang w:val="en-GB"/>
              </w:rPr>
            </w:pPr>
            <w:r w:rsidRPr="004435B3">
              <w:rPr>
                <w:b/>
                <w:iCs/>
                <w:sz w:val="16"/>
                <w:szCs w:val="16"/>
                <w:lang w:val="en-GB"/>
              </w:rPr>
              <w:t xml:space="preserve">Indicative </w:t>
            </w:r>
            <w:r w:rsidR="00155C82">
              <w:rPr>
                <w:b/>
                <w:iCs/>
                <w:sz w:val="16"/>
                <w:szCs w:val="16"/>
                <w:lang w:val="en-GB"/>
              </w:rPr>
              <w:t>i</w:t>
            </w:r>
            <w:r w:rsidRPr="004435B3">
              <w:rPr>
                <w:b/>
                <w:iCs/>
                <w:sz w:val="16"/>
                <w:szCs w:val="16"/>
                <w:lang w:val="en-GB"/>
              </w:rPr>
              <w:t>ndicator 3.3.2</w:t>
            </w:r>
            <w:r w:rsidR="00155C82">
              <w:rPr>
                <w:b/>
                <w:iCs/>
                <w:sz w:val="16"/>
                <w:szCs w:val="16"/>
                <w:lang w:val="en-GB"/>
              </w:rPr>
              <w:t>.</w:t>
            </w:r>
            <w:r w:rsidRPr="004435B3">
              <w:rPr>
                <w:iCs/>
                <w:sz w:val="16"/>
                <w:szCs w:val="16"/>
                <w:lang w:val="en-GB"/>
              </w:rPr>
              <w:t xml:space="preserve"> Number of women and</w:t>
            </w:r>
            <w:r w:rsidR="00155C82">
              <w:rPr>
                <w:iCs/>
                <w:sz w:val="16"/>
                <w:szCs w:val="16"/>
                <w:lang w:val="en-GB"/>
              </w:rPr>
              <w:t> </w:t>
            </w:r>
            <w:r w:rsidRPr="004435B3">
              <w:rPr>
                <w:iCs/>
                <w:sz w:val="16"/>
                <w:szCs w:val="16"/>
                <w:lang w:val="en-GB"/>
              </w:rPr>
              <w:t>men enrolled in formal financial services</w:t>
            </w:r>
            <w:r w:rsidR="00155C82">
              <w:rPr>
                <w:iCs/>
                <w:sz w:val="16"/>
                <w:szCs w:val="16"/>
                <w:lang w:val="en-GB"/>
              </w:rPr>
              <w:t>,</w:t>
            </w:r>
            <w:r w:rsidR="008C7957" w:rsidRPr="004534E7">
              <w:rPr>
                <w:lang w:val="en-GB"/>
              </w:rPr>
              <w:t xml:space="preserve"> </w:t>
            </w:r>
            <w:r w:rsidR="008C7957" w:rsidRPr="004435B3">
              <w:rPr>
                <w:iCs/>
                <w:sz w:val="16"/>
                <w:szCs w:val="16"/>
                <w:lang w:val="en-GB"/>
              </w:rPr>
              <w:t xml:space="preserve">disaggregated by </w:t>
            </w:r>
            <w:r w:rsidR="00DB6BB3" w:rsidRPr="004435B3">
              <w:rPr>
                <w:iCs/>
                <w:sz w:val="16"/>
                <w:szCs w:val="16"/>
                <w:lang w:val="en-GB"/>
              </w:rPr>
              <w:t>locality</w:t>
            </w:r>
          </w:p>
          <w:p w14:paraId="6BEA3807" w14:textId="02849B94" w:rsidR="009808E2" w:rsidRPr="004435B3" w:rsidRDefault="009808E2" w:rsidP="00B6740A">
            <w:pPr>
              <w:ind w:left="125"/>
              <w:rPr>
                <w:iCs/>
                <w:sz w:val="16"/>
                <w:szCs w:val="16"/>
                <w:lang w:val="en-GB"/>
              </w:rPr>
            </w:pPr>
            <w:r w:rsidRPr="004435B3">
              <w:rPr>
                <w:b/>
                <w:iCs/>
                <w:sz w:val="16"/>
                <w:szCs w:val="16"/>
                <w:lang w:val="en-GB"/>
              </w:rPr>
              <w:t>Baseline (2016):</w:t>
            </w:r>
            <w:r w:rsidRPr="004435B3">
              <w:rPr>
                <w:iCs/>
                <w:sz w:val="16"/>
                <w:szCs w:val="16"/>
                <w:lang w:val="en-GB"/>
              </w:rPr>
              <w:t xml:space="preserve"> 478,484 male; 339,809 female</w:t>
            </w:r>
          </w:p>
          <w:p w14:paraId="137448CD" w14:textId="3933AC3A" w:rsidR="009808E2" w:rsidRPr="004534E7" w:rsidRDefault="009808E2" w:rsidP="00B6740A">
            <w:pPr>
              <w:ind w:left="125"/>
              <w:rPr>
                <w:iCs/>
                <w:sz w:val="16"/>
                <w:szCs w:val="16"/>
                <w:lang w:val="en-GB"/>
              </w:rPr>
            </w:pPr>
            <w:r w:rsidRPr="004435B3">
              <w:rPr>
                <w:b/>
                <w:iCs/>
                <w:sz w:val="16"/>
                <w:szCs w:val="16"/>
                <w:lang w:val="en-GB"/>
              </w:rPr>
              <w:t>Target:</w:t>
            </w:r>
            <w:r w:rsidRPr="004435B3">
              <w:rPr>
                <w:iCs/>
                <w:sz w:val="16"/>
                <w:szCs w:val="16"/>
                <w:lang w:val="en-GB"/>
              </w:rPr>
              <w:t xml:space="preserve"> 678,484 male; 678,484 female</w:t>
            </w:r>
          </w:p>
          <w:p w14:paraId="6F199572" w14:textId="6DE5FF72" w:rsidR="009808E2" w:rsidRPr="004534E7" w:rsidRDefault="009808E2" w:rsidP="003969E8">
            <w:pPr>
              <w:ind w:left="125"/>
              <w:rPr>
                <w:iCs/>
                <w:sz w:val="16"/>
                <w:szCs w:val="16"/>
                <w:lang w:val="en-GB"/>
              </w:rPr>
            </w:pPr>
            <w:r w:rsidRPr="004435B3">
              <w:rPr>
                <w:b/>
                <w:iCs/>
                <w:sz w:val="16"/>
                <w:szCs w:val="16"/>
                <w:lang w:val="en-GB"/>
              </w:rPr>
              <w:t>Source/</w:t>
            </w:r>
            <w:r w:rsidR="00FD6383">
              <w:rPr>
                <w:b/>
                <w:iCs/>
                <w:sz w:val="16"/>
                <w:szCs w:val="16"/>
                <w:lang w:val="en-GB"/>
              </w:rPr>
              <w:t>f</w:t>
            </w:r>
            <w:r w:rsidRPr="004435B3">
              <w:rPr>
                <w:b/>
                <w:iCs/>
                <w:sz w:val="16"/>
                <w:szCs w:val="16"/>
                <w:lang w:val="en-GB"/>
              </w:rPr>
              <w:t>requency:</w:t>
            </w:r>
            <w:r w:rsidRPr="004435B3">
              <w:rPr>
                <w:iCs/>
                <w:sz w:val="16"/>
                <w:szCs w:val="16"/>
                <w:lang w:val="en-GB"/>
              </w:rPr>
              <w:t xml:space="preserve"> </w:t>
            </w:r>
            <w:r w:rsidR="00DB6BB3" w:rsidRPr="004435B3">
              <w:rPr>
                <w:iCs/>
                <w:sz w:val="16"/>
                <w:szCs w:val="16"/>
                <w:lang w:val="en-GB"/>
              </w:rPr>
              <w:t>Project reports (annual)</w:t>
            </w:r>
            <w:r w:rsidR="003969E8">
              <w:rPr>
                <w:iCs/>
                <w:sz w:val="16"/>
                <w:szCs w:val="16"/>
                <w:lang w:val="en-GB"/>
              </w:rPr>
              <w:t>;</w:t>
            </w:r>
            <w:r w:rsidR="00DB6BB3" w:rsidRPr="004435B3">
              <w:rPr>
                <w:iCs/>
                <w:sz w:val="16"/>
                <w:szCs w:val="16"/>
                <w:lang w:val="en-GB"/>
              </w:rPr>
              <w:t xml:space="preserve"> partner surveys (quarterly).</w:t>
            </w:r>
          </w:p>
        </w:tc>
        <w:tc>
          <w:tcPr>
            <w:tcW w:w="1006" w:type="pct"/>
            <w:vMerge w:val="restart"/>
          </w:tcPr>
          <w:p w14:paraId="4387205D" w14:textId="504A04D2" w:rsidR="009808E2" w:rsidRPr="004534E7" w:rsidRDefault="009808E2" w:rsidP="00B6740A">
            <w:pPr>
              <w:rPr>
                <w:iCs/>
                <w:sz w:val="16"/>
                <w:szCs w:val="16"/>
                <w:lang w:val="en-GB"/>
              </w:rPr>
            </w:pPr>
            <w:r w:rsidRPr="004534E7">
              <w:rPr>
                <w:iCs/>
                <w:sz w:val="16"/>
                <w:szCs w:val="16"/>
                <w:lang w:val="en-GB"/>
              </w:rPr>
              <w:lastRenderedPageBreak/>
              <w:t>Ministries of Finance</w:t>
            </w:r>
            <w:r w:rsidR="00BB49B2">
              <w:rPr>
                <w:iCs/>
                <w:sz w:val="16"/>
                <w:szCs w:val="16"/>
                <w:lang w:val="en-GB"/>
              </w:rPr>
              <w:t xml:space="preserve"> and </w:t>
            </w:r>
            <w:r w:rsidRPr="004534E7">
              <w:rPr>
                <w:iCs/>
                <w:sz w:val="16"/>
                <w:szCs w:val="16"/>
                <w:lang w:val="en-GB"/>
              </w:rPr>
              <w:t xml:space="preserve">Planning, </w:t>
            </w:r>
            <w:r w:rsidR="00BB49B2">
              <w:rPr>
                <w:iCs/>
                <w:sz w:val="16"/>
                <w:szCs w:val="16"/>
                <w:lang w:val="en-GB"/>
              </w:rPr>
              <w:t>n</w:t>
            </w:r>
            <w:r w:rsidRPr="004534E7">
              <w:rPr>
                <w:iCs/>
                <w:sz w:val="16"/>
                <w:szCs w:val="16"/>
                <w:lang w:val="en-GB"/>
              </w:rPr>
              <w:t xml:space="preserve">ational </w:t>
            </w:r>
            <w:r w:rsidR="00BB49B2">
              <w:rPr>
                <w:iCs/>
                <w:sz w:val="16"/>
                <w:szCs w:val="16"/>
                <w:lang w:val="en-GB"/>
              </w:rPr>
              <w:t>s</w:t>
            </w:r>
            <w:r w:rsidRPr="004534E7">
              <w:rPr>
                <w:iCs/>
                <w:sz w:val="16"/>
                <w:szCs w:val="16"/>
                <w:lang w:val="en-GB"/>
              </w:rPr>
              <w:t xml:space="preserve">tatistics </w:t>
            </w:r>
            <w:r w:rsidR="00BB49B2">
              <w:rPr>
                <w:iCs/>
                <w:sz w:val="16"/>
                <w:szCs w:val="16"/>
                <w:lang w:val="en-GB"/>
              </w:rPr>
              <w:t>o</w:t>
            </w:r>
            <w:r w:rsidRPr="004534E7">
              <w:rPr>
                <w:iCs/>
                <w:sz w:val="16"/>
                <w:szCs w:val="16"/>
                <w:lang w:val="en-GB"/>
              </w:rPr>
              <w:t xml:space="preserve">ffices and </w:t>
            </w:r>
            <w:r w:rsidR="00BB49B2">
              <w:rPr>
                <w:iCs/>
                <w:sz w:val="16"/>
                <w:szCs w:val="16"/>
                <w:lang w:val="en-GB"/>
              </w:rPr>
              <w:t>l</w:t>
            </w:r>
            <w:r w:rsidRPr="004534E7">
              <w:rPr>
                <w:iCs/>
                <w:sz w:val="16"/>
                <w:szCs w:val="16"/>
                <w:lang w:val="en-GB"/>
              </w:rPr>
              <w:t xml:space="preserve">ine </w:t>
            </w:r>
            <w:r w:rsidR="00BB49B2">
              <w:rPr>
                <w:iCs/>
                <w:sz w:val="16"/>
                <w:szCs w:val="16"/>
                <w:lang w:val="en-GB"/>
              </w:rPr>
              <w:t>m</w:t>
            </w:r>
            <w:r w:rsidRPr="004534E7">
              <w:rPr>
                <w:iCs/>
                <w:sz w:val="16"/>
                <w:szCs w:val="16"/>
                <w:lang w:val="en-GB"/>
              </w:rPr>
              <w:t xml:space="preserve">inistries  </w:t>
            </w:r>
          </w:p>
          <w:p w14:paraId="31F163A2" w14:textId="77777777" w:rsidR="009808E2" w:rsidRPr="004534E7" w:rsidRDefault="009808E2" w:rsidP="00B6740A">
            <w:pPr>
              <w:rPr>
                <w:iCs/>
                <w:sz w:val="16"/>
                <w:szCs w:val="16"/>
                <w:lang w:val="en-GB"/>
              </w:rPr>
            </w:pPr>
          </w:p>
          <w:p w14:paraId="1487FB25" w14:textId="7CE3A1F5" w:rsidR="009808E2" w:rsidRPr="004534E7" w:rsidRDefault="009808E2" w:rsidP="00B6740A">
            <w:pPr>
              <w:rPr>
                <w:iCs/>
                <w:sz w:val="16"/>
                <w:szCs w:val="16"/>
                <w:lang w:val="en-GB"/>
              </w:rPr>
            </w:pPr>
            <w:r w:rsidRPr="004534E7">
              <w:rPr>
                <w:iCs/>
                <w:sz w:val="16"/>
                <w:szCs w:val="16"/>
                <w:lang w:val="en-GB"/>
              </w:rPr>
              <w:t xml:space="preserve">National </w:t>
            </w:r>
            <w:r w:rsidR="00BB49B2">
              <w:rPr>
                <w:iCs/>
                <w:sz w:val="16"/>
                <w:szCs w:val="16"/>
                <w:lang w:val="en-GB"/>
              </w:rPr>
              <w:t>d</w:t>
            </w:r>
            <w:r w:rsidRPr="004534E7">
              <w:rPr>
                <w:iCs/>
                <w:sz w:val="16"/>
                <w:szCs w:val="16"/>
                <w:lang w:val="en-GB"/>
              </w:rPr>
              <w:t xml:space="preserve">evelopment </w:t>
            </w:r>
            <w:r w:rsidR="00BB49B2">
              <w:rPr>
                <w:iCs/>
                <w:sz w:val="16"/>
                <w:szCs w:val="16"/>
                <w:lang w:val="en-GB"/>
              </w:rPr>
              <w:t>f</w:t>
            </w:r>
            <w:r w:rsidRPr="004534E7">
              <w:rPr>
                <w:iCs/>
                <w:sz w:val="16"/>
                <w:szCs w:val="16"/>
                <w:lang w:val="en-GB"/>
              </w:rPr>
              <w:t xml:space="preserve">inance </w:t>
            </w:r>
            <w:r w:rsidR="00BB49B2">
              <w:rPr>
                <w:iCs/>
                <w:sz w:val="16"/>
                <w:szCs w:val="16"/>
                <w:lang w:val="en-GB"/>
              </w:rPr>
              <w:t>i</w:t>
            </w:r>
            <w:r w:rsidRPr="004534E7">
              <w:rPr>
                <w:iCs/>
                <w:sz w:val="16"/>
                <w:szCs w:val="16"/>
                <w:lang w:val="en-GB"/>
              </w:rPr>
              <w:t>nstitutions</w:t>
            </w:r>
          </w:p>
          <w:p w14:paraId="3FBA843F" w14:textId="77777777" w:rsidR="009808E2" w:rsidRPr="004534E7" w:rsidRDefault="009808E2" w:rsidP="00B6740A">
            <w:pPr>
              <w:rPr>
                <w:iCs/>
                <w:sz w:val="16"/>
                <w:szCs w:val="16"/>
                <w:lang w:val="en-GB"/>
              </w:rPr>
            </w:pPr>
          </w:p>
          <w:p w14:paraId="71703B80" w14:textId="77777777" w:rsidR="009808E2" w:rsidRPr="004534E7" w:rsidRDefault="009808E2" w:rsidP="00B6740A">
            <w:pPr>
              <w:rPr>
                <w:iCs/>
                <w:sz w:val="16"/>
                <w:szCs w:val="16"/>
                <w:lang w:val="en-GB"/>
              </w:rPr>
            </w:pPr>
            <w:r w:rsidRPr="004534E7">
              <w:rPr>
                <w:iCs/>
                <w:sz w:val="16"/>
                <w:szCs w:val="16"/>
                <w:lang w:val="en-GB"/>
              </w:rPr>
              <w:t>Select provincial and local authorities</w:t>
            </w:r>
          </w:p>
          <w:p w14:paraId="79A79CCD" w14:textId="77777777" w:rsidR="009808E2" w:rsidRPr="004534E7" w:rsidRDefault="009808E2" w:rsidP="00B6740A">
            <w:pPr>
              <w:rPr>
                <w:iCs/>
                <w:sz w:val="16"/>
                <w:szCs w:val="16"/>
                <w:lang w:val="en-GB"/>
              </w:rPr>
            </w:pPr>
          </w:p>
          <w:p w14:paraId="2E3755B1" w14:textId="4663B183" w:rsidR="009808E2" w:rsidRPr="004534E7" w:rsidRDefault="009808E2" w:rsidP="00B6740A">
            <w:pPr>
              <w:rPr>
                <w:iCs/>
                <w:sz w:val="16"/>
                <w:szCs w:val="16"/>
                <w:lang w:val="en-GB"/>
              </w:rPr>
            </w:pPr>
            <w:r w:rsidRPr="004534E7">
              <w:rPr>
                <w:iCs/>
                <w:sz w:val="16"/>
                <w:szCs w:val="16"/>
                <w:lang w:val="en-GB"/>
              </w:rPr>
              <w:t xml:space="preserve">CROP </w:t>
            </w:r>
            <w:r w:rsidR="00BB49B2">
              <w:rPr>
                <w:iCs/>
                <w:sz w:val="16"/>
                <w:szCs w:val="16"/>
                <w:lang w:val="en-GB"/>
              </w:rPr>
              <w:t>a</w:t>
            </w:r>
            <w:r w:rsidRPr="004534E7">
              <w:rPr>
                <w:iCs/>
                <w:sz w:val="16"/>
                <w:szCs w:val="16"/>
                <w:lang w:val="en-GB"/>
              </w:rPr>
              <w:t xml:space="preserve">gencies: PIFS, SPC, Pacific Financial Technical Assistance Centre, Pacific Island Private Sector Organization </w:t>
            </w:r>
          </w:p>
          <w:p w14:paraId="1BDF2C76" w14:textId="77777777" w:rsidR="009808E2" w:rsidRPr="004534E7" w:rsidRDefault="009808E2" w:rsidP="00B6740A">
            <w:pPr>
              <w:rPr>
                <w:iCs/>
                <w:sz w:val="16"/>
                <w:szCs w:val="16"/>
                <w:lang w:val="en-GB"/>
              </w:rPr>
            </w:pPr>
          </w:p>
          <w:p w14:paraId="5BB97771" w14:textId="6289EACE" w:rsidR="009808E2" w:rsidRPr="004534E7" w:rsidRDefault="009808E2" w:rsidP="00B6740A">
            <w:pPr>
              <w:rPr>
                <w:iCs/>
                <w:sz w:val="16"/>
                <w:szCs w:val="16"/>
                <w:lang w:val="en-GB"/>
              </w:rPr>
            </w:pPr>
            <w:r w:rsidRPr="004534E7">
              <w:rPr>
                <w:iCs/>
                <w:sz w:val="16"/>
                <w:szCs w:val="16"/>
                <w:lang w:val="en-GB"/>
              </w:rPr>
              <w:t xml:space="preserve">Research and </w:t>
            </w:r>
            <w:r w:rsidR="00BB49B2">
              <w:rPr>
                <w:iCs/>
                <w:sz w:val="16"/>
                <w:szCs w:val="16"/>
                <w:lang w:val="en-GB"/>
              </w:rPr>
              <w:t>a</w:t>
            </w:r>
            <w:r w:rsidRPr="004534E7">
              <w:rPr>
                <w:iCs/>
                <w:sz w:val="16"/>
                <w:szCs w:val="16"/>
                <w:lang w:val="en-GB"/>
              </w:rPr>
              <w:t xml:space="preserve">cademic </w:t>
            </w:r>
            <w:r w:rsidR="00BB49B2">
              <w:rPr>
                <w:iCs/>
                <w:sz w:val="16"/>
                <w:szCs w:val="16"/>
                <w:lang w:val="en-GB"/>
              </w:rPr>
              <w:t>i</w:t>
            </w:r>
            <w:r w:rsidRPr="004534E7">
              <w:rPr>
                <w:iCs/>
                <w:sz w:val="16"/>
                <w:szCs w:val="16"/>
                <w:lang w:val="en-GB"/>
              </w:rPr>
              <w:t>nstitutions</w:t>
            </w:r>
          </w:p>
          <w:p w14:paraId="75281C50" w14:textId="77777777" w:rsidR="009808E2" w:rsidRPr="004534E7" w:rsidRDefault="009808E2" w:rsidP="00B6740A">
            <w:pPr>
              <w:rPr>
                <w:iCs/>
                <w:sz w:val="16"/>
                <w:szCs w:val="16"/>
                <w:lang w:val="en-GB"/>
              </w:rPr>
            </w:pPr>
          </w:p>
          <w:p w14:paraId="1ED32958" w14:textId="77777777" w:rsidR="009808E2" w:rsidRPr="004534E7" w:rsidRDefault="009808E2" w:rsidP="00B6740A">
            <w:pPr>
              <w:rPr>
                <w:iCs/>
                <w:sz w:val="16"/>
                <w:szCs w:val="16"/>
                <w:lang w:val="en-GB"/>
              </w:rPr>
            </w:pPr>
            <w:r w:rsidRPr="004534E7">
              <w:rPr>
                <w:iCs/>
                <w:sz w:val="16"/>
                <w:szCs w:val="16"/>
                <w:lang w:val="en-GB"/>
              </w:rPr>
              <w:t>Asia</w:t>
            </w:r>
            <w:r w:rsidR="00BE0DE9" w:rsidRPr="004534E7">
              <w:rPr>
                <w:iCs/>
                <w:sz w:val="16"/>
                <w:szCs w:val="16"/>
                <w:lang w:val="en-GB"/>
              </w:rPr>
              <w:t>n Development Bank, World Bank</w:t>
            </w:r>
          </w:p>
          <w:p w14:paraId="25E5C73F" w14:textId="77777777" w:rsidR="009808E2" w:rsidRPr="004534E7" w:rsidRDefault="009808E2" w:rsidP="00B6740A">
            <w:pPr>
              <w:rPr>
                <w:iCs/>
                <w:sz w:val="16"/>
                <w:szCs w:val="16"/>
                <w:lang w:val="en-GB"/>
              </w:rPr>
            </w:pPr>
          </w:p>
          <w:p w14:paraId="7B199127" w14:textId="03A68DF6" w:rsidR="009808E2" w:rsidRPr="004534E7" w:rsidRDefault="009808E2" w:rsidP="00B6740A">
            <w:pPr>
              <w:rPr>
                <w:iCs/>
                <w:sz w:val="16"/>
                <w:szCs w:val="16"/>
                <w:lang w:val="en-GB"/>
              </w:rPr>
            </w:pPr>
            <w:r w:rsidRPr="004534E7">
              <w:rPr>
                <w:iCs/>
                <w:sz w:val="16"/>
                <w:szCs w:val="16"/>
                <w:lang w:val="en-GB"/>
              </w:rPr>
              <w:t xml:space="preserve">Australia, </w:t>
            </w:r>
            <w:r w:rsidR="00BB49B2">
              <w:rPr>
                <w:iCs/>
                <w:sz w:val="16"/>
                <w:szCs w:val="16"/>
                <w:lang w:val="en-GB"/>
              </w:rPr>
              <w:t xml:space="preserve">European Union, Japan, </w:t>
            </w:r>
            <w:r w:rsidRPr="004534E7">
              <w:rPr>
                <w:iCs/>
                <w:sz w:val="16"/>
                <w:szCs w:val="16"/>
                <w:lang w:val="en-GB"/>
              </w:rPr>
              <w:t>New Zealand, and other development partners</w:t>
            </w:r>
          </w:p>
          <w:p w14:paraId="1EE27A22" w14:textId="77777777" w:rsidR="009808E2" w:rsidRPr="004534E7" w:rsidRDefault="009808E2" w:rsidP="00B6740A">
            <w:pPr>
              <w:rPr>
                <w:iCs/>
                <w:sz w:val="16"/>
                <w:szCs w:val="16"/>
                <w:lang w:val="en-GB"/>
              </w:rPr>
            </w:pPr>
          </w:p>
          <w:p w14:paraId="717432A8" w14:textId="19C32336" w:rsidR="009808E2" w:rsidRPr="004534E7" w:rsidRDefault="009808E2" w:rsidP="00B6740A">
            <w:pPr>
              <w:rPr>
                <w:iCs/>
                <w:sz w:val="16"/>
                <w:szCs w:val="16"/>
                <w:lang w:val="en-GB"/>
              </w:rPr>
            </w:pPr>
            <w:r w:rsidRPr="004534E7">
              <w:rPr>
                <w:iCs/>
                <w:sz w:val="16"/>
                <w:szCs w:val="16"/>
                <w:lang w:val="en-GB"/>
              </w:rPr>
              <w:t>United Nations Capital Development Fund, ESCAP, UNICEF, UNFPA, WHO</w:t>
            </w:r>
            <w:r w:rsidR="00BB49B2">
              <w:rPr>
                <w:iCs/>
                <w:sz w:val="16"/>
                <w:szCs w:val="16"/>
                <w:lang w:val="en-GB"/>
              </w:rPr>
              <w:t>,</w:t>
            </w:r>
            <w:r w:rsidRPr="004534E7">
              <w:rPr>
                <w:iCs/>
                <w:sz w:val="16"/>
                <w:szCs w:val="16"/>
                <w:lang w:val="en-GB"/>
              </w:rPr>
              <w:t xml:space="preserve"> ILO, UN</w:t>
            </w:r>
            <w:r w:rsidR="00BB49B2">
              <w:rPr>
                <w:iCs/>
                <w:sz w:val="16"/>
                <w:szCs w:val="16"/>
                <w:lang w:val="en-GB"/>
              </w:rPr>
              <w:t>-</w:t>
            </w:r>
            <w:r w:rsidRPr="004534E7">
              <w:rPr>
                <w:iCs/>
                <w:sz w:val="16"/>
                <w:szCs w:val="16"/>
                <w:lang w:val="en-GB"/>
              </w:rPr>
              <w:t xml:space="preserve">Women, FAO, International Fund for Agricultural Development </w:t>
            </w:r>
          </w:p>
          <w:p w14:paraId="11C83BBD" w14:textId="77777777" w:rsidR="00727C75" w:rsidRPr="004534E7" w:rsidRDefault="00727C75" w:rsidP="00B6740A">
            <w:pPr>
              <w:rPr>
                <w:iCs/>
                <w:sz w:val="16"/>
                <w:szCs w:val="16"/>
                <w:lang w:val="en-GB"/>
              </w:rPr>
            </w:pPr>
          </w:p>
          <w:p w14:paraId="49A879EE" w14:textId="77777777" w:rsidR="00727C75" w:rsidRPr="004534E7" w:rsidRDefault="00727C75" w:rsidP="00727C75">
            <w:pPr>
              <w:rPr>
                <w:iCs/>
                <w:sz w:val="16"/>
                <w:szCs w:val="16"/>
                <w:lang w:val="en-GB"/>
              </w:rPr>
            </w:pPr>
            <w:r w:rsidRPr="004534E7">
              <w:rPr>
                <w:iCs/>
                <w:sz w:val="16"/>
                <w:szCs w:val="16"/>
                <w:lang w:val="en-GB"/>
              </w:rPr>
              <w:t>Guiding partnership frameworks:</w:t>
            </w:r>
          </w:p>
          <w:p w14:paraId="5F5A891C" w14:textId="632820F7" w:rsidR="009808E2" w:rsidRPr="004534E7" w:rsidRDefault="00727C75" w:rsidP="00B6740A">
            <w:pPr>
              <w:rPr>
                <w:iCs/>
                <w:sz w:val="16"/>
                <w:szCs w:val="16"/>
                <w:lang w:val="en-GB"/>
              </w:rPr>
            </w:pPr>
            <w:r w:rsidRPr="004534E7">
              <w:rPr>
                <w:iCs/>
                <w:sz w:val="16"/>
                <w:szCs w:val="16"/>
                <w:lang w:val="en-GB"/>
              </w:rPr>
              <w:t>SAMOA Pathway</w:t>
            </w:r>
            <w:r w:rsidR="00150C7A" w:rsidRPr="004534E7">
              <w:rPr>
                <w:iCs/>
                <w:sz w:val="16"/>
                <w:szCs w:val="16"/>
                <w:lang w:val="en-GB"/>
              </w:rPr>
              <w:t>,</w:t>
            </w:r>
            <w:r w:rsidRPr="004534E7">
              <w:rPr>
                <w:iCs/>
                <w:sz w:val="16"/>
                <w:szCs w:val="16"/>
                <w:lang w:val="en-GB"/>
              </w:rPr>
              <w:t xml:space="preserve"> Framework for Pacific Regionalism</w:t>
            </w:r>
            <w:r w:rsidR="00150C7A" w:rsidRPr="004534E7">
              <w:rPr>
                <w:iCs/>
                <w:sz w:val="16"/>
                <w:szCs w:val="16"/>
                <w:lang w:val="en-GB"/>
              </w:rPr>
              <w:t>.</w:t>
            </w:r>
          </w:p>
          <w:p w14:paraId="2F4AD55C" w14:textId="77777777" w:rsidR="009808E2" w:rsidRPr="004534E7" w:rsidRDefault="009808E2" w:rsidP="00B6740A">
            <w:pPr>
              <w:rPr>
                <w:iCs/>
                <w:sz w:val="16"/>
                <w:szCs w:val="16"/>
                <w:lang w:val="en-GB"/>
              </w:rPr>
            </w:pPr>
          </w:p>
        </w:tc>
        <w:tc>
          <w:tcPr>
            <w:tcW w:w="695" w:type="pct"/>
            <w:tcMar>
              <w:top w:w="15" w:type="dxa"/>
              <w:left w:w="108" w:type="dxa"/>
              <w:bottom w:w="0" w:type="dxa"/>
              <w:right w:w="108" w:type="dxa"/>
            </w:tcMar>
          </w:tcPr>
          <w:p w14:paraId="64E7EA42" w14:textId="67B08891" w:rsidR="009808E2" w:rsidRPr="004534E7" w:rsidRDefault="00486C93" w:rsidP="00B6740A">
            <w:pPr>
              <w:rPr>
                <w:b/>
                <w:sz w:val="16"/>
                <w:szCs w:val="16"/>
                <w:lang w:val="en-GB"/>
              </w:rPr>
            </w:pPr>
            <w:r w:rsidRPr="00396E55">
              <w:rPr>
                <w:b/>
                <w:sz w:val="16"/>
                <w:szCs w:val="16"/>
                <w:lang w:val="en-GB"/>
              </w:rPr>
              <w:t>Regular 5,788,666</w:t>
            </w:r>
          </w:p>
        </w:tc>
      </w:tr>
      <w:tr w:rsidR="009808E2" w:rsidRPr="004435B3" w14:paraId="5889CFBC" w14:textId="77777777" w:rsidTr="0029445C">
        <w:tc>
          <w:tcPr>
            <w:tcW w:w="1102" w:type="pct"/>
            <w:gridSpan w:val="2"/>
            <w:vMerge/>
            <w:tcMar>
              <w:top w:w="72" w:type="dxa"/>
              <w:left w:w="144" w:type="dxa"/>
              <w:bottom w:w="72" w:type="dxa"/>
              <w:right w:w="144" w:type="dxa"/>
            </w:tcMar>
          </w:tcPr>
          <w:p w14:paraId="5EB0D46B" w14:textId="77777777" w:rsidR="009808E2" w:rsidRPr="004534E7" w:rsidRDefault="009808E2" w:rsidP="00B6740A">
            <w:pPr>
              <w:rPr>
                <w:iCs/>
                <w:sz w:val="16"/>
                <w:szCs w:val="16"/>
                <w:lang w:val="en-GB"/>
              </w:rPr>
            </w:pPr>
          </w:p>
        </w:tc>
        <w:tc>
          <w:tcPr>
            <w:tcW w:w="871" w:type="pct"/>
            <w:gridSpan w:val="2"/>
            <w:vMerge/>
          </w:tcPr>
          <w:p w14:paraId="40D1F28D" w14:textId="77777777" w:rsidR="009808E2" w:rsidRPr="004534E7" w:rsidRDefault="009808E2" w:rsidP="00B6740A">
            <w:pPr>
              <w:rPr>
                <w:iCs/>
                <w:sz w:val="16"/>
                <w:szCs w:val="16"/>
                <w:lang w:val="en-GB"/>
              </w:rPr>
            </w:pPr>
          </w:p>
        </w:tc>
        <w:tc>
          <w:tcPr>
            <w:tcW w:w="1326" w:type="pct"/>
            <w:vMerge/>
            <w:tcMar>
              <w:top w:w="72" w:type="dxa"/>
              <w:left w:w="144" w:type="dxa"/>
              <w:bottom w:w="72" w:type="dxa"/>
              <w:right w:w="144" w:type="dxa"/>
            </w:tcMar>
          </w:tcPr>
          <w:p w14:paraId="5152D15B" w14:textId="77777777" w:rsidR="009808E2" w:rsidRPr="004534E7" w:rsidRDefault="009808E2" w:rsidP="00B6740A">
            <w:pPr>
              <w:rPr>
                <w:iCs/>
                <w:sz w:val="16"/>
                <w:szCs w:val="16"/>
                <w:lang w:val="en-GB"/>
              </w:rPr>
            </w:pPr>
          </w:p>
        </w:tc>
        <w:tc>
          <w:tcPr>
            <w:tcW w:w="1006" w:type="pct"/>
            <w:vMerge/>
          </w:tcPr>
          <w:p w14:paraId="71366A7F" w14:textId="77777777" w:rsidR="009808E2" w:rsidRPr="004534E7" w:rsidRDefault="009808E2" w:rsidP="00B6740A">
            <w:pPr>
              <w:rPr>
                <w:iCs/>
                <w:sz w:val="16"/>
                <w:szCs w:val="16"/>
                <w:lang w:val="en-GB"/>
              </w:rPr>
            </w:pPr>
          </w:p>
        </w:tc>
        <w:tc>
          <w:tcPr>
            <w:tcW w:w="695" w:type="pct"/>
            <w:tcMar>
              <w:top w:w="15" w:type="dxa"/>
              <w:left w:w="108" w:type="dxa"/>
              <w:bottom w:w="0" w:type="dxa"/>
              <w:right w:w="108" w:type="dxa"/>
            </w:tcMar>
          </w:tcPr>
          <w:p w14:paraId="4FA06D31" w14:textId="77777777" w:rsidR="009808E2" w:rsidRPr="004534E7" w:rsidRDefault="009808E2" w:rsidP="00B6740A">
            <w:pPr>
              <w:rPr>
                <w:b/>
                <w:sz w:val="16"/>
                <w:szCs w:val="16"/>
                <w:lang w:val="en-GB"/>
              </w:rPr>
            </w:pPr>
            <w:r w:rsidRPr="004534E7">
              <w:rPr>
                <w:b/>
                <w:sz w:val="16"/>
                <w:szCs w:val="16"/>
                <w:lang w:val="en-GB"/>
              </w:rPr>
              <w:t xml:space="preserve">Other </w:t>
            </w:r>
            <w:r w:rsidR="00C9485F" w:rsidRPr="004534E7">
              <w:rPr>
                <w:b/>
                <w:sz w:val="16"/>
                <w:szCs w:val="16"/>
                <w:lang w:val="en-GB"/>
              </w:rPr>
              <w:t>2</w:t>
            </w:r>
            <w:r w:rsidR="0036737E" w:rsidRPr="004534E7">
              <w:rPr>
                <w:b/>
                <w:sz w:val="16"/>
                <w:szCs w:val="16"/>
                <w:lang w:val="en-GB"/>
              </w:rPr>
              <w:t>6</w:t>
            </w:r>
            <w:r w:rsidRPr="004534E7">
              <w:rPr>
                <w:b/>
                <w:sz w:val="16"/>
                <w:szCs w:val="16"/>
                <w:lang w:val="en-GB"/>
              </w:rPr>
              <w:t>,</w:t>
            </w:r>
            <w:r w:rsidR="0036737E" w:rsidRPr="004534E7">
              <w:rPr>
                <w:b/>
                <w:sz w:val="16"/>
                <w:szCs w:val="16"/>
                <w:lang w:val="en-GB"/>
              </w:rPr>
              <w:t>000,000</w:t>
            </w:r>
          </w:p>
        </w:tc>
      </w:tr>
      <w:tr w:rsidR="009808E2" w:rsidRPr="004435B3" w14:paraId="4C9F9E97" w14:textId="77777777" w:rsidTr="00486C93">
        <w:trPr>
          <w:trHeight w:val="503"/>
        </w:trPr>
        <w:tc>
          <w:tcPr>
            <w:tcW w:w="5000" w:type="pct"/>
            <w:gridSpan w:val="7"/>
            <w:tcMar>
              <w:top w:w="72" w:type="dxa"/>
              <w:left w:w="144" w:type="dxa"/>
              <w:bottom w:w="72" w:type="dxa"/>
              <w:right w:w="144" w:type="dxa"/>
            </w:tcMar>
          </w:tcPr>
          <w:p w14:paraId="39F33E75" w14:textId="508BA2C2" w:rsidR="009808E2" w:rsidRPr="004534E7" w:rsidRDefault="00155C82" w:rsidP="00B6740A">
            <w:pPr>
              <w:rPr>
                <w:bCs/>
                <w:sz w:val="18"/>
                <w:szCs w:val="18"/>
                <w:lang w:val="en-GB"/>
              </w:rPr>
            </w:pPr>
            <w:r w:rsidRPr="004534E7">
              <w:rPr>
                <w:b/>
                <w:bCs/>
                <w:sz w:val="18"/>
                <w:szCs w:val="18"/>
                <w:lang w:val="en-GB"/>
              </w:rPr>
              <w:t xml:space="preserve">Regional priority: </w:t>
            </w:r>
            <w:r w:rsidR="009808E2" w:rsidRPr="004534E7">
              <w:rPr>
                <w:bCs/>
                <w:sz w:val="18"/>
                <w:szCs w:val="18"/>
                <w:lang w:val="en-GB"/>
              </w:rPr>
              <w:t>Embrace good governance, the full observance of democratic values, the rule of law, the defence and promotion of all human rights, gender equality, and commitment to just societies (Framework for Pacific Regionalism)</w:t>
            </w:r>
            <w:r w:rsidRPr="004534E7">
              <w:rPr>
                <w:bCs/>
                <w:sz w:val="18"/>
                <w:szCs w:val="18"/>
                <w:lang w:val="en-GB"/>
              </w:rPr>
              <w:t>.</w:t>
            </w:r>
          </w:p>
          <w:p w14:paraId="43AFDC34" w14:textId="77777777" w:rsidR="009808E2" w:rsidRPr="004534E7" w:rsidRDefault="009808E2" w:rsidP="00B6740A">
            <w:pPr>
              <w:rPr>
                <w:b/>
                <w:bCs/>
                <w:sz w:val="18"/>
                <w:szCs w:val="18"/>
                <w:lang w:val="en-GB"/>
              </w:rPr>
            </w:pPr>
            <w:r w:rsidRPr="004534E7">
              <w:rPr>
                <w:b/>
                <w:bCs/>
                <w:sz w:val="18"/>
                <w:szCs w:val="18"/>
                <w:lang w:val="en-GB"/>
              </w:rPr>
              <w:t xml:space="preserve">SDGs </w:t>
            </w:r>
            <w:r w:rsidRPr="004534E7">
              <w:rPr>
                <w:bCs/>
                <w:sz w:val="18"/>
                <w:szCs w:val="18"/>
                <w:lang w:val="en-GB"/>
              </w:rPr>
              <w:t>5, 16</w:t>
            </w:r>
            <w:r w:rsidRPr="004534E7">
              <w:rPr>
                <w:b/>
                <w:bCs/>
                <w:sz w:val="18"/>
                <w:szCs w:val="18"/>
                <w:lang w:val="en-GB"/>
              </w:rPr>
              <w:t xml:space="preserve"> </w:t>
            </w:r>
          </w:p>
        </w:tc>
      </w:tr>
      <w:tr w:rsidR="009808E2" w:rsidRPr="004435B3" w14:paraId="205EC479" w14:textId="77777777" w:rsidTr="00486C93">
        <w:trPr>
          <w:trHeight w:val="233"/>
        </w:trPr>
        <w:tc>
          <w:tcPr>
            <w:tcW w:w="5000" w:type="pct"/>
            <w:gridSpan w:val="7"/>
            <w:tcMar>
              <w:top w:w="72" w:type="dxa"/>
              <w:left w:w="144" w:type="dxa"/>
              <w:bottom w:w="72" w:type="dxa"/>
              <w:right w:w="144" w:type="dxa"/>
            </w:tcMar>
          </w:tcPr>
          <w:p w14:paraId="2293EFAF" w14:textId="78D78742" w:rsidR="009808E2" w:rsidRPr="00486C93" w:rsidRDefault="00155C82" w:rsidP="00B6740A">
            <w:pPr>
              <w:rPr>
                <w:b/>
                <w:sz w:val="18"/>
                <w:szCs w:val="18"/>
                <w:lang w:val="en-GB"/>
              </w:rPr>
            </w:pPr>
            <w:r w:rsidRPr="00486C93">
              <w:rPr>
                <w:b/>
                <w:bCs/>
                <w:sz w:val="18"/>
                <w:szCs w:val="18"/>
                <w:lang w:val="en-GB"/>
              </w:rPr>
              <w:t xml:space="preserve">United Nations outcome 5 involving </w:t>
            </w:r>
            <w:r w:rsidR="009808E2" w:rsidRPr="00486C93">
              <w:rPr>
                <w:b/>
                <w:bCs/>
                <w:sz w:val="18"/>
                <w:szCs w:val="18"/>
                <w:lang w:val="en-GB"/>
              </w:rPr>
              <w:t xml:space="preserve">UNDP: </w:t>
            </w:r>
            <w:r w:rsidR="009808E2" w:rsidRPr="00486C93">
              <w:rPr>
                <w:bCs/>
                <w:sz w:val="18"/>
                <w:szCs w:val="18"/>
                <w:lang w:val="en-GB"/>
              </w:rPr>
              <w:t>By 2022, people and communities in the Pacific will contribute to and benefit from inclusive, informed and transparent decision-making processes, accountable and responsive institutions, and improved access to justice</w:t>
            </w:r>
            <w:r w:rsidRPr="00486C93">
              <w:rPr>
                <w:bCs/>
                <w:sz w:val="18"/>
                <w:szCs w:val="18"/>
                <w:lang w:val="en-GB"/>
              </w:rPr>
              <w:t>.</w:t>
            </w:r>
          </w:p>
        </w:tc>
      </w:tr>
      <w:tr w:rsidR="009808E2" w:rsidRPr="004435B3" w14:paraId="28F057A2" w14:textId="77777777" w:rsidTr="00486C93">
        <w:trPr>
          <w:trHeight w:val="233"/>
        </w:trPr>
        <w:tc>
          <w:tcPr>
            <w:tcW w:w="5000" w:type="pct"/>
            <w:gridSpan w:val="7"/>
            <w:tcMar>
              <w:top w:w="72" w:type="dxa"/>
              <w:left w:w="144" w:type="dxa"/>
              <w:bottom w:w="72" w:type="dxa"/>
              <w:right w:w="144" w:type="dxa"/>
            </w:tcMar>
          </w:tcPr>
          <w:p w14:paraId="6EA41CC3" w14:textId="1EB24EB0" w:rsidR="00155C82" w:rsidRPr="00486C93" w:rsidRDefault="00155C82" w:rsidP="004F28C6">
            <w:pPr>
              <w:rPr>
                <w:b/>
                <w:sz w:val="18"/>
                <w:szCs w:val="18"/>
                <w:lang w:val="en-GB"/>
              </w:rPr>
            </w:pPr>
            <w:r w:rsidRPr="00486C93">
              <w:rPr>
                <w:b/>
                <w:sz w:val="18"/>
                <w:szCs w:val="18"/>
                <w:lang w:val="en-GB"/>
              </w:rPr>
              <w:t>Strategic plan outcome 2.</w:t>
            </w:r>
            <w:r w:rsidR="009808E2" w:rsidRPr="00486C93">
              <w:rPr>
                <w:b/>
                <w:sz w:val="18"/>
                <w:szCs w:val="18"/>
                <w:lang w:val="en-GB"/>
              </w:rPr>
              <w:t xml:space="preserve"> </w:t>
            </w:r>
            <w:r w:rsidR="009808E2" w:rsidRPr="00486C93">
              <w:rPr>
                <w:sz w:val="18"/>
                <w:szCs w:val="18"/>
                <w:lang w:val="en-GB"/>
              </w:rPr>
              <w:t>Citizen expectations for voice, development, the rule of law and accountability are met by stronger systems of democracy and governance</w:t>
            </w:r>
            <w:r w:rsidR="009F271D">
              <w:rPr>
                <w:sz w:val="18"/>
                <w:szCs w:val="18"/>
                <w:lang w:val="en-GB"/>
              </w:rPr>
              <w:t>.</w:t>
            </w:r>
          </w:p>
        </w:tc>
      </w:tr>
      <w:tr w:rsidR="009808E2" w:rsidRPr="004435B3" w14:paraId="7C6A7055" w14:textId="77777777" w:rsidTr="0029445C">
        <w:trPr>
          <w:trHeight w:val="233"/>
        </w:trPr>
        <w:tc>
          <w:tcPr>
            <w:tcW w:w="1108" w:type="pct"/>
            <w:gridSpan w:val="3"/>
            <w:vMerge w:val="restart"/>
            <w:tcMar>
              <w:top w:w="72" w:type="dxa"/>
              <w:left w:w="144" w:type="dxa"/>
              <w:bottom w:w="72" w:type="dxa"/>
              <w:right w:w="144" w:type="dxa"/>
            </w:tcMar>
          </w:tcPr>
          <w:p w14:paraId="275E9FD2" w14:textId="29F86F3F" w:rsidR="009808E2" w:rsidRPr="00486C93" w:rsidRDefault="009808E2" w:rsidP="00B6740A">
            <w:pPr>
              <w:pStyle w:val="NoSpacing"/>
              <w:rPr>
                <w:rFonts w:ascii="Times New Roman" w:eastAsia="Times New Roman" w:hAnsi="Times New Roman" w:cs="Times New Roman"/>
                <w:sz w:val="16"/>
                <w:szCs w:val="16"/>
                <w:lang w:val="en-GB"/>
              </w:rPr>
            </w:pPr>
            <w:r w:rsidRPr="00486C93">
              <w:rPr>
                <w:rFonts w:ascii="Times New Roman" w:eastAsia="Times New Roman" w:hAnsi="Times New Roman" w:cs="Times New Roman"/>
                <w:b/>
                <w:sz w:val="16"/>
                <w:szCs w:val="16"/>
                <w:lang w:val="en-GB"/>
              </w:rPr>
              <w:t>Indicator</w:t>
            </w:r>
            <w:r w:rsidRPr="00486C93">
              <w:rPr>
                <w:rFonts w:ascii="Times New Roman" w:hAnsi="Times New Roman" w:cs="Times New Roman"/>
                <w:b/>
                <w:bCs/>
                <w:iCs/>
                <w:sz w:val="16"/>
                <w:szCs w:val="16"/>
                <w:lang w:val="en-GB"/>
              </w:rPr>
              <w:t xml:space="preserve">: </w:t>
            </w:r>
            <w:r w:rsidRPr="00486C93">
              <w:rPr>
                <w:rFonts w:ascii="Times New Roman" w:eastAsia="Times New Roman" w:hAnsi="Times New Roman" w:cs="Times New Roman"/>
                <w:sz w:val="16"/>
                <w:szCs w:val="16"/>
                <w:lang w:val="en-GB"/>
              </w:rPr>
              <w:t xml:space="preserve">Number of PICTs </w:t>
            </w:r>
            <w:r w:rsidR="003942DE" w:rsidRPr="00486C93">
              <w:rPr>
                <w:rFonts w:ascii="Times New Roman" w:eastAsia="Times New Roman" w:hAnsi="Times New Roman" w:cs="Times New Roman"/>
                <w:sz w:val="16"/>
                <w:szCs w:val="16"/>
                <w:lang w:val="en-GB"/>
              </w:rPr>
              <w:t xml:space="preserve">with established and implemented </w:t>
            </w:r>
            <w:r w:rsidRPr="00486C93">
              <w:rPr>
                <w:rFonts w:ascii="Times New Roman" w:eastAsia="Times New Roman" w:hAnsi="Times New Roman" w:cs="Times New Roman"/>
                <w:sz w:val="16"/>
                <w:szCs w:val="16"/>
                <w:lang w:val="en-GB"/>
              </w:rPr>
              <w:t>anti-corruption policies</w:t>
            </w:r>
          </w:p>
          <w:p w14:paraId="7425F714" w14:textId="77777777" w:rsidR="009808E2" w:rsidRPr="00486C93" w:rsidRDefault="009808E2" w:rsidP="00B6740A">
            <w:pPr>
              <w:pStyle w:val="NoSpacing"/>
              <w:rPr>
                <w:rFonts w:ascii="Times New Roman" w:eastAsia="Times New Roman" w:hAnsi="Times New Roman" w:cs="Times New Roman"/>
                <w:b/>
                <w:bCs/>
                <w:iCs/>
                <w:sz w:val="16"/>
                <w:szCs w:val="16"/>
                <w:lang w:val="en-GB"/>
              </w:rPr>
            </w:pPr>
            <w:r w:rsidRPr="00486C93">
              <w:rPr>
                <w:rFonts w:ascii="Times New Roman" w:eastAsia="Times New Roman" w:hAnsi="Times New Roman" w:cs="Times New Roman"/>
                <w:b/>
                <w:bCs/>
                <w:iCs/>
                <w:sz w:val="16"/>
                <w:szCs w:val="16"/>
                <w:lang w:val="en-GB"/>
              </w:rPr>
              <w:t xml:space="preserve">Baseline (2016): </w:t>
            </w:r>
            <w:r w:rsidR="003942DE" w:rsidRPr="00486C93">
              <w:rPr>
                <w:rFonts w:ascii="Times New Roman" w:eastAsia="Times New Roman" w:hAnsi="Times New Roman" w:cs="Times New Roman"/>
                <w:b/>
                <w:bCs/>
                <w:iCs/>
                <w:sz w:val="16"/>
                <w:szCs w:val="16"/>
                <w:lang w:val="en-GB"/>
              </w:rPr>
              <w:t>1</w:t>
            </w:r>
          </w:p>
          <w:p w14:paraId="6F84B884" w14:textId="77777777" w:rsidR="009808E2" w:rsidRPr="00486C93" w:rsidRDefault="009808E2" w:rsidP="00B6740A">
            <w:pPr>
              <w:pStyle w:val="NoSpacing"/>
              <w:rPr>
                <w:rFonts w:ascii="Times New Roman" w:eastAsia="Times New Roman" w:hAnsi="Times New Roman" w:cs="Times New Roman"/>
                <w:b/>
                <w:bCs/>
                <w:iCs/>
                <w:sz w:val="16"/>
                <w:szCs w:val="16"/>
                <w:lang w:val="en-GB"/>
              </w:rPr>
            </w:pPr>
            <w:r w:rsidRPr="00486C93">
              <w:rPr>
                <w:rFonts w:ascii="Times New Roman" w:eastAsia="Times New Roman" w:hAnsi="Times New Roman" w:cs="Times New Roman"/>
                <w:b/>
                <w:bCs/>
                <w:iCs/>
                <w:sz w:val="16"/>
                <w:szCs w:val="16"/>
                <w:lang w:val="en-GB"/>
              </w:rPr>
              <w:t xml:space="preserve">Target: </w:t>
            </w:r>
            <w:r w:rsidRPr="00486C93">
              <w:rPr>
                <w:rFonts w:ascii="Times New Roman" w:eastAsia="Times New Roman" w:hAnsi="Times New Roman" w:cs="Times New Roman"/>
                <w:bCs/>
                <w:iCs/>
                <w:sz w:val="16"/>
                <w:szCs w:val="16"/>
                <w:lang w:val="en-GB"/>
              </w:rPr>
              <w:t>7</w:t>
            </w:r>
          </w:p>
          <w:p w14:paraId="51A7A2B4" w14:textId="77777777" w:rsidR="009808E2" w:rsidRPr="00486C93" w:rsidRDefault="009808E2" w:rsidP="00B6740A">
            <w:pPr>
              <w:pStyle w:val="NoSpacing"/>
              <w:rPr>
                <w:rFonts w:ascii="Times New Roman" w:eastAsia="Times New Roman" w:hAnsi="Times New Roman" w:cs="Times New Roman"/>
                <w:b/>
                <w:bCs/>
                <w:iCs/>
                <w:sz w:val="16"/>
                <w:szCs w:val="16"/>
                <w:lang w:val="en-GB"/>
              </w:rPr>
            </w:pPr>
          </w:p>
          <w:p w14:paraId="2719ABE2" w14:textId="6E8967CE" w:rsidR="009808E2" w:rsidRPr="00486C93" w:rsidRDefault="009808E2" w:rsidP="00B6740A">
            <w:pPr>
              <w:pStyle w:val="NoSpacing"/>
              <w:rPr>
                <w:rFonts w:ascii="Times New Roman" w:eastAsia="Times New Roman" w:hAnsi="Times New Roman" w:cs="Times New Roman"/>
                <w:bCs/>
                <w:iCs/>
                <w:sz w:val="16"/>
                <w:szCs w:val="16"/>
                <w:lang w:val="en-GB"/>
              </w:rPr>
            </w:pPr>
            <w:r w:rsidRPr="00486C93">
              <w:rPr>
                <w:rFonts w:ascii="Times New Roman" w:eastAsia="Times New Roman" w:hAnsi="Times New Roman" w:cs="Times New Roman"/>
                <w:b/>
                <w:bCs/>
                <w:iCs/>
                <w:sz w:val="16"/>
                <w:szCs w:val="16"/>
                <w:lang w:val="en-GB"/>
              </w:rPr>
              <w:t xml:space="preserve">Indicator: </w:t>
            </w:r>
            <w:r w:rsidR="003942DE" w:rsidRPr="00486C93">
              <w:rPr>
                <w:rFonts w:ascii="Times New Roman" w:eastAsia="Times New Roman" w:hAnsi="Times New Roman" w:cs="Times New Roman"/>
                <w:bCs/>
                <w:iCs/>
                <w:sz w:val="16"/>
                <w:szCs w:val="16"/>
                <w:lang w:val="en-GB"/>
              </w:rPr>
              <w:t>Number</w:t>
            </w:r>
            <w:r w:rsidR="00DD0773" w:rsidRPr="00486C93">
              <w:rPr>
                <w:rFonts w:ascii="Times New Roman" w:eastAsia="Times New Roman" w:hAnsi="Times New Roman" w:cs="Times New Roman"/>
                <w:bCs/>
                <w:iCs/>
                <w:sz w:val="16"/>
                <w:szCs w:val="16"/>
                <w:lang w:val="en-GB"/>
              </w:rPr>
              <w:t xml:space="preserve"> of PICTs in which the p</w:t>
            </w:r>
            <w:r w:rsidRPr="00486C93">
              <w:rPr>
                <w:rFonts w:ascii="Times New Roman" w:eastAsia="Times New Roman" w:hAnsi="Times New Roman" w:cs="Times New Roman"/>
                <w:bCs/>
                <w:iCs/>
                <w:sz w:val="16"/>
                <w:szCs w:val="16"/>
                <w:lang w:val="en-GB"/>
              </w:rPr>
              <w:t xml:space="preserve">roportion of seats held by women in national parliaments </w:t>
            </w:r>
            <w:r w:rsidR="00DD0773" w:rsidRPr="00486C93">
              <w:rPr>
                <w:rFonts w:ascii="Times New Roman" w:eastAsia="Times New Roman" w:hAnsi="Times New Roman" w:cs="Times New Roman"/>
                <w:bCs/>
                <w:iCs/>
                <w:sz w:val="16"/>
                <w:szCs w:val="16"/>
                <w:lang w:val="en-GB"/>
              </w:rPr>
              <w:t>has increased</w:t>
            </w:r>
            <w:r w:rsidR="00872B5E">
              <w:rPr>
                <w:rFonts w:ascii="Times New Roman" w:eastAsia="Times New Roman" w:hAnsi="Times New Roman" w:cs="Times New Roman"/>
                <w:bCs/>
                <w:iCs/>
                <w:sz w:val="16"/>
                <w:szCs w:val="16"/>
                <w:lang w:val="en-GB"/>
              </w:rPr>
              <w:t>,</w:t>
            </w:r>
            <w:r w:rsidR="00DD0773" w:rsidRPr="00486C93">
              <w:rPr>
                <w:rFonts w:ascii="Times New Roman" w:eastAsia="Times New Roman" w:hAnsi="Times New Roman" w:cs="Times New Roman"/>
                <w:bCs/>
                <w:iCs/>
                <w:sz w:val="16"/>
                <w:szCs w:val="16"/>
                <w:lang w:val="en-GB"/>
              </w:rPr>
              <w:t xml:space="preserve"> based on the latest available dat</w:t>
            </w:r>
            <w:r w:rsidR="00150C7A" w:rsidRPr="00486C93">
              <w:rPr>
                <w:rFonts w:ascii="Times New Roman" w:eastAsia="Times New Roman" w:hAnsi="Times New Roman" w:cs="Times New Roman"/>
                <w:bCs/>
                <w:iCs/>
                <w:sz w:val="16"/>
                <w:szCs w:val="16"/>
                <w:lang w:val="en-GB"/>
              </w:rPr>
              <w:t>a</w:t>
            </w:r>
            <w:r w:rsidRPr="00486C93">
              <w:rPr>
                <w:rFonts w:ascii="Times New Roman" w:eastAsia="Times New Roman" w:hAnsi="Times New Roman" w:cs="Times New Roman"/>
                <w:bCs/>
                <w:i/>
                <w:iCs/>
                <w:sz w:val="16"/>
                <w:szCs w:val="16"/>
                <w:lang w:val="en-GB"/>
              </w:rPr>
              <w:t xml:space="preserve"> </w:t>
            </w:r>
          </w:p>
          <w:p w14:paraId="1EE3C470" w14:textId="77777777" w:rsidR="009808E2" w:rsidRPr="00486C93" w:rsidRDefault="009808E2" w:rsidP="00B6740A">
            <w:pPr>
              <w:pStyle w:val="NoSpacing"/>
              <w:rPr>
                <w:rFonts w:ascii="Times New Roman" w:eastAsia="Times New Roman" w:hAnsi="Times New Roman" w:cs="Times New Roman"/>
                <w:b/>
                <w:bCs/>
                <w:iCs/>
                <w:sz w:val="16"/>
                <w:szCs w:val="16"/>
                <w:lang w:val="en-GB"/>
              </w:rPr>
            </w:pPr>
            <w:r w:rsidRPr="00486C93">
              <w:rPr>
                <w:rFonts w:ascii="Times New Roman" w:eastAsia="Times New Roman" w:hAnsi="Times New Roman" w:cs="Times New Roman"/>
                <w:b/>
                <w:bCs/>
                <w:iCs/>
                <w:sz w:val="16"/>
                <w:szCs w:val="16"/>
                <w:lang w:val="en-GB"/>
              </w:rPr>
              <w:t xml:space="preserve">Baseline (2017): </w:t>
            </w:r>
            <w:r w:rsidR="00DD0773" w:rsidRPr="00486C93">
              <w:rPr>
                <w:rFonts w:ascii="Times New Roman" w:eastAsia="Times New Roman" w:hAnsi="Times New Roman" w:cs="Times New Roman"/>
                <w:bCs/>
                <w:iCs/>
                <w:sz w:val="16"/>
                <w:szCs w:val="16"/>
                <w:lang w:val="en-GB"/>
              </w:rPr>
              <w:t>0</w:t>
            </w:r>
          </w:p>
          <w:p w14:paraId="22F3AD2B" w14:textId="77777777" w:rsidR="009808E2" w:rsidRPr="00486C93" w:rsidRDefault="009808E2" w:rsidP="00B6740A">
            <w:pPr>
              <w:pStyle w:val="NoSpacing"/>
              <w:rPr>
                <w:rFonts w:ascii="Times New Roman" w:eastAsia="Times New Roman" w:hAnsi="Times New Roman" w:cs="Times New Roman"/>
                <w:b/>
                <w:bCs/>
                <w:iCs/>
                <w:sz w:val="16"/>
                <w:szCs w:val="16"/>
                <w:lang w:val="en-GB"/>
              </w:rPr>
            </w:pPr>
            <w:r w:rsidRPr="00486C93">
              <w:rPr>
                <w:rFonts w:ascii="Times New Roman" w:eastAsia="Times New Roman" w:hAnsi="Times New Roman" w:cs="Times New Roman"/>
                <w:b/>
                <w:bCs/>
                <w:iCs/>
                <w:sz w:val="16"/>
                <w:szCs w:val="16"/>
                <w:lang w:val="en-GB"/>
              </w:rPr>
              <w:t xml:space="preserve">Target: </w:t>
            </w:r>
            <w:r w:rsidR="00DD0773" w:rsidRPr="00486C93">
              <w:rPr>
                <w:rFonts w:ascii="Times New Roman" w:eastAsia="Times New Roman" w:hAnsi="Times New Roman" w:cs="Times New Roman"/>
                <w:bCs/>
                <w:iCs/>
                <w:sz w:val="16"/>
                <w:szCs w:val="16"/>
                <w:lang w:val="en-GB"/>
              </w:rPr>
              <w:t>14</w:t>
            </w:r>
          </w:p>
          <w:p w14:paraId="79471219" w14:textId="77777777" w:rsidR="009808E2" w:rsidRPr="00486C93" w:rsidRDefault="009808E2" w:rsidP="00B6740A">
            <w:pPr>
              <w:rPr>
                <w:b/>
                <w:bCs/>
                <w:iCs/>
                <w:sz w:val="16"/>
                <w:szCs w:val="16"/>
                <w:lang w:val="en-GB"/>
              </w:rPr>
            </w:pPr>
          </w:p>
          <w:p w14:paraId="368E543A" w14:textId="03F783A1" w:rsidR="009808E2" w:rsidRPr="00486C93" w:rsidRDefault="009808E2" w:rsidP="00B6740A">
            <w:pPr>
              <w:rPr>
                <w:bCs/>
                <w:iCs/>
                <w:sz w:val="16"/>
                <w:szCs w:val="16"/>
                <w:lang w:val="en-GB"/>
              </w:rPr>
            </w:pPr>
            <w:r w:rsidRPr="00486C93">
              <w:rPr>
                <w:b/>
                <w:bCs/>
                <w:iCs/>
                <w:sz w:val="16"/>
                <w:szCs w:val="16"/>
                <w:lang w:val="en-GB"/>
              </w:rPr>
              <w:t xml:space="preserve">Indicator: </w:t>
            </w:r>
            <w:r w:rsidRPr="00486C93">
              <w:rPr>
                <w:bCs/>
                <w:iCs/>
                <w:sz w:val="16"/>
                <w:szCs w:val="16"/>
                <w:lang w:val="en-GB"/>
              </w:rPr>
              <w:t xml:space="preserve">Number of PICTs in which the unsentenced detainees as a </w:t>
            </w:r>
            <w:r w:rsidRPr="00486C93">
              <w:rPr>
                <w:bCs/>
                <w:iCs/>
                <w:sz w:val="16"/>
                <w:szCs w:val="16"/>
                <w:lang w:val="en-GB"/>
              </w:rPr>
              <w:lastRenderedPageBreak/>
              <w:t>proportion of overall prison population has decreased</w:t>
            </w:r>
            <w:r w:rsidR="00872B5E">
              <w:rPr>
                <w:bCs/>
                <w:iCs/>
                <w:sz w:val="16"/>
                <w:szCs w:val="16"/>
                <w:lang w:val="en-GB"/>
              </w:rPr>
              <w:t>,</w:t>
            </w:r>
            <w:r w:rsidRPr="00486C93">
              <w:rPr>
                <w:bCs/>
                <w:iCs/>
                <w:sz w:val="16"/>
                <w:szCs w:val="16"/>
                <w:lang w:val="en-GB"/>
              </w:rPr>
              <w:t xml:space="preserve"> </w:t>
            </w:r>
            <w:r w:rsidR="00E36A67" w:rsidRPr="00486C93">
              <w:rPr>
                <w:bCs/>
                <w:iCs/>
                <w:sz w:val="16"/>
                <w:szCs w:val="16"/>
                <w:lang w:val="en-GB"/>
              </w:rPr>
              <w:t>based on the latest available dat</w:t>
            </w:r>
            <w:r w:rsidR="00150C7A" w:rsidRPr="00486C93">
              <w:rPr>
                <w:bCs/>
                <w:iCs/>
                <w:sz w:val="16"/>
                <w:szCs w:val="16"/>
                <w:lang w:val="en-GB"/>
              </w:rPr>
              <w:t>a</w:t>
            </w:r>
            <w:r w:rsidR="003969E8">
              <w:rPr>
                <w:bCs/>
                <w:iCs/>
                <w:sz w:val="16"/>
                <w:szCs w:val="16"/>
                <w:lang w:val="en-GB"/>
              </w:rPr>
              <w:t>.</w:t>
            </w:r>
          </w:p>
          <w:p w14:paraId="0D41F463" w14:textId="77777777" w:rsidR="009808E2" w:rsidRPr="00486C93" w:rsidRDefault="00EE1F7C" w:rsidP="00B6740A">
            <w:pPr>
              <w:pStyle w:val="NoSpacing"/>
              <w:rPr>
                <w:rFonts w:ascii="Times New Roman" w:eastAsia="Times New Roman" w:hAnsi="Times New Roman" w:cs="Times New Roman"/>
                <w:b/>
                <w:bCs/>
                <w:iCs/>
                <w:sz w:val="16"/>
                <w:szCs w:val="16"/>
                <w:lang w:val="en-GB"/>
              </w:rPr>
            </w:pPr>
            <w:r w:rsidRPr="00486C93">
              <w:rPr>
                <w:rFonts w:ascii="Times New Roman" w:eastAsia="Times New Roman" w:hAnsi="Times New Roman" w:cs="Times New Roman"/>
                <w:b/>
                <w:bCs/>
                <w:iCs/>
                <w:sz w:val="16"/>
                <w:szCs w:val="16"/>
                <w:lang w:val="en-GB"/>
              </w:rPr>
              <w:t>Baseline (2017</w:t>
            </w:r>
            <w:r w:rsidR="009808E2" w:rsidRPr="00486C93">
              <w:rPr>
                <w:rFonts w:ascii="Times New Roman" w:eastAsia="Times New Roman" w:hAnsi="Times New Roman" w:cs="Times New Roman"/>
                <w:b/>
                <w:bCs/>
                <w:iCs/>
                <w:sz w:val="16"/>
                <w:szCs w:val="16"/>
                <w:lang w:val="en-GB"/>
              </w:rPr>
              <w:t>):</w:t>
            </w:r>
            <w:r w:rsidR="009808E2" w:rsidRPr="00486C93">
              <w:rPr>
                <w:rFonts w:ascii="Times New Roman" w:eastAsia="Times New Roman" w:hAnsi="Times New Roman" w:cs="Times New Roman"/>
                <w:bCs/>
                <w:iCs/>
                <w:sz w:val="16"/>
                <w:szCs w:val="16"/>
                <w:lang w:val="en-GB"/>
              </w:rPr>
              <w:t xml:space="preserve"> </w:t>
            </w:r>
            <w:r w:rsidRPr="00486C93">
              <w:rPr>
                <w:rFonts w:ascii="Times New Roman" w:eastAsia="Times New Roman" w:hAnsi="Times New Roman" w:cs="Times New Roman"/>
                <w:bCs/>
                <w:iCs/>
                <w:sz w:val="16"/>
                <w:szCs w:val="16"/>
                <w:lang w:val="en-GB"/>
              </w:rPr>
              <w:t>0</w:t>
            </w:r>
          </w:p>
          <w:p w14:paraId="36494019" w14:textId="72DD65ED" w:rsidR="009808E2" w:rsidRPr="00486C93" w:rsidRDefault="009808E2" w:rsidP="00B6740A">
            <w:pPr>
              <w:pStyle w:val="NoSpacing"/>
              <w:rPr>
                <w:sz w:val="18"/>
                <w:szCs w:val="18"/>
                <w:lang w:val="en-GB"/>
              </w:rPr>
            </w:pPr>
            <w:r w:rsidRPr="00486C93">
              <w:rPr>
                <w:rFonts w:ascii="Times New Roman" w:eastAsia="Times New Roman" w:hAnsi="Times New Roman" w:cs="Times New Roman"/>
                <w:b/>
                <w:bCs/>
                <w:iCs/>
                <w:sz w:val="16"/>
                <w:szCs w:val="16"/>
                <w:lang w:val="en-GB"/>
              </w:rPr>
              <w:t xml:space="preserve">Target: </w:t>
            </w:r>
            <w:r w:rsidR="00872B5E" w:rsidRPr="00486C93">
              <w:rPr>
                <w:rFonts w:ascii="Times New Roman" w:eastAsia="Times New Roman" w:hAnsi="Times New Roman" w:cs="Times New Roman"/>
                <w:bCs/>
                <w:iCs/>
                <w:sz w:val="16"/>
                <w:szCs w:val="16"/>
                <w:lang w:val="en-GB"/>
              </w:rPr>
              <w:t>T</w:t>
            </w:r>
            <w:r w:rsidR="00872B5E">
              <w:rPr>
                <w:rFonts w:ascii="Times New Roman" w:eastAsia="Times New Roman" w:hAnsi="Times New Roman" w:cs="Times New Roman"/>
                <w:bCs/>
                <w:iCs/>
                <w:sz w:val="16"/>
                <w:szCs w:val="16"/>
                <w:lang w:val="en-GB"/>
              </w:rPr>
              <w:t>o be determined</w:t>
            </w:r>
          </w:p>
          <w:p w14:paraId="332CD986" w14:textId="77777777" w:rsidR="009808E2" w:rsidRPr="00486C93" w:rsidRDefault="009808E2" w:rsidP="00B6740A">
            <w:pPr>
              <w:pStyle w:val="NoSpacing"/>
              <w:rPr>
                <w:i/>
                <w:iCs/>
                <w:sz w:val="16"/>
                <w:szCs w:val="16"/>
                <w:lang w:val="en-GB"/>
              </w:rPr>
            </w:pPr>
          </w:p>
        </w:tc>
        <w:tc>
          <w:tcPr>
            <w:tcW w:w="865" w:type="pct"/>
            <w:vMerge w:val="restart"/>
          </w:tcPr>
          <w:p w14:paraId="0678694D" w14:textId="5ACAA04D" w:rsidR="009808E2" w:rsidRPr="004435B3" w:rsidRDefault="009808E2" w:rsidP="00486C93">
            <w:pPr>
              <w:spacing w:after="120"/>
              <w:rPr>
                <w:iCs/>
                <w:sz w:val="16"/>
                <w:szCs w:val="16"/>
                <w:lang w:val="en-GB"/>
              </w:rPr>
            </w:pPr>
            <w:r w:rsidRPr="004435B3">
              <w:rPr>
                <w:iCs/>
                <w:sz w:val="16"/>
                <w:szCs w:val="16"/>
                <w:lang w:val="en-GB"/>
              </w:rPr>
              <w:lastRenderedPageBreak/>
              <w:t xml:space="preserve">National </w:t>
            </w:r>
            <w:r w:rsidR="00872B5E">
              <w:rPr>
                <w:iCs/>
                <w:sz w:val="16"/>
                <w:szCs w:val="16"/>
                <w:lang w:val="en-GB"/>
              </w:rPr>
              <w:t>g</w:t>
            </w:r>
            <w:r w:rsidRPr="004435B3">
              <w:rPr>
                <w:iCs/>
                <w:sz w:val="16"/>
                <w:szCs w:val="16"/>
                <w:lang w:val="en-GB"/>
              </w:rPr>
              <w:t>overnments (collected annually by UNDP Pacific Office)</w:t>
            </w:r>
          </w:p>
          <w:p w14:paraId="546C59D5" w14:textId="4914B994" w:rsidR="00DD0773" w:rsidRPr="004435B3" w:rsidRDefault="009808E2" w:rsidP="00DD0773">
            <w:pPr>
              <w:rPr>
                <w:iCs/>
                <w:sz w:val="16"/>
                <w:szCs w:val="16"/>
                <w:lang w:val="en-GB"/>
              </w:rPr>
            </w:pPr>
            <w:r w:rsidRPr="004435B3">
              <w:rPr>
                <w:iCs/>
                <w:sz w:val="16"/>
                <w:szCs w:val="16"/>
                <w:lang w:val="en-GB"/>
              </w:rPr>
              <w:t>Electoral Commissions, Inter-Parliamentary Union Parline Database (collated annually by UNDP Pacific Office)</w:t>
            </w:r>
            <w:r w:rsidR="00DD0773" w:rsidRPr="00486C93">
              <w:rPr>
                <w:lang w:val="en-GB"/>
              </w:rPr>
              <w:t xml:space="preserve">, </w:t>
            </w:r>
            <w:r w:rsidR="00872B5E">
              <w:rPr>
                <w:iCs/>
                <w:sz w:val="16"/>
                <w:szCs w:val="16"/>
                <w:lang w:val="en-GB"/>
              </w:rPr>
              <w:t>s</w:t>
            </w:r>
            <w:r w:rsidR="00DD0773" w:rsidRPr="004435B3">
              <w:rPr>
                <w:iCs/>
                <w:sz w:val="16"/>
                <w:szCs w:val="16"/>
                <w:lang w:val="en-GB"/>
              </w:rPr>
              <w:t xml:space="preserve">urveys, </w:t>
            </w:r>
            <w:r w:rsidR="003D7C81" w:rsidRPr="004435B3">
              <w:rPr>
                <w:iCs/>
                <w:sz w:val="16"/>
                <w:szCs w:val="16"/>
                <w:lang w:val="en-GB"/>
              </w:rPr>
              <w:t>pacwip.org</w:t>
            </w:r>
            <w:r w:rsidR="00997A59" w:rsidRPr="004435B3">
              <w:rPr>
                <w:iCs/>
                <w:sz w:val="16"/>
                <w:szCs w:val="16"/>
                <w:lang w:val="en-GB"/>
              </w:rPr>
              <w:t xml:space="preserve"> statistics</w:t>
            </w:r>
          </w:p>
          <w:p w14:paraId="5BBF1652" w14:textId="77777777" w:rsidR="00DD0773" w:rsidRPr="004435B3" w:rsidRDefault="00DD0773" w:rsidP="00B6740A">
            <w:pPr>
              <w:rPr>
                <w:iCs/>
                <w:sz w:val="16"/>
                <w:szCs w:val="16"/>
                <w:lang w:val="en-GB"/>
              </w:rPr>
            </w:pPr>
          </w:p>
          <w:p w14:paraId="4CC82EBD" w14:textId="3E8BE62F" w:rsidR="009808E2" w:rsidRPr="00486C93" w:rsidRDefault="009808E2" w:rsidP="00B6740A">
            <w:pPr>
              <w:rPr>
                <w:i/>
                <w:iCs/>
                <w:sz w:val="16"/>
                <w:szCs w:val="16"/>
                <w:lang w:val="en-GB"/>
              </w:rPr>
            </w:pPr>
            <w:r w:rsidRPr="004435B3">
              <w:rPr>
                <w:iCs/>
                <w:sz w:val="16"/>
                <w:szCs w:val="16"/>
                <w:lang w:val="en-GB"/>
              </w:rPr>
              <w:t xml:space="preserve">Ministries of Justice, </w:t>
            </w:r>
            <w:r w:rsidR="00872B5E">
              <w:rPr>
                <w:iCs/>
                <w:sz w:val="16"/>
                <w:szCs w:val="16"/>
                <w:lang w:val="en-GB"/>
              </w:rPr>
              <w:t>c</w:t>
            </w:r>
            <w:r w:rsidRPr="004435B3">
              <w:rPr>
                <w:iCs/>
                <w:sz w:val="16"/>
                <w:szCs w:val="16"/>
                <w:lang w:val="en-GB"/>
              </w:rPr>
              <w:t xml:space="preserve">orrections </w:t>
            </w:r>
            <w:r w:rsidR="00872B5E">
              <w:rPr>
                <w:iCs/>
                <w:sz w:val="16"/>
                <w:szCs w:val="16"/>
                <w:lang w:val="en-GB"/>
              </w:rPr>
              <w:t>s</w:t>
            </w:r>
            <w:r w:rsidRPr="004435B3">
              <w:rPr>
                <w:iCs/>
                <w:sz w:val="16"/>
                <w:szCs w:val="16"/>
                <w:lang w:val="en-GB"/>
              </w:rPr>
              <w:t>ervices (collated annually by UNDP Pacific Office)</w:t>
            </w:r>
          </w:p>
        </w:tc>
        <w:tc>
          <w:tcPr>
            <w:tcW w:w="1326" w:type="pct"/>
            <w:vMerge w:val="restart"/>
            <w:tcMar>
              <w:top w:w="72" w:type="dxa"/>
              <w:left w:w="144" w:type="dxa"/>
              <w:bottom w:w="72" w:type="dxa"/>
              <w:right w:w="144" w:type="dxa"/>
            </w:tcMar>
          </w:tcPr>
          <w:p w14:paraId="67D3E5F6" w14:textId="3A1BAE78" w:rsidR="003326A1" w:rsidRPr="00396E55" w:rsidRDefault="009808E2" w:rsidP="003326A1">
            <w:pPr>
              <w:spacing w:after="80"/>
              <w:rPr>
                <w:iCs/>
                <w:sz w:val="16"/>
                <w:szCs w:val="16"/>
                <w:lang w:val="en-GB"/>
              </w:rPr>
            </w:pPr>
            <w:r w:rsidRPr="00486C93">
              <w:rPr>
                <w:b/>
                <w:sz w:val="16"/>
                <w:szCs w:val="16"/>
                <w:lang w:val="en-GB"/>
              </w:rPr>
              <w:t>Output 5.1</w:t>
            </w:r>
            <w:r w:rsidR="003969E8">
              <w:rPr>
                <w:b/>
                <w:sz w:val="16"/>
                <w:szCs w:val="16"/>
                <w:lang w:val="en-GB"/>
              </w:rPr>
              <w:t>.</w:t>
            </w:r>
            <w:r w:rsidR="003D7C81" w:rsidRPr="00486C93">
              <w:rPr>
                <w:b/>
                <w:sz w:val="16"/>
                <w:szCs w:val="16"/>
                <w:lang w:val="en-GB"/>
              </w:rPr>
              <w:t xml:space="preserve"> </w:t>
            </w:r>
            <w:r w:rsidRPr="00486C93">
              <w:rPr>
                <w:b/>
                <w:sz w:val="16"/>
                <w:szCs w:val="16"/>
                <w:lang w:val="en-GB"/>
              </w:rPr>
              <w:t>Increased voice and more inclusive participation by women, youth and marginalized groups</w:t>
            </w:r>
            <w:r w:rsidRPr="00486C93">
              <w:rPr>
                <w:b/>
                <w:lang w:val="en-GB"/>
              </w:rPr>
              <w:t xml:space="preserve"> </w:t>
            </w:r>
            <w:r w:rsidRPr="00486C93">
              <w:rPr>
                <w:b/>
                <w:sz w:val="16"/>
                <w:szCs w:val="16"/>
                <w:lang w:val="en-GB"/>
              </w:rPr>
              <w:t>in national and subnational decision-making bodies that are more representative</w:t>
            </w:r>
            <w:r w:rsidRPr="00486C93">
              <w:rPr>
                <w:sz w:val="16"/>
                <w:szCs w:val="16"/>
                <w:lang w:val="en-GB"/>
              </w:rPr>
              <w:t xml:space="preserve"> </w:t>
            </w:r>
          </w:p>
          <w:p w14:paraId="35397F3B" w14:textId="45FB4CC5" w:rsidR="009808E2" w:rsidRPr="00486C93" w:rsidRDefault="009808E2" w:rsidP="003D7C81">
            <w:pPr>
              <w:ind w:left="130"/>
              <w:rPr>
                <w:sz w:val="16"/>
                <w:szCs w:val="16"/>
                <w:lang w:val="en-GB"/>
              </w:rPr>
            </w:pPr>
            <w:r w:rsidRPr="00486C93">
              <w:rPr>
                <w:b/>
                <w:sz w:val="16"/>
                <w:szCs w:val="16"/>
                <w:lang w:val="en-GB"/>
              </w:rPr>
              <w:t xml:space="preserve">Indicative </w:t>
            </w:r>
            <w:r w:rsidR="003969E8">
              <w:rPr>
                <w:b/>
                <w:sz w:val="16"/>
                <w:szCs w:val="16"/>
                <w:lang w:val="en-GB"/>
              </w:rPr>
              <w:t>i</w:t>
            </w:r>
            <w:r w:rsidRPr="00486C93">
              <w:rPr>
                <w:b/>
                <w:sz w:val="16"/>
                <w:szCs w:val="16"/>
                <w:lang w:val="en-GB"/>
              </w:rPr>
              <w:t>ndicator 5.1.1</w:t>
            </w:r>
            <w:r w:rsidR="00872B5E">
              <w:rPr>
                <w:b/>
                <w:sz w:val="16"/>
                <w:szCs w:val="16"/>
                <w:lang w:val="en-GB"/>
              </w:rPr>
              <w:t>.</w:t>
            </w:r>
            <w:r w:rsidRPr="00486C93">
              <w:rPr>
                <w:b/>
                <w:sz w:val="16"/>
                <w:szCs w:val="16"/>
                <w:lang w:val="en-GB"/>
              </w:rPr>
              <w:t xml:space="preserve"> </w:t>
            </w:r>
            <w:r w:rsidRPr="00486C93">
              <w:rPr>
                <w:sz w:val="16"/>
                <w:szCs w:val="16"/>
                <w:lang w:val="en-GB"/>
              </w:rPr>
              <w:t>Proportion of women (to men) participating as candidates in national election</w:t>
            </w:r>
            <w:r w:rsidR="00150C7A" w:rsidRPr="00486C93">
              <w:rPr>
                <w:sz w:val="16"/>
                <w:szCs w:val="16"/>
                <w:lang w:val="en-GB"/>
              </w:rPr>
              <w:t>s</w:t>
            </w:r>
          </w:p>
          <w:p w14:paraId="79D2C3C9" w14:textId="77777777" w:rsidR="009808E2" w:rsidRPr="00486C93" w:rsidRDefault="009808E2" w:rsidP="003D7C81">
            <w:pPr>
              <w:ind w:left="130"/>
              <w:rPr>
                <w:sz w:val="16"/>
                <w:szCs w:val="16"/>
                <w:lang w:val="en-GB"/>
              </w:rPr>
            </w:pPr>
            <w:r w:rsidRPr="00486C93">
              <w:rPr>
                <w:b/>
                <w:sz w:val="16"/>
                <w:szCs w:val="16"/>
                <w:lang w:val="en-GB"/>
              </w:rPr>
              <w:t>Baseline (2016):</w:t>
            </w:r>
            <w:r w:rsidRPr="00486C93">
              <w:rPr>
                <w:sz w:val="16"/>
                <w:szCs w:val="16"/>
                <w:lang w:val="en-GB"/>
              </w:rPr>
              <w:t xml:space="preserve"> 10.6 per cent</w:t>
            </w:r>
          </w:p>
          <w:p w14:paraId="25ADEF8E" w14:textId="77777777" w:rsidR="00A55736" w:rsidRPr="00486C93" w:rsidRDefault="009808E2" w:rsidP="003D7C81">
            <w:pPr>
              <w:ind w:left="130"/>
              <w:rPr>
                <w:sz w:val="16"/>
                <w:szCs w:val="16"/>
                <w:lang w:val="en-GB"/>
              </w:rPr>
            </w:pPr>
            <w:r w:rsidRPr="00486C93">
              <w:rPr>
                <w:b/>
                <w:sz w:val="16"/>
                <w:szCs w:val="16"/>
                <w:lang w:val="en-GB"/>
              </w:rPr>
              <w:t>Target:</w:t>
            </w:r>
            <w:r w:rsidRPr="00486C93">
              <w:rPr>
                <w:sz w:val="16"/>
                <w:szCs w:val="16"/>
                <w:lang w:val="en-GB"/>
              </w:rPr>
              <w:t xml:space="preserve"> 25 per cent</w:t>
            </w:r>
          </w:p>
          <w:p w14:paraId="154DE530" w14:textId="685E2AE4" w:rsidR="003326A1" w:rsidRPr="00396E55" w:rsidRDefault="009808E2" w:rsidP="003326A1">
            <w:pPr>
              <w:spacing w:after="80"/>
              <w:rPr>
                <w:iCs/>
                <w:sz w:val="16"/>
                <w:szCs w:val="16"/>
                <w:lang w:val="en-GB"/>
              </w:rPr>
            </w:pPr>
            <w:r w:rsidRPr="00486C93">
              <w:rPr>
                <w:b/>
                <w:sz w:val="16"/>
                <w:szCs w:val="16"/>
                <w:lang w:val="en-GB"/>
              </w:rPr>
              <w:t xml:space="preserve">Data source: </w:t>
            </w:r>
            <w:r w:rsidRPr="00486C93">
              <w:rPr>
                <w:sz w:val="16"/>
                <w:szCs w:val="16"/>
                <w:lang w:val="en-GB"/>
              </w:rPr>
              <w:t>Electoral management bodies, Inter-Parliamentary Union database (annual)</w:t>
            </w:r>
            <w:r w:rsidR="003326A1" w:rsidRPr="00396E55">
              <w:rPr>
                <w:iCs/>
                <w:sz w:val="16"/>
                <w:szCs w:val="16"/>
                <w:lang w:val="en-GB"/>
              </w:rPr>
              <w:t xml:space="preserve"> </w:t>
            </w:r>
          </w:p>
          <w:p w14:paraId="4EEF8473" w14:textId="410CEB6A" w:rsidR="00A55736" w:rsidRPr="00486C93" w:rsidRDefault="00A55736" w:rsidP="003D7C81">
            <w:pPr>
              <w:ind w:left="130"/>
              <w:rPr>
                <w:sz w:val="16"/>
                <w:szCs w:val="16"/>
                <w:lang w:val="en-GB"/>
              </w:rPr>
            </w:pPr>
            <w:r w:rsidRPr="00486C93">
              <w:rPr>
                <w:b/>
                <w:sz w:val="16"/>
                <w:szCs w:val="16"/>
                <w:lang w:val="en-GB"/>
              </w:rPr>
              <w:t xml:space="preserve">Indicative </w:t>
            </w:r>
            <w:r w:rsidR="003969E8">
              <w:rPr>
                <w:b/>
                <w:sz w:val="16"/>
                <w:szCs w:val="16"/>
                <w:lang w:val="en-GB"/>
              </w:rPr>
              <w:t>i</w:t>
            </w:r>
            <w:r w:rsidRPr="00486C93">
              <w:rPr>
                <w:b/>
                <w:sz w:val="16"/>
                <w:szCs w:val="16"/>
                <w:lang w:val="en-GB"/>
              </w:rPr>
              <w:t>ndicator 5.1.2</w:t>
            </w:r>
            <w:r w:rsidR="00872B5E">
              <w:rPr>
                <w:b/>
                <w:sz w:val="16"/>
                <w:szCs w:val="16"/>
                <w:lang w:val="en-GB"/>
              </w:rPr>
              <w:t>.</w:t>
            </w:r>
            <w:r w:rsidRPr="00486C93">
              <w:rPr>
                <w:sz w:val="16"/>
                <w:szCs w:val="16"/>
                <w:lang w:val="en-GB"/>
              </w:rPr>
              <w:t xml:space="preserve"> Number of countries with increased participation by </w:t>
            </w:r>
            <w:r w:rsidRPr="00486C93">
              <w:rPr>
                <w:sz w:val="16"/>
                <w:szCs w:val="16"/>
                <w:lang w:val="en-GB"/>
              </w:rPr>
              <w:lastRenderedPageBreak/>
              <w:t xml:space="preserve">citizens in Parliament work through giving evidence to </w:t>
            </w:r>
            <w:r w:rsidR="00EE4B7D" w:rsidRPr="00486C93">
              <w:rPr>
                <w:sz w:val="16"/>
                <w:szCs w:val="16"/>
                <w:lang w:val="en-GB"/>
              </w:rPr>
              <w:t xml:space="preserve">Parliament </w:t>
            </w:r>
            <w:r w:rsidRPr="00486C93">
              <w:rPr>
                <w:sz w:val="16"/>
                <w:szCs w:val="16"/>
                <w:lang w:val="en-GB"/>
              </w:rPr>
              <w:t xml:space="preserve">committees, disaggregated by gender </w:t>
            </w:r>
          </w:p>
          <w:p w14:paraId="55B902CC" w14:textId="77777777" w:rsidR="00A55736" w:rsidRPr="00486C93" w:rsidRDefault="00A55736" w:rsidP="003D7C81">
            <w:pPr>
              <w:ind w:left="130"/>
              <w:rPr>
                <w:sz w:val="16"/>
                <w:szCs w:val="16"/>
                <w:lang w:val="en-GB"/>
              </w:rPr>
            </w:pPr>
            <w:r w:rsidRPr="00486C93">
              <w:rPr>
                <w:b/>
                <w:sz w:val="16"/>
                <w:szCs w:val="16"/>
                <w:lang w:val="en-GB"/>
              </w:rPr>
              <w:t>Baseline (2016)</w:t>
            </w:r>
            <w:r w:rsidRPr="00486C93">
              <w:rPr>
                <w:sz w:val="16"/>
                <w:szCs w:val="16"/>
                <w:lang w:val="en-GB"/>
              </w:rPr>
              <w:t xml:space="preserve">: </w:t>
            </w:r>
            <w:r w:rsidR="009A3907" w:rsidRPr="00486C93">
              <w:rPr>
                <w:sz w:val="16"/>
                <w:szCs w:val="16"/>
                <w:lang w:val="en-GB"/>
              </w:rPr>
              <w:t>0</w:t>
            </w:r>
          </w:p>
          <w:p w14:paraId="35AD2FD7" w14:textId="77777777" w:rsidR="00A55736" w:rsidRPr="00486C93" w:rsidRDefault="00A55736" w:rsidP="003D7C81">
            <w:pPr>
              <w:ind w:left="130"/>
              <w:rPr>
                <w:sz w:val="16"/>
                <w:szCs w:val="16"/>
                <w:lang w:val="en-GB"/>
              </w:rPr>
            </w:pPr>
            <w:r w:rsidRPr="00486C93">
              <w:rPr>
                <w:b/>
                <w:sz w:val="16"/>
                <w:szCs w:val="16"/>
                <w:lang w:val="en-GB"/>
              </w:rPr>
              <w:t>Target</w:t>
            </w:r>
            <w:r w:rsidRPr="00486C93">
              <w:rPr>
                <w:sz w:val="16"/>
                <w:szCs w:val="16"/>
                <w:lang w:val="en-GB"/>
              </w:rPr>
              <w:t>: 6</w:t>
            </w:r>
          </w:p>
          <w:p w14:paraId="79DC055F" w14:textId="77777777" w:rsidR="003326A1" w:rsidRPr="00396E55" w:rsidRDefault="00A55736" w:rsidP="003326A1">
            <w:pPr>
              <w:spacing w:after="80"/>
              <w:rPr>
                <w:iCs/>
                <w:sz w:val="16"/>
                <w:szCs w:val="16"/>
                <w:lang w:val="en-GB"/>
              </w:rPr>
            </w:pPr>
            <w:r w:rsidRPr="00486C93">
              <w:rPr>
                <w:b/>
                <w:sz w:val="16"/>
                <w:szCs w:val="16"/>
                <w:lang w:val="en-GB"/>
              </w:rPr>
              <w:t>Data source</w:t>
            </w:r>
            <w:r w:rsidRPr="00486C93">
              <w:rPr>
                <w:sz w:val="16"/>
                <w:szCs w:val="16"/>
                <w:lang w:val="en-GB"/>
              </w:rPr>
              <w:t xml:space="preserve">: </w:t>
            </w:r>
            <w:r w:rsidR="00997A59" w:rsidRPr="00486C93">
              <w:rPr>
                <w:sz w:val="16"/>
                <w:szCs w:val="16"/>
                <w:lang w:val="en-GB"/>
              </w:rPr>
              <w:t>Project reports and s</w:t>
            </w:r>
            <w:r w:rsidRPr="00486C93">
              <w:rPr>
                <w:sz w:val="16"/>
                <w:szCs w:val="16"/>
                <w:lang w:val="en-GB"/>
              </w:rPr>
              <w:t>urveys</w:t>
            </w:r>
          </w:p>
          <w:p w14:paraId="64796741" w14:textId="626004D9" w:rsidR="003326A1" w:rsidRPr="00396E55" w:rsidRDefault="009808E2" w:rsidP="003326A1">
            <w:pPr>
              <w:spacing w:after="80"/>
              <w:rPr>
                <w:iCs/>
                <w:sz w:val="16"/>
                <w:szCs w:val="16"/>
                <w:lang w:val="en-GB"/>
              </w:rPr>
            </w:pPr>
            <w:r w:rsidRPr="00486C93">
              <w:rPr>
                <w:b/>
                <w:sz w:val="16"/>
                <w:szCs w:val="16"/>
                <w:lang w:val="en-GB"/>
              </w:rPr>
              <w:t>Output 5.2</w:t>
            </w:r>
            <w:r w:rsidR="00872B5E">
              <w:rPr>
                <w:b/>
                <w:sz w:val="16"/>
                <w:szCs w:val="16"/>
                <w:lang w:val="en-GB"/>
              </w:rPr>
              <w:t>.</w:t>
            </w:r>
            <w:r w:rsidR="00997A59" w:rsidRPr="00486C93">
              <w:rPr>
                <w:b/>
                <w:sz w:val="16"/>
                <w:szCs w:val="16"/>
                <w:lang w:val="en-GB"/>
              </w:rPr>
              <w:t xml:space="preserve"> </w:t>
            </w:r>
            <w:r w:rsidRPr="00486C93">
              <w:rPr>
                <w:b/>
                <w:sz w:val="16"/>
                <w:szCs w:val="16"/>
                <w:lang w:val="en-GB"/>
              </w:rPr>
              <w:t>Increased transparency and accountability in governance institutions and formal and informal decision-making processes</w:t>
            </w:r>
            <w:r w:rsidR="00373263">
              <w:rPr>
                <w:b/>
                <w:sz w:val="16"/>
                <w:szCs w:val="16"/>
                <w:lang w:val="en-GB"/>
              </w:rPr>
              <w:t>.</w:t>
            </w:r>
            <w:r w:rsidR="003326A1" w:rsidRPr="00396E55">
              <w:rPr>
                <w:iCs/>
                <w:sz w:val="16"/>
                <w:szCs w:val="16"/>
                <w:lang w:val="en-GB"/>
              </w:rPr>
              <w:t xml:space="preserve"> </w:t>
            </w:r>
          </w:p>
          <w:p w14:paraId="096B0AA0" w14:textId="2B2EEF7F" w:rsidR="009808E2" w:rsidRPr="00486C93" w:rsidRDefault="009808E2" w:rsidP="00997A59">
            <w:pPr>
              <w:ind w:left="130"/>
              <w:rPr>
                <w:sz w:val="16"/>
                <w:szCs w:val="16"/>
                <w:lang w:val="en-GB"/>
              </w:rPr>
            </w:pPr>
            <w:r w:rsidRPr="00486C93">
              <w:rPr>
                <w:b/>
                <w:sz w:val="16"/>
                <w:szCs w:val="16"/>
                <w:lang w:val="en-GB"/>
              </w:rPr>
              <w:t xml:space="preserve">Indicative </w:t>
            </w:r>
            <w:r w:rsidR="003969E8">
              <w:rPr>
                <w:b/>
                <w:sz w:val="16"/>
                <w:szCs w:val="16"/>
                <w:lang w:val="en-GB"/>
              </w:rPr>
              <w:t>i</w:t>
            </w:r>
            <w:r w:rsidRPr="00486C93">
              <w:rPr>
                <w:b/>
                <w:sz w:val="16"/>
                <w:szCs w:val="16"/>
                <w:lang w:val="en-GB"/>
              </w:rPr>
              <w:t>ndicator 5.2.1</w:t>
            </w:r>
            <w:r w:rsidRPr="00486C93">
              <w:rPr>
                <w:sz w:val="16"/>
                <w:szCs w:val="16"/>
                <w:lang w:val="en-GB"/>
              </w:rPr>
              <w:t>:</w:t>
            </w:r>
            <w:r w:rsidR="002E4E89" w:rsidRPr="00486C93">
              <w:rPr>
                <w:sz w:val="16"/>
                <w:szCs w:val="16"/>
                <w:lang w:val="en-GB"/>
              </w:rPr>
              <w:t xml:space="preserve"> Number of countries in which </w:t>
            </w:r>
            <w:r w:rsidRPr="00486C93">
              <w:rPr>
                <w:sz w:val="16"/>
                <w:szCs w:val="16"/>
                <w:lang w:val="en-GB"/>
              </w:rPr>
              <w:t xml:space="preserve">Parliaments are </w:t>
            </w:r>
            <w:r w:rsidR="002E4E89" w:rsidRPr="00486C93">
              <w:rPr>
                <w:sz w:val="16"/>
                <w:szCs w:val="16"/>
                <w:lang w:val="en-GB"/>
              </w:rPr>
              <w:t xml:space="preserve">more </w:t>
            </w:r>
            <w:r w:rsidRPr="00486C93">
              <w:rPr>
                <w:sz w:val="16"/>
                <w:szCs w:val="16"/>
                <w:lang w:val="en-GB"/>
              </w:rPr>
              <w:t>effective in their oversight functions</w:t>
            </w:r>
          </w:p>
          <w:p w14:paraId="6A83415D" w14:textId="77777777" w:rsidR="009808E2" w:rsidRPr="00486C93" w:rsidRDefault="009808E2" w:rsidP="00997A59">
            <w:pPr>
              <w:ind w:left="130"/>
              <w:rPr>
                <w:sz w:val="16"/>
                <w:szCs w:val="16"/>
                <w:lang w:val="en-GB"/>
              </w:rPr>
            </w:pPr>
            <w:r w:rsidRPr="00486C93">
              <w:rPr>
                <w:b/>
                <w:sz w:val="16"/>
                <w:szCs w:val="16"/>
                <w:lang w:val="en-GB"/>
              </w:rPr>
              <w:t xml:space="preserve">Baseline (2017): </w:t>
            </w:r>
            <w:r w:rsidR="005C3FCC" w:rsidRPr="00486C93">
              <w:rPr>
                <w:sz w:val="16"/>
                <w:szCs w:val="16"/>
                <w:lang w:val="en-GB"/>
              </w:rPr>
              <w:t>0</w:t>
            </w:r>
          </w:p>
          <w:p w14:paraId="486F7130" w14:textId="77777777" w:rsidR="009808E2" w:rsidRPr="00486C93" w:rsidRDefault="009808E2" w:rsidP="00997A59">
            <w:pPr>
              <w:ind w:left="130"/>
              <w:rPr>
                <w:sz w:val="16"/>
                <w:szCs w:val="16"/>
                <w:lang w:val="en-GB"/>
              </w:rPr>
            </w:pPr>
            <w:r w:rsidRPr="00486C93">
              <w:rPr>
                <w:b/>
                <w:sz w:val="16"/>
                <w:szCs w:val="16"/>
                <w:lang w:val="en-GB"/>
              </w:rPr>
              <w:t>Target:</w:t>
            </w:r>
            <w:r w:rsidRPr="00486C93">
              <w:rPr>
                <w:sz w:val="16"/>
                <w:szCs w:val="16"/>
                <w:lang w:val="en-GB"/>
              </w:rPr>
              <w:t xml:space="preserve"> </w:t>
            </w:r>
            <w:r w:rsidR="005C3FCC" w:rsidRPr="00486C93">
              <w:rPr>
                <w:sz w:val="16"/>
                <w:szCs w:val="16"/>
                <w:lang w:val="en-GB"/>
              </w:rPr>
              <w:t>7</w:t>
            </w:r>
          </w:p>
          <w:p w14:paraId="3948926A" w14:textId="3025C659" w:rsidR="003326A1" w:rsidRPr="00396E55" w:rsidRDefault="009808E2" w:rsidP="003326A1">
            <w:pPr>
              <w:spacing w:after="80"/>
              <w:rPr>
                <w:iCs/>
                <w:sz w:val="16"/>
                <w:szCs w:val="16"/>
                <w:lang w:val="en-GB"/>
              </w:rPr>
            </w:pPr>
            <w:r w:rsidRPr="00486C93">
              <w:rPr>
                <w:b/>
                <w:iCs/>
                <w:sz w:val="16"/>
                <w:szCs w:val="16"/>
                <w:lang w:val="en-GB"/>
              </w:rPr>
              <w:t xml:space="preserve">Data source: </w:t>
            </w:r>
            <w:r w:rsidRPr="00486C93">
              <w:rPr>
                <w:iCs/>
                <w:sz w:val="16"/>
                <w:szCs w:val="16"/>
                <w:lang w:val="en-GB"/>
              </w:rPr>
              <w:t>UNDP assessments/surveys (mid-term and end-of-cycle)</w:t>
            </w:r>
            <w:r w:rsidR="003326A1" w:rsidRPr="00396E55">
              <w:rPr>
                <w:iCs/>
                <w:sz w:val="16"/>
                <w:szCs w:val="16"/>
                <w:lang w:val="en-GB"/>
              </w:rPr>
              <w:t xml:space="preserve"> </w:t>
            </w:r>
          </w:p>
          <w:p w14:paraId="2F6F6977" w14:textId="5A52C269" w:rsidR="009808E2" w:rsidRPr="00486C93" w:rsidRDefault="009808E2" w:rsidP="004F28C6">
            <w:pPr>
              <w:ind w:left="130"/>
              <w:rPr>
                <w:sz w:val="16"/>
                <w:szCs w:val="16"/>
                <w:lang w:val="en-GB"/>
              </w:rPr>
            </w:pPr>
            <w:r w:rsidRPr="00486C93">
              <w:rPr>
                <w:b/>
                <w:sz w:val="16"/>
                <w:szCs w:val="16"/>
                <w:lang w:val="en-GB"/>
              </w:rPr>
              <w:t xml:space="preserve">Indicative </w:t>
            </w:r>
            <w:r w:rsidR="003969E8">
              <w:rPr>
                <w:b/>
                <w:sz w:val="16"/>
                <w:szCs w:val="16"/>
                <w:lang w:val="en-GB"/>
              </w:rPr>
              <w:t>i</w:t>
            </w:r>
            <w:r w:rsidRPr="00486C93">
              <w:rPr>
                <w:b/>
                <w:sz w:val="16"/>
                <w:szCs w:val="16"/>
                <w:lang w:val="en-GB"/>
              </w:rPr>
              <w:t>ndicator 5.2.2</w:t>
            </w:r>
            <w:r w:rsidR="00872B5E">
              <w:rPr>
                <w:b/>
                <w:sz w:val="16"/>
                <w:szCs w:val="16"/>
                <w:lang w:val="en-GB"/>
              </w:rPr>
              <w:t>.</w:t>
            </w:r>
            <w:r w:rsidRPr="00486C93">
              <w:rPr>
                <w:lang w:val="en-GB"/>
              </w:rPr>
              <w:t xml:space="preserve"> </w:t>
            </w:r>
            <w:r w:rsidRPr="00486C93">
              <w:rPr>
                <w:sz w:val="16"/>
                <w:szCs w:val="16"/>
                <w:lang w:val="en-GB"/>
              </w:rPr>
              <w:t>Number of countries that address more than 60</w:t>
            </w:r>
            <w:r w:rsidR="00872B5E">
              <w:rPr>
                <w:sz w:val="16"/>
                <w:szCs w:val="16"/>
                <w:lang w:val="en-GB"/>
              </w:rPr>
              <w:t>%</w:t>
            </w:r>
            <w:r w:rsidRPr="00486C93">
              <w:rPr>
                <w:sz w:val="16"/>
                <w:szCs w:val="16"/>
                <w:lang w:val="en-GB"/>
              </w:rPr>
              <w:t xml:space="preserve"> of gaps identified in UNCAC reviews</w:t>
            </w:r>
          </w:p>
          <w:p w14:paraId="602DD617" w14:textId="77777777" w:rsidR="009808E2" w:rsidRPr="00486C93" w:rsidRDefault="009808E2" w:rsidP="00EB3758">
            <w:pPr>
              <w:ind w:left="130"/>
              <w:rPr>
                <w:b/>
                <w:sz w:val="16"/>
                <w:szCs w:val="16"/>
                <w:lang w:val="en-GB"/>
              </w:rPr>
            </w:pPr>
            <w:r w:rsidRPr="00486C93">
              <w:rPr>
                <w:b/>
                <w:sz w:val="16"/>
                <w:szCs w:val="16"/>
                <w:lang w:val="en-GB"/>
              </w:rPr>
              <w:t xml:space="preserve">Baseline (2016): </w:t>
            </w:r>
            <w:r w:rsidRPr="00486C93">
              <w:rPr>
                <w:sz w:val="16"/>
                <w:szCs w:val="16"/>
                <w:lang w:val="en-GB"/>
              </w:rPr>
              <w:t>0</w:t>
            </w:r>
          </w:p>
          <w:p w14:paraId="597B24B8" w14:textId="77777777" w:rsidR="009808E2" w:rsidRPr="00486C93" w:rsidRDefault="009808E2" w:rsidP="00EB3758">
            <w:pPr>
              <w:ind w:left="130"/>
              <w:rPr>
                <w:sz w:val="16"/>
                <w:szCs w:val="16"/>
                <w:lang w:val="en-GB"/>
              </w:rPr>
            </w:pPr>
            <w:r w:rsidRPr="00486C93">
              <w:rPr>
                <w:b/>
                <w:sz w:val="16"/>
                <w:szCs w:val="16"/>
                <w:lang w:val="en-GB"/>
              </w:rPr>
              <w:t>Target:</w:t>
            </w:r>
            <w:r w:rsidRPr="00486C93">
              <w:rPr>
                <w:sz w:val="16"/>
                <w:szCs w:val="16"/>
                <w:lang w:val="en-GB"/>
              </w:rPr>
              <w:t xml:space="preserve"> 7</w:t>
            </w:r>
          </w:p>
          <w:p w14:paraId="5D5533B2" w14:textId="28AD1C6A" w:rsidR="003326A1" w:rsidRPr="00396E55" w:rsidRDefault="009808E2" w:rsidP="003326A1">
            <w:pPr>
              <w:spacing w:after="80"/>
              <w:rPr>
                <w:iCs/>
                <w:sz w:val="16"/>
                <w:szCs w:val="16"/>
                <w:lang w:val="en-GB"/>
              </w:rPr>
            </w:pPr>
            <w:r w:rsidRPr="00486C93">
              <w:rPr>
                <w:b/>
                <w:iCs/>
                <w:sz w:val="16"/>
                <w:szCs w:val="16"/>
                <w:lang w:val="en-GB"/>
              </w:rPr>
              <w:t xml:space="preserve">Data source: </w:t>
            </w:r>
            <w:r w:rsidRPr="00486C93">
              <w:rPr>
                <w:iCs/>
                <w:sz w:val="16"/>
                <w:szCs w:val="16"/>
                <w:lang w:val="en-GB"/>
              </w:rPr>
              <w:t>UNCAC review reports</w:t>
            </w:r>
            <w:r w:rsidR="00257DD1" w:rsidRPr="00486C93">
              <w:rPr>
                <w:iCs/>
                <w:sz w:val="16"/>
                <w:szCs w:val="16"/>
                <w:lang w:val="en-GB"/>
              </w:rPr>
              <w:t xml:space="preserve"> (once per country approx. every five years)</w:t>
            </w:r>
            <w:r w:rsidRPr="00486C93">
              <w:rPr>
                <w:iCs/>
                <w:sz w:val="16"/>
                <w:szCs w:val="16"/>
                <w:lang w:val="en-GB"/>
              </w:rPr>
              <w:t>, national policy documents (mid-term and end-of-cycle)</w:t>
            </w:r>
            <w:r w:rsidR="003326A1" w:rsidRPr="00396E55">
              <w:rPr>
                <w:iCs/>
                <w:sz w:val="16"/>
                <w:szCs w:val="16"/>
                <w:lang w:val="en-GB"/>
              </w:rPr>
              <w:t xml:space="preserve"> </w:t>
            </w:r>
          </w:p>
          <w:p w14:paraId="2A6CF5FA" w14:textId="46E62DCA" w:rsidR="003326A1" w:rsidRPr="00396E55" w:rsidRDefault="009808E2" w:rsidP="003326A1">
            <w:pPr>
              <w:spacing w:after="80"/>
              <w:rPr>
                <w:iCs/>
                <w:sz w:val="16"/>
                <w:szCs w:val="16"/>
                <w:lang w:val="en-GB"/>
              </w:rPr>
            </w:pPr>
            <w:r w:rsidRPr="004435B3">
              <w:rPr>
                <w:b/>
                <w:iCs/>
                <w:sz w:val="16"/>
                <w:szCs w:val="16"/>
                <w:lang w:val="en-GB"/>
              </w:rPr>
              <w:t>Output 5.3</w:t>
            </w:r>
            <w:r w:rsidR="00373263">
              <w:rPr>
                <w:b/>
                <w:iCs/>
                <w:sz w:val="16"/>
                <w:szCs w:val="16"/>
                <w:lang w:val="en-GB"/>
              </w:rPr>
              <w:t>.</w:t>
            </w:r>
            <w:r w:rsidR="00EB3758" w:rsidRPr="004435B3">
              <w:rPr>
                <w:b/>
                <w:iCs/>
                <w:sz w:val="16"/>
                <w:szCs w:val="16"/>
                <w:lang w:val="en-GB"/>
              </w:rPr>
              <w:t xml:space="preserve"> </w:t>
            </w:r>
            <w:r w:rsidRPr="00486C93">
              <w:rPr>
                <w:b/>
                <w:sz w:val="16"/>
                <w:szCs w:val="16"/>
                <w:lang w:val="en-GB"/>
              </w:rPr>
              <w:t>More women and men benefit from strengthened governance systems for equitable service delivery, including access to justice</w:t>
            </w:r>
            <w:r w:rsidR="00373263">
              <w:rPr>
                <w:b/>
                <w:sz w:val="16"/>
                <w:szCs w:val="16"/>
                <w:lang w:val="en-GB"/>
              </w:rPr>
              <w:t>.</w:t>
            </w:r>
            <w:r w:rsidRPr="00486C93">
              <w:rPr>
                <w:b/>
                <w:sz w:val="16"/>
                <w:szCs w:val="16"/>
                <w:lang w:val="en-GB"/>
              </w:rPr>
              <w:t xml:space="preserve">  </w:t>
            </w:r>
          </w:p>
          <w:p w14:paraId="4D25ADAC" w14:textId="029BFCA9" w:rsidR="009808E2" w:rsidRPr="00486C93" w:rsidRDefault="009808E2" w:rsidP="00EB3758">
            <w:pPr>
              <w:ind w:left="130"/>
              <w:rPr>
                <w:sz w:val="16"/>
                <w:szCs w:val="16"/>
                <w:lang w:val="en-GB"/>
              </w:rPr>
            </w:pPr>
            <w:r w:rsidRPr="00486C93">
              <w:rPr>
                <w:b/>
                <w:sz w:val="16"/>
                <w:szCs w:val="16"/>
                <w:lang w:val="en-GB"/>
              </w:rPr>
              <w:t xml:space="preserve">Indicative </w:t>
            </w:r>
            <w:r w:rsidR="003969E8">
              <w:rPr>
                <w:b/>
                <w:sz w:val="16"/>
                <w:szCs w:val="16"/>
                <w:lang w:val="en-GB"/>
              </w:rPr>
              <w:t>i</w:t>
            </w:r>
            <w:r w:rsidRPr="00486C93">
              <w:rPr>
                <w:b/>
                <w:sz w:val="16"/>
                <w:szCs w:val="16"/>
                <w:lang w:val="en-GB"/>
              </w:rPr>
              <w:t>ndicator 5.3.1</w:t>
            </w:r>
            <w:r w:rsidR="00373263">
              <w:rPr>
                <w:b/>
                <w:sz w:val="16"/>
                <w:szCs w:val="16"/>
                <w:lang w:val="en-GB"/>
              </w:rPr>
              <w:t>.</w:t>
            </w:r>
            <w:r w:rsidRPr="00486C93">
              <w:rPr>
                <w:b/>
                <w:sz w:val="16"/>
                <w:szCs w:val="16"/>
                <w:lang w:val="en-GB"/>
              </w:rPr>
              <w:t xml:space="preserve"> </w:t>
            </w:r>
            <w:r w:rsidRPr="00486C93">
              <w:rPr>
                <w:sz w:val="16"/>
                <w:szCs w:val="16"/>
                <w:lang w:val="en-GB"/>
              </w:rPr>
              <w:t>Number of project beneficiaries, disaggregated by sex</w:t>
            </w:r>
            <w:r w:rsidR="00DC493A" w:rsidRPr="00486C93">
              <w:rPr>
                <w:sz w:val="16"/>
                <w:szCs w:val="16"/>
                <w:lang w:val="en-GB"/>
              </w:rPr>
              <w:t xml:space="preserve"> and rural/urban</w:t>
            </w:r>
            <w:r w:rsidR="00B22B0F" w:rsidRPr="00486C93">
              <w:rPr>
                <w:sz w:val="16"/>
                <w:szCs w:val="16"/>
                <w:lang w:val="en-GB"/>
              </w:rPr>
              <w:t xml:space="preserve"> localities</w:t>
            </w:r>
            <w:r w:rsidRPr="00486C93">
              <w:rPr>
                <w:sz w:val="16"/>
                <w:szCs w:val="16"/>
                <w:lang w:val="en-GB"/>
              </w:rPr>
              <w:t>, with access to legal aid services</w:t>
            </w:r>
          </w:p>
          <w:p w14:paraId="39846BFD" w14:textId="77777777" w:rsidR="00DC493A" w:rsidRPr="00486C93" w:rsidRDefault="009808E2" w:rsidP="00EB3758">
            <w:pPr>
              <w:ind w:left="130"/>
              <w:rPr>
                <w:sz w:val="16"/>
                <w:szCs w:val="16"/>
                <w:lang w:val="en-GB"/>
              </w:rPr>
            </w:pPr>
            <w:r w:rsidRPr="00486C93">
              <w:rPr>
                <w:b/>
                <w:sz w:val="16"/>
                <w:szCs w:val="16"/>
                <w:lang w:val="en-GB"/>
              </w:rPr>
              <w:t>Baseline (2016):</w:t>
            </w:r>
            <w:r w:rsidRPr="00486C93">
              <w:rPr>
                <w:sz w:val="16"/>
                <w:szCs w:val="16"/>
                <w:lang w:val="en-GB"/>
              </w:rPr>
              <w:t xml:space="preserve"> 1,117 (male); 1,815 (female)</w:t>
            </w:r>
            <w:r w:rsidR="00DC493A" w:rsidRPr="00486C93">
              <w:rPr>
                <w:sz w:val="16"/>
                <w:szCs w:val="16"/>
                <w:lang w:val="en-GB"/>
              </w:rPr>
              <w:t>; 80% rural and 20% urban</w:t>
            </w:r>
          </w:p>
          <w:p w14:paraId="282F8DD9" w14:textId="77777777" w:rsidR="009808E2" w:rsidRPr="00486C93" w:rsidRDefault="009808E2" w:rsidP="00EB3758">
            <w:pPr>
              <w:ind w:left="130"/>
              <w:rPr>
                <w:sz w:val="16"/>
                <w:szCs w:val="16"/>
                <w:lang w:val="en-GB"/>
              </w:rPr>
            </w:pPr>
            <w:r w:rsidRPr="00486C93">
              <w:rPr>
                <w:b/>
                <w:sz w:val="16"/>
                <w:szCs w:val="16"/>
                <w:lang w:val="en-GB"/>
              </w:rPr>
              <w:t>Target:</w:t>
            </w:r>
            <w:r w:rsidRPr="00486C93">
              <w:rPr>
                <w:sz w:val="16"/>
                <w:szCs w:val="16"/>
                <w:lang w:val="en-GB"/>
              </w:rPr>
              <w:t xml:space="preserve"> 6,000 (male); 9,000 (female)</w:t>
            </w:r>
            <w:r w:rsidR="00DC493A" w:rsidRPr="00486C93">
              <w:rPr>
                <w:sz w:val="16"/>
                <w:szCs w:val="16"/>
                <w:lang w:val="en-GB"/>
              </w:rPr>
              <w:t>; 80% rural and 20% urban</w:t>
            </w:r>
          </w:p>
          <w:p w14:paraId="0E86D45E" w14:textId="658DD93C" w:rsidR="003326A1" w:rsidRPr="00396E55" w:rsidRDefault="009808E2" w:rsidP="003326A1">
            <w:pPr>
              <w:spacing w:after="80"/>
              <w:rPr>
                <w:iCs/>
                <w:sz w:val="16"/>
                <w:szCs w:val="16"/>
                <w:lang w:val="en-GB"/>
              </w:rPr>
            </w:pPr>
            <w:r w:rsidRPr="00486C93">
              <w:rPr>
                <w:b/>
                <w:sz w:val="16"/>
                <w:szCs w:val="16"/>
                <w:lang w:val="en-GB"/>
              </w:rPr>
              <w:t xml:space="preserve">Data source: </w:t>
            </w:r>
            <w:r w:rsidR="00C9485F" w:rsidRPr="00486C93">
              <w:rPr>
                <w:sz w:val="16"/>
                <w:szCs w:val="16"/>
                <w:lang w:val="en-GB"/>
              </w:rPr>
              <w:t xml:space="preserve">UNDP project reports </w:t>
            </w:r>
            <w:r w:rsidRPr="00486C93">
              <w:rPr>
                <w:sz w:val="16"/>
                <w:szCs w:val="16"/>
                <w:lang w:val="en-GB"/>
              </w:rPr>
              <w:t>(annual)</w:t>
            </w:r>
            <w:r w:rsidR="003326A1" w:rsidRPr="00396E55">
              <w:rPr>
                <w:iCs/>
                <w:sz w:val="16"/>
                <w:szCs w:val="16"/>
                <w:lang w:val="en-GB"/>
              </w:rPr>
              <w:t xml:space="preserve"> </w:t>
            </w:r>
          </w:p>
          <w:p w14:paraId="625600C7" w14:textId="7DF814D1" w:rsidR="009808E2" w:rsidRPr="00486C93" w:rsidRDefault="009808E2" w:rsidP="00EB3758">
            <w:pPr>
              <w:tabs>
                <w:tab w:val="left" w:pos="2053"/>
              </w:tabs>
              <w:ind w:left="130"/>
              <w:rPr>
                <w:sz w:val="16"/>
                <w:szCs w:val="16"/>
                <w:lang w:val="en-GB"/>
              </w:rPr>
            </w:pPr>
            <w:r w:rsidRPr="004435B3">
              <w:rPr>
                <w:b/>
                <w:iCs/>
                <w:sz w:val="16"/>
                <w:szCs w:val="16"/>
                <w:lang w:val="en-GB"/>
              </w:rPr>
              <w:t xml:space="preserve">Indicative </w:t>
            </w:r>
            <w:r w:rsidR="003969E8">
              <w:rPr>
                <w:b/>
                <w:iCs/>
                <w:sz w:val="16"/>
                <w:szCs w:val="16"/>
                <w:lang w:val="en-GB"/>
              </w:rPr>
              <w:t>i</w:t>
            </w:r>
            <w:r w:rsidRPr="004435B3">
              <w:rPr>
                <w:b/>
                <w:iCs/>
                <w:sz w:val="16"/>
                <w:szCs w:val="16"/>
                <w:lang w:val="en-GB"/>
              </w:rPr>
              <w:t>ndicator 5.3.2</w:t>
            </w:r>
            <w:r w:rsidR="00373263">
              <w:rPr>
                <w:b/>
                <w:iCs/>
                <w:sz w:val="16"/>
                <w:szCs w:val="16"/>
                <w:lang w:val="en-GB"/>
              </w:rPr>
              <w:t>.</w:t>
            </w:r>
            <w:r w:rsidRPr="004435B3">
              <w:rPr>
                <w:iCs/>
                <w:sz w:val="16"/>
                <w:szCs w:val="16"/>
                <w:lang w:val="en-GB"/>
              </w:rPr>
              <w:t xml:space="preserve"> </w:t>
            </w:r>
            <w:r w:rsidRPr="00486C93">
              <w:rPr>
                <w:sz w:val="16"/>
                <w:szCs w:val="16"/>
                <w:lang w:val="en-GB"/>
              </w:rPr>
              <w:t>Number of countries implementing effective</w:t>
            </w:r>
            <w:r w:rsidR="003969E8">
              <w:rPr>
                <w:sz w:val="16"/>
                <w:szCs w:val="16"/>
                <w:lang w:val="en-GB"/>
              </w:rPr>
              <w:t xml:space="preserve"> </w:t>
            </w:r>
            <w:r w:rsidRPr="00486C93">
              <w:rPr>
                <w:sz w:val="16"/>
                <w:szCs w:val="16"/>
                <w:lang w:val="en-GB"/>
              </w:rPr>
              <w:t xml:space="preserve">multi-sectoral approaches to non-communicable diseases </w:t>
            </w:r>
          </w:p>
          <w:p w14:paraId="1868B580" w14:textId="77777777" w:rsidR="009808E2" w:rsidRPr="00486C93" w:rsidRDefault="009808E2" w:rsidP="00EB3758">
            <w:pPr>
              <w:ind w:left="130"/>
              <w:rPr>
                <w:b/>
                <w:sz w:val="16"/>
                <w:szCs w:val="16"/>
                <w:lang w:val="en-GB"/>
              </w:rPr>
            </w:pPr>
            <w:r w:rsidRPr="00486C93">
              <w:rPr>
                <w:b/>
                <w:sz w:val="16"/>
                <w:szCs w:val="16"/>
                <w:lang w:val="en-GB"/>
              </w:rPr>
              <w:t xml:space="preserve">Baseline (2017): </w:t>
            </w:r>
            <w:r w:rsidRPr="00486C93">
              <w:rPr>
                <w:sz w:val="16"/>
                <w:szCs w:val="16"/>
                <w:lang w:val="en-GB"/>
              </w:rPr>
              <w:t>0</w:t>
            </w:r>
          </w:p>
          <w:p w14:paraId="0407B5DD" w14:textId="77777777" w:rsidR="009808E2" w:rsidRPr="00486C93" w:rsidRDefault="009808E2" w:rsidP="00EB3758">
            <w:pPr>
              <w:ind w:left="130"/>
              <w:rPr>
                <w:sz w:val="16"/>
                <w:szCs w:val="16"/>
                <w:lang w:val="en-GB"/>
              </w:rPr>
            </w:pPr>
            <w:r w:rsidRPr="00486C93">
              <w:rPr>
                <w:b/>
                <w:sz w:val="16"/>
                <w:szCs w:val="16"/>
                <w:lang w:val="en-GB"/>
              </w:rPr>
              <w:t>Target:</w:t>
            </w:r>
            <w:r w:rsidRPr="00486C93">
              <w:rPr>
                <w:sz w:val="16"/>
                <w:szCs w:val="16"/>
                <w:lang w:val="en-GB"/>
              </w:rPr>
              <w:t xml:space="preserve"> 7</w:t>
            </w:r>
          </w:p>
          <w:p w14:paraId="36D881E7" w14:textId="73F35669" w:rsidR="009808E2" w:rsidRPr="004435B3" w:rsidRDefault="009808E2" w:rsidP="00486C93">
            <w:pPr>
              <w:rPr>
                <w:b/>
                <w:iCs/>
                <w:sz w:val="16"/>
                <w:szCs w:val="16"/>
                <w:lang w:val="en-GB"/>
              </w:rPr>
            </w:pPr>
            <w:r w:rsidRPr="004435B3">
              <w:rPr>
                <w:b/>
                <w:iCs/>
                <w:sz w:val="16"/>
                <w:szCs w:val="16"/>
                <w:lang w:val="en-GB"/>
              </w:rPr>
              <w:t xml:space="preserve">Data source: </w:t>
            </w:r>
            <w:r w:rsidRPr="004435B3">
              <w:rPr>
                <w:iCs/>
                <w:sz w:val="16"/>
                <w:szCs w:val="16"/>
                <w:lang w:val="en-GB"/>
              </w:rPr>
              <w:t>Ministries of Health (annual)</w:t>
            </w:r>
          </w:p>
        </w:tc>
        <w:tc>
          <w:tcPr>
            <w:tcW w:w="1006" w:type="pct"/>
            <w:vMerge w:val="restart"/>
          </w:tcPr>
          <w:p w14:paraId="2AFC519D" w14:textId="5FA6F357" w:rsidR="009808E2" w:rsidRPr="00486C93" w:rsidRDefault="009808E2" w:rsidP="00B6740A">
            <w:pPr>
              <w:rPr>
                <w:iCs/>
                <w:sz w:val="16"/>
                <w:szCs w:val="16"/>
                <w:lang w:val="en-GB"/>
              </w:rPr>
            </w:pPr>
            <w:r w:rsidRPr="00486C93">
              <w:rPr>
                <w:iCs/>
                <w:sz w:val="16"/>
                <w:szCs w:val="16"/>
                <w:lang w:val="en-GB"/>
              </w:rPr>
              <w:lastRenderedPageBreak/>
              <w:t xml:space="preserve">National </w:t>
            </w:r>
            <w:r w:rsidR="00872B5E">
              <w:rPr>
                <w:iCs/>
                <w:sz w:val="16"/>
                <w:szCs w:val="16"/>
                <w:lang w:val="en-GB"/>
              </w:rPr>
              <w:t>g</w:t>
            </w:r>
            <w:r w:rsidRPr="00486C93">
              <w:rPr>
                <w:iCs/>
                <w:sz w:val="16"/>
                <w:szCs w:val="16"/>
                <w:lang w:val="en-GB"/>
              </w:rPr>
              <w:t>overnments</w:t>
            </w:r>
          </w:p>
          <w:p w14:paraId="2CD3AD95" w14:textId="720A04A6" w:rsidR="009808E2" w:rsidRPr="00486C93" w:rsidRDefault="009808E2" w:rsidP="00B6740A">
            <w:pPr>
              <w:rPr>
                <w:iCs/>
                <w:sz w:val="16"/>
                <w:szCs w:val="16"/>
                <w:lang w:val="en-GB"/>
              </w:rPr>
            </w:pPr>
            <w:r w:rsidRPr="00486C93">
              <w:rPr>
                <w:iCs/>
                <w:sz w:val="16"/>
                <w:szCs w:val="16"/>
                <w:lang w:val="en-GB"/>
              </w:rPr>
              <w:t xml:space="preserve">Sub-national </w:t>
            </w:r>
            <w:r w:rsidR="00872B5E">
              <w:rPr>
                <w:iCs/>
                <w:sz w:val="16"/>
                <w:szCs w:val="16"/>
                <w:lang w:val="en-GB"/>
              </w:rPr>
              <w:t>g</w:t>
            </w:r>
            <w:r w:rsidRPr="00486C93">
              <w:rPr>
                <w:iCs/>
                <w:sz w:val="16"/>
                <w:szCs w:val="16"/>
                <w:lang w:val="en-GB"/>
              </w:rPr>
              <w:t>overnments</w:t>
            </w:r>
          </w:p>
          <w:p w14:paraId="4FB6F3C9" w14:textId="773DD202" w:rsidR="009808E2" w:rsidRPr="00486C93" w:rsidRDefault="009808E2" w:rsidP="00B6740A">
            <w:pPr>
              <w:rPr>
                <w:iCs/>
                <w:sz w:val="16"/>
                <w:szCs w:val="16"/>
                <w:lang w:val="en-GB"/>
              </w:rPr>
            </w:pPr>
            <w:r w:rsidRPr="00486C93">
              <w:rPr>
                <w:iCs/>
                <w:sz w:val="16"/>
                <w:szCs w:val="16"/>
                <w:lang w:val="en-GB"/>
              </w:rPr>
              <w:t xml:space="preserve">Integrity </w:t>
            </w:r>
            <w:r w:rsidR="003969E8">
              <w:rPr>
                <w:iCs/>
                <w:sz w:val="16"/>
                <w:szCs w:val="16"/>
                <w:lang w:val="en-GB"/>
              </w:rPr>
              <w:t>and</w:t>
            </w:r>
            <w:r w:rsidR="003969E8" w:rsidRPr="00486C93">
              <w:rPr>
                <w:iCs/>
                <w:sz w:val="16"/>
                <w:szCs w:val="16"/>
                <w:lang w:val="en-GB"/>
              </w:rPr>
              <w:t xml:space="preserve"> </w:t>
            </w:r>
            <w:r w:rsidRPr="00486C93">
              <w:rPr>
                <w:iCs/>
                <w:sz w:val="16"/>
                <w:szCs w:val="16"/>
                <w:lang w:val="en-GB"/>
              </w:rPr>
              <w:t>law enforcement agencies</w:t>
            </w:r>
          </w:p>
          <w:p w14:paraId="38B34AE0" w14:textId="46F0781C" w:rsidR="009808E2" w:rsidRPr="00486C93" w:rsidRDefault="009808E2" w:rsidP="00B6740A">
            <w:pPr>
              <w:rPr>
                <w:iCs/>
                <w:sz w:val="16"/>
                <w:szCs w:val="16"/>
                <w:lang w:val="en-GB"/>
              </w:rPr>
            </w:pPr>
            <w:r w:rsidRPr="00486C93">
              <w:rPr>
                <w:iCs/>
                <w:sz w:val="16"/>
                <w:szCs w:val="16"/>
                <w:lang w:val="en-GB"/>
              </w:rPr>
              <w:t>Auditor</w:t>
            </w:r>
            <w:r w:rsidR="00872B5E">
              <w:rPr>
                <w:iCs/>
                <w:sz w:val="16"/>
                <w:szCs w:val="16"/>
                <w:lang w:val="en-GB"/>
              </w:rPr>
              <w:t>s</w:t>
            </w:r>
            <w:r w:rsidRPr="00486C93">
              <w:rPr>
                <w:iCs/>
                <w:sz w:val="16"/>
                <w:szCs w:val="16"/>
                <w:lang w:val="en-GB"/>
              </w:rPr>
              <w:t xml:space="preserve"> </w:t>
            </w:r>
            <w:r w:rsidR="00872B5E">
              <w:rPr>
                <w:iCs/>
                <w:sz w:val="16"/>
                <w:szCs w:val="16"/>
                <w:lang w:val="en-GB"/>
              </w:rPr>
              <w:t>g</w:t>
            </w:r>
            <w:r w:rsidRPr="00486C93">
              <w:rPr>
                <w:iCs/>
                <w:sz w:val="16"/>
                <w:szCs w:val="16"/>
                <w:lang w:val="en-GB"/>
              </w:rPr>
              <w:t>eneral</w:t>
            </w:r>
          </w:p>
          <w:p w14:paraId="514C3995" w14:textId="77777777" w:rsidR="009808E2" w:rsidRPr="00486C93" w:rsidRDefault="009808E2" w:rsidP="00B6740A">
            <w:pPr>
              <w:rPr>
                <w:iCs/>
                <w:sz w:val="16"/>
                <w:szCs w:val="16"/>
                <w:lang w:val="en-GB"/>
              </w:rPr>
            </w:pPr>
            <w:r w:rsidRPr="00486C93">
              <w:rPr>
                <w:iCs/>
                <w:sz w:val="16"/>
                <w:szCs w:val="16"/>
                <w:lang w:val="en-GB"/>
              </w:rPr>
              <w:t>Ombudsmen’s offices</w:t>
            </w:r>
          </w:p>
          <w:p w14:paraId="7449EA88" w14:textId="28D6974A" w:rsidR="009808E2" w:rsidRPr="00486C93" w:rsidRDefault="009808E2" w:rsidP="00B6740A">
            <w:pPr>
              <w:rPr>
                <w:iCs/>
                <w:sz w:val="16"/>
                <w:szCs w:val="16"/>
                <w:lang w:val="en-GB"/>
              </w:rPr>
            </w:pPr>
            <w:r w:rsidRPr="00486C93">
              <w:rPr>
                <w:iCs/>
                <w:sz w:val="16"/>
                <w:szCs w:val="16"/>
                <w:lang w:val="en-GB"/>
              </w:rPr>
              <w:t xml:space="preserve">Legal </w:t>
            </w:r>
            <w:r w:rsidR="00872B5E">
              <w:rPr>
                <w:iCs/>
                <w:sz w:val="16"/>
                <w:szCs w:val="16"/>
                <w:lang w:val="en-GB"/>
              </w:rPr>
              <w:t>a</w:t>
            </w:r>
            <w:r w:rsidRPr="00486C93">
              <w:rPr>
                <w:iCs/>
                <w:sz w:val="16"/>
                <w:szCs w:val="16"/>
                <w:lang w:val="en-GB"/>
              </w:rPr>
              <w:t xml:space="preserve">id </w:t>
            </w:r>
            <w:r w:rsidR="00872B5E">
              <w:rPr>
                <w:iCs/>
                <w:sz w:val="16"/>
                <w:szCs w:val="16"/>
                <w:lang w:val="en-GB"/>
              </w:rPr>
              <w:t>c</w:t>
            </w:r>
            <w:r w:rsidRPr="00486C93">
              <w:rPr>
                <w:iCs/>
                <w:sz w:val="16"/>
                <w:szCs w:val="16"/>
                <w:lang w:val="en-GB"/>
              </w:rPr>
              <w:t>ommissions</w:t>
            </w:r>
          </w:p>
          <w:p w14:paraId="52B768B4" w14:textId="77777777" w:rsidR="009808E2" w:rsidRPr="00486C93" w:rsidRDefault="009808E2" w:rsidP="00B6740A">
            <w:pPr>
              <w:rPr>
                <w:iCs/>
                <w:sz w:val="16"/>
                <w:szCs w:val="16"/>
                <w:lang w:val="en-GB"/>
              </w:rPr>
            </w:pPr>
            <w:r w:rsidRPr="00486C93">
              <w:rPr>
                <w:iCs/>
                <w:sz w:val="16"/>
                <w:szCs w:val="16"/>
                <w:lang w:val="en-GB"/>
              </w:rPr>
              <w:t>Parliaments</w:t>
            </w:r>
          </w:p>
          <w:p w14:paraId="6138A09F" w14:textId="77777777" w:rsidR="009808E2" w:rsidRPr="00486C93" w:rsidRDefault="009808E2" w:rsidP="00B6740A">
            <w:pPr>
              <w:rPr>
                <w:iCs/>
                <w:sz w:val="16"/>
                <w:szCs w:val="16"/>
                <w:lang w:val="en-GB"/>
              </w:rPr>
            </w:pPr>
            <w:r w:rsidRPr="00486C93">
              <w:rPr>
                <w:iCs/>
                <w:sz w:val="16"/>
                <w:szCs w:val="16"/>
                <w:lang w:val="en-GB"/>
              </w:rPr>
              <w:t>Electoral Commissions</w:t>
            </w:r>
          </w:p>
          <w:p w14:paraId="5476EECB" w14:textId="77777777" w:rsidR="009808E2" w:rsidRPr="00486C93" w:rsidRDefault="009808E2" w:rsidP="00B6740A">
            <w:pPr>
              <w:rPr>
                <w:iCs/>
                <w:sz w:val="16"/>
                <w:szCs w:val="16"/>
                <w:lang w:val="en-GB"/>
              </w:rPr>
            </w:pPr>
            <w:r w:rsidRPr="00486C93">
              <w:rPr>
                <w:iCs/>
                <w:sz w:val="16"/>
                <w:szCs w:val="16"/>
                <w:lang w:val="en-GB"/>
              </w:rPr>
              <w:t>Judiciaries</w:t>
            </w:r>
          </w:p>
          <w:p w14:paraId="71B3C553" w14:textId="1AC87E3B" w:rsidR="009808E2" w:rsidRPr="00486C93" w:rsidRDefault="009808E2" w:rsidP="00B6740A">
            <w:pPr>
              <w:rPr>
                <w:iCs/>
                <w:sz w:val="16"/>
                <w:szCs w:val="16"/>
                <w:lang w:val="en-GB"/>
              </w:rPr>
            </w:pPr>
            <w:r w:rsidRPr="00486C93">
              <w:rPr>
                <w:iCs/>
                <w:sz w:val="16"/>
                <w:szCs w:val="16"/>
                <w:lang w:val="en-GB"/>
              </w:rPr>
              <w:t xml:space="preserve">Police </w:t>
            </w:r>
            <w:r w:rsidR="00872B5E">
              <w:rPr>
                <w:iCs/>
                <w:sz w:val="16"/>
                <w:szCs w:val="16"/>
                <w:lang w:val="en-GB"/>
              </w:rPr>
              <w:t>s</w:t>
            </w:r>
            <w:r w:rsidRPr="00486C93">
              <w:rPr>
                <w:iCs/>
                <w:sz w:val="16"/>
                <w:szCs w:val="16"/>
                <w:lang w:val="en-GB"/>
              </w:rPr>
              <w:t>ervices</w:t>
            </w:r>
          </w:p>
          <w:p w14:paraId="18A5EA5B" w14:textId="1283742A" w:rsidR="009808E2" w:rsidRPr="00486C93" w:rsidRDefault="009808E2" w:rsidP="00B6740A">
            <w:pPr>
              <w:rPr>
                <w:iCs/>
                <w:sz w:val="16"/>
                <w:szCs w:val="16"/>
                <w:lang w:val="en-GB"/>
              </w:rPr>
            </w:pPr>
            <w:r w:rsidRPr="00486C93">
              <w:rPr>
                <w:iCs/>
                <w:sz w:val="16"/>
                <w:szCs w:val="16"/>
                <w:lang w:val="en-GB"/>
              </w:rPr>
              <w:t xml:space="preserve">Corrections </w:t>
            </w:r>
            <w:r w:rsidR="00872B5E">
              <w:rPr>
                <w:iCs/>
                <w:sz w:val="16"/>
                <w:szCs w:val="16"/>
                <w:lang w:val="en-GB"/>
              </w:rPr>
              <w:t>s</w:t>
            </w:r>
            <w:r w:rsidRPr="00486C93">
              <w:rPr>
                <w:iCs/>
                <w:sz w:val="16"/>
                <w:szCs w:val="16"/>
                <w:lang w:val="en-GB"/>
              </w:rPr>
              <w:t>ervices</w:t>
            </w:r>
          </w:p>
          <w:p w14:paraId="301C596F" w14:textId="48927723" w:rsidR="009808E2" w:rsidRPr="00486C93" w:rsidRDefault="009808E2" w:rsidP="00B6740A">
            <w:pPr>
              <w:rPr>
                <w:iCs/>
                <w:sz w:val="16"/>
                <w:szCs w:val="16"/>
                <w:lang w:val="en-GB"/>
              </w:rPr>
            </w:pPr>
            <w:r w:rsidRPr="00486C93">
              <w:rPr>
                <w:iCs/>
                <w:sz w:val="16"/>
                <w:szCs w:val="16"/>
                <w:lang w:val="en-GB"/>
              </w:rPr>
              <w:t xml:space="preserve">National </w:t>
            </w:r>
            <w:r w:rsidR="00872B5E">
              <w:rPr>
                <w:iCs/>
                <w:sz w:val="16"/>
                <w:szCs w:val="16"/>
                <w:lang w:val="en-GB"/>
              </w:rPr>
              <w:t>h</w:t>
            </w:r>
            <w:r w:rsidRPr="00486C93">
              <w:rPr>
                <w:iCs/>
                <w:sz w:val="16"/>
                <w:szCs w:val="16"/>
                <w:lang w:val="en-GB"/>
              </w:rPr>
              <w:t xml:space="preserve">uman </w:t>
            </w:r>
            <w:r w:rsidR="00872B5E">
              <w:rPr>
                <w:iCs/>
                <w:sz w:val="16"/>
                <w:szCs w:val="16"/>
                <w:lang w:val="en-GB"/>
              </w:rPr>
              <w:t>r</w:t>
            </w:r>
            <w:r w:rsidRPr="00486C93">
              <w:rPr>
                <w:iCs/>
                <w:sz w:val="16"/>
                <w:szCs w:val="16"/>
                <w:lang w:val="en-GB"/>
              </w:rPr>
              <w:t xml:space="preserve">ights </w:t>
            </w:r>
            <w:r w:rsidR="00872B5E">
              <w:rPr>
                <w:iCs/>
                <w:sz w:val="16"/>
                <w:szCs w:val="16"/>
                <w:lang w:val="en-GB"/>
              </w:rPr>
              <w:t>i</w:t>
            </w:r>
            <w:r w:rsidRPr="00486C93">
              <w:rPr>
                <w:iCs/>
                <w:sz w:val="16"/>
                <w:szCs w:val="16"/>
                <w:lang w:val="en-GB"/>
              </w:rPr>
              <w:t>nstitutions</w:t>
            </w:r>
          </w:p>
          <w:p w14:paraId="4A9FCFE4" w14:textId="77777777" w:rsidR="009808E2" w:rsidRPr="00486C93" w:rsidRDefault="009808E2" w:rsidP="00B6740A">
            <w:pPr>
              <w:rPr>
                <w:iCs/>
                <w:sz w:val="16"/>
                <w:szCs w:val="16"/>
                <w:lang w:val="en-GB"/>
              </w:rPr>
            </w:pPr>
          </w:p>
          <w:p w14:paraId="6FF72C20" w14:textId="77777777" w:rsidR="009808E2" w:rsidRPr="00486C93" w:rsidRDefault="009808E2" w:rsidP="00B6740A">
            <w:pPr>
              <w:rPr>
                <w:iCs/>
                <w:sz w:val="16"/>
                <w:szCs w:val="16"/>
                <w:lang w:val="en-GB"/>
              </w:rPr>
            </w:pPr>
            <w:r w:rsidRPr="00486C93">
              <w:rPr>
                <w:iCs/>
                <w:sz w:val="16"/>
                <w:szCs w:val="16"/>
                <w:lang w:val="en-GB"/>
              </w:rPr>
              <w:t xml:space="preserve">PIFS </w:t>
            </w:r>
          </w:p>
          <w:p w14:paraId="7864C0B5" w14:textId="77777777" w:rsidR="009808E2" w:rsidRPr="00486C93" w:rsidRDefault="009808E2" w:rsidP="00B6740A">
            <w:pPr>
              <w:rPr>
                <w:iCs/>
                <w:sz w:val="16"/>
                <w:szCs w:val="16"/>
                <w:lang w:val="en-GB"/>
              </w:rPr>
            </w:pPr>
          </w:p>
          <w:p w14:paraId="4C41CDF9" w14:textId="40BDB45D" w:rsidR="009808E2" w:rsidRPr="00486C93" w:rsidRDefault="009808E2" w:rsidP="00B6740A">
            <w:pPr>
              <w:rPr>
                <w:iCs/>
                <w:sz w:val="16"/>
                <w:szCs w:val="16"/>
                <w:lang w:val="en-GB"/>
              </w:rPr>
            </w:pPr>
            <w:r w:rsidRPr="00486C93">
              <w:rPr>
                <w:iCs/>
                <w:sz w:val="16"/>
                <w:szCs w:val="16"/>
                <w:lang w:val="en-GB"/>
              </w:rPr>
              <w:lastRenderedPageBreak/>
              <w:t xml:space="preserve">Civil </w:t>
            </w:r>
            <w:r w:rsidR="00872B5E">
              <w:rPr>
                <w:iCs/>
                <w:sz w:val="16"/>
                <w:szCs w:val="16"/>
                <w:lang w:val="en-GB"/>
              </w:rPr>
              <w:t>s</w:t>
            </w:r>
            <w:r w:rsidRPr="00486C93">
              <w:rPr>
                <w:iCs/>
                <w:sz w:val="16"/>
                <w:szCs w:val="16"/>
                <w:lang w:val="en-GB"/>
              </w:rPr>
              <w:t xml:space="preserve">ociety </w:t>
            </w:r>
            <w:r w:rsidR="00872B5E">
              <w:rPr>
                <w:iCs/>
                <w:sz w:val="16"/>
                <w:szCs w:val="16"/>
                <w:lang w:val="en-GB"/>
              </w:rPr>
              <w:t>o</w:t>
            </w:r>
            <w:r w:rsidRPr="00486C93">
              <w:rPr>
                <w:iCs/>
                <w:sz w:val="16"/>
                <w:szCs w:val="16"/>
                <w:lang w:val="en-GB"/>
              </w:rPr>
              <w:t>rgani</w:t>
            </w:r>
            <w:r w:rsidR="00872B5E">
              <w:rPr>
                <w:iCs/>
                <w:sz w:val="16"/>
                <w:szCs w:val="16"/>
                <w:lang w:val="en-GB"/>
              </w:rPr>
              <w:t>z</w:t>
            </w:r>
            <w:r w:rsidRPr="00486C93">
              <w:rPr>
                <w:iCs/>
                <w:sz w:val="16"/>
                <w:szCs w:val="16"/>
                <w:lang w:val="en-GB"/>
              </w:rPr>
              <w:t>ations</w:t>
            </w:r>
          </w:p>
          <w:p w14:paraId="1387AACB" w14:textId="77777777" w:rsidR="009808E2" w:rsidRPr="00486C93" w:rsidRDefault="009808E2" w:rsidP="00B6740A">
            <w:pPr>
              <w:rPr>
                <w:iCs/>
                <w:sz w:val="16"/>
                <w:szCs w:val="16"/>
                <w:lang w:val="en-GB"/>
              </w:rPr>
            </w:pPr>
            <w:r w:rsidRPr="00486C93">
              <w:rPr>
                <w:iCs/>
                <w:sz w:val="16"/>
                <w:szCs w:val="16"/>
                <w:lang w:val="en-GB"/>
              </w:rPr>
              <w:t>Pacific Ombudsman Alliance</w:t>
            </w:r>
          </w:p>
          <w:p w14:paraId="56AFDF59" w14:textId="69AC9E99" w:rsidR="009808E2" w:rsidRPr="00486C93" w:rsidRDefault="009808E2" w:rsidP="00B6740A">
            <w:pPr>
              <w:rPr>
                <w:iCs/>
                <w:sz w:val="16"/>
                <w:szCs w:val="16"/>
                <w:lang w:val="en-GB"/>
              </w:rPr>
            </w:pPr>
            <w:r w:rsidRPr="00486C93">
              <w:rPr>
                <w:iCs/>
                <w:sz w:val="16"/>
                <w:szCs w:val="16"/>
                <w:lang w:val="en-GB"/>
              </w:rPr>
              <w:t xml:space="preserve">Media </w:t>
            </w:r>
            <w:r w:rsidR="00872B5E">
              <w:rPr>
                <w:iCs/>
                <w:sz w:val="16"/>
                <w:szCs w:val="16"/>
                <w:lang w:val="en-GB"/>
              </w:rPr>
              <w:t>o</w:t>
            </w:r>
            <w:r w:rsidRPr="00486C93">
              <w:rPr>
                <w:iCs/>
                <w:sz w:val="16"/>
                <w:szCs w:val="16"/>
                <w:lang w:val="en-GB"/>
              </w:rPr>
              <w:t>rganizations</w:t>
            </w:r>
          </w:p>
          <w:p w14:paraId="34183C9D" w14:textId="1FB48371" w:rsidR="009808E2" w:rsidRPr="00486C93" w:rsidRDefault="009808E2" w:rsidP="00B6740A">
            <w:pPr>
              <w:rPr>
                <w:iCs/>
                <w:sz w:val="16"/>
                <w:szCs w:val="16"/>
                <w:lang w:val="en-GB"/>
              </w:rPr>
            </w:pPr>
            <w:r w:rsidRPr="00486C93">
              <w:rPr>
                <w:iCs/>
                <w:sz w:val="16"/>
                <w:szCs w:val="16"/>
                <w:lang w:val="en-GB"/>
              </w:rPr>
              <w:t xml:space="preserve">Political </w:t>
            </w:r>
            <w:r w:rsidR="00872B5E">
              <w:rPr>
                <w:iCs/>
                <w:sz w:val="16"/>
                <w:szCs w:val="16"/>
                <w:lang w:val="en-GB"/>
              </w:rPr>
              <w:t>p</w:t>
            </w:r>
            <w:r w:rsidRPr="00486C93">
              <w:rPr>
                <w:iCs/>
                <w:sz w:val="16"/>
                <w:szCs w:val="16"/>
                <w:lang w:val="en-GB"/>
              </w:rPr>
              <w:t>arties</w:t>
            </w:r>
          </w:p>
          <w:p w14:paraId="20DA205D" w14:textId="67B7A0E5" w:rsidR="009808E2" w:rsidRPr="00486C93" w:rsidRDefault="009808E2" w:rsidP="00B6740A">
            <w:pPr>
              <w:rPr>
                <w:iCs/>
                <w:sz w:val="16"/>
                <w:szCs w:val="16"/>
                <w:lang w:val="en-GB"/>
              </w:rPr>
            </w:pPr>
            <w:r w:rsidRPr="00486C93">
              <w:rPr>
                <w:iCs/>
                <w:sz w:val="16"/>
                <w:szCs w:val="16"/>
                <w:lang w:val="en-GB"/>
              </w:rPr>
              <w:t xml:space="preserve">Political </w:t>
            </w:r>
            <w:r w:rsidR="00872B5E">
              <w:rPr>
                <w:iCs/>
                <w:sz w:val="16"/>
                <w:szCs w:val="16"/>
                <w:lang w:val="en-GB"/>
              </w:rPr>
              <w:t>p</w:t>
            </w:r>
            <w:r w:rsidRPr="00486C93">
              <w:rPr>
                <w:iCs/>
                <w:sz w:val="16"/>
                <w:szCs w:val="16"/>
                <w:lang w:val="en-GB"/>
              </w:rPr>
              <w:t xml:space="preserve">arty </w:t>
            </w:r>
            <w:r w:rsidR="00872B5E">
              <w:rPr>
                <w:iCs/>
                <w:sz w:val="16"/>
                <w:szCs w:val="16"/>
                <w:lang w:val="en-GB"/>
              </w:rPr>
              <w:t>c</w:t>
            </w:r>
            <w:r w:rsidRPr="00486C93">
              <w:rPr>
                <w:iCs/>
                <w:sz w:val="16"/>
                <w:szCs w:val="16"/>
                <w:lang w:val="en-GB"/>
              </w:rPr>
              <w:t>ommissions</w:t>
            </w:r>
          </w:p>
          <w:p w14:paraId="6B1854A4" w14:textId="77777777" w:rsidR="009808E2" w:rsidRPr="00486C93" w:rsidRDefault="009808E2" w:rsidP="00B6740A">
            <w:pPr>
              <w:rPr>
                <w:iCs/>
                <w:sz w:val="16"/>
                <w:szCs w:val="16"/>
                <w:lang w:val="en-GB"/>
              </w:rPr>
            </w:pPr>
          </w:p>
          <w:p w14:paraId="1F741503" w14:textId="77777777" w:rsidR="009808E2" w:rsidRPr="00486C93" w:rsidRDefault="009808E2" w:rsidP="00B6740A">
            <w:pPr>
              <w:rPr>
                <w:iCs/>
                <w:sz w:val="16"/>
                <w:szCs w:val="16"/>
                <w:lang w:val="en-GB"/>
              </w:rPr>
            </w:pPr>
            <w:r w:rsidRPr="00486C93">
              <w:rPr>
                <w:iCs/>
                <w:sz w:val="16"/>
                <w:szCs w:val="16"/>
                <w:lang w:val="en-GB"/>
              </w:rPr>
              <w:t>World Bank</w:t>
            </w:r>
          </w:p>
          <w:p w14:paraId="4356CA43" w14:textId="64C0C172" w:rsidR="009808E2" w:rsidRPr="00486C93" w:rsidRDefault="009808E2" w:rsidP="00B6740A">
            <w:pPr>
              <w:rPr>
                <w:iCs/>
                <w:sz w:val="16"/>
                <w:szCs w:val="16"/>
                <w:lang w:val="en-GB"/>
              </w:rPr>
            </w:pPr>
            <w:r w:rsidRPr="00486C93">
              <w:rPr>
                <w:iCs/>
                <w:sz w:val="16"/>
                <w:szCs w:val="16"/>
                <w:lang w:val="en-GB"/>
              </w:rPr>
              <w:t>European Union, Governments of Australia, Japan</w:t>
            </w:r>
            <w:r w:rsidR="00872B5E">
              <w:rPr>
                <w:iCs/>
                <w:sz w:val="16"/>
                <w:szCs w:val="16"/>
                <w:lang w:val="en-GB"/>
              </w:rPr>
              <w:t xml:space="preserve"> and </w:t>
            </w:r>
            <w:r w:rsidR="00872B5E" w:rsidRPr="00396E55">
              <w:rPr>
                <w:iCs/>
                <w:sz w:val="16"/>
                <w:szCs w:val="16"/>
                <w:lang w:val="en-GB"/>
              </w:rPr>
              <w:t xml:space="preserve">New Zealand </w:t>
            </w:r>
          </w:p>
          <w:p w14:paraId="739A52B0" w14:textId="77777777" w:rsidR="009808E2" w:rsidRPr="00486C93" w:rsidRDefault="009808E2" w:rsidP="00B6740A">
            <w:pPr>
              <w:rPr>
                <w:iCs/>
                <w:sz w:val="16"/>
                <w:szCs w:val="16"/>
                <w:lang w:val="en-GB"/>
              </w:rPr>
            </w:pPr>
          </w:p>
          <w:p w14:paraId="02632ECA" w14:textId="7982EE32" w:rsidR="009808E2" w:rsidRPr="00486C93" w:rsidRDefault="009808E2" w:rsidP="00B6740A">
            <w:pPr>
              <w:rPr>
                <w:iCs/>
                <w:sz w:val="16"/>
                <w:szCs w:val="16"/>
                <w:lang w:val="en-GB"/>
              </w:rPr>
            </w:pPr>
            <w:r w:rsidRPr="00486C93">
              <w:rPr>
                <w:iCs/>
                <w:sz w:val="16"/>
                <w:szCs w:val="16"/>
                <w:lang w:val="en-GB"/>
              </w:rPr>
              <w:t>UN</w:t>
            </w:r>
            <w:r w:rsidR="00872B5E">
              <w:rPr>
                <w:iCs/>
                <w:sz w:val="16"/>
                <w:szCs w:val="16"/>
                <w:lang w:val="en-GB"/>
              </w:rPr>
              <w:t>-</w:t>
            </w:r>
            <w:r w:rsidRPr="00486C93">
              <w:rPr>
                <w:iCs/>
                <w:sz w:val="16"/>
                <w:szCs w:val="16"/>
                <w:lang w:val="en-GB"/>
              </w:rPr>
              <w:t xml:space="preserve">Women, WHO, </w:t>
            </w:r>
            <w:r w:rsidR="00872B5E" w:rsidRPr="00486C93">
              <w:rPr>
                <w:sz w:val="16"/>
                <w:szCs w:val="16"/>
                <w:lang w:val="en-GB"/>
              </w:rPr>
              <w:t>United N</w:t>
            </w:r>
            <w:r w:rsidR="00872B5E" w:rsidRPr="004F28C6">
              <w:rPr>
                <w:sz w:val="16"/>
                <w:szCs w:val="16"/>
                <w:lang w:val="en-GB"/>
              </w:rPr>
              <w:t>ations Office on Drugs and C</w:t>
            </w:r>
            <w:r w:rsidR="00872B5E" w:rsidRPr="00486C93">
              <w:rPr>
                <w:sz w:val="16"/>
                <w:szCs w:val="16"/>
                <w:lang w:val="en-GB"/>
              </w:rPr>
              <w:t>rime</w:t>
            </w:r>
            <w:r w:rsidRPr="00486C93">
              <w:rPr>
                <w:iCs/>
                <w:sz w:val="16"/>
                <w:szCs w:val="16"/>
                <w:lang w:val="en-GB"/>
              </w:rPr>
              <w:t xml:space="preserve"> </w:t>
            </w:r>
          </w:p>
          <w:p w14:paraId="3206B0CF" w14:textId="77777777" w:rsidR="009808E2" w:rsidRPr="00486C93" w:rsidRDefault="009808E2" w:rsidP="00B6740A">
            <w:pPr>
              <w:rPr>
                <w:iCs/>
                <w:sz w:val="16"/>
                <w:szCs w:val="16"/>
                <w:lang w:val="en-GB"/>
              </w:rPr>
            </w:pPr>
          </w:p>
          <w:p w14:paraId="45B9BC3C" w14:textId="77777777" w:rsidR="008E2243" w:rsidRPr="00486C93" w:rsidRDefault="008E2243" w:rsidP="008E2243">
            <w:pPr>
              <w:rPr>
                <w:iCs/>
                <w:sz w:val="16"/>
                <w:szCs w:val="16"/>
                <w:lang w:val="en-GB"/>
              </w:rPr>
            </w:pPr>
            <w:r w:rsidRPr="00486C93">
              <w:rPr>
                <w:iCs/>
                <w:sz w:val="16"/>
                <w:szCs w:val="16"/>
                <w:lang w:val="en-GB"/>
              </w:rPr>
              <w:t>Guiding partnership frameworks:</w:t>
            </w:r>
          </w:p>
          <w:p w14:paraId="01771BC6" w14:textId="2AA1CEAB" w:rsidR="009808E2" w:rsidRPr="00486C93" w:rsidRDefault="00150C7A" w:rsidP="008F3488">
            <w:pPr>
              <w:rPr>
                <w:iCs/>
                <w:sz w:val="16"/>
                <w:szCs w:val="16"/>
                <w:lang w:val="en-GB"/>
              </w:rPr>
            </w:pPr>
            <w:r w:rsidRPr="00486C93">
              <w:rPr>
                <w:iCs/>
                <w:sz w:val="16"/>
                <w:szCs w:val="16"/>
                <w:lang w:val="en-GB"/>
              </w:rPr>
              <w:t>SAMOA Pathway,</w:t>
            </w:r>
            <w:r w:rsidR="008E2243" w:rsidRPr="00486C93">
              <w:rPr>
                <w:iCs/>
                <w:sz w:val="16"/>
                <w:szCs w:val="16"/>
                <w:lang w:val="en-GB"/>
              </w:rPr>
              <w:t xml:space="preserve"> Framework for Pacific Regionalism</w:t>
            </w:r>
          </w:p>
        </w:tc>
        <w:tc>
          <w:tcPr>
            <w:tcW w:w="695" w:type="pct"/>
            <w:tcMar>
              <w:top w:w="15" w:type="dxa"/>
              <w:left w:w="108" w:type="dxa"/>
              <w:bottom w:w="0" w:type="dxa"/>
              <w:right w:w="108" w:type="dxa"/>
            </w:tcMar>
          </w:tcPr>
          <w:p w14:paraId="51712377" w14:textId="4C07D0F2" w:rsidR="009808E2" w:rsidRPr="00486C93" w:rsidRDefault="00486C93" w:rsidP="00486C93">
            <w:pPr>
              <w:rPr>
                <w:b/>
                <w:sz w:val="16"/>
                <w:szCs w:val="16"/>
                <w:lang w:val="en-GB"/>
              </w:rPr>
            </w:pPr>
            <w:r w:rsidRPr="00396E55">
              <w:rPr>
                <w:b/>
                <w:sz w:val="16"/>
                <w:szCs w:val="16"/>
                <w:lang w:val="en-GB"/>
              </w:rPr>
              <w:lastRenderedPageBreak/>
              <w:t>Regular 5,786,667</w:t>
            </w:r>
          </w:p>
        </w:tc>
      </w:tr>
      <w:tr w:rsidR="009808E2" w:rsidRPr="004435B3" w14:paraId="47B871DA" w14:textId="77777777" w:rsidTr="0029445C">
        <w:trPr>
          <w:trHeight w:val="232"/>
        </w:trPr>
        <w:tc>
          <w:tcPr>
            <w:tcW w:w="1108" w:type="pct"/>
            <w:gridSpan w:val="3"/>
            <w:vMerge/>
            <w:tcMar>
              <w:top w:w="72" w:type="dxa"/>
              <w:left w:w="144" w:type="dxa"/>
              <w:bottom w:w="72" w:type="dxa"/>
              <w:right w:w="144" w:type="dxa"/>
            </w:tcMar>
          </w:tcPr>
          <w:p w14:paraId="1A646BF6" w14:textId="77777777" w:rsidR="009808E2" w:rsidRPr="00486C93" w:rsidRDefault="009808E2" w:rsidP="00B6740A">
            <w:pPr>
              <w:rPr>
                <w:i/>
                <w:iCs/>
                <w:sz w:val="16"/>
                <w:szCs w:val="16"/>
                <w:lang w:val="en-GB"/>
              </w:rPr>
            </w:pPr>
          </w:p>
        </w:tc>
        <w:tc>
          <w:tcPr>
            <w:tcW w:w="865" w:type="pct"/>
            <w:vMerge/>
          </w:tcPr>
          <w:p w14:paraId="198E723E" w14:textId="77777777" w:rsidR="009808E2" w:rsidRPr="00486C93" w:rsidRDefault="009808E2" w:rsidP="00B6740A">
            <w:pPr>
              <w:rPr>
                <w:i/>
                <w:iCs/>
                <w:sz w:val="16"/>
                <w:szCs w:val="16"/>
                <w:lang w:val="en-GB"/>
              </w:rPr>
            </w:pPr>
          </w:p>
        </w:tc>
        <w:tc>
          <w:tcPr>
            <w:tcW w:w="1326" w:type="pct"/>
            <w:vMerge/>
            <w:tcMar>
              <w:top w:w="72" w:type="dxa"/>
              <w:left w:w="144" w:type="dxa"/>
              <w:bottom w:w="72" w:type="dxa"/>
              <w:right w:w="144" w:type="dxa"/>
            </w:tcMar>
          </w:tcPr>
          <w:p w14:paraId="08C17F01" w14:textId="77777777" w:rsidR="009808E2" w:rsidRPr="00486C93" w:rsidRDefault="009808E2" w:rsidP="00B6740A">
            <w:pPr>
              <w:rPr>
                <w:i/>
                <w:iCs/>
                <w:sz w:val="16"/>
                <w:szCs w:val="16"/>
                <w:lang w:val="en-GB"/>
              </w:rPr>
            </w:pPr>
          </w:p>
        </w:tc>
        <w:tc>
          <w:tcPr>
            <w:tcW w:w="1006" w:type="pct"/>
            <w:vMerge/>
          </w:tcPr>
          <w:p w14:paraId="023211F9" w14:textId="77777777" w:rsidR="009808E2" w:rsidRPr="00486C93" w:rsidRDefault="009808E2" w:rsidP="00B6740A">
            <w:pPr>
              <w:rPr>
                <w:i/>
                <w:iCs/>
                <w:sz w:val="16"/>
                <w:szCs w:val="16"/>
                <w:lang w:val="en-GB"/>
              </w:rPr>
            </w:pPr>
          </w:p>
        </w:tc>
        <w:tc>
          <w:tcPr>
            <w:tcW w:w="695" w:type="pct"/>
            <w:tcMar>
              <w:top w:w="15" w:type="dxa"/>
              <w:left w:w="108" w:type="dxa"/>
              <w:bottom w:w="0" w:type="dxa"/>
              <w:right w:w="108" w:type="dxa"/>
            </w:tcMar>
          </w:tcPr>
          <w:p w14:paraId="55E8314E" w14:textId="6F062AAB" w:rsidR="009808E2" w:rsidRPr="00486C93" w:rsidRDefault="00486C93" w:rsidP="00B6740A">
            <w:pPr>
              <w:rPr>
                <w:b/>
                <w:sz w:val="16"/>
                <w:szCs w:val="16"/>
                <w:lang w:val="en-GB"/>
              </w:rPr>
            </w:pPr>
            <w:r w:rsidRPr="00486C93">
              <w:rPr>
                <w:b/>
                <w:sz w:val="16"/>
                <w:szCs w:val="16"/>
                <w:lang w:val="en-GB"/>
              </w:rPr>
              <w:t>Other 50,000,000</w:t>
            </w:r>
          </w:p>
        </w:tc>
      </w:tr>
    </w:tbl>
    <w:p w14:paraId="66251F23" w14:textId="714CC137" w:rsidR="000947BC" w:rsidRPr="009F271D" w:rsidRDefault="009F271D" w:rsidP="00486C93">
      <w:pPr>
        <w:spacing w:before="180"/>
        <w:jc w:val="center"/>
        <w:rPr>
          <w:bCs/>
          <w:lang w:val="en-GB"/>
        </w:rPr>
      </w:pPr>
      <w:r w:rsidRPr="00396E55">
        <w:rPr>
          <w:bCs/>
          <w:noProof/>
        </w:rPr>
        <mc:AlternateContent>
          <mc:Choice Requires="wps">
            <w:drawing>
              <wp:anchor distT="0" distB="0" distL="114300" distR="114300" simplePos="0" relativeHeight="251660288" behindDoc="0" locked="0" layoutInCell="1" allowOverlap="1" wp14:anchorId="71766168" wp14:editId="6583D681">
                <wp:simplePos x="0" y="0"/>
                <wp:positionH relativeFrom="column">
                  <wp:posOffset>4429125</wp:posOffset>
                </wp:positionH>
                <wp:positionV relativeFrom="paragraph">
                  <wp:posOffset>5562600</wp:posOffset>
                </wp:positionV>
                <wp:extent cx="914400" cy="0"/>
                <wp:effectExtent l="9525" t="13970" r="9525" b="508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line w14:anchorId="495CE104"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75pt,438pt" to="420.75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VvFGwIAADUEAAAOAAAAZHJzL2Uyb0RvYy54bWysU8GO2yAQvVfqPyDuWdtZ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" strokeweight=".25pt"/>
            </w:pict>
          </mc:Fallback>
        </mc:AlternateContent>
      </w:r>
      <w:r w:rsidRPr="00396E55">
        <w:rPr>
          <w:bCs/>
          <w:noProof/>
        </w:rPr>
        <w:drawing>
          <wp:inline distT="0" distB="0" distL="0" distR="0" wp14:anchorId="0DC8F94B" wp14:editId="72107155">
            <wp:extent cx="942975" cy="285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42975" cy="28575"/>
                    </a:xfrm>
                    <a:prstGeom prst="rect">
                      <a:avLst/>
                    </a:prstGeom>
                    <a:noFill/>
                  </pic:spPr>
                </pic:pic>
              </a:graphicData>
            </a:graphic>
          </wp:inline>
        </w:drawing>
      </w:r>
    </w:p>
    <w:sectPr w:rsidR="000947BC" w:rsidRPr="009F271D" w:rsidSect="004534E7">
      <w:headerReference w:type="even" r:id="rId20"/>
      <w:headerReference w:type="default" r:id="rId21"/>
      <w:pgSz w:w="15840" w:h="12240" w:orient="landscape" w:code="1"/>
      <w:pgMar w:top="1440" w:right="1152" w:bottom="1440" w:left="1152"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E16FB" w14:textId="77777777" w:rsidR="006314C0" w:rsidRDefault="006314C0" w:rsidP="00441061">
      <w:r>
        <w:separator/>
      </w:r>
    </w:p>
  </w:endnote>
  <w:endnote w:type="continuationSeparator" w:id="0">
    <w:p w14:paraId="71F857E3" w14:textId="77777777" w:rsidR="006314C0" w:rsidRDefault="006314C0" w:rsidP="00441061">
      <w:r>
        <w:continuationSeparator/>
      </w:r>
    </w:p>
  </w:endnote>
  <w:endnote w:type="continuationNotice" w:id="1">
    <w:p w14:paraId="31B70421" w14:textId="77777777" w:rsidR="006314C0" w:rsidRDefault="006314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8125099"/>
      <w:docPartObj>
        <w:docPartGallery w:val="Page Numbers (Bottom of Page)"/>
        <w:docPartUnique/>
      </w:docPartObj>
    </w:sdtPr>
    <w:sdtEndPr>
      <w:rPr>
        <w:b/>
        <w:noProof/>
        <w:sz w:val="17"/>
        <w:szCs w:val="17"/>
      </w:rPr>
    </w:sdtEndPr>
    <w:sdtContent>
      <w:p w14:paraId="1AF97C46" w14:textId="2AA7A792" w:rsidR="007F7C0C" w:rsidRPr="008F3488" w:rsidRDefault="007F7C0C" w:rsidP="003D1A73">
        <w:pPr>
          <w:pStyle w:val="Footer"/>
          <w:rPr>
            <w:b/>
            <w:sz w:val="17"/>
            <w:szCs w:val="17"/>
          </w:rPr>
        </w:pPr>
        <w:r w:rsidRPr="008F3488">
          <w:rPr>
            <w:b/>
            <w:sz w:val="17"/>
            <w:szCs w:val="17"/>
          </w:rPr>
          <w:fldChar w:fldCharType="begin"/>
        </w:r>
        <w:r w:rsidRPr="008F3488">
          <w:rPr>
            <w:b/>
            <w:sz w:val="17"/>
            <w:szCs w:val="17"/>
          </w:rPr>
          <w:instrText xml:space="preserve"> PAGE   \* MERGEFORMAT </w:instrText>
        </w:r>
        <w:r w:rsidRPr="008F3488">
          <w:rPr>
            <w:b/>
            <w:sz w:val="17"/>
            <w:szCs w:val="17"/>
          </w:rPr>
          <w:fldChar w:fldCharType="separate"/>
        </w:r>
        <w:r w:rsidR="00DE5601">
          <w:rPr>
            <w:b/>
            <w:noProof/>
            <w:sz w:val="17"/>
            <w:szCs w:val="17"/>
          </w:rPr>
          <w:t>16</w:t>
        </w:r>
        <w:r w:rsidRPr="008F3488">
          <w:rPr>
            <w:b/>
            <w:noProof/>
            <w:sz w:val="17"/>
            <w:szCs w:val="17"/>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3552446"/>
      <w:docPartObj>
        <w:docPartGallery w:val="Page Numbers (Bottom of Page)"/>
        <w:docPartUnique/>
      </w:docPartObj>
    </w:sdtPr>
    <w:sdtEndPr>
      <w:rPr>
        <w:b/>
        <w:noProof/>
        <w:sz w:val="17"/>
        <w:szCs w:val="17"/>
      </w:rPr>
    </w:sdtEndPr>
    <w:sdtContent>
      <w:p w14:paraId="4ABC6452" w14:textId="29C0D67B" w:rsidR="007F7C0C" w:rsidRPr="008F3488" w:rsidRDefault="007F7C0C" w:rsidP="008F3488">
        <w:pPr>
          <w:pStyle w:val="Footer"/>
          <w:jc w:val="right"/>
          <w:rPr>
            <w:b/>
            <w:sz w:val="17"/>
            <w:szCs w:val="17"/>
          </w:rPr>
        </w:pPr>
        <w:r w:rsidRPr="008F3488">
          <w:rPr>
            <w:b/>
            <w:sz w:val="17"/>
            <w:szCs w:val="17"/>
          </w:rPr>
          <w:fldChar w:fldCharType="begin"/>
        </w:r>
        <w:r w:rsidRPr="008F3488">
          <w:rPr>
            <w:b/>
            <w:sz w:val="17"/>
            <w:szCs w:val="17"/>
          </w:rPr>
          <w:instrText xml:space="preserve"> PAGE   \* MERGEFORMAT </w:instrText>
        </w:r>
        <w:r w:rsidRPr="008F3488">
          <w:rPr>
            <w:b/>
            <w:sz w:val="17"/>
            <w:szCs w:val="17"/>
          </w:rPr>
          <w:fldChar w:fldCharType="separate"/>
        </w:r>
        <w:r w:rsidR="00BD18FC">
          <w:rPr>
            <w:b/>
            <w:noProof/>
            <w:sz w:val="17"/>
            <w:szCs w:val="17"/>
          </w:rPr>
          <w:t>15</w:t>
        </w:r>
        <w:r w:rsidRPr="008F3488">
          <w:rPr>
            <w:b/>
            <w:noProof/>
            <w:sz w:val="17"/>
            <w:szCs w:val="17"/>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077BD8" w14:textId="77777777" w:rsidR="006314C0" w:rsidRDefault="006314C0" w:rsidP="00441061">
      <w:r>
        <w:separator/>
      </w:r>
    </w:p>
  </w:footnote>
  <w:footnote w:type="continuationSeparator" w:id="0">
    <w:p w14:paraId="2FFA428F" w14:textId="77777777" w:rsidR="006314C0" w:rsidRDefault="006314C0" w:rsidP="00441061">
      <w:r>
        <w:continuationSeparator/>
      </w:r>
    </w:p>
  </w:footnote>
  <w:footnote w:type="continuationNotice" w:id="1">
    <w:p w14:paraId="39833281" w14:textId="77777777" w:rsidR="006314C0" w:rsidRDefault="006314C0"/>
  </w:footnote>
  <w:footnote w:id="2">
    <w:p w14:paraId="43639B59" w14:textId="2B4BDD75" w:rsidR="007F7C0C" w:rsidRPr="00380941" w:rsidRDefault="007F7C0C" w:rsidP="00D861E7">
      <w:pPr>
        <w:pStyle w:val="FootnoteText"/>
        <w:rPr>
          <w:rFonts w:ascii="Times New Roman" w:hAnsi="Times New Roman"/>
          <w:sz w:val="16"/>
          <w:szCs w:val="16"/>
          <w:lang w:val="en-GB"/>
        </w:rPr>
      </w:pPr>
      <w:r w:rsidRPr="003E321F">
        <w:rPr>
          <w:rStyle w:val="FootnoteReference"/>
          <w:rFonts w:ascii="Times New Roman" w:hAnsi="Times New Roman"/>
          <w:sz w:val="16"/>
          <w:szCs w:val="16"/>
        </w:rPr>
        <w:footnoteRef/>
      </w:r>
      <w:r w:rsidRPr="003E321F">
        <w:rPr>
          <w:rFonts w:ascii="Times New Roman" w:hAnsi="Times New Roman"/>
          <w:sz w:val="16"/>
          <w:szCs w:val="16"/>
        </w:rPr>
        <w:t xml:space="preserve"> </w:t>
      </w:r>
      <w:r w:rsidRPr="00380941">
        <w:rPr>
          <w:rFonts w:ascii="Times New Roman" w:hAnsi="Times New Roman"/>
          <w:sz w:val="16"/>
          <w:szCs w:val="16"/>
          <w:lang w:val="en-GB"/>
        </w:rPr>
        <w:t xml:space="preserve">UNDP has two offices in the subregion: the Pacific Office in Fiji, implementing subregional, multi-country and country-level programmes in Federated States of Micronesia, Fiji, Kiribati, </w:t>
      </w:r>
      <w:r>
        <w:rPr>
          <w:rFonts w:ascii="Times New Roman" w:hAnsi="Times New Roman"/>
          <w:sz w:val="16"/>
          <w:szCs w:val="16"/>
          <w:lang w:val="en-GB"/>
        </w:rPr>
        <w:t xml:space="preserve">the </w:t>
      </w:r>
      <w:r w:rsidRPr="00380941">
        <w:rPr>
          <w:rFonts w:ascii="Times New Roman" w:hAnsi="Times New Roman"/>
          <w:sz w:val="16"/>
          <w:szCs w:val="16"/>
          <w:lang w:val="en-GB"/>
        </w:rPr>
        <w:t xml:space="preserve">Marshall Islands, Nauru, Palau, </w:t>
      </w:r>
      <w:r>
        <w:rPr>
          <w:rFonts w:ascii="Times New Roman" w:hAnsi="Times New Roman"/>
          <w:sz w:val="16"/>
          <w:szCs w:val="16"/>
          <w:lang w:val="en-GB"/>
        </w:rPr>
        <w:t xml:space="preserve">the </w:t>
      </w:r>
      <w:r w:rsidRPr="00380941">
        <w:rPr>
          <w:rFonts w:ascii="Times New Roman" w:hAnsi="Times New Roman"/>
          <w:sz w:val="16"/>
          <w:szCs w:val="16"/>
          <w:lang w:val="en-GB"/>
        </w:rPr>
        <w:t xml:space="preserve">Solomon Islands, Tonga, Tuvalu and Vanuatu; and the office in Samoa, implementing multi-country and country-level programmes in </w:t>
      </w:r>
      <w:r>
        <w:rPr>
          <w:rFonts w:ascii="Times New Roman" w:hAnsi="Times New Roman"/>
          <w:sz w:val="16"/>
          <w:szCs w:val="16"/>
          <w:lang w:val="en-GB"/>
        </w:rPr>
        <w:t xml:space="preserve">the </w:t>
      </w:r>
      <w:r w:rsidRPr="00380941">
        <w:rPr>
          <w:rFonts w:ascii="Times New Roman" w:hAnsi="Times New Roman"/>
          <w:sz w:val="16"/>
          <w:szCs w:val="16"/>
          <w:lang w:val="en-GB"/>
        </w:rPr>
        <w:t>Cook Islands, Niue, Samoa and Tokelau. The Pacific Office in Fiji also coordinates regional initiatives and policy advice in all 15 countries covered by the three UNDP offices in the region (Fiji, Samoa and Papua New Guinea).</w:t>
      </w:r>
    </w:p>
  </w:footnote>
  <w:footnote w:id="3">
    <w:p w14:paraId="5F4B8ADC" w14:textId="5C3CC9D7" w:rsidR="007F7C0C" w:rsidRPr="00380941" w:rsidRDefault="007F7C0C" w:rsidP="00D861E7">
      <w:pPr>
        <w:pStyle w:val="FootnoteText"/>
        <w:rPr>
          <w:rFonts w:ascii="Times New Roman" w:hAnsi="Times New Roman"/>
          <w:sz w:val="16"/>
          <w:szCs w:val="16"/>
          <w:lang w:val="en-GB"/>
        </w:rPr>
      </w:pPr>
      <w:r w:rsidRPr="00380941">
        <w:rPr>
          <w:rStyle w:val="FootnoteReference"/>
          <w:rFonts w:ascii="Times New Roman" w:hAnsi="Times New Roman"/>
          <w:sz w:val="16"/>
          <w:szCs w:val="16"/>
          <w:lang w:val="en-GB"/>
        </w:rPr>
        <w:footnoteRef/>
      </w:r>
      <w:r w:rsidRPr="00380941">
        <w:rPr>
          <w:rFonts w:ascii="Times New Roman" w:hAnsi="Times New Roman"/>
          <w:sz w:val="16"/>
          <w:szCs w:val="16"/>
          <w:lang w:val="en-GB"/>
        </w:rPr>
        <w:t xml:space="preserve"> United Nations Population Division</w:t>
      </w:r>
      <w:r w:rsidRPr="006C3DFF">
        <w:rPr>
          <w:rFonts w:ascii="Times New Roman" w:hAnsi="Times New Roman"/>
          <w:sz w:val="16"/>
          <w:szCs w:val="16"/>
          <w:lang w:val="en-GB"/>
        </w:rPr>
        <w:t>;</w:t>
      </w:r>
      <w:r w:rsidRPr="00380941">
        <w:rPr>
          <w:rFonts w:ascii="Times New Roman" w:hAnsi="Times New Roman"/>
          <w:sz w:val="16"/>
          <w:szCs w:val="16"/>
          <w:lang w:val="en-GB"/>
        </w:rPr>
        <w:t xml:space="preserve"> 2016 estimates available on </w:t>
      </w:r>
      <w:hyperlink r:id="rId1" w:history="1">
        <w:r w:rsidRPr="00380941">
          <w:rPr>
            <w:rStyle w:val="Hyperlink"/>
            <w:rFonts w:ascii="Times New Roman" w:hAnsi="Times New Roman"/>
            <w:color w:val="auto"/>
            <w:sz w:val="16"/>
            <w:szCs w:val="16"/>
            <w:lang w:val="en-GB"/>
          </w:rPr>
          <w:t>https://esa.un.org/unpd/wpp/DataQuery/</w:t>
        </w:r>
      </w:hyperlink>
    </w:p>
  </w:footnote>
  <w:footnote w:id="4">
    <w:p w14:paraId="701AF87B" w14:textId="400953C8" w:rsidR="007F7C0C" w:rsidRPr="00380941" w:rsidRDefault="007F7C0C" w:rsidP="002B5CAB">
      <w:pPr>
        <w:pStyle w:val="FootnoteText"/>
        <w:rPr>
          <w:rFonts w:ascii="Times New Roman" w:hAnsi="Times New Roman"/>
          <w:sz w:val="16"/>
          <w:szCs w:val="16"/>
          <w:lang w:val="en-GB"/>
        </w:rPr>
      </w:pPr>
      <w:r w:rsidRPr="00380941">
        <w:rPr>
          <w:rStyle w:val="FootnoteReference"/>
          <w:rFonts w:ascii="Times New Roman" w:hAnsi="Times New Roman"/>
          <w:sz w:val="16"/>
          <w:szCs w:val="16"/>
        </w:rPr>
        <w:footnoteRef/>
      </w:r>
      <w:r w:rsidRPr="00380941">
        <w:rPr>
          <w:rStyle w:val="FootnoteReference"/>
          <w:rFonts w:ascii="Times New Roman" w:hAnsi="Times New Roman"/>
          <w:sz w:val="16"/>
          <w:szCs w:val="16"/>
          <w:lang w:val="en-GB"/>
        </w:rPr>
        <w:t xml:space="preserve"> </w:t>
      </w:r>
      <w:r w:rsidRPr="00380941">
        <w:rPr>
          <w:rFonts w:ascii="Times New Roman" w:hAnsi="Times New Roman"/>
          <w:sz w:val="16"/>
          <w:szCs w:val="16"/>
          <w:lang w:val="en-GB"/>
        </w:rPr>
        <w:t>Lack of reliable data and small sample sizes prevent some of the countries from completing calculations and present broader challenges to development progress monitoring and evidence-based policymaking.</w:t>
      </w:r>
    </w:p>
  </w:footnote>
  <w:footnote w:id="5">
    <w:p w14:paraId="55BB695D" w14:textId="77777777" w:rsidR="007F7C0C" w:rsidRPr="00380941" w:rsidRDefault="007F7C0C" w:rsidP="002B5CAB">
      <w:pPr>
        <w:pStyle w:val="FootnoteText"/>
        <w:rPr>
          <w:rFonts w:ascii="Times New Roman" w:hAnsi="Times New Roman"/>
          <w:sz w:val="16"/>
          <w:szCs w:val="16"/>
          <w:vertAlign w:val="subscript"/>
          <w:lang w:val="en-GB"/>
        </w:rPr>
      </w:pPr>
      <w:r w:rsidRPr="00380941">
        <w:rPr>
          <w:rStyle w:val="FootnoteReference"/>
          <w:rFonts w:ascii="Times New Roman" w:hAnsi="Times New Roman"/>
          <w:sz w:val="16"/>
          <w:szCs w:val="16"/>
          <w:lang w:val="en-GB"/>
        </w:rPr>
        <w:footnoteRef/>
      </w:r>
      <w:r w:rsidRPr="00380941">
        <w:rPr>
          <w:rFonts w:ascii="Times New Roman" w:hAnsi="Times New Roman"/>
          <w:sz w:val="16"/>
          <w:szCs w:val="16"/>
          <w:lang w:val="en-GB"/>
        </w:rPr>
        <w:t xml:space="preserve"> UNDP</w:t>
      </w:r>
      <w:r>
        <w:rPr>
          <w:rFonts w:ascii="Times New Roman" w:hAnsi="Times New Roman"/>
          <w:sz w:val="16"/>
          <w:szCs w:val="16"/>
          <w:lang w:val="en-GB"/>
        </w:rPr>
        <w:t>,</w:t>
      </w:r>
      <w:r w:rsidRPr="00380941">
        <w:rPr>
          <w:rFonts w:ascii="Times New Roman" w:hAnsi="Times New Roman"/>
          <w:sz w:val="16"/>
          <w:szCs w:val="16"/>
          <w:lang w:val="en-GB"/>
        </w:rPr>
        <w:t xml:space="preserve"> Human Development Report, 2016</w:t>
      </w:r>
    </w:p>
  </w:footnote>
  <w:footnote w:id="6">
    <w:p w14:paraId="11C5F72B" w14:textId="77777777" w:rsidR="007F7C0C" w:rsidRPr="00380941" w:rsidRDefault="007F7C0C" w:rsidP="002B5CAB">
      <w:pPr>
        <w:pStyle w:val="FootnoteText"/>
        <w:rPr>
          <w:rFonts w:ascii="Times New Roman" w:hAnsi="Times New Roman"/>
          <w:sz w:val="16"/>
          <w:szCs w:val="16"/>
          <w:lang w:val="en-GB"/>
        </w:rPr>
      </w:pPr>
      <w:r w:rsidRPr="00380941">
        <w:rPr>
          <w:rStyle w:val="FootnoteReference"/>
          <w:rFonts w:ascii="Times New Roman" w:hAnsi="Times New Roman"/>
          <w:sz w:val="16"/>
          <w:szCs w:val="16"/>
          <w:lang w:val="en-GB"/>
        </w:rPr>
        <w:footnoteRef/>
      </w:r>
      <w:r w:rsidRPr="00380941">
        <w:rPr>
          <w:rFonts w:ascii="Times New Roman" w:hAnsi="Times New Roman"/>
          <w:sz w:val="16"/>
          <w:szCs w:val="16"/>
          <w:lang w:val="en-GB"/>
        </w:rPr>
        <w:t xml:space="preserve"> United Nations Committee for Development Policy, 2016</w:t>
      </w:r>
    </w:p>
  </w:footnote>
  <w:footnote w:id="7">
    <w:p w14:paraId="72A7F30D" w14:textId="77777777" w:rsidR="007F7C0C" w:rsidRPr="00380941" w:rsidRDefault="007F7C0C" w:rsidP="00920763">
      <w:pPr>
        <w:pStyle w:val="FootnoteText"/>
        <w:rPr>
          <w:lang w:val="en-GB"/>
        </w:rPr>
      </w:pPr>
      <w:r w:rsidRPr="00380941">
        <w:rPr>
          <w:rStyle w:val="FootnoteReference"/>
          <w:rFonts w:ascii="Times New Roman" w:hAnsi="Times New Roman"/>
          <w:sz w:val="16"/>
          <w:szCs w:val="16"/>
          <w:lang w:val="en-GB"/>
        </w:rPr>
        <w:footnoteRef/>
      </w:r>
      <w:r w:rsidRPr="00380941">
        <w:rPr>
          <w:rFonts w:ascii="Times New Roman" w:hAnsi="Times New Roman"/>
          <w:sz w:val="16"/>
          <w:szCs w:val="16"/>
          <w:lang w:val="en-GB"/>
        </w:rPr>
        <w:t xml:space="preserve"> Pacific Possible: Long term Economic Opportunities and Challenges for </w:t>
      </w:r>
      <w:r>
        <w:rPr>
          <w:rFonts w:ascii="Times New Roman" w:hAnsi="Times New Roman"/>
          <w:sz w:val="16"/>
          <w:szCs w:val="16"/>
          <w:lang w:val="en-GB"/>
        </w:rPr>
        <w:t xml:space="preserve">Small </w:t>
      </w:r>
      <w:r w:rsidRPr="00380941">
        <w:rPr>
          <w:rFonts w:ascii="Times New Roman" w:hAnsi="Times New Roman"/>
          <w:sz w:val="16"/>
          <w:szCs w:val="16"/>
          <w:lang w:val="en-GB"/>
        </w:rPr>
        <w:t>Pacific Island Countries, World Bank, 2017</w:t>
      </w:r>
    </w:p>
  </w:footnote>
  <w:footnote w:id="8">
    <w:p w14:paraId="30243009" w14:textId="77777777" w:rsidR="007F7C0C" w:rsidRPr="00380941" w:rsidRDefault="007F7C0C" w:rsidP="00920763">
      <w:pPr>
        <w:pStyle w:val="FootnoteText"/>
        <w:rPr>
          <w:lang w:val="en-GB"/>
        </w:rPr>
      </w:pPr>
      <w:r w:rsidRPr="00380941">
        <w:rPr>
          <w:rStyle w:val="FootnoteReference"/>
          <w:rFonts w:ascii="Times New Roman" w:hAnsi="Times New Roman"/>
          <w:sz w:val="16"/>
          <w:szCs w:val="16"/>
          <w:lang w:val="en-GB"/>
        </w:rPr>
        <w:footnoteRef/>
      </w:r>
      <w:r w:rsidRPr="00380941">
        <w:rPr>
          <w:rFonts w:ascii="Times New Roman" w:hAnsi="Times New Roman"/>
          <w:sz w:val="16"/>
          <w:szCs w:val="16"/>
          <w:lang w:val="en-GB"/>
        </w:rPr>
        <w:t xml:space="preserve"> Ibid</w:t>
      </w:r>
      <w:r>
        <w:rPr>
          <w:rFonts w:ascii="Times New Roman" w:hAnsi="Times New Roman"/>
          <w:sz w:val="16"/>
          <w:szCs w:val="16"/>
          <w:lang w:val="en-GB"/>
        </w:rPr>
        <w:t>.</w:t>
      </w:r>
    </w:p>
  </w:footnote>
  <w:footnote w:id="9">
    <w:p w14:paraId="77539BEA" w14:textId="57CD6F83" w:rsidR="007F7C0C" w:rsidRPr="003E321F" w:rsidRDefault="007F7C0C">
      <w:pPr>
        <w:pStyle w:val="FootnoteText"/>
        <w:rPr>
          <w:sz w:val="16"/>
          <w:szCs w:val="16"/>
        </w:rPr>
      </w:pPr>
      <w:r w:rsidRPr="00380941">
        <w:rPr>
          <w:rStyle w:val="FootnoteReference"/>
          <w:sz w:val="16"/>
          <w:szCs w:val="16"/>
          <w:lang w:val="en-GB"/>
        </w:rPr>
        <w:footnoteRef/>
      </w:r>
      <w:r w:rsidRPr="00380941">
        <w:rPr>
          <w:rFonts w:ascii="Times New Roman" w:hAnsi="Times New Roman"/>
          <w:sz w:val="16"/>
          <w:szCs w:val="16"/>
          <w:lang w:val="en-GB"/>
        </w:rPr>
        <w:t xml:space="preserve"> Pacific </w:t>
      </w:r>
      <w:r>
        <w:rPr>
          <w:rFonts w:ascii="Times New Roman" w:hAnsi="Times New Roman"/>
          <w:sz w:val="16"/>
          <w:szCs w:val="16"/>
          <w:lang w:val="en-GB"/>
        </w:rPr>
        <w:t>r</w:t>
      </w:r>
      <w:r w:rsidRPr="00380941">
        <w:rPr>
          <w:rFonts w:ascii="Times New Roman" w:hAnsi="Times New Roman"/>
          <w:sz w:val="16"/>
          <w:szCs w:val="16"/>
          <w:lang w:val="en-GB"/>
        </w:rPr>
        <w:t xml:space="preserve">egional MDGs </w:t>
      </w:r>
      <w:r>
        <w:rPr>
          <w:rFonts w:ascii="Times New Roman" w:hAnsi="Times New Roman"/>
          <w:sz w:val="16"/>
          <w:szCs w:val="16"/>
          <w:lang w:val="en-GB"/>
        </w:rPr>
        <w:t>t</w:t>
      </w:r>
      <w:r w:rsidRPr="00380941">
        <w:rPr>
          <w:rFonts w:ascii="Times New Roman" w:hAnsi="Times New Roman"/>
          <w:sz w:val="16"/>
          <w:szCs w:val="16"/>
          <w:lang w:val="en-GB"/>
        </w:rPr>
        <w:t xml:space="preserve">racking </w:t>
      </w:r>
      <w:r>
        <w:rPr>
          <w:rFonts w:ascii="Times New Roman" w:hAnsi="Times New Roman"/>
          <w:sz w:val="16"/>
          <w:szCs w:val="16"/>
          <w:lang w:val="en-GB"/>
        </w:rPr>
        <w:t>r</w:t>
      </w:r>
      <w:r w:rsidRPr="00380941">
        <w:rPr>
          <w:rFonts w:ascii="Times New Roman" w:hAnsi="Times New Roman"/>
          <w:sz w:val="16"/>
          <w:szCs w:val="16"/>
          <w:lang w:val="en-GB"/>
        </w:rPr>
        <w:t>eport</w:t>
      </w:r>
      <w:r>
        <w:rPr>
          <w:rFonts w:ascii="Times New Roman" w:hAnsi="Times New Roman"/>
          <w:sz w:val="16"/>
          <w:szCs w:val="16"/>
        </w:rPr>
        <w:t xml:space="preserve">, </w:t>
      </w:r>
      <w:r w:rsidRPr="003E321F">
        <w:rPr>
          <w:rFonts w:ascii="Times New Roman" w:hAnsi="Times New Roman"/>
          <w:sz w:val="16"/>
          <w:szCs w:val="16"/>
        </w:rPr>
        <w:t>2015, Pacific Islands Forum Secretariat</w:t>
      </w:r>
    </w:p>
  </w:footnote>
  <w:footnote w:id="10">
    <w:p w14:paraId="5D914742" w14:textId="63EA2A5F" w:rsidR="007F7C0C" w:rsidRPr="003E321F" w:rsidRDefault="007F7C0C" w:rsidP="00A14C97">
      <w:pPr>
        <w:pStyle w:val="FootnoteText"/>
        <w:rPr>
          <w:rFonts w:ascii="Times New Roman" w:hAnsi="Times New Roman"/>
          <w:sz w:val="16"/>
          <w:szCs w:val="16"/>
        </w:rPr>
      </w:pPr>
      <w:r w:rsidRPr="003E321F">
        <w:rPr>
          <w:rStyle w:val="FootnoteReference"/>
          <w:sz w:val="16"/>
          <w:szCs w:val="16"/>
        </w:rPr>
        <w:footnoteRef/>
      </w:r>
      <w:r>
        <w:rPr>
          <w:rFonts w:ascii="Times New Roman" w:hAnsi="Times New Roman"/>
          <w:sz w:val="16"/>
          <w:szCs w:val="16"/>
        </w:rPr>
        <w:t xml:space="preserve"> </w:t>
      </w:r>
      <w:r w:rsidRPr="003E321F">
        <w:rPr>
          <w:rFonts w:ascii="Times New Roman" w:hAnsi="Times New Roman"/>
          <w:sz w:val="16"/>
          <w:szCs w:val="16"/>
        </w:rPr>
        <w:t>Endorsed by Pacific Island</w:t>
      </w:r>
      <w:r>
        <w:rPr>
          <w:rFonts w:ascii="Times New Roman" w:hAnsi="Times New Roman"/>
          <w:sz w:val="16"/>
          <w:szCs w:val="16"/>
        </w:rPr>
        <w:t>s</w:t>
      </w:r>
      <w:r w:rsidRPr="003E321F">
        <w:rPr>
          <w:rFonts w:ascii="Times New Roman" w:hAnsi="Times New Roman"/>
          <w:sz w:val="16"/>
          <w:szCs w:val="16"/>
        </w:rPr>
        <w:t xml:space="preserve"> Forum </w:t>
      </w:r>
      <w:r>
        <w:rPr>
          <w:rFonts w:ascii="Times New Roman" w:hAnsi="Times New Roman"/>
          <w:sz w:val="16"/>
          <w:szCs w:val="16"/>
        </w:rPr>
        <w:t>l</w:t>
      </w:r>
      <w:r w:rsidRPr="003E321F">
        <w:rPr>
          <w:rFonts w:ascii="Times New Roman" w:hAnsi="Times New Roman"/>
          <w:sz w:val="16"/>
          <w:szCs w:val="16"/>
        </w:rPr>
        <w:t xml:space="preserve">eaders in July 2014. </w:t>
      </w:r>
    </w:p>
  </w:footnote>
  <w:footnote w:id="11">
    <w:p w14:paraId="29679482" w14:textId="39127FC1" w:rsidR="007F7C0C" w:rsidRDefault="007F7C0C">
      <w:pPr>
        <w:pStyle w:val="FootnoteText"/>
      </w:pPr>
      <w:r w:rsidRPr="008A1858">
        <w:rPr>
          <w:rStyle w:val="FootnoteReference"/>
          <w:rFonts w:ascii="Times New Roman" w:hAnsi="Times New Roman"/>
          <w:sz w:val="16"/>
          <w:szCs w:val="16"/>
        </w:rPr>
        <w:footnoteRef/>
      </w:r>
      <w:r>
        <w:rPr>
          <w:rFonts w:ascii="Times New Roman" w:hAnsi="Times New Roman"/>
          <w:sz w:val="16"/>
          <w:szCs w:val="16"/>
        </w:rPr>
        <w:t xml:space="preserve"> </w:t>
      </w:r>
      <w:r w:rsidRPr="00690EF0">
        <w:rPr>
          <w:rFonts w:ascii="Times New Roman" w:hAnsi="Times New Roman"/>
          <w:sz w:val="16"/>
          <w:szCs w:val="16"/>
        </w:rPr>
        <w:t>S</w:t>
      </w:r>
      <w:r>
        <w:rPr>
          <w:rFonts w:ascii="Times New Roman" w:hAnsi="Times New Roman"/>
          <w:sz w:val="16"/>
          <w:szCs w:val="16"/>
        </w:rPr>
        <w:t>ubregional programme document r</w:t>
      </w:r>
      <w:r w:rsidRPr="00690EF0">
        <w:rPr>
          <w:rFonts w:ascii="Times New Roman" w:hAnsi="Times New Roman"/>
          <w:sz w:val="16"/>
          <w:szCs w:val="16"/>
        </w:rPr>
        <w:t xml:space="preserve">eview </w:t>
      </w:r>
      <w:r>
        <w:rPr>
          <w:rFonts w:ascii="Times New Roman" w:hAnsi="Times New Roman"/>
          <w:sz w:val="16"/>
          <w:szCs w:val="16"/>
        </w:rPr>
        <w:t>r</w:t>
      </w:r>
      <w:r w:rsidRPr="00690EF0">
        <w:rPr>
          <w:rFonts w:ascii="Times New Roman" w:hAnsi="Times New Roman"/>
          <w:sz w:val="16"/>
          <w:szCs w:val="16"/>
        </w:rPr>
        <w:t>eport, December 2016</w:t>
      </w:r>
    </w:p>
  </w:footnote>
  <w:footnote w:id="12">
    <w:p w14:paraId="05B8F76D" w14:textId="77777777" w:rsidR="007F7C0C" w:rsidRPr="000C3363" w:rsidRDefault="007F7C0C" w:rsidP="003105A1">
      <w:pPr>
        <w:pStyle w:val="FootnoteText"/>
        <w:rPr>
          <w:rFonts w:ascii="Times New Roman" w:hAnsi="Times New Roman"/>
          <w:sz w:val="16"/>
          <w:szCs w:val="16"/>
        </w:rPr>
      </w:pPr>
      <w:r w:rsidRPr="000C3363">
        <w:rPr>
          <w:rStyle w:val="FootnoteReference"/>
          <w:rFonts w:ascii="Times New Roman" w:hAnsi="Times New Roman"/>
          <w:sz w:val="16"/>
          <w:szCs w:val="16"/>
        </w:rPr>
        <w:footnoteRef/>
      </w:r>
      <w:r w:rsidRPr="000C3363">
        <w:rPr>
          <w:rFonts w:ascii="Times New Roman" w:hAnsi="Times New Roman"/>
          <w:sz w:val="16"/>
          <w:szCs w:val="16"/>
        </w:rPr>
        <w:t xml:space="preserve"> World Bank, Hardship and Vulnerability in the Pacific, 2014.</w:t>
      </w:r>
    </w:p>
  </w:footnote>
  <w:footnote w:id="13">
    <w:p w14:paraId="23F8CCEB" w14:textId="6F1C08BA" w:rsidR="007F7C0C" w:rsidRPr="000C3363" w:rsidRDefault="007F7C0C" w:rsidP="005A48AC">
      <w:pPr>
        <w:pStyle w:val="FootnoteText"/>
        <w:rPr>
          <w:rFonts w:ascii="Times New Roman" w:hAnsi="Times New Roman"/>
          <w:sz w:val="16"/>
          <w:szCs w:val="16"/>
        </w:rPr>
      </w:pPr>
      <w:r w:rsidRPr="000C3363">
        <w:rPr>
          <w:rStyle w:val="FootnoteReference"/>
          <w:rFonts w:ascii="Times New Roman" w:hAnsi="Times New Roman"/>
          <w:sz w:val="16"/>
          <w:szCs w:val="16"/>
        </w:rPr>
        <w:footnoteRef/>
      </w:r>
      <w:r w:rsidRPr="000C3363">
        <w:rPr>
          <w:rFonts w:ascii="Times New Roman" w:hAnsi="Times New Roman"/>
          <w:sz w:val="16"/>
          <w:szCs w:val="16"/>
        </w:rPr>
        <w:t xml:space="preserve"> United Nations</w:t>
      </w:r>
      <w:r>
        <w:rPr>
          <w:rFonts w:ascii="Times New Roman" w:hAnsi="Times New Roman"/>
          <w:sz w:val="16"/>
          <w:szCs w:val="16"/>
        </w:rPr>
        <w:t xml:space="preserve"> University and Economic and Social Commission for Asia and the Pacific (ESCAP), </w:t>
      </w:r>
      <w:r w:rsidRPr="000C3363">
        <w:rPr>
          <w:rFonts w:ascii="Times New Roman" w:hAnsi="Times New Roman"/>
          <w:sz w:val="16"/>
          <w:szCs w:val="16"/>
        </w:rPr>
        <w:t>On the frontlines of climate change: M</w:t>
      </w:r>
      <w:r>
        <w:rPr>
          <w:rFonts w:ascii="Times New Roman" w:hAnsi="Times New Roman"/>
          <w:sz w:val="16"/>
          <w:szCs w:val="16"/>
        </w:rPr>
        <w:t>igration in the Pacific Islands, 2015</w:t>
      </w:r>
    </w:p>
  </w:footnote>
  <w:footnote w:id="14">
    <w:p w14:paraId="1ADA0F51" w14:textId="634087A2" w:rsidR="007F7C0C" w:rsidRPr="009808E2" w:rsidRDefault="007F7C0C">
      <w:pPr>
        <w:pStyle w:val="FootnoteText"/>
        <w:rPr>
          <w:rFonts w:ascii="Times New Roman" w:hAnsi="Times New Roman"/>
          <w:sz w:val="16"/>
          <w:szCs w:val="16"/>
        </w:rPr>
      </w:pPr>
      <w:r w:rsidRPr="009808E2">
        <w:rPr>
          <w:rStyle w:val="FootnoteReference"/>
          <w:rFonts w:ascii="Times New Roman" w:hAnsi="Times New Roman"/>
          <w:sz w:val="16"/>
          <w:szCs w:val="16"/>
        </w:rPr>
        <w:footnoteRef/>
      </w:r>
      <w:r w:rsidRPr="009808E2">
        <w:rPr>
          <w:rStyle w:val="FootnoteReference"/>
          <w:rFonts w:ascii="Times New Roman" w:hAnsi="Times New Roman"/>
          <w:sz w:val="16"/>
          <w:szCs w:val="16"/>
        </w:rPr>
        <w:t xml:space="preserve"> </w:t>
      </w:r>
      <w:r>
        <w:rPr>
          <w:rFonts w:ascii="Times New Roman" w:hAnsi="Times New Roman"/>
          <w:sz w:val="16"/>
          <w:szCs w:val="16"/>
        </w:rPr>
        <w:t>According to UN-Women (</w:t>
      </w:r>
      <w:r w:rsidRPr="009808E2">
        <w:rPr>
          <w:rFonts w:ascii="Times New Roman" w:hAnsi="Times New Roman"/>
          <w:sz w:val="16"/>
          <w:szCs w:val="16"/>
        </w:rPr>
        <w:t>http://asiapacific.unwomen.org/en/countries/fiji/ending-violence-against-women</w:t>
      </w:r>
      <w:r>
        <w:rPr>
          <w:rFonts w:ascii="Times New Roman" w:hAnsi="Times New Roman"/>
          <w:sz w:val="16"/>
          <w:szCs w:val="16"/>
        </w:rPr>
        <w:t>), v</w:t>
      </w:r>
      <w:r w:rsidRPr="009808E2">
        <w:rPr>
          <w:rFonts w:ascii="Times New Roman" w:hAnsi="Times New Roman"/>
          <w:sz w:val="16"/>
          <w:szCs w:val="16"/>
        </w:rPr>
        <w:t xml:space="preserve">iolence against women and girls in </w:t>
      </w:r>
      <w:r>
        <w:rPr>
          <w:rFonts w:ascii="Times New Roman" w:hAnsi="Times New Roman"/>
          <w:sz w:val="16"/>
          <w:szCs w:val="16"/>
        </w:rPr>
        <w:t xml:space="preserve">the </w:t>
      </w:r>
      <w:r w:rsidRPr="009808E2">
        <w:rPr>
          <w:rFonts w:ascii="Times New Roman" w:hAnsi="Times New Roman"/>
          <w:sz w:val="16"/>
          <w:szCs w:val="16"/>
        </w:rPr>
        <w:t>Pacific is among the highest in the world, with evidence showing that up to 68</w:t>
      </w:r>
      <w:r>
        <w:rPr>
          <w:rFonts w:ascii="Times New Roman" w:hAnsi="Times New Roman"/>
          <w:sz w:val="16"/>
          <w:szCs w:val="16"/>
        </w:rPr>
        <w:t xml:space="preserve"> per cent</w:t>
      </w:r>
      <w:r w:rsidRPr="009808E2">
        <w:rPr>
          <w:rFonts w:ascii="Times New Roman" w:hAnsi="Times New Roman"/>
          <w:sz w:val="16"/>
          <w:szCs w:val="16"/>
        </w:rPr>
        <w:t xml:space="preserve"> of women in the </w:t>
      </w:r>
      <w:r>
        <w:rPr>
          <w:rFonts w:ascii="Times New Roman" w:hAnsi="Times New Roman"/>
          <w:sz w:val="16"/>
          <w:szCs w:val="16"/>
        </w:rPr>
        <w:t>subregion</w:t>
      </w:r>
      <w:r w:rsidRPr="009808E2">
        <w:rPr>
          <w:rFonts w:ascii="Times New Roman" w:hAnsi="Times New Roman"/>
          <w:sz w:val="16"/>
          <w:szCs w:val="16"/>
        </w:rPr>
        <w:t xml:space="preserve"> are affected.</w:t>
      </w:r>
    </w:p>
  </w:footnote>
  <w:footnote w:id="15">
    <w:p w14:paraId="3A8A55E4" w14:textId="77777777" w:rsidR="007F7C0C" w:rsidRPr="0014699B" w:rsidRDefault="007F7C0C">
      <w:pPr>
        <w:pStyle w:val="FootnoteText"/>
        <w:rPr>
          <w:rFonts w:ascii="Times New Roman" w:hAnsi="Times New Roman"/>
          <w:sz w:val="16"/>
          <w:szCs w:val="16"/>
        </w:rPr>
      </w:pPr>
      <w:r w:rsidRPr="0014699B">
        <w:rPr>
          <w:rStyle w:val="FootnoteReference"/>
          <w:rFonts w:ascii="Times New Roman" w:hAnsi="Times New Roman"/>
          <w:sz w:val="16"/>
          <w:szCs w:val="16"/>
        </w:rPr>
        <w:footnoteRef/>
      </w:r>
      <w:r w:rsidRPr="0014699B">
        <w:rPr>
          <w:rFonts w:ascii="Times New Roman" w:hAnsi="Times New Roman"/>
          <w:sz w:val="16"/>
          <w:szCs w:val="16"/>
        </w:rPr>
        <w:t xml:space="preserve"> ESCAP, </w:t>
      </w:r>
      <w:r w:rsidRPr="009B1F47">
        <w:rPr>
          <w:rFonts w:ascii="Times New Roman" w:hAnsi="Times New Roman"/>
          <w:sz w:val="16"/>
          <w:szCs w:val="16"/>
        </w:rPr>
        <w:t>International Labour Organization (</w:t>
      </w:r>
      <w:r w:rsidRPr="0014699B">
        <w:rPr>
          <w:rFonts w:ascii="Times New Roman" w:hAnsi="Times New Roman"/>
          <w:sz w:val="16"/>
          <w:szCs w:val="16"/>
        </w:rPr>
        <w:t>ILO</w:t>
      </w:r>
      <w:r>
        <w:rPr>
          <w:rFonts w:ascii="Times New Roman" w:hAnsi="Times New Roman"/>
          <w:sz w:val="16"/>
          <w:szCs w:val="16"/>
        </w:rPr>
        <w:t>)</w:t>
      </w:r>
      <w:r w:rsidRPr="0014699B">
        <w:rPr>
          <w:rFonts w:ascii="Times New Roman" w:hAnsi="Times New Roman"/>
          <w:sz w:val="16"/>
          <w:szCs w:val="16"/>
        </w:rPr>
        <w:t xml:space="preserve">, </w:t>
      </w:r>
      <w:r w:rsidRPr="009B1F47">
        <w:rPr>
          <w:rFonts w:ascii="Times New Roman" w:hAnsi="Times New Roman"/>
          <w:sz w:val="16"/>
          <w:szCs w:val="16"/>
        </w:rPr>
        <w:t>United Nations Children Fund (</w:t>
      </w:r>
      <w:r w:rsidRPr="0014699B">
        <w:rPr>
          <w:rFonts w:ascii="Times New Roman" w:hAnsi="Times New Roman"/>
          <w:sz w:val="16"/>
          <w:szCs w:val="16"/>
        </w:rPr>
        <w:t>UNICEF</w:t>
      </w:r>
      <w:r>
        <w:rPr>
          <w:rFonts w:ascii="Times New Roman" w:hAnsi="Times New Roman"/>
          <w:sz w:val="16"/>
          <w:szCs w:val="16"/>
        </w:rPr>
        <w:t>)</w:t>
      </w:r>
      <w:r w:rsidRPr="0014699B">
        <w:rPr>
          <w:rFonts w:ascii="Times New Roman" w:hAnsi="Times New Roman"/>
          <w:sz w:val="16"/>
          <w:szCs w:val="16"/>
        </w:rPr>
        <w:t>, UNFPA and UNDP, The State of Human Development in the Pacific: A Report on Vulnerability and Exclusion in a Time of Rapid Change, 2014.</w:t>
      </w:r>
    </w:p>
  </w:footnote>
  <w:footnote w:id="16">
    <w:p w14:paraId="680DDFE5" w14:textId="2F9F1A29" w:rsidR="007F7C0C" w:rsidRPr="008E3A03" w:rsidRDefault="007F7C0C" w:rsidP="0014699B">
      <w:pPr>
        <w:pStyle w:val="FootnoteText"/>
        <w:rPr>
          <w:rFonts w:ascii="Times New Roman" w:hAnsi="Times New Roman"/>
          <w:sz w:val="16"/>
          <w:szCs w:val="16"/>
        </w:rPr>
      </w:pPr>
      <w:r w:rsidRPr="0014699B">
        <w:rPr>
          <w:rFonts w:ascii="Times New Roman" w:hAnsi="Times New Roman"/>
          <w:sz w:val="16"/>
          <w:szCs w:val="16"/>
          <w:vertAlign w:val="superscript"/>
        </w:rPr>
        <w:footnoteRef/>
      </w:r>
      <w:r w:rsidRPr="0014699B">
        <w:rPr>
          <w:rFonts w:ascii="Times New Roman" w:hAnsi="Times New Roman"/>
          <w:sz w:val="16"/>
          <w:szCs w:val="16"/>
          <w:vertAlign w:val="superscript"/>
        </w:rPr>
        <w:t xml:space="preserve"> </w:t>
      </w:r>
      <w:r w:rsidRPr="0014699B">
        <w:rPr>
          <w:rFonts w:ascii="Times New Roman" w:hAnsi="Times New Roman"/>
          <w:sz w:val="16"/>
          <w:szCs w:val="16"/>
        </w:rPr>
        <w:t>Australian Aid</w:t>
      </w:r>
      <w:r>
        <w:rPr>
          <w:rFonts w:ascii="Times New Roman" w:hAnsi="Times New Roman"/>
          <w:sz w:val="16"/>
          <w:szCs w:val="16"/>
        </w:rPr>
        <w:t>,</w:t>
      </w:r>
      <w:r w:rsidRPr="0014699B">
        <w:rPr>
          <w:rFonts w:ascii="Times New Roman" w:hAnsi="Times New Roman"/>
          <w:sz w:val="16"/>
          <w:szCs w:val="16"/>
        </w:rPr>
        <w:t xml:space="preserve"> Pacific Regional Youth Employment Scan</w:t>
      </w:r>
      <w:r>
        <w:rPr>
          <w:rFonts w:ascii="Times New Roman" w:hAnsi="Times New Roman"/>
          <w:sz w:val="16"/>
          <w:szCs w:val="16"/>
        </w:rPr>
        <w:t>,</w:t>
      </w:r>
      <w:r w:rsidRPr="0014699B">
        <w:rPr>
          <w:rFonts w:ascii="Times New Roman" w:hAnsi="Times New Roman"/>
          <w:sz w:val="16"/>
          <w:szCs w:val="16"/>
        </w:rPr>
        <w:t xml:space="preserve"> January 2016. http://www.plp.org.fj/wp-content/uploads/2016/05/PLP_Pacific-</w:t>
      </w:r>
      <w:r w:rsidRPr="008E3A03">
        <w:rPr>
          <w:rFonts w:ascii="Times New Roman" w:hAnsi="Times New Roman"/>
          <w:sz w:val="16"/>
          <w:szCs w:val="16"/>
        </w:rPr>
        <w:t>Region-Youth-Employment-Scan_Final.pdf</w:t>
      </w:r>
    </w:p>
  </w:footnote>
  <w:footnote w:id="17">
    <w:p w14:paraId="77534CBF" w14:textId="286AC9BB" w:rsidR="007F7C0C" w:rsidRPr="008E3A03" w:rsidRDefault="007F7C0C">
      <w:pPr>
        <w:pStyle w:val="FootnoteText"/>
        <w:rPr>
          <w:rFonts w:ascii="Times New Roman" w:hAnsi="Times New Roman"/>
          <w:sz w:val="16"/>
          <w:szCs w:val="16"/>
        </w:rPr>
      </w:pPr>
      <w:r w:rsidRPr="008E3A03">
        <w:rPr>
          <w:rStyle w:val="FootnoteReference"/>
          <w:rFonts w:ascii="Times New Roman" w:hAnsi="Times New Roman"/>
          <w:sz w:val="16"/>
          <w:szCs w:val="16"/>
        </w:rPr>
        <w:footnoteRef/>
      </w:r>
      <w:r w:rsidRPr="008E3A03">
        <w:rPr>
          <w:rFonts w:ascii="Times New Roman" w:hAnsi="Times New Roman"/>
          <w:sz w:val="16"/>
          <w:szCs w:val="16"/>
        </w:rPr>
        <w:t xml:space="preserve"> Asian Development Bank</w:t>
      </w:r>
      <w:r>
        <w:rPr>
          <w:rFonts w:ascii="Times New Roman" w:hAnsi="Times New Roman"/>
          <w:sz w:val="16"/>
          <w:szCs w:val="16"/>
        </w:rPr>
        <w:t xml:space="preserve"> (ADB),</w:t>
      </w:r>
      <w:r w:rsidRPr="008E3A03">
        <w:rPr>
          <w:rFonts w:ascii="Times New Roman" w:hAnsi="Times New Roman"/>
          <w:sz w:val="16"/>
          <w:szCs w:val="16"/>
        </w:rPr>
        <w:t xml:space="preserve"> Unlocking the Economic Potential of Wo</w:t>
      </w:r>
      <w:r>
        <w:rPr>
          <w:rFonts w:ascii="Times New Roman" w:hAnsi="Times New Roman"/>
          <w:sz w:val="16"/>
          <w:szCs w:val="16"/>
        </w:rPr>
        <w:t>men in the Pacific. March 2016</w:t>
      </w:r>
    </w:p>
  </w:footnote>
  <w:footnote w:id="18">
    <w:p w14:paraId="51B4458E" w14:textId="33B1A757" w:rsidR="007F7C0C" w:rsidRPr="008E3A03" w:rsidRDefault="007F7C0C">
      <w:pPr>
        <w:pStyle w:val="FootnoteText"/>
        <w:rPr>
          <w:rFonts w:ascii="Times New Roman" w:hAnsi="Times New Roman"/>
          <w:sz w:val="16"/>
          <w:szCs w:val="16"/>
        </w:rPr>
      </w:pPr>
      <w:r w:rsidRPr="008E3A03">
        <w:rPr>
          <w:rStyle w:val="FootnoteReference"/>
          <w:rFonts w:ascii="Times New Roman" w:hAnsi="Times New Roman"/>
          <w:sz w:val="16"/>
          <w:szCs w:val="16"/>
        </w:rPr>
        <w:footnoteRef/>
      </w:r>
      <w:r w:rsidRPr="008E3A03">
        <w:rPr>
          <w:rFonts w:ascii="Times New Roman" w:hAnsi="Times New Roman"/>
          <w:sz w:val="16"/>
          <w:szCs w:val="16"/>
        </w:rPr>
        <w:t xml:space="preserve"> </w:t>
      </w:r>
      <w:r>
        <w:rPr>
          <w:rFonts w:ascii="Times New Roman" w:hAnsi="Times New Roman"/>
          <w:sz w:val="16"/>
          <w:szCs w:val="16"/>
        </w:rPr>
        <w:t>ADB,</w:t>
      </w:r>
      <w:r w:rsidRPr="008E3A03">
        <w:rPr>
          <w:rFonts w:ascii="Times New Roman" w:hAnsi="Times New Roman"/>
          <w:sz w:val="16"/>
          <w:szCs w:val="16"/>
        </w:rPr>
        <w:t xml:space="preserve"> July 2014</w:t>
      </w:r>
      <w:r>
        <w:rPr>
          <w:rFonts w:ascii="Times New Roman" w:hAnsi="Times New Roman"/>
          <w:sz w:val="16"/>
          <w:szCs w:val="16"/>
        </w:rPr>
        <w:t xml:space="preserve">, </w:t>
      </w:r>
      <w:r w:rsidRPr="008E3A03">
        <w:rPr>
          <w:rFonts w:ascii="Times New Roman" w:hAnsi="Times New Roman"/>
          <w:sz w:val="16"/>
          <w:szCs w:val="16"/>
        </w:rPr>
        <w:t>Pacific Economic Monitor 2014: The P</w:t>
      </w:r>
      <w:r>
        <w:rPr>
          <w:rFonts w:ascii="Times New Roman" w:hAnsi="Times New Roman"/>
          <w:sz w:val="16"/>
          <w:szCs w:val="16"/>
        </w:rPr>
        <w:t>acific’s Employment Challenges</w:t>
      </w:r>
    </w:p>
  </w:footnote>
  <w:footnote w:id="19">
    <w:p w14:paraId="0BDD3055" w14:textId="7F2729E2" w:rsidR="007F7C0C" w:rsidRPr="008E3A03" w:rsidRDefault="007F7C0C" w:rsidP="007279C8">
      <w:pPr>
        <w:pStyle w:val="FootnoteText"/>
        <w:rPr>
          <w:rFonts w:ascii="Times New Roman" w:hAnsi="Times New Roman"/>
          <w:sz w:val="16"/>
          <w:szCs w:val="16"/>
        </w:rPr>
      </w:pPr>
      <w:r w:rsidRPr="008E3A03">
        <w:rPr>
          <w:rStyle w:val="FootnoteReference"/>
          <w:rFonts w:ascii="Times New Roman" w:hAnsi="Times New Roman"/>
          <w:sz w:val="16"/>
          <w:szCs w:val="16"/>
        </w:rPr>
        <w:footnoteRef/>
      </w:r>
      <w:r w:rsidRPr="008E3A03">
        <w:rPr>
          <w:rFonts w:ascii="Times New Roman" w:hAnsi="Times New Roman"/>
          <w:sz w:val="16"/>
          <w:szCs w:val="16"/>
        </w:rPr>
        <w:t xml:space="preserve"> </w:t>
      </w:r>
      <w:r>
        <w:rPr>
          <w:rFonts w:ascii="Times New Roman" w:hAnsi="Times New Roman"/>
          <w:sz w:val="16"/>
          <w:szCs w:val="16"/>
        </w:rPr>
        <w:t>Secretariat of the Pacific Community employment statistics, 2011</w:t>
      </w:r>
    </w:p>
  </w:footnote>
  <w:footnote w:id="20">
    <w:p w14:paraId="3F93D4E4" w14:textId="4E1BF092" w:rsidR="007F7C0C" w:rsidRPr="00DC106D" w:rsidRDefault="007F7C0C" w:rsidP="00DC106D">
      <w:pPr>
        <w:autoSpaceDE w:val="0"/>
        <w:autoSpaceDN w:val="0"/>
        <w:adjustRightInd w:val="0"/>
        <w:rPr>
          <w:sz w:val="16"/>
          <w:szCs w:val="16"/>
        </w:rPr>
      </w:pPr>
      <w:r w:rsidRPr="007279C8">
        <w:rPr>
          <w:rStyle w:val="FootnoteReference"/>
          <w:sz w:val="16"/>
          <w:szCs w:val="16"/>
        </w:rPr>
        <w:footnoteRef/>
      </w:r>
      <w:r w:rsidRPr="007279C8">
        <w:rPr>
          <w:rStyle w:val="FootnoteReference"/>
        </w:rPr>
        <w:t xml:space="preserve"> </w:t>
      </w:r>
      <w:r>
        <w:rPr>
          <w:sz w:val="16"/>
          <w:szCs w:val="16"/>
        </w:rPr>
        <w:t>According to an ADB/ILO report, young women’s labou</w:t>
      </w:r>
      <w:r w:rsidRPr="00DC106D">
        <w:rPr>
          <w:sz w:val="16"/>
          <w:szCs w:val="16"/>
        </w:rPr>
        <w:t>r force participation rate</w:t>
      </w:r>
      <w:r>
        <w:rPr>
          <w:sz w:val="16"/>
          <w:szCs w:val="16"/>
        </w:rPr>
        <w:t>s</w:t>
      </w:r>
      <w:r w:rsidRPr="00DC106D">
        <w:rPr>
          <w:sz w:val="16"/>
          <w:szCs w:val="16"/>
        </w:rPr>
        <w:t xml:space="preserve"> </w:t>
      </w:r>
      <w:r>
        <w:rPr>
          <w:sz w:val="16"/>
          <w:szCs w:val="16"/>
        </w:rPr>
        <w:t xml:space="preserve">in 2012 were </w:t>
      </w:r>
      <w:r w:rsidRPr="00DC106D">
        <w:rPr>
          <w:sz w:val="16"/>
          <w:szCs w:val="16"/>
        </w:rPr>
        <w:t>31.3 per cent in Fiji, 32 per cent in Samoa, 41.8</w:t>
      </w:r>
      <w:r>
        <w:rPr>
          <w:sz w:val="16"/>
          <w:szCs w:val="16"/>
        </w:rPr>
        <w:t> </w:t>
      </w:r>
      <w:r w:rsidRPr="00DC106D">
        <w:rPr>
          <w:sz w:val="16"/>
          <w:szCs w:val="16"/>
        </w:rPr>
        <w:t xml:space="preserve">per cent in </w:t>
      </w:r>
      <w:r>
        <w:rPr>
          <w:sz w:val="16"/>
          <w:szCs w:val="16"/>
        </w:rPr>
        <w:t xml:space="preserve">the </w:t>
      </w:r>
      <w:r w:rsidRPr="00DC106D">
        <w:rPr>
          <w:sz w:val="16"/>
          <w:szCs w:val="16"/>
        </w:rPr>
        <w:t xml:space="preserve">Solomon </w:t>
      </w:r>
      <w:r>
        <w:rPr>
          <w:sz w:val="16"/>
          <w:szCs w:val="16"/>
        </w:rPr>
        <w:t xml:space="preserve">Islands and 50.8 per cent in Vanuatu – </w:t>
      </w:r>
      <w:r w:rsidRPr="00DC106D">
        <w:rPr>
          <w:sz w:val="16"/>
          <w:szCs w:val="16"/>
        </w:rPr>
        <w:t>lower than that of young men</w:t>
      </w:r>
      <w:r>
        <w:rPr>
          <w:sz w:val="16"/>
          <w:szCs w:val="16"/>
        </w:rPr>
        <w:t>,</w:t>
      </w:r>
      <w:r w:rsidRPr="00DC106D">
        <w:rPr>
          <w:sz w:val="16"/>
          <w:szCs w:val="16"/>
        </w:rPr>
        <w:t xml:space="preserve"> a</w:t>
      </w:r>
      <w:r>
        <w:rPr>
          <w:sz w:val="16"/>
          <w:szCs w:val="16"/>
        </w:rPr>
        <w:t>t</w:t>
      </w:r>
      <w:r w:rsidRPr="00DC106D">
        <w:rPr>
          <w:sz w:val="16"/>
          <w:szCs w:val="16"/>
        </w:rPr>
        <w:t xml:space="preserve"> 57.7 per cent in Fiji, 53.5 per cent in Samoa, 56.7 per cent</w:t>
      </w:r>
      <w:r>
        <w:rPr>
          <w:sz w:val="16"/>
          <w:szCs w:val="16"/>
        </w:rPr>
        <w:t xml:space="preserve"> </w:t>
      </w:r>
      <w:r w:rsidRPr="00DC106D">
        <w:rPr>
          <w:sz w:val="16"/>
          <w:szCs w:val="16"/>
        </w:rPr>
        <w:t xml:space="preserve">in </w:t>
      </w:r>
      <w:r>
        <w:rPr>
          <w:sz w:val="16"/>
          <w:szCs w:val="16"/>
        </w:rPr>
        <w:t xml:space="preserve">the </w:t>
      </w:r>
      <w:r w:rsidRPr="00DC106D">
        <w:rPr>
          <w:sz w:val="16"/>
          <w:szCs w:val="16"/>
        </w:rPr>
        <w:t xml:space="preserve">Solomon </w:t>
      </w:r>
      <w:r>
        <w:rPr>
          <w:sz w:val="16"/>
          <w:szCs w:val="16"/>
        </w:rPr>
        <w:t>Islands and 62.8 per cent in Vanuatu.</w:t>
      </w:r>
    </w:p>
  </w:footnote>
  <w:footnote w:id="21">
    <w:p w14:paraId="255B0885" w14:textId="77777777" w:rsidR="007F7C0C" w:rsidRPr="007279C8" w:rsidRDefault="007F7C0C">
      <w:pPr>
        <w:pStyle w:val="FootnoteText"/>
        <w:rPr>
          <w:rStyle w:val="FootnoteReference"/>
          <w:rFonts w:ascii="Times New Roman" w:hAnsi="Times New Roman"/>
          <w:sz w:val="16"/>
          <w:szCs w:val="16"/>
        </w:rPr>
      </w:pPr>
      <w:r w:rsidRPr="007279C8">
        <w:rPr>
          <w:rStyle w:val="FootnoteReference"/>
          <w:rFonts w:ascii="Times New Roman" w:hAnsi="Times New Roman"/>
          <w:sz w:val="16"/>
          <w:szCs w:val="16"/>
        </w:rPr>
        <w:footnoteRef/>
      </w:r>
      <w:r w:rsidRPr="007279C8">
        <w:rPr>
          <w:rStyle w:val="FootnoteReference"/>
          <w:rFonts w:ascii="Times New Roman" w:hAnsi="Times New Roman"/>
          <w:sz w:val="16"/>
          <w:szCs w:val="16"/>
        </w:rPr>
        <w:t xml:space="preserve"> </w:t>
      </w:r>
      <w:r w:rsidRPr="00A84616">
        <w:rPr>
          <w:rFonts w:ascii="Times New Roman" w:hAnsi="Times New Roman"/>
          <w:sz w:val="16"/>
          <w:szCs w:val="16"/>
        </w:rPr>
        <w:t>Ibid</w:t>
      </w:r>
      <w:r>
        <w:rPr>
          <w:rFonts w:ascii="Times New Roman" w:hAnsi="Times New Roman"/>
          <w:sz w:val="16"/>
          <w:szCs w:val="16"/>
        </w:rPr>
        <w:t>.</w:t>
      </w:r>
    </w:p>
  </w:footnote>
  <w:footnote w:id="22">
    <w:p w14:paraId="30629A0E" w14:textId="1B9D41FC" w:rsidR="007F7C0C" w:rsidRDefault="007F7C0C">
      <w:pPr>
        <w:pStyle w:val="FootnoteText"/>
      </w:pPr>
      <w:r w:rsidRPr="008A1858">
        <w:rPr>
          <w:rStyle w:val="FootnoteReference"/>
          <w:rFonts w:ascii="Times New Roman" w:hAnsi="Times New Roman"/>
          <w:sz w:val="16"/>
          <w:szCs w:val="16"/>
        </w:rPr>
        <w:footnoteRef/>
      </w:r>
      <w:r>
        <w:rPr>
          <w:rFonts w:ascii="Times New Roman" w:hAnsi="Times New Roman"/>
          <w:sz w:val="16"/>
          <w:szCs w:val="16"/>
        </w:rPr>
        <w:t xml:space="preserve"> U</w:t>
      </w:r>
      <w:r w:rsidRPr="00E6758C">
        <w:rPr>
          <w:rFonts w:ascii="Times New Roman" w:hAnsi="Times New Roman"/>
          <w:sz w:val="16"/>
          <w:szCs w:val="16"/>
        </w:rPr>
        <w:t xml:space="preserve">NDP </w:t>
      </w:r>
      <w:r>
        <w:rPr>
          <w:rFonts w:ascii="Times New Roman" w:hAnsi="Times New Roman"/>
          <w:sz w:val="16"/>
          <w:szCs w:val="16"/>
        </w:rPr>
        <w:t>s</w:t>
      </w:r>
      <w:r w:rsidRPr="00E6758C">
        <w:rPr>
          <w:rFonts w:ascii="Times New Roman" w:hAnsi="Times New Roman"/>
          <w:sz w:val="16"/>
          <w:szCs w:val="16"/>
        </w:rPr>
        <w:t xml:space="preserve">trategy for </w:t>
      </w:r>
      <w:r>
        <w:rPr>
          <w:rFonts w:ascii="Times New Roman" w:hAnsi="Times New Roman"/>
          <w:sz w:val="16"/>
          <w:szCs w:val="16"/>
        </w:rPr>
        <w:t>e</w:t>
      </w:r>
      <w:r w:rsidRPr="00E6758C">
        <w:rPr>
          <w:rFonts w:ascii="Times New Roman" w:hAnsi="Times New Roman"/>
          <w:sz w:val="16"/>
          <w:szCs w:val="16"/>
        </w:rPr>
        <w:t xml:space="preserve">ngaging Pacific </w:t>
      </w:r>
      <w:r>
        <w:rPr>
          <w:rFonts w:ascii="Times New Roman" w:hAnsi="Times New Roman"/>
          <w:sz w:val="16"/>
          <w:szCs w:val="16"/>
        </w:rPr>
        <w:t>y</w:t>
      </w:r>
      <w:r w:rsidRPr="00E6758C">
        <w:rPr>
          <w:rFonts w:ascii="Times New Roman" w:hAnsi="Times New Roman"/>
          <w:sz w:val="16"/>
          <w:szCs w:val="16"/>
        </w:rPr>
        <w:t xml:space="preserve">outh in </w:t>
      </w:r>
      <w:r>
        <w:rPr>
          <w:rFonts w:ascii="Times New Roman" w:hAnsi="Times New Roman"/>
          <w:sz w:val="16"/>
          <w:szCs w:val="16"/>
        </w:rPr>
        <w:t>d</w:t>
      </w:r>
      <w:r w:rsidRPr="00E6758C">
        <w:rPr>
          <w:rFonts w:ascii="Times New Roman" w:hAnsi="Times New Roman"/>
          <w:sz w:val="16"/>
          <w:szCs w:val="16"/>
        </w:rPr>
        <w:t>evelopment</w:t>
      </w:r>
      <w:r>
        <w:rPr>
          <w:rFonts w:ascii="Times New Roman" w:hAnsi="Times New Roman"/>
          <w:sz w:val="16"/>
          <w:szCs w:val="16"/>
        </w:rPr>
        <w:t>,</w:t>
      </w:r>
      <w:r w:rsidRPr="00E6758C">
        <w:rPr>
          <w:rFonts w:ascii="Times New Roman" w:hAnsi="Times New Roman"/>
          <w:sz w:val="16"/>
          <w:szCs w:val="16"/>
        </w:rPr>
        <w:t xml:space="preserve"> 2013-2017</w:t>
      </w:r>
    </w:p>
  </w:footnote>
  <w:footnote w:id="23">
    <w:p w14:paraId="51BCC65A" w14:textId="6F03E0A0" w:rsidR="007F7C0C" w:rsidRPr="008E3A03" w:rsidRDefault="007F7C0C" w:rsidP="004F5B29">
      <w:pPr>
        <w:pStyle w:val="FootnoteText"/>
        <w:rPr>
          <w:rFonts w:ascii="Times New Roman" w:hAnsi="Times New Roman"/>
          <w:sz w:val="16"/>
          <w:szCs w:val="16"/>
        </w:rPr>
      </w:pPr>
      <w:r w:rsidRPr="008E3A03">
        <w:rPr>
          <w:rFonts w:ascii="Times New Roman" w:hAnsi="Times New Roman"/>
          <w:sz w:val="16"/>
          <w:szCs w:val="16"/>
          <w:vertAlign w:val="superscript"/>
        </w:rPr>
        <w:footnoteRef/>
      </w:r>
      <w:r w:rsidRPr="008E3A03">
        <w:rPr>
          <w:rFonts w:ascii="Times New Roman" w:hAnsi="Times New Roman"/>
          <w:sz w:val="16"/>
          <w:szCs w:val="16"/>
        </w:rPr>
        <w:t xml:space="preserve"> Data</w:t>
      </w:r>
      <w:r>
        <w:rPr>
          <w:rFonts w:ascii="Times New Roman" w:hAnsi="Times New Roman"/>
          <w:sz w:val="16"/>
          <w:szCs w:val="16"/>
        </w:rPr>
        <w:t>, covering 2013-2016,</w:t>
      </w:r>
      <w:r w:rsidRPr="008E3A03">
        <w:rPr>
          <w:rFonts w:ascii="Times New Roman" w:hAnsi="Times New Roman"/>
          <w:sz w:val="16"/>
          <w:szCs w:val="16"/>
        </w:rPr>
        <w:t xml:space="preserve"> received from </w:t>
      </w:r>
      <w:r w:rsidRPr="00507BA9">
        <w:rPr>
          <w:rFonts w:ascii="Times New Roman" w:hAnsi="Times New Roman"/>
          <w:sz w:val="16"/>
          <w:szCs w:val="16"/>
        </w:rPr>
        <w:t>United Nations Office for the Coordination of Humanitarian Affairs (</w:t>
      </w:r>
      <w:r w:rsidRPr="008E3A03">
        <w:rPr>
          <w:rFonts w:ascii="Times New Roman" w:hAnsi="Times New Roman"/>
          <w:sz w:val="16"/>
          <w:szCs w:val="16"/>
        </w:rPr>
        <w:t>OCHA</w:t>
      </w:r>
      <w:r>
        <w:rPr>
          <w:rFonts w:ascii="Times New Roman" w:hAnsi="Times New Roman"/>
          <w:sz w:val="16"/>
          <w:szCs w:val="16"/>
        </w:rPr>
        <w:t>)</w:t>
      </w:r>
      <w:r w:rsidRPr="008E3A03">
        <w:rPr>
          <w:rFonts w:ascii="Times New Roman" w:hAnsi="Times New Roman"/>
          <w:sz w:val="16"/>
          <w:szCs w:val="16"/>
        </w:rPr>
        <w:t xml:space="preserve"> on 30 January 2017. </w:t>
      </w:r>
    </w:p>
  </w:footnote>
  <w:footnote w:id="24">
    <w:p w14:paraId="52125E89" w14:textId="5943EBA0" w:rsidR="007F7C0C" w:rsidRPr="003E31BE" w:rsidRDefault="007F7C0C" w:rsidP="004F5B29">
      <w:pPr>
        <w:pStyle w:val="FootnoteText"/>
        <w:rPr>
          <w:rFonts w:ascii="Times New Roman" w:hAnsi="Times New Roman"/>
          <w:sz w:val="16"/>
          <w:szCs w:val="16"/>
          <w:lang w:val="en-AU"/>
        </w:rPr>
      </w:pPr>
      <w:r w:rsidRPr="008E3A03">
        <w:rPr>
          <w:rStyle w:val="FootnoteReference"/>
          <w:rFonts w:ascii="Times New Roman" w:hAnsi="Times New Roman"/>
          <w:sz w:val="16"/>
          <w:szCs w:val="16"/>
        </w:rPr>
        <w:footnoteRef/>
      </w:r>
      <w:r w:rsidRPr="008E3A03">
        <w:rPr>
          <w:rFonts w:ascii="Times New Roman" w:hAnsi="Times New Roman"/>
          <w:sz w:val="16"/>
          <w:szCs w:val="16"/>
        </w:rPr>
        <w:t xml:space="preserve"> World Bank, Acting Today for Tomorrow, 2012.</w:t>
      </w:r>
      <w:r w:rsidRPr="000C3363">
        <w:rPr>
          <w:rFonts w:ascii="Times New Roman" w:hAnsi="Times New Roman"/>
          <w:sz w:val="16"/>
          <w:szCs w:val="16"/>
        </w:rPr>
        <w:t xml:space="preserve"> The eight countries are </w:t>
      </w:r>
      <w:r>
        <w:rPr>
          <w:rFonts w:ascii="Times New Roman" w:hAnsi="Times New Roman"/>
          <w:sz w:val="16"/>
          <w:szCs w:val="16"/>
        </w:rPr>
        <w:t>the</w:t>
      </w:r>
      <w:r w:rsidRPr="000C3363">
        <w:rPr>
          <w:rFonts w:ascii="Times New Roman" w:hAnsi="Times New Roman"/>
          <w:sz w:val="16"/>
          <w:szCs w:val="16"/>
        </w:rPr>
        <w:t xml:space="preserve"> Cook Islands</w:t>
      </w:r>
      <w:r>
        <w:rPr>
          <w:rFonts w:ascii="Times New Roman" w:hAnsi="Times New Roman"/>
          <w:sz w:val="16"/>
          <w:szCs w:val="16"/>
        </w:rPr>
        <w:t>,</w:t>
      </w:r>
      <w:r w:rsidRPr="000C3363">
        <w:rPr>
          <w:rFonts w:ascii="Times New Roman" w:hAnsi="Times New Roman"/>
          <w:sz w:val="16"/>
          <w:szCs w:val="16"/>
        </w:rPr>
        <w:t xml:space="preserve"> Fiji, </w:t>
      </w:r>
      <w:r>
        <w:rPr>
          <w:rFonts w:ascii="Times New Roman" w:hAnsi="Times New Roman"/>
          <w:sz w:val="16"/>
          <w:szCs w:val="16"/>
        </w:rPr>
        <w:t xml:space="preserve">Federated States of </w:t>
      </w:r>
      <w:r w:rsidRPr="000C3363">
        <w:rPr>
          <w:rFonts w:ascii="Times New Roman" w:hAnsi="Times New Roman"/>
          <w:sz w:val="16"/>
          <w:szCs w:val="16"/>
        </w:rPr>
        <w:t xml:space="preserve">Micronesia, Niue, </w:t>
      </w:r>
      <w:r>
        <w:rPr>
          <w:rFonts w:ascii="Times New Roman" w:hAnsi="Times New Roman"/>
          <w:sz w:val="16"/>
          <w:szCs w:val="16"/>
        </w:rPr>
        <w:t xml:space="preserve">the </w:t>
      </w:r>
      <w:r w:rsidRPr="000C3363">
        <w:rPr>
          <w:rFonts w:ascii="Times New Roman" w:hAnsi="Times New Roman"/>
          <w:sz w:val="16"/>
          <w:szCs w:val="16"/>
        </w:rPr>
        <w:t xml:space="preserve">Solomon Islands, </w:t>
      </w:r>
      <w:r>
        <w:rPr>
          <w:rFonts w:ascii="Times New Roman" w:hAnsi="Times New Roman"/>
          <w:sz w:val="16"/>
          <w:szCs w:val="16"/>
        </w:rPr>
        <w:t xml:space="preserve">the </w:t>
      </w:r>
      <w:r w:rsidRPr="000C3363">
        <w:rPr>
          <w:rFonts w:ascii="Times New Roman" w:hAnsi="Times New Roman"/>
          <w:sz w:val="16"/>
          <w:szCs w:val="16"/>
        </w:rPr>
        <w:t>Marshall Islands</w:t>
      </w:r>
      <w:r>
        <w:rPr>
          <w:rFonts w:ascii="Times New Roman" w:hAnsi="Times New Roman"/>
          <w:sz w:val="16"/>
          <w:szCs w:val="16"/>
        </w:rPr>
        <w:t>, Tonga, and Vanuatu.</w:t>
      </w:r>
    </w:p>
  </w:footnote>
  <w:footnote w:id="25">
    <w:p w14:paraId="25C18091" w14:textId="6721D765" w:rsidR="007F7C0C" w:rsidRPr="006043CB" w:rsidRDefault="007F7C0C" w:rsidP="004F5B29">
      <w:pPr>
        <w:pStyle w:val="FootnoteText"/>
        <w:rPr>
          <w:rFonts w:ascii="Times New Roman" w:hAnsi="Times New Roman"/>
          <w:sz w:val="16"/>
          <w:szCs w:val="16"/>
        </w:rPr>
      </w:pPr>
      <w:r w:rsidRPr="006043CB">
        <w:rPr>
          <w:rStyle w:val="FootnoteReference"/>
          <w:rFonts w:ascii="Times New Roman" w:hAnsi="Times New Roman"/>
          <w:sz w:val="16"/>
          <w:szCs w:val="16"/>
        </w:rPr>
        <w:footnoteRef/>
      </w:r>
      <w:r w:rsidRPr="006043CB">
        <w:rPr>
          <w:rFonts w:ascii="Times New Roman" w:hAnsi="Times New Roman"/>
          <w:sz w:val="16"/>
          <w:szCs w:val="16"/>
        </w:rPr>
        <w:t xml:space="preserve"> Framework for Resilient Development in the Pacific: An integrated approach to address climate change and disaster management, 2017-2030. 2016</w:t>
      </w:r>
    </w:p>
  </w:footnote>
  <w:footnote w:id="26">
    <w:p w14:paraId="0B6E0981" w14:textId="2CD309D5" w:rsidR="007F7C0C" w:rsidRPr="00A84616" w:rsidRDefault="007F7C0C" w:rsidP="004F5B29">
      <w:pPr>
        <w:pStyle w:val="FootnoteText"/>
        <w:rPr>
          <w:rFonts w:ascii="Times New Roman" w:hAnsi="Times New Roman"/>
          <w:sz w:val="16"/>
          <w:szCs w:val="16"/>
        </w:rPr>
      </w:pPr>
      <w:r w:rsidRPr="003E31BE">
        <w:rPr>
          <w:rStyle w:val="FootnoteReference"/>
          <w:rFonts w:ascii="Times New Roman" w:hAnsi="Times New Roman"/>
          <w:sz w:val="16"/>
          <w:szCs w:val="16"/>
        </w:rPr>
        <w:footnoteRef/>
      </w:r>
      <w:r w:rsidRPr="003E31BE">
        <w:rPr>
          <w:rFonts w:ascii="Times New Roman" w:hAnsi="Times New Roman"/>
          <w:sz w:val="16"/>
          <w:szCs w:val="16"/>
        </w:rPr>
        <w:t xml:space="preserve"> </w:t>
      </w:r>
      <w:r>
        <w:rPr>
          <w:rFonts w:ascii="Times New Roman" w:hAnsi="Times New Roman"/>
          <w:sz w:val="16"/>
          <w:szCs w:val="16"/>
        </w:rPr>
        <w:t>Ibid.</w:t>
      </w:r>
    </w:p>
  </w:footnote>
  <w:footnote w:id="27">
    <w:p w14:paraId="176F50A3" w14:textId="49BE8DE8" w:rsidR="007F7C0C" w:rsidRPr="00A84616" w:rsidRDefault="007F7C0C" w:rsidP="004F5B29">
      <w:pPr>
        <w:pStyle w:val="FootnoteText"/>
        <w:rPr>
          <w:rFonts w:ascii="Times New Roman" w:hAnsi="Times New Roman"/>
          <w:sz w:val="16"/>
          <w:szCs w:val="16"/>
        </w:rPr>
      </w:pPr>
      <w:r w:rsidRPr="00A84616">
        <w:rPr>
          <w:rFonts w:ascii="Times New Roman" w:hAnsi="Times New Roman"/>
          <w:sz w:val="16"/>
          <w:szCs w:val="16"/>
          <w:vertAlign w:val="superscript"/>
        </w:rPr>
        <w:footnoteRef/>
      </w:r>
      <w:r w:rsidRPr="00A84616">
        <w:rPr>
          <w:rFonts w:ascii="Times New Roman" w:hAnsi="Times New Roman"/>
          <w:sz w:val="16"/>
          <w:szCs w:val="16"/>
        </w:rPr>
        <w:t xml:space="preserve"> </w:t>
      </w:r>
      <w:r>
        <w:rPr>
          <w:rFonts w:ascii="Times New Roman" w:hAnsi="Times New Roman"/>
          <w:sz w:val="16"/>
          <w:szCs w:val="16"/>
        </w:rPr>
        <w:t>Secretariat of the Pacific Community</w:t>
      </w:r>
      <w:r w:rsidRPr="00A84616">
        <w:rPr>
          <w:rFonts w:ascii="Times New Roman" w:hAnsi="Times New Roman"/>
          <w:sz w:val="16"/>
          <w:szCs w:val="16"/>
        </w:rPr>
        <w:t xml:space="preserve">, </w:t>
      </w:r>
      <w:r>
        <w:rPr>
          <w:rFonts w:ascii="Times New Roman" w:hAnsi="Times New Roman"/>
          <w:sz w:val="16"/>
          <w:szCs w:val="16"/>
        </w:rPr>
        <w:t>Secretariat of the Regional Environment Programme</w:t>
      </w:r>
      <w:r w:rsidRPr="00A84616">
        <w:rPr>
          <w:rFonts w:ascii="Times New Roman" w:hAnsi="Times New Roman"/>
          <w:sz w:val="16"/>
          <w:szCs w:val="16"/>
        </w:rPr>
        <w:t>, Australian Aid, UNDP, UN</w:t>
      </w:r>
      <w:r>
        <w:rPr>
          <w:rFonts w:ascii="Times New Roman" w:hAnsi="Times New Roman"/>
          <w:sz w:val="16"/>
          <w:szCs w:val="16"/>
        </w:rPr>
        <w:t>-</w:t>
      </w:r>
      <w:r w:rsidRPr="00A84616">
        <w:rPr>
          <w:rFonts w:ascii="Times New Roman" w:hAnsi="Times New Roman"/>
          <w:sz w:val="16"/>
          <w:szCs w:val="16"/>
        </w:rPr>
        <w:t xml:space="preserve">Women, German Cooperation, Pacific Gender and Climate Change Toolkit </w:t>
      </w:r>
    </w:p>
  </w:footnote>
  <w:footnote w:id="28">
    <w:p w14:paraId="24754E97" w14:textId="719A050B" w:rsidR="007F7C0C" w:rsidRPr="00A84616" w:rsidRDefault="007F7C0C" w:rsidP="009C4354">
      <w:pPr>
        <w:pStyle w:val="FootnoteText"/>
        <w:rPr>
          <w:rFonts w:ascii="Times New Roman" w:hAnsi="Times New Roman"/>
          <w:sz w:val="16"/>
          <w:szCs w:val="16"/>
        </w:rPr>
      </w:pPr>
      <w:r w:rsidRPr="00A84616">
        <w:rPr>
          <w:rStyle w:val="FootnoteReference"/>
          <w:rFonts w:ascii="Times New Roman" w:hAnsi="Times New Roman"/>
          <w:sz w:val="16"/>
          <w:szCs w:val="16"/>
        </w:rPr>
        <w:footnoteRef/>
      </w:r>
      <w:r w:rsidRPr="00A84616">
        <w:rPr>
          <w:rFonts w:ascii="Times New Roman" w:hAnsi="Times New Roman"/>
          <w:sz w:val="16"/>
          <w:szCs w:val="16"/>
        </w:rPr>
        <w:t xml:space="preserve"> </w:t>
      </w:r>
      <w:r w:rsidRPr="00507BA9">
        <w:rPr>
          <w:rFonts w:ascii="Times New Roman" w:hAnsi="Times New Roman"/>
          <w:sz w:val="16"/>
          <w:szCs w:val="16"/>
        </w:rPr>
        <w:t>Economic and Social Commission for Asia and the Pacific</w:t>
      </w:r>
      <w:r w:rsidRPr="00A84616">
        <w:rPr>
          <w:rFonts w:ascii="Times New Roman" w:hAnsi="Times New Roman"/>
          <w:sz w:val="16"/>
          <w:szCs w:val="16"/>
        </w:rPr>
        <w:t>, Pacific Perspectives on the Challenges to Energy Security and the Sustainable Use of Energy,</w:t>
      </w:r>
      <w:r>
        <w:rPr>
          <w:rFonts w:ascii="Times New Roman" w:hAnsi="Times New Roman"/>
          <w:sz w:val="16"/>
          <w:szCs w:val="16"/>
        </w:rPr>
        <w:t xml:space="preserve"> 2012.</w:t>
      </w:r>
    </w:p>
  </w:footnote>
  <w:footnote w:id="29">
    <w:p w14:paraId="4354B45F" w14:textId="029A96F3" w:rsidR="007F7C0C" w:rsidRDefault="007F7C0C">
      <w:pPr>
        <w:pStyle w:val="FootnoteText"/>
      </w:pPr>
      <w:r w:rsidRPr="005206B1">
        <w:rPr>
          <w:rStyle w:val="FootnoteReference"/>
          <w:rFonts w:ascii="Times New Roman" w:hAnsi="Times New Roman"/>
          <w:sz w:val="16"/>
          <w:szCs w:val="16"/>
        </w:rPr>
        <w:footnoteRef/>
      </w:r>
      <w:r w:rsidRPr="0036737E">
        <w:rPr>
          <w:rFonts w:ascii="Times New Roman" w:hAnsi="Times New Roman"/>
          <w:sz w:val="16"/>
          <w:szCs w:val="16"/>
        </w:rPr>
        <w:t xml:space="preserve"> </w:t>
      </w:r>
      <w:r w:rsidRPr="005206B1">
        <w:rPr>
          <w:rFonts w:ascii="Times New Roman" w:hAnsi="Times New Roman"/>
          <w:sz w:val="16"/>
          <w:szCs w:val="16"/>
        </w:rPr>
        <w:t xml:space="preserve">“Realizing the Pacific </w:t>
      </w:r>
      <w:r>
        <w:rPr>
          <w:rFonts w:ascii="Times New Roman" w:hAnsi="Times New Roman"/>
          <w:sz w:val="16"/>
          <w:szCs w:val="16"/>
        </w:rPr>
        <w:t>V</w:t>
      </w:r>
      <w:r w:rsidRPr="005206B1">
        <w:rPr>
          <w:rFonts w:ascii="Times New Roman" w:hAnsi="Times New Roman"/>
          <w:sz w:val="16"/>
          <w:szCs w:val="16"/>
        </w:rPr>
        <w:t xml:space="preserve">ision by 2050”, </w:t>
      </w:r>
      <w:r>
        <w:rPr>
          <w:rFonts w:ascii="Times New Roman" w:hAnsi="Times New Roman"/>
          <w:sz w:val="16"/>
          <w:szCs w:val="16"/>
        </w:rPr>
        <w:t xml:space="preserve">Commonwealth Secretariat, </w:t>
      </w:r>
      <w:r w:rsidRPr="005206B1">
        <w:rPr>
          <w:rFonts w:ascii="Times New Roman" w:hAnsi="Times New Roman"/>
          <w:sz w:val="16"/>
          <w:szCs w:val="16"/>
        </w:rPr>
        <w:t>2016</w:t>
      </w:r>
      <w:r>
        <w:rPr>
          <w:rFonts w:ascii="Times New Roman" w:hAnsi="Times New Roman"/>
          <w:sz w:val="16"/>
          <w:szCs w:val="16"/>
        </w:rPr>
        <w:t xml:space="preserve">. </w:t>
      </w:r>
      <w:r w:rsidRPr="0082016A">
        <w:rPr>
          <w:rFonts w:ascii="Times New Roman" w:hAnsi="Times New Roman"/>
          <w:i/>
          <w:sz w:val="16"/>
          <w:szCs w:val="16"/>
        </w:rPr>
        <w:t>Note:</w:t>
      </w:r>
      <w:r>
        <w:rPr>
          <w:rFonts w:ascii="Times New Roman" w:hAnsi="Times New Roman"/>
          <w:sz w:val="16"/>
          <w:szCs w:val="16"/>
        </w:rPr>
        <w:t xml:space="preserve"> The cited share of the population includes Papua New Guinea.</w:t>
      </w:r>
    </w:p>
  </w:footnote>
  <w:footnote w:id="30">
    <w:p w14:paraId="23987F39" w14:textId="77777777" w:rsidR="007F7C0C" w:rsidRDefault="007F7C0C">
      <w:pPr>
        <w:pStyle w:val="FootnoteText"/>
      </w:pPr>
      <w:r w:rsidRPr="00FE40B1">
        <w:rPr>
          <w:rStyle w:val="FootnoteReference"/>
          <w:rFonts w:ascii="Times New Roman" w:hAnsi="Times New Roman"/>
          <w:sz w:val="16"/>
          <w:szCs w:val="16"/>
        </w:rPr>
        <w:footnoteRef/>
      </w:r>
      <w:r w:rsidRPr="00FE40B1">
        <w:rPr>
          <w:rStyle w:val="FootnoteReference"/>
          <w:rFonts w:ascii="Times New Roman" w:hAnsi="Times New Roman"/>
          <w:sz w:val="16"/>
          <w:szCs w:val="16"/>
        </w:rPr>
        <w:t xml:space="preserve"> </w:t>
      </w:r>
      <w:r w:rsidRPr="00FE40B1">
        <w:rPr>
          <w:rFonts w:ascii="Times New Roman" w:hAnsi="Times New Roman"/>
          <w:sz w:val="16"/>
          <w:szCs w:val="16"/>
        </w:rPr>
        <w:t>Ibid</w:t>
      </w:r>
      <w:r>
        <w:rPr>
          <w:rFonts w:ascii="Times New Roman" w:hAnsi="Times New Roman"/>
          <w:sz w:val="16"/>
          <w:szCs w:val="16"/>
        </w:rPr>
        <w:t>.</w:t>
      </w:r>
    </w:p>
  </w:footnote>
  <w:footnote w:id="31">
    <w:p w14:paraId="2C5577F6" w14:textId="5B3E107C" w:rsidR="007F7C0C" w:rsidRPr="00A84616" w:rsidRDefault="007F7C0C" w:rsidP="00542C5C">
      <w:pPr>
        <w:pStyle w:val="FootnoteText"/>
        <w:rPr>
          <w:rFonts w:ascii="Times New Roman" w:hAnsi="Times New Roman"/>
          <w:sz w:val="16"/>
          <w:szCs w:val="16"/>
        </w:rPr>
      </w:pPr>
      <w:r w:rsidRPr="00A84616">
        <w:rPr>
          <w:rStyle w:val="FootnoteReference"/>
          <w:rFonts w:ascii="Times New Roman" w:hAnsi="Times New Roman"/>
          <w:sz w:val="16"/>
          <w:szCs w:val="16"/>
        </w:rPr>
        <w:footnoteRef/>
      </w:r>
      <w:r w:rsidRPr="00A84616">
        <w:rPr>
          <w:rFonts w:ascii="Times New Roman" w:hAnsi="Times New Roman"/>
          <w:sz w:val="16"/>
          <w:szCs w:val="16"/>
        </w:rPr>
        <w:t xml:space="preserve"> Australian National University</w:t>
      </w:r>
      <w:r>
        <w:rPr>
          <w:rFonts w:ascii="Times New Roman" w:hAnsi="Times New Roman"/>
          <w:sz w:val="16"/>
          <w:szCs w:val="16"/>
        </w:rPr>
        <w:t>,</w:t>
      </w:r>
      <w:r w:rsidRPr="00A84616">
        <w:rPr>
          <w:rFonts w:ascii="Times New Roman" w:hAnsi="Times New Roman"/>
          <w:sz w:val="16"/>
          <w:szCs w:val="16"/>
        </w:rPr>
        <w:t xml:space="preserve"> State of the Pacific 2016 Conference,</w:t>
      </w:r>
      <w:r>
        <w:rPr>
          <w:rFonts w:ascii="Times New Roman" w:hAnsi="Times New Roman"/>
          <w:sz w:val="16"/>
          <w:szCs w:val="16"/>
        </w:rPr>
        <w:t xml:space="preserve"> 2016</w:t>
      </w:r>
    </w:p>
  </w:footnote>
  <w:footnote w:id="32">
    <w:p w14:paraId="65E7F26E" w14:textId="6E1DA237" w:rsidR="007F7C0C" w:rsidRPr="00A84616" w:rsidRDefault="007F7C0C" w:rsidP="00542C5C">
      <w:pPr>
        <w:pStyle w:val="FootnoteText"/>
        <w:rPr>
          <w:rFonts w:ascii="Times New Roman" w:hAnsi="Times New Roman"/>
          <w:sz w:val="16"/>
          <w:szCs w:val="16"/>
        </w:rPr>
      </w:pPr>
      <w:r w:rsidRPr="00A84616">
        <w:rPr>
          <w:rStyle w:val="FootnoteReference"/>
          <w:rFonts w:ascii="Times New Roman" w:hAnsi="Times New Roman"/>
          <w:sz w:val="16"/>
          <w:szCs w:val="16"/>
        </w:rPr>
        <w:footnoteRef/>
      </w:r>
      <w:r w:rsidRPr="00A84616">
        <w:rPr>
          <w:rFonts w:ascii="Times New Roman" w:hAnsi="Times New Roman"/>
          <w:sz w:val="16"/>
          <w:szCs w:val="16"/>
        </w:rPr>
        <w:t xml:space="preserve"> U</w:t>
      </w:r>
      <w:r>
        <w:rPr>
          <w:rFonts w:ascii="Times New Roman" w:hAnsi="Times New Roman"/>
          <w:sz w:val="16"/>
          <w:szCs w:val="16"/>
        </w:rPr>
        <w:t>nited Nations</w:t>
      </w:r>
      <w:r w:rsidRPr="00A84616">
        <w:rPr>
          <w:rFonts w:ascii="Times New Roman" w:hAnsi="Times New Roman"/>
          <w:sz w:val="16"/>
          <w:szCs w:val="16"/>
        </w:rPr>
        <w:t xml:space="preserve"> Pacific </w:t>
      </w:r>
      <w:r>
        <w:rPr>
          <w:rFonts w:ascii="Times New Roman" w:hAnsi="Times New Roman"/>
          <w:sz w:val="16"/>
          <w:szCs w:val="16"/>
        </w:rPr>
        <w:t>c</w:t>
      </w:r>
      <w:r w:rsidRPr="00A84616">
        <w:rPr>
          <w:rFonts w:ascii="Times New Roman" w:hAnsi="Times New Roman"/>
          <w:sz w:val="16"/>
          <w:szCs w:val="16"/>
        </w:rPr>
        <w:t xml:space="preserve">ommon </w:t>
      </w:r>
      <w:r>
        <w:rPr>
          <w:rFonts w:ascii="Times New Roman" w:hAnsi="Times New Roman"/>
          <w:sz w:val="16"/>
          <w:szCs w:val="16"/>
        </w:rPr>
        <w:t>c</w:t>
      </w:r>
      <w:r w:rsidRPr="00A84616">
        <w:rPr>
          <w:rFonts w:ascii="Times New Roman" w:hAnsi="Times New Roman"/>
          <w:sz w:val="16"/>
          <w:szCs w:val="16"/>
        </w:rPr>
        <w:t xml:space="preserve">ountry </w:t>
      </w:r>
      <w:r>
        <w:rPr>
          <w:rFonts w:ascii="Times New Roman" w:hAnsi="Times New Roman"/>
          <w:sz w:val="16"/>
          <w:szCs w:val="16"/>
        </w:rPr>
        <w:t>a</w:t>
      </w:r>
      <w:r w:rsidRPr="00A84616">
        <w:rPr>
          <w:rFonts w:ascii="Times New Roman" w:hAnsi="Times New Roman"/>
          <w:sz w:val="16"/>
          <w:szCs w:val="16"/>
        </w:rPr>
        <w:t xml:space="preserve">nalysis– </w:t>
      </w:r>
      <w:r>
        <w:rPr>
          <w:rFonts w:ascii="Times New Roman" w:hAnsi="Times New Roman"/>
          <w:sz w:val="16"/>
          <w:szCs w:val="16"/>
        </w:rPr>
        <w:t>m</w:t>
      </w:r>
      <w:r w:rsidRPr="00A84616">
        <w:rPr>
          <w:rFonts w:ascii="Times New Roman" w:hAnsi="Times New Roman"/>
          <w:sz w:val="16"/>
          <w:szCs w:val="16"/>
        </w:rPr>
        <w:t>eta</w:t>
      </w:r>
      <w:r>
        <w:rPr>
          <w:rFonts w:ascii="Times New Roman" w:hAnsi="Times New Roman"/>
          <w:sz w:val="16"/>
          <w:szCs w:val="16"/>
        </w:rPr>
        <w:t>-a</w:t>
      </w:r>
      <w:r w:rsidRPr="00A84616">
        <w:rPr>
          <w:rFonts w:ascii="Times New Roman" w:hAnsi="Times New Roman"/>
          <w:sz w:val="16"/>
          <w:szCs w:val="16"/>
        </w:rPr>
        <w:t>nalysis, 2016</w:t>
      </w:r>
    </w:p>
  </w:footnote>
  <w:footnote w:id="33">
    <w:p w14:paraId="0E4C4C8B" w14:textId="63610A34" w:rsidR="007F7C0C" w:rsidRPr="00A84616" w:rsidRDefault="007F7C0C" w:rsidP="00C73BAB">
      <w:pPr>
        <w:pStyle w:val="FootnoteText"/>
        <w:rPr>
          <w:rFonts w:ascii="Times New Roman" w:hAnsi="Times New Roman"/>
          <w:sz w:val="16"/>
          <w:szCs w:val="16"/>
        </w:rPr>
      </w:pPr>
      <w:r w:rsidRPr="00A84616">
        <w:rPr>
          <w:rStyle w:val="FootnoteReference"/>
          <w:rFonts w:ascii="Times New Roman" w:hAnsi="Times New Roman"/>
          <w:sz w:val="16"/>
          <w:szCs w:val="16"/>
        </w:rPr>
        <w:footnoteRef/>
      </w:r>
      <w:r w:rsidRPr="00A84616">
        <w:rPr>
          <w:rFonts w:ascii="Times New Roman" w:hAnsi="Times New Roman"/>
          <w:sz w:val="16"/>
          <w:szCs w:val="16"/>
        </w:rPr>
        <w:t xml:space="preserve"> Independent </w:t>
      </w:r>
      <w:r>
        <w:rPr>
          <w:rFonts w:ascii="Times New Roman" w:hAnsi="Times New Roman"/>
          <w:sz w:val="16"/>
          <w:szCs w:val="16"/>
        </w:rPr>
        <w:t>a</w:t>
      </w:r>
      <w:r w:rsidRPr="00A84616">
        <w:rPr>
          <w:rFonts w:ascii="Times New Roman" w:hAnsi="Times New Roman"/>
          <w:sz w:val="16"/>
          <w:szCs w:val="16"/>
        </w:rPr>
        <w:t>ssessment of the U</w:t>
      </w:r>
      <w:r>
        <w:rPr>
          <w:rFonts w:ascii="Times New Roman" w:hAnsi="Times New Roman"/>
          <w:sz w:val="16"/>
          <w:szCs w:val="16"/>
        </w:rPr>
        <w:t>nited Nations</w:t>
      </w:r>
      <w:r w:rsidRPr="00A84616">
        <w:rPr>
          <w:rFonts w:ascii="Times New Roman" w:hAnsi="Times New Roman"/>
          <w:sz w:val="16"/>
          <w:szCs w:val="16"/>
        </w:rPr>
        <w:t xml:space="preserve"> Pacific </w:t>
      </w:r>
      <w:r>
        <w:rPr>
          <w:rFonts w:ascii="Times New Roman" w:hAnsi="Times New Roman"/>
          <w:sz w:val="16"/>
          <w:szCs w:val="16"/>
        </w:rPr>
        <w:t>r</w:t>
      </w:r>
      <w:r w:rsidRPr="00A84616">
        <w:rPr>
          <w:rFonts w:ascii="Times New Roman" w:hAnsi="Times New Roman"/>
          <w:sz w:val="16"/>
          <w:szCs w:val="16"/>
        </w:rPr>
        <w:t xml:space="preserve">egional </w:t>
      </w:r>
      <w:r>
        <w:rPr>
          <w:rFonts w:ascii="Times New Roman" w:hAnsi="Times New Roman"/>
          <w:sz w:val="16"/>
          <w:szCs w:val="16"/>
        </w:rPr>
        <w:t>a</w:t>
      </w:r>
      <w:r w:rsidRPr="00A84616">
        <w:rPr>
          <w:rFonts w:ascii="Times New Roman" w:hAnsi="Times New Roman"/>
          <w:sz w:val="16"/>
          <w:szCs w:val="16"/>
        </w:rPr>
        <w:t>nti-</w:t>
      </w:r>
      <w:r>
        <w:rPr>
          <w:rFonts w:ascii="Times New Roman" w:hAnsi="Times New Roman"/>
          <w:sz w:val="16"/>
          <w:szCs w:val="16"/>
        </w:rPr>
        <w:t>c</w:t>
      </w:r>
      <w:r w:rsidRPr="00A84616">
        <w:rPr>
          <w:rFonts w:ascii="Times New Roman" w:hAnsi="Times New Roman"/>
          <w:sz w:val="16"/>
          <w:szCs w:val="16"/>
        </w:rPr>
        <w:t>o</w:t>
      </w:r>
      <w:r>
        <w:rPr>
          <w:rFonts w:ascii="Times New Roman" w:hAnsi="Times New Roman"/>
          <w:sz w:val="16"/>
          <w:szCs w:val="16"/>
        </w:rPr>
        <w:t>rruption project, June 2016, and</w:t>
      </w:r>
      <w:r w:rsidRPr="00A84616">
        <w:rPr>
          <w:rFonts w:ascii="Times New Roman" w:hAnsi="Times New Roman"/>
          <w:sz w:val="16"/>
          <w:szCs w:val="16"/>
        </w:rPr>
        <w:t xml:space="preserve"> </w:t>
      </w:r>
      <w:r>
        <w:rPr>
          <w:rFonts w:ascii="Times New Roman" w:hAnsi="Times New Roman"/>
          <w:sz w:val="16"/>
          <w:szCs w:val="16"/>
        </w:rPr>
        <w:t>m</w:t>
      </w:r>
      <w:r w:rsidRPr="00A84616">
        <w:rPr>
          <w:rFonts w:ascii="Times New Roman" w:hAnsi="Times New Roman"/>
          <w:sz w:val="16"/>
          <w:szCs w:val="16"/>
        </w:rPr>
        <w:t xml:space="preserve">idterm evaluation of the Fiji </w:t>
      </w:r>
      <w:r>
        <w:rPr>
          <w:rFonts w:ascii="Times New Roman" w:hAnsi="Times New Roman"/>
          <w:sz w:val="16"/>
          <w:szCs w:val="16"/>
        </w:rPr>
        <w:t>p</w:t>
      </w:r>
      <w:r w:rsidRPr="00A84616">
        <w:rPr>
          <w:rFonts w:ascii="Times New Roman" w:hAnsi="Times New Roman"/>
          <w:sz w:val="16"/>
          <w:szCs w:val="16"/>
        </w:rPr>
        <w:t xml:space="preserve">arliament </w:t>
      </w:r>
      <w:r>
        <w:rPr>
          <w:rFonts w:ascii="Times New Roman" w:hAnsi="Times New Roman"/>
          <w:sz w:val="16"/>
          <w:szCs w:val="16"/>
        </w:rPr>
        <w:t>s</w:t>
      </w:r>
      <w:r w:rsidRPr="00A84616">
        <w:rPr>
          <w:rFonts w:ascii="Times New Roman" w:hAnsi="Times New Roman"/>
          <w:sz w:val="16"/>
          <w:szCs w:val="16"/>
        </w:rPr>
        <w:t xml:space="preserve">upport </w:t>
      </w:r>
      <w:r>
        <w:rPr>
          <w:rFonts w:ascii="Times New Roman" w:hAnsi="Times New Roman"/>
          <w:sz w:val="16"/>
          <w:szCs w:val="16"/>
        </w:rPr>
        <w:t>p</w:t>
      </w:r>
      <w:r w:rsidRPr="00A84616">
        <w:rPr>
          <w:rFonts w:ascii="Times New Roman" w:hAnsi="Times New Roman"/>
          <w:sz w:val="16"/>
          <w:szCs w:val="16"/>
        </w:rPr>
        <w:t>roject, November 2015</w:t>
      </w:r>
    </w:p>
  </w:footnote>
  <w:footnote w:id="34">
    <w:p w14:paraId="20211729" w14:textId="77777777" w:rsidR="007F7C0C" w:rsidRDefault="007F7C0C">
      <w:pPr>
        <w:pStyle w:val="FootnoteText"/>
      </w:pPr>
      <w:r w:rsidRPr="008A1858">
        <w:rPr>
          <w:rStyle w:val="FootnoteReference"/>
          <w:rFonts w:ascii="Times New Roman" w:hAnsi="Times New Roman"/>
          <w:sz w:val="16"/>
          <w:szCs w:val="16"/>
        </w:rPr>
        <w:footnoteRef/>
      </w:r>
      <w:r>
        <w:rPr>
          <w:rFonts w:ascii="Times New Roman" w:hAnsi="Times New Roman"/>
          <w:sz w:val="16"/>
          <w:szCs w:val="16"/>
        </w:rPr>
        <w:t xml:space="preserve"> Ib</w:t>
      </w:r>
      <w:r w:rsidRPr="00657A05">
        <w:rPr>
          <w:rFonts w:ascii="Times New Roman" w:hAnsi="Times New Roman"/>
          <w:sz w:val="16"/>
          <w:szCs w:val="16"/>
        </w:rPr>
        <w:t>id</w:t>
      </w:r>
      <w:r>
        <w:rPr>
          <w:rFonts w:ascii="Times New Roman" w:hAnsi="Times New Roman"/>
          <w:sz w:val="16"/>
          <w:szCs w:val="16"/>
        </w:rPr>
        <w:t>.</w:t>
      </w:r>
    </w:p>
  </w:footnote>
  <w:footnote w:id="35">
    <w:p w14:paraId="30824F3F" w14:textId="55EF9B0F" w:rsidR="007F7C0C" w:rsidRPr="00A84616" w:rsidRDefault="007F7C0C" w:rsidP="00C73BAB">
      <w:pPr>
        <w:pStyle w:val="FootnoteText"/>
        <w:rPr>
          <w:rFonts w:ascii="Times New Roman" w:hAnsi="Times New Roman"/>
          <w:sz w:val="16"/>
          <w:szCs w:val="16"/>
        </w:rPr>
      </w:pPr>
      <w:r w:rsidRPr="00A84616">
        <w:rPr>
          <w:rStyle w:val="FootnoteReference"/>
          <w:rFonts w:ascii="Times New Roman" w:hAnsi="Times New Roman"/>
          <w:sz w:val="16"/>
          <w:szCs w:val="16"/>
        </w:rPr>
        <w:footnoteRef/>
      </w:r>
      <w:r w:rsidRPr="00A84616">
        <w:rPr>
          <w:rFonts w:ascii="Times New Roman" w:hAnsi="Times New Roman"/>
          <w:sz w:val="16"/>
          <w:szCs w:val="16"/>
        </w:rPr>
        <w:t xml:space="preserve"> UNDP Fiji </w:t>
      </w:r>
      <w:r>
        <w:rPr>
          <w:rFonts w:ascii="Times New Roman" w:hAnsi="Times New Roman"/>
          <w:sz w:val="16"/>
          <w:szCs w:val="16"/>
        </w:rPr>
        <w:t>p</w:t>
      </w:r>
      <w:r w:rsidRPr="00A84616">
        <w:rPr>
          <w:rFonts w:ascii="Times New Roman" w:hAnsi="Times New Roman"/>
          <w:sz w:val="16"/>
          <w:szCs w:val="16"/>
        </w:rPr>
        <w:t xml:space="preserve">arliament </w:t>
      </w:r>
      <w:r>
        <w:rPr>
          <w:rFonts w:ascii="Times New Roman" w:hAnsi="Times New Roman"/>
          <w:sz w:val="16"/>
          <w:szCs w:val="16"/>
        </w:rPr>
        <w:t>s</w:t>
      </w:r>
      <w:r w:rsidRPr="00A84616">
        <w:rPr>
          <w:rFonts w:ascii="Times New Roman" w:hAnsi="Times New Roman"/>
          <w:sz w:val="16"/>
          <w:szCs w:val="16"/>
        </w:rPr>
        <w:t xml:space="preserve">upport </w:t>
      </w:r>
      <w:r>
        <w:rPr>
          <w:rFonts w:ascii="Times New Roman" w:hAnsi="Times New Roman"/>
          <w:sz w:val="16"/>
          <w:szCs w:val="16"/>
        </w:rPr>
        <w:t>p</w:t>
      </w:r>
      <w:r w:rsidRPr="00A84616">
        <w:rPr>
          <w:rFonts w:ascii="Times New Roman" w:hAnsi="Times New Roman"/>
          <w:sz w:val="16"/>
          <w:szCs w:val="16"/>
        </w:rPr>
        <w:t xml:space="preserve">roject </w:t>
      </w:r>
      <w:r>
        <w:rPr>
          <w:rFonts w:ascii="Times New Roman" w:hAnsi="Times New Roman"/>
          <w:sz w:val="16"/>
          <w:szCs w:val="16"/>
        </w:rPr>
        <w:t>a</w:t>
      </w:r>
      <w:r w:rsidRPr="00A84616">
        <w:rPr>
          <w:rFonts w:ascii="Times New Roman" w:hAnsi="Times New Roman"/>
          <w:sz w:val="16"/>
          <w:szCs w:val="16"/>
        </w:rPr>
        <w:t xml:space="preserve">nnual </w:t>
      </w:r>
      <w:r>
        <w:rPr>
          <w:rFonts w:ascii="Times New Roman" w:hAnsi="Times New Roman"/>
          <w:sz w:val="16"/>
          <w:szCs w:val="16"/>
        </w:rPr>
        <w:t>r</w:t>
      </w:r>
      <w:r w:rsidRPr="00A84616">
        <w:rPr>
          <w:rFonts w:ascii="Times New Roman" w:hAnsi="Times New Roman"/>
          <w:sz w:val="16"/>
          <w:szCs w:val="16"/>
        </w:rPr>
        <w:t>eport</w:t>
      </w:r>
      <w:r>
        <w:rPr>
          <w:rFonts w:ascii="Times New Roman" w:hAnsi="Times New Roman"/>
          <w:sz w:val="16"/>
          <w:szCs w:val="16"/>
        </w:rPr>
        <w:t>,</w:t>
      </w:r>
      <w:r w:rsidRPr="00A84616">
        <w:rPr>
          <w:rFonts w:ascii="Times New Roman" w:hAnsi="Times New Roman"/>
          <w:sz w:val="16"/>
          <w:szCs w:val="16"/>
        </w:rPr>
        <w:t xml:space="preserve"> 2016</w:t>
      </w:r>
    </w:p>
  </w:footnote>
  <w:footnote w:id="36">
    <w:p w14:paraId="1226E514" w14:textId="15BE01AD" w:rsidR="007F7C0C" w:rsidRPr="00254FFB" w:rsidRDefault="007F7C0C" w:rsidP="00C73BAB">
      <w:pPr>
        <w:pStyle w:val="NoSpacing"/>
        <w:rPr>
          <w:rFonts w:ascii="Times New Roman" w:hAnsi="Times New Roman" w:cs="Times New Roman"/>
          <w:sz w:val="16"/>
          <w:szCs w:val="16"/>
        </w:rPr>
      </w:pPr>
      <w:r w:rsidRPr="00A84616">
        <w:rPr>
          <w:rStyle w:val="FootnoteReference"/>
          <w:rFonts w:ascii="Times New Roman" w:hAnsi="Times New Roman"/>
          <w:sz w:val="16"/>
          <w:szCs w:val="16"/>
        </w:rPr>
        <w:footnoteRef/>
      </w:r>
      <w:r w:rsidRPr="00A84616">
        <w:rPr>
          <w:rFonts w:ascii="Times New Roman" w:hAnsi="Times New Roman" w:cs="Times New Roman"/>
          <w:sz w:val="16"/>
          <w:szCs w:val="16"/>
        </w:rPr>
        <w:t xml:space="preserve"> </w:t>
      </w:r>
      <w:r w:rsidRPr="00A84616">
        <w:rPr>
          <w:rFonts w:ascii="Times New Roman" w:hAnsi="Times New Roman" w:cs="Times New Roman"/>
          <w:sz w:val="16"/>
          <w:szCs w:val="16"/>
          <w:lang w:val="en-GB"/>
        </w:rPr>
        <w:t xml:space="preserve">Conference </w:t>
      </w:r>
      <w:r>
        <w:rPr>
          <w:rFonts w:ascii="Times New Roman" w:hAnsi="Times New Roman" w:cs="Times New Roman"/>
          <w:sz w:val="16"/>
          <w:szCs w:val="16"/>
          <w:lang w:val="en-GB"/>
        </w:rPr>
        <w:t>r</w:t>
      </w:r>
      <w:r w:rsidRPr="00A84616">
        <w:rPr>
          <w:rFonts w:ascii="Times New Roman" w:hAnsi="Times New Roman" w:cs="Times New Roman"/>
          <w:sz w:val="16"/>
          <w:szCs w:val="16"/>
          <w:lang w:val="en-GB"/>
        </w:rPr>
        <w:t xml:space="preserve">eport </w:t>
      </w:r>
      <w:r>
        <w:rPr>
          <w:rFonts w:ascii="Times New Roman" w:hAnsi="Times New Roman" w:cs="Times New Roman"/>
          <w:sz w:val="16"/>
          <w:szCs w:val="16"/>
          <w:lang w:val="en-GB"/>
        </w:rPr>
        <w:t>–</w:t>
      </w:r>
      <w:r w:rsidRPr="00A84616">
        <w:rPr>
          <w:rFonts w:ascii="Times New Roman" w:hAnsi="Times New Roman" w:cs="Times New Roman"/>
          <w:sz w:val="16"/>
          <w:szCs w:val="16"/>
          <w:lang w:val="en-GB"/>
        </w:rPr>
        <w:t xml:space="preserve"> Achieving </w:t>
      </w:r>
      <w:r>
        <w:rPr>
          <w:rFonts w:ascii="Times New Roman" w:hAnsi="Times New Roman" w:cs="Times New Roman"/>
          <w:sz w:val="16"/>
          <w:szCs w:val="16"/>
          <w:lang w:val="en-GB"/>
        </w:rPr>
        <w:t>sustainable development goal</w:t>
      </w:r>
      <w:r w:rsidRPr="00A84616">
        <w:rPr>
          <w:rFonts w:ascii="Times New Roman" w:hAnsi="Times New Roman" w:cs="Times New Roman"/>
          <w:sz w:val="16"/>
          <w:szCs w:val="16"/>
          <w:lang w:val="en-GB"/>
        </w:rPr>
        <w:t xml:space="preserve"> 16 in Melanesia: “Creating </w:t>
      </w:r>
      <w:r w:rsidRPr="00254FFB">
        <w:rPr>
          <w:rFonts w:ascii="Times New Roman" w:hAnsi="Times New Roman" w:cs="Times New Roman"/>
          <w:sz w:val="16"/>
          <w:szCs w:val="16"/>
          <w:lang w:val="en-GB"/>
        </w:rPr>
        <w:t>Political and Parliamentary Stability to Catalyse Development”, June 2016</w:t>
      </w:r>
    </w:p>
  </w:footnote>
  <w:footnote w:id="37">
    <w:p w14:paraId="792EE4CA" w14:textId="6EF6DB75" w:rsidR="007F7C0C" w:rsidRPr="00CA1AC6" w:rsidRDefault="007F7C0C">
      <w:pPr>
        <w:pStyle w:val="FootnoteText"/>
        <w:rPr>
          <w:rFonts w:ascii="Times New Roman" w:hAnsi="Times New Roman"/>
          <w:color w:val="000000" w:themeColor="text1"/>
          <w:sz w:val="16"/>
          <w:szCs w:val="16"/>
        </w:rPr>
      </w:pPr>
      <w:r w:rsidRPr="00CA1AC6">
        <w:rPr>
          <w:rStyle w:val="FootnoteReference"/>
          <w:rFonts w:ascii="Times New Roman" w:hAnsi="Times New Roman"/>
          <w:color w:val="000000" w:themeColor="text1"/>
          <w:sz w:val="16"/>
          <w:szCs w:val="16"/>
        </w:rPr>
        <w:footnoteRef/>
      </w:r>
      <w:r w:rsidRPr="00CA1AC6">
        <w:rPr>
          <w:rFonts w:ascii="Times New Roman" w:hAnsi="Times New Roman"/>
          <w:color w:val="000000" w:themeColor="text1"/>
          <w:sz w:val="16"/>
          <w:szCs w:val="16"/>
        </w:rPr>
        <w:t xml:space="preserve"> The Pacific </w:t>
      </w:r>
      <w:r>
        <w:rPr>
          <w:rFonts w:ascii="Times New Roman" w:hAnsi="Times New Roman"/>
          <w:color w:val="000000" w:themeColor="text1"/>
          <w:sz w:val="16"/>
          <w:szCs w:val="16"/>
        </w:rPr>
        <w:t>f</w:t>
      </w:r>
      <w:r w:rsidRPr="00CA1AC6">
        <w:rPr>
          <w:rFonts w:ascii="Times New Roman" w:hAnsi="Times New Roman"/>
          <w:color w:val="000000" w:themeColor="text1"/>
          <w:sz w:val="16"/>
          <w:szCs w:val="16"/>
        </w:rPr>
        <w:t xml:space="preserve">inancial </w:t>
      </w:r>
      <w:r>
        <w:rPr>
          <w:rFonts w:ascii="Times New Roman" w:hAnsi="Times New Roman"/>
          <w:color w:val="000000" w:themeColor="text1"/>
          <w:sz w:val="16"/>
          <w:szCs w:val="16"/>
        </w:rPr>
        <w:t>i</w:t>
      </w:r>
      <w:r w:rsidRPr="00CA1AC6">
        <w:rPr>
          <w:rFonts w:ascii="Times New Roman" w:hAnsi="Times New Roman"/>
          <w:color w:val="000000" w:themeColor="text1"/>
          <w:sz w:val="16"/>
          <w:szCs w:val="16"/>
        </w:rPr>
        <w:t xml:space="preserve">nclusion </w:t>
      </w:r>
      <w:r>
        <w:rPr>
          <w:rFonts w:ascii="Times New Roman" w:hAnsi="Times New Roman"/>
          <w:color w:val="000000" w:themeColor="text1"/>
          <w:sz w:val="16"/>
          <w:szCs w:val="16"/>
        </w:rPr>
        <w:t>p</w:t>
      </w:r>
      <w:r w:rsidRPr="00CA1AC6">
        <w:rPr>
          <w:rFonts w:ascii="Times New Roman" w:hAnsi="Times New Roman"/>
          <w:color w:val="000000" w:themeColor="text1"/>
          <w:sz w:val="16"/>
          <w:szCs w:val="16"/>
        </w:rPr>
        <w:t xml:space="preserve">rogramme is active in </w:t>
      </w:r>
      <w:r>
        <w:rPr>
          <w:rFonts w:ascii="Times New Roman" w:hAnsi="Times New Roman"/>
          <w:color w:val="000000" w:themeColor="text1"/>
          <w:sz w:val="16"/>
          <w:szCs w:val="16"/>
        </w:rPr>
        <w:t>six</w:t>
      </w:r>
      <w:r w:rsidRPr="00CA1AC6">
        <w:rPr>
          <w:rFonts w:ascii="Times New Roman" w:hAnsi="Times New Roman"/>
          <w:color w:val="000000" w:themeColor="text1"/>
          <w:sz w:val="16"/>
          <w:szCs w:val="16"/>
        </w:rPr>
        <w:t xml:space="preserve"> countries: Fiji, </w:t>
      </w:r>
      <w:r>
        <w:rPr>
          <w:rFonts w:ascii="Times New Roman" w:hAnsi="Times New Roman"/>
          <w:color w:val="000000" w:themeColor="text1"/>
          <w:sz w:val="16"/>
          <w:szCs w:val="16"/>
        </w:rPr>
        <w:t>Papua New Guinea</w:t>
      </w:r>
      <w:r w:rsidRPr="00CA1AC6">
        <w:rPr>
          <w:rFonts w:ascii="Times New Roman" w:hAnsi="Times New Roman"/>
          <w:color w:val="000000" w:themeColor="text1"/>
          <w:sz w:val="16"/>
          <w:szCs w:val="16"/>
        </w:rPr>
        <w:t xml:space="preserve">, Samoa, </w:t>
      </w:r>
      <w:r>
        <w:rPr>
          <w:rFonts w:ascii="Times New Roman" w:hAnsi="Times New Roman"/>
          <w:color w:val="000000" w:themeColor="text1"/>
          <w:sz w:val="16"/>
          <w:szCs w:val="16"/>
        </w:rPr>
        <w:t xml:space="preserve">the </w:t>
      </w:r>
      <w:r w:rsidRPr="00CA1AC6">
        <w:rPr>
          <w:rFonts w:ascii="Times New Roman" w:hAnsi="Times New Roman"/>
          <w:color w:val="000000" w:themeColor="text1"/>
          <w:sz w:val="16"/>
          <w:szCs w:val="16"/>
        </w:rPr>
        <w:t>Solomon Islands, Tonga</w:t>
      </w:r>
      <w:r>
        <w:rPr>
          <w:rFonts w:ascii="Times New Roman" w:hAnsi="Times New Roman"/>
          <w:color w:val="000000" w:themeColor="text1"/>
          <w:sz w:val="16"/>
          <w:szCs w:val="16"/>
        </w:rPr>
        <w:t>,</w:t>
      </w:r>
      <w:r w:rsidRPr="00CA1AC6">
        <w:rPr>
          <w:rFonts w:ascii="Times New Roman" w:hAnsi="Times New Roman"/>
          <w:color w:val="000000" w:themeColor="text1"/>
          <w:sz w:val="16"/>
          <w:szCs w:val="16"/>
        </w:rPr>
        <w:t xml:space="preserve"> and Vanuatu</w:t>
      </w:r>
      <w:r>
        <w:rPr>
          <w:rFonts w:ascii="Times New Roman" w:hAnsi="Times New Roman"/>
          <w:color w:val="000000" w:themeColor="text1"/>
          <w:sz w:val="16"/>
          <w:szCs w:val="16"/>
        </w:rPr>
        <w:t>.</w:t>
      </w:r>
    </w:p>
  </w:footnote>
  <w:footnote w:id="38">
    <w:p w14:paraId="170BFFE3" w14:textId="166B2166" w:rsidR="007F7C0C" w:rsidRPr="00CF0C2C" w:rsidRDefault="007F7C0C">
      <w:pPr>
        <w:pStyle w:val="FootnoteText"/>
        <w:rPr>
          <w:rFonts w:ascii="Times New Roman" w:hAnsi="Times New Roman"/>
          <w:color w:val="000000" w:themeColor="text1"/>
          <w:sz w:val="16"/>
          <w:szCs w:val="16"/>
        </w:rPr>
      </w:pPr>
      <w:r w:rsidRPr="00CF0C2C">
        <w:rPr>
          <w:rStyle w:val="FootnoteReference"/>
          <w:rFonts w:ascii="Times New Roman" w:hAnsi="Times New Roman"/>
          <w:color w:val="000000" w:themeColor="text1"/>
          <w:sz w:val="16"/>
          <w:szCs w:val="16"/>
        </w:rPr>
        <w:footnoteRef/>
      </w:r>
      <w:r>
        <w:rPr>
          <w:rFonts w:ascii="Times New Roman" w:hAnsi="Times New Roman"/>
          <w:color w:val="000000" w:themeColor="text1"/>
          <w:sz w:val="16"/>
          <w:szCs w:val="16"/>
        </w:rPr>
        <w:t xml:space="preserve"> </w:t>
      </w:r>
      <w:r w:rsidRPr="00CF0C2C">
        <w:rPr>
          <w:rFonts w:ascii="Times New Roman" w:hAnsi="Times New Roman"/>
          <w:color w:val="000000" w:themeColor="text1"/>
          <w:sz w:val="16"/>
          <w:szCs w:val="16"/>
        </w:rPr>
        <w:t xml:space="preserve">Pacific </w:t>
      </w:r>
      <w:r>
        <w:rPr>
          <w:rFonts w:ascii="Times New Roman" w:hAnsi="Times New Roman"/>
          <w:color w:val="000000" w:themeColor="text1"/>
          <w:sz w:val="16"/>
          <w:szCs w:val="16"/>
        </w:rPr>
        <w:t>f</w:t>
      </w:r>
      <w:r w:rsidRPr="00CF0C2C">
        <w:rPr>
          <w:rFonts w:ascii="Times New Roman" w:hAnsi="Times New Roman"/>
          <w:color w:val="000000" w:themeColor="text1"/>
          <w:sz w:val="16"/>
          <w:szCs w:val="16"/>
        </w:rPr>
        <w:t xml:space="preserve">inancial </w:t>
      </w:r>
      <w:r>
        <w:rPr>
          <w:rFonts w:ascii="Times New Roman" w:hAnsi="Times New Roman"/>
          <w:color w:val="000000" w:themeColor="text1"/>
          <w:sz w:val="16"/>
          <w:szCs w:val="16"/>
        </w:rPr>
        <w:t>i</w:t>
      </w:r>
      <w:r w:rsidRPr="00CF0C2C">
        <w:rPr>
          <w:rFonts w:ascii="Times New Roman" w:hAnsi="Times New Roman"/>
          <w:color w:val="000000" w:themeColor="text1"/>
          <w:sz w:val="16"/>
          <w:szCs w:val="16"/>
        </w:rPr>
        <w:t xml:space="preserve">nclusion </w:t>
      </w:r>
      <w:r>
        <w:rPr>
          <w:rFonts w:ascii="Times New Roman" w:hAnsi="Times New Roman"/>
          <w:color w:val="000000" w:themeColor="text1"/>
          <w:sz w:val="16"/>
          <w:szCs w:val="16"/>
        </w:rPr>
        <w:t>p</w:t>
      </w:r>
      <w:r w:rsidRPr="00CF0C2C">
        <w:rPr>
          <w:rFonts w:ascii="Times New Roman" w:hAnsi="Times New Roman"/>
          <w:color w:val="000000" w:themeColor="text1"/>
          <w:sz w:val="16"/>
          <w:szCs w:val="16"/>
        </w:rPr>
        <w:t xml:space="preserve">rogramme </w:t>
      </w:r>
      <w:r>
        <w:rPr>
          <w:rFonts w:ascii="Times New Roman" w:hAnsi="Times New Roman"/>
          <w:color w:val="000000" w:themeColor="text1"/>
          <w:sz w:val="16"/>
          <w:szCs w:val="16"/>
        </w:rPr>
        <w:t>m</w:t>
      </w:r>
      <w:r w:rsidRPr="00CF0C2C">
        <w:rPr>
          <w:rFonts w:ascii="Times New Roman" w:hAnsi="Times New Roman"/>
          <w:color w:val="000000" w:themeColor="text1"/>
          <w:sz w:val="16"/>
          <w:szCs w:val="16"/>
        </w:rPr>
        <w:t>id</w:t>
      </w:r>
      <w:r>
        <w:rPr>
          <w:rFonts w:ascii="Times New Roman" w:hAnsi="Times New Roman"/>
          <w:color w:val="000000" w:themeColor="text1"/>
          <w:sz w:val="16"/>
          <w:szCs w:val="16"/>
        </w:rPr>
        <w:t>t</w:t>
      </w:r>
      <w:r w:rsidRPr="00CF0C2C">
        <w:rPr>
          <w:rFonts w:ascii="Times New Roman" w:hAnsi="Times New Roman"/>
          <w:color w:val="000000" w:themeColor="text1"/>
          <w:sz w:val="16"/>
          <w:szCs w:val="16"/>
        </w:rPr>
        <w:t xml:space="preserve">erm </w:t>
      </w:r>
      <w:r>
        <w:rPr>
          <w:rFonts w:ascii="Times New Roman" w:hAnsi="Times New Roman"/>
          <w:color w:val="000000" w:themeColor="text1"/>
          <w:sz w:val="16"/>
          <w:szCs w:val="16"/>
        </w:rPr>
        <w:t>e</w:t>
      </w:r>
      <w:r w:rsidRPr="00CF0C2C">
        <w:rPr>
          <w:rFonts w:ascii="Times New Roman" w:hAnsi="Times New Roman"/>
          <w:color w:val="000000" w:themeColor="text1"/>
          <w:sz w:val="16"/>
          <w:szCs w:val="16"/>
        </w:rPr>
        <w:t>valuation, 2017</w:t>
      </w:r>
      <w:r>
        <w:rPr>
          <w:rFonts w:ascii="Times New Roman" w:hAnsi="Times New Roman"/>
          <w:color w:val="000000" w:themeColor="text1"/>
          <w:sz w:val="16"/>
          <w:szCs w:val="16"/>
        </w:rPr>
        <w:t>.</w:t>
      </w:r>
    </w:p>
  </w:footnote>
  <w:footnote w:id="39">
    <w:p w14:paraId="42646D86" w14:textId="5D1F68AF" w:rsidR="007F7C0C" w:rsidRPr="00CF0C2C" w:rsidRDefault="007F7C0C">
      <w:pPr>
        <w:pStyle w:val="FootnoteText"/>
        <w:rPr>
          <w:rFonts w:ascii="Times New Roman" w:hAnsi="Times New Roman"/>
          <w:color w:val="000000" w:themeColor="text1"/>
          <w:sz w:val="16"/>
          <w:szCs w:val="16"/>
        </w:rPr>
      </w:pPr>
      <w:r w:rsidRPr="00CF0C2C">
        <w:rPr>
          <w:rStyle w:val="FootnoteReference"/>
          <w:rFonts w:ascii="Times New Roman" w:hAnsi="Times New Roman"/>
          <w:color w:val="000000" w:themeColor="text1"/>
          <w:sz w:val="16"/>
          <w:szCs w:val="16"/>
        </w:rPr>
        <w:footnoteRef/>
      </w:r>
      <w:r w:rsidRPr="00CF0C2C">
        <w:rPr>
          <w:rFonts w:ascii="Times New Roman" w:hAnsi="Times New Roman"/>
          <w:color w:val="000000" w:themeColor="text1"/>
          <w:sz w:val="16"/>
          <w:szCs w:val="16"/>
        </w:rPr>
        <w:t xml:space="preserve"> Internal </w:t>
      </w:r>
      <w:r>
        <w:rPr>
          <w:rFonts w:ascii="Times New Roman" w:hAnsi="Times New Roman"/>
          <w:color w:val="000000" w:themeColor="text1"/>
          <w:sz w:val="16"/>
          <w:szCs w:val="16"/>
        </w:rPr>
        <w:t>e</w:t>
      </w:r>
      <w:r w:rsidRPr="00CF0C2C">
        <w:rPr>
          <w:rFonts w:ascii="Times New Roman" w:hAnsi="Times New Roman"/>
          <w:color w:val="000000" w:themeColor="text1"/>
          <w:sz w:val="16"/>
          <w:szCs w:val="16"/>
        </w:rPr>
        <w:t xml:space="preserve">valuation of Markets for Change </w:t>
      </w:r>
      <w:r>
        <w:rPr>
          <w:rFonts w:ascii="Times New Roman" w:hAnsi="Times New Roman"/>
          <w:color w:val="000000" w:themeColor="text1"/>
          <w:sz w:val="16"/>
          <w:szCs w:val="16"/>
        </w:rPr>
        <w:t>p</w:t>
      </w:r>
      <w:r w:rsidRPr="00CF0C2C">
        <w:rPr>
          <w:rFonts w:ascii="Times New Roman" w:hAnsi="Times New Roman"/>
          <w:color w:val="000000" w:themeColor="text1"/>
          <w:sz w:val="16"/>
          <w:szCs w:val="16"/>
        </w:rPr>
        <w:t>roject</w:t>
      </w:r>
      <w:r>
        <w:rPr>
          <w:rFonts w:ascii="Times New Roman" w:hAnsi="Times New Roman"/>
          <w:color w:val="000000" w:themeColor="text1"/>
          <w:sz w:val="16"/>
          <w:szCs w:val="16"/>
        </w:rPr>
        <w:t>,</w:t>
      </w:r>
      <w:r w:rsidRPr="00CF0C2C">
        <w:rPr>
          <w:rFonts w:ascii="Times New Roman" w:hAnsi="Times New Roman"/>
          <w:color w:val="000000" w:themeColor="text1"/>
          <w:sz w:val="16"/>
          <w:szCs w:val="16"/>
        </w:rPr>
        <w:t xml:space="preserve"> 2015</w:t>
      </w:r>
      <w:r>
        <w:rPr>
          <w:rFonts w:ascii="Times New Roman" w:hAnsi="Times New Roman"/>
          <w:color w:val="000000" w:themeColor="text1"/>
          <w:sz w:val="16"/>
          <w:szCs w:val="16"/>
        </w:rPr>
        <w:t>.</w:t>
      </w:r>
    </w:p>
  </w:footnote>
  <w:footnote w:id="40">
    <w:p w14:paraId="21CA8127" w14:textId="22504373" w:rsidR="007F7C0C" w:rsidRPr="00D53E58" w:rsidRDefault="007F7C0C" w:rsidP="00840924">
      <w:pPr>
        <w:pStyle w:val="FootnoteText"/>
        <w:rPr>
          <w:rFonts w:ascii="Times New Roman" w:hAnsi="Times New Roman"/>
          <w:sz w:val="16"/>
          <w:szCs w:val="16"/>
        </w:rPr>
      </w:pPr>
      <w:r w:rsidRPr="00CF0C2C">
        <w:rPr>
          <w:rStyle w:val="FootnoteReference"/>
          <w:rFonts w:ascii="Times New Roman" w:hAnsi="Times New Roman"/>
          <w:sz w:val="16"/>
          <w:szCs w:val="16"/>
        </w:rPr>
        <w:footnoteRef/>
      </w:r>
      <w:r w:rsidRPr="00CF0C2C">
        <w:rPr>
          <w:rFonts w:ascii="Times New Roman" w:hAnsi="Times New Roman"/>
          <w:sz w:val="16"/>
          <w:szCs w:val="16"/>
        </w:rPr>
        <w:t xml:space="preserve"> </w:t>
      </w:r>
      <w:r>
        <w:rPr>
          <w:rFonts w:ascii="Times New Roman" w:hAnsi="Times New Roman"/>
          <w:sz w:val="16"/>
          <w:szCs w:val="16"/>
        </w:rPr>
        <w:t>W</w:t>
      </w:r>
      <w:r w:rsidRPr="00CF0C2C">
        <w:rPr>
          <w:rFonts w:ascii="Times New Roman" w:hAnsi="Times New Roman"/>
          <w:sz w:val="16"/>
          <w:szCs w:val="16"/>
        </w:rPr>
        <w:t xml:space="preserve">estern Pacific </w:t>
      </w:r>
      <w:r>
        <w:rPr>
          <w:rFonts w:ascii="Times New Roman" w:hAnsi="Times New Roman"/>
          <w:sz w:val="16"/>
          <w:szCs w:val="16"/>
        </w:rPr>
        <w:t>i</w:t>
      </w:r>
      <w:r w:rsidRPr="00CF0C2C">
        <w:rPr>
          <w:rFonts w:ascii="Times New Roman" w:hAnsi="Times New Roman"/>
          <w:sz w:val="16"/>
          <w:szCs w:val="16"/>
        </w:rPr>
        <w:t xml:space="preserve">ntegrated HIV/TB </w:t>
      </w:r>
      <w:r>
        <w:rPr>
          <w:rFonts w:ascii="Times New Roman" w:hAnsi="Times New Roman"/>
          <w:sz w:val="16"/>
          <w:szCs w:val="16"/>
        </w:rPr>
        <w:t>p</w:t>
      </w:r>
      <w:r w:rsidRPr="00D53E58">
        <w:rPr>
          <w:rFonts w:ascii="Times New Roman" w:hAnsi="Times New Roman"/>
          <w:sz w:val="16"/>
          <w:szCs w:val="16"/>
        </w:rPr>
        <w:t xml:space="preserve">rogramme </w:t>
      </w:r>
      <w:r>
        <w:rPr>
          <w:rFonts w:ascii="Times New Roman" w:hAnsi="Times New Roman"/>
          <w:sz w:val="16"/>
          <w:szCs w:val="16"/>
        </w:rPr>
        <w:t>r</w:t>
      </w:r>
      <w:r w:rsidRPr="00D53E58">
        <w:rPr>
          <w:rFonts w:ascii="Times New Roman" w:hAnsi="Times New Roman"/>
          <w:sz w:val="16"/>
          <w:szCs w:val="16"/>
        </w:rPr>
        <w:t>eport, 2016</w:t>
      </w:r>
      <w:r>
        <w:rPr>
          <w:rFonts w:ascii="Times New Roman" w:hAnsi="Times New Roman"/>
          <w:sz w:val="16"/>
          <w:szCs w:val="16"/>
        </w:rPr>
        <w:t>.</w:t>
      </w:r>
    </w:p>
  </w:footnote>
  <w:footnote w:id="41">
    <w:p w14:paraId="70C975FA" w14:textId="1E58DAC5" w:rsidR="007F7C0C" w:rsidRPr="00690EF0" w:rsidRDefault="007F7C0C" w:rsidP="00840924">
      <w:pPr>
        <w:pStyle w:val="FootnoteText"/>
        <w:rPr>
          <w:rFonts w:ascii="Times New Roman" w:hAnsi="Times New Roman"/>
          <w:sz w:val="16"/>
          <w:szCs w:val="16"/>
        </w:rPr>
      </w:pPr>
      <w:r w:rsidRPr="00D53E58">
        <w:rPr>
          <w:rFonts w:ascii="Times New Roman" w:hAnsi="Times New Roman"/>
          <w:sz w:val="16"/>
          <w:szCs w:val="16"/>
          <w:vertAlign w:val="superscript"/>
        </w:rPr>
        <w:footnoteRef/>
      </w:r>
      <w:r w:rsidRPr="00D53E58">
        <w:rPr>
          <w:rFonts w:ascii="Times New Roman" w:hAnsi="Times New Roman"/>
          <w:sz w:val="16"/>
          <w:szCs w:val="16"/>
        </w:rPr>
        <w:t xml:space="preserve"> Framework for Resilient Development in the Pacific: An integrated approach to address climate change and disaster risk management, 2017-2030. The </w:t>
      </w:r>
      <w:r>
        <w:rPr>
          <w:rFonts w:ascii="Times New Roman" w:hAnsi="Times New Roman"/>
          <w:sz w:val="16"/>
          <w:szCs w:val="16"/>
        </w:rPr>
        <w:t>f</w:t>
      </w:r>
      <w:r w:rsidRPr="00D53E58">
        <w:rPr>
          <w:rFonts w:ascii="Times New Roman" w:hAnsi="Times New Roman"/>
          <w:sz w:val="16"/>
          <w:szCs w:val="16"/>
        </w:rPr>
        <w:t>ramework provides voluntary guidelines for national stakeholders to address their vulnerability to climate change and disasters.</w:t>
      </w:r>
    </w:p>
  </w:footnote>
  <w:footnote w:id="42">
    <w:p w14:paraId="7BBFFC97" w14:textId="39095B4C" w:rsidR="007F7C0C" w:rsidRPr="00690EF0" w:rsidRDefault="007F7C0C" w:rsidP="00840924">
      <w:pPr>
        <w:pStyle w:val="FootnoteText"/>
        <w:rPr>
          <w:rFonts w:ascii="Times New Roman" w:hAnsi="Times New Roman"/>
          <w:sz w:val="16"/>
          <w:szCs w:val="16"/>
        </w:rPr>
      </w:pPr>
      <w:r w:rsidRPr="00690EF0">
        <w:rPr>
          <w:rStyle w:val="FootnoteReference"/>
          <w:rFonts w:ascii="Times New Roman" w:hAnsi="Times New Roman"/>
          <w:sz w:val="16"/>
          <w:szCs w:val="16"/>
        </w:rPr>
        <w:footnoteRef/>
      </w:r>
      <w:r w:rsidRPr="00690EF0">
        <w:rPr>
          <w:rFonts w:ascii="Times New Roman" w:hAnsi="Times New Roman"/>
          <w:sz w:val="16"/>
          <w:szCs w:val="16"/>
        </w:rPr>
        <w:t xml:space="preserve"> </w:t>
      </w:r>
      <w:r>
        <w:rPr>
          <w:rFonts w:ascii="Times New Roman" w:hAnsi="Times New Roman"/>
          <w:sz w:val="16"/>
          <w:szCs w:val="16"/>
        </w:rPr>
        <w:t>S</w:t>
      </w:r>
      <w:r w:rsidRPr="00625A44">
        <w:rPr>
          <w:rFonts w:ascii="Times New Roman" w:hAnsi="Times New Roman"/>
          <w:sz w:val="16"/>
          <w:szCs w:val="16"/>
        </w:rPr>
        <w:t>ubregional programme document</w:t>
      </w:r>
      <w:r w:rsidRPr="00625A44" w:rsidDel="00625A44">
        <w:rPr>
          <w:rFonts w:ascii="Times New Roman" w:hAnsi="Times New Roman"/>
          <w:sz w:val="16"/>
          <w:szCs w:val="16"/>
        </w:rPr>
        <w:t xml:space="preserve"> </w:t>
      </w:r>
      <w:r>
        <w:rPr>
          <w:rFonts w:ascii="Times New Roman" w:hAnsi="Times New Roman"/>
          <w:sz w:val="16"/>
          <w:szCs w:val="16"/>
        </w:rPr>
        <w:t>r</w:t>
      </w:r>
      <w:r w:rsidRPr="00690EF0">
        <w:rPr>
          <w:rFonts w:ascii="Times New Roman" w:hAnsi="Times New Roman"/>
          <w:sz w:val="16"/>
          <w:szCs w:val="16"/>
        </w:rPr>
        <w:t xml:space="preserve">eview </w:t>
      </w:r>
      <w:r>
        <w:rPr>
          <w:rFonts w:ascii="Times New Roman" w:hAnsi="Times New Roman"/>
          <w:sz w:val="16"/>
          <w:szCs w:val="16"/>
        </w:rPr>
        <w:t>r</w:t>
      </w:r>
      <w:r w:rsidRPr="00690EF0">
        <w:rPr>
          <w:rFonts w:ascii="Times New Roman" w:hAnsi="Times New Roman"/>
          <w:sz w:val="16"/>
          <w:szCs w:val="16"/>
        </w:rPr>
        <w:t>eport, December 2016</w:t>
      </w:r>
    </w:p>
  </w:footnote>
  <w:footnote w:id="43">
    <w:p w14:paraId="0F4A27F7" w14:textId="77777777" w:rsidR="007F7C0C" w:rsidRPr="00C60D0A" w:rsidRDefault="007F7C0C">
      <w:pPr>
        <w:pStyle w:val="FootnoteText"/>
        <w:rPr>
          <w:rFonts w:ascii="Times New Roman" w:hAnsi="Times New Roman"/>
          <w:sz w:val="16"/>
          <w:szCs w:val="16"/>
        </w:rPr>
      </w:pPr>
      <w:r w:rsidRPr="00C60D0A">
        <w:rPr>
          <w:rStyle w:val="FootnoteReference"/>
          <w:rFonts w:ascii="Times New Roman" w:hAnsi="Times New Roman"/>
          <w:sz w:val="16"/>
          <w:szCs w:val="16"/>
        </w:rPr>
        <w:footnoteRef/>
      </w:r>
      <w:r w:rsidRPr="00C60D0A">
        <w:rPr>
          <w:rFonts w:ascii="Times New Roman" w:hAnsi="Times New Roman"/>
          <w:sz w:val="16"/>
          <w:szCs w:val="16"/>
        </w:rPr>
        <w:t xml:space="preserve"> Pacific countries are innovators of peer to peer learning, 3 December 2016, https://pasifik.news/pacific-countries-innovators-peer-peer-learning/</w:t>
      </w:r>
    </w:p>
  </w:footnote>
  <w:footnote w:id="44">
    <w:p w14:paraId="2AEBF2FE" w14:textId="77777777" w:rsidR="007F7C0C" w:rsidRPr="00BC5DE1" w:rsidRDefault="007F7C0C">
      <w:pPr>
        <w:pStyle w:val="FootnoteText"/>
        <w:rPr>
          <w:rFonts w:ascii="Times New Roman" w:hAnsi="Times New Roman"/>
          <w:sz w:val="16"/>
          <w:szCs w:val="16"/>
        </w:rPr>
      </w:pPr>
      <w:r w:rsidRPr="00BC5DE1">
        <w:rPr>
          <w:rStyle w:val="FootnoteReference"/>
          <w:rFonts w:ascii="Times New Roman" w:hAnsi="Times New Roman"/>
          <w:sz w:val="16"/>
          <w:szCs w:val="16"/>
        </w:rPr>
        <w:footnoteRef/>
      </w:r>
      <w:r w:rsidRPr="00BC5DE1">
        <w:rPr>
          <w:rFonts w:ascii="Times New Roman" w:hAnsi="Times New Roman"/>
          <w:sz w:val="16"/>
          <w:szCs w:val="16"/>
        </w:rPr>
        <w:t xml:space="preserve"> Report of the Secretary-General: Implementation of General Assembly Resolution 67/226 on the quadrennial comprehensive policy review of operational activities for developme</w:t>
      </w:r>
      <w:r>
        <w:rPr>
          <w:rFonts w:ascii="Times New Roman" w:hAnsi="Times New Roman"/>
          <w:sz w:val="16"/>
          <w:szCs w:val="16"/>
        </w:rPr>
        <w:t xml:space="preserve">nt of the United Nations system, </w:t>
      </w:r>
      <w:r w:rsidRPr="00BC5DE1">
        <w:rPr>
          <w:rFonts w:ascii="Times New Roman" w:hAnsi="Times New Roman"/>
          <w:sz w:val="16"/>
          <w:szCs w:val="16"/>
        </w:rPr>
        <w:t>2016</w:t>
      </w:r>
    </w:p>
  </w:footnote>
  <w:footnote w:id="45">
    <w:p w14:paraId="38D5BFF5" w14:textId="77777777" w:rsidR="007F7C0C" w:rsidRPr="00690EF0" w:rsidRDefault="007F7C0C" w:rsidP="000B0F0F">
      <w:pPr>
        <w:pStyle w:val="FootnoteText"/>
        <w:rPr>
          <w:rFonts w:ascii="Times New Roman" w:hAnsi="Times New Roman"/>
          <w:sz w:val="16"/>
          <w:szCs w:val="16"/>
        </w:rPr>
      </w:pPr>
      <w:r w:rsidRPr="00690EF0">
        <w:rPr>
          <w:rStyle w:val="FootnoteReference"/>
          <w:rFonts w:ascii="Times New Roman" w:hAnsi="Times New Roman"/>
          <w:sz w:val="16"/>
          <w:szCs w:val="16"/>
        </w:rPr>
        <w:footnoteRef/>
      </w:r>
      <w:r w:rsidRPr="00690EF0">
        <w:rPr>
          <w:rFonts w:ascii="Times New Roman" w:hAnsi="Times New Roman"/>
          <w:sz w:val="16"/>
          <w:szCs w:val="16"/>
        </w:rPr>
        <w:t xml:space="preserve"> </w:t>
      </w:r>
      <w:r w:rsidRPr="00426131">
        <w:rPr>
          <w:rFonts w:ascii="Times New Roman" w:hAnsi="Times New Roman"/>
          <w:sz w:val="16"/>
          <w:szCs w:val="16"/>
        </w:rPr>
        <w:t xml:space="preserve">ESCAP, ILO, UNICEF, UNFPA and UNDP, The State of Human Development in the Pacific: A report on vulnerability and exclusion </w:t>
      </w:r>
      <w:r>
        <w:rPr>
          <w:rFonts w:ascii="Times New Roman" w:hAnsi="Times New Roman"/>
          <w:sz w:val="16"/>
          <w:szCs w:val="16"/>
        </w:rPr>
        <w:t>in a time of rapid change, 2014</w:t>
      </w:r>
    </w:p>
  </w:footnote>
  <w:footnote w:id="46">
    <w:p w14:paraId="7B31F0FE" w14:textId="77777777" w:rsidR="007F7C0C" w:rsidRPr="00690EF0" w:rsidRDefault="007F7C0C" w:rsidP="000B0F0F">
      <w:pPr>
        <w:pStyle w:val="FootnoteText"/>
        <w:rPr>
          <w:rFonts w:ascii="Times New Roman" w:hAnsi="Times New Roman"/>
          <w:sz w:val="16"/>
          <w:szCs w:val="16"/>
        </w:rPr>
      </w:pPr>
      <w:r w:rsidRPr="00690EF0">
        <w:rPr>
          <w:rStyle w:val="FootnoteReference"/>
          <w:rFonts w:ascii="Times New Roman" w:hAnsi="Times New Roman"/>
          <w:sz w:val="16"/>
          <w:szCs w:val="16"/>
        </w:rPr>
        <w:footnoteRef/>
      </w:r>
      <w:r w:rsidRPr="00690EF0">
        <w:rPr>
          <w:rFonts w:ascii="Times New Roman" w:hAnsi="Times New Roman"/>
          <w:sz w:val="16"/>
          <w:szCs w:val="16"/>
        </w:rPr>
        <w:t xml:space="preserve"> </w:t>
      </w:r>
      <w:r w:rsidRPr="004C55DC">
        <w:rPr>
          <w:rFonts w:ascii="Times New Roman" w:hAnsi="Times New Roman"/>
          <w:sz w:val="16"/>
          <w:szCs w:val="16"/>
        </w:rPr>
        <w:t>World Bank, Hardship and Vulnerability in the Pacific,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047"/>
    </w:tblGrid>
    <w:tr w:rsidR="007F7C0C" w:rsidRPr="003D1A73" w14:paraId="01A440B4" w14:textId="77777777" w:rsidTr="003D1A73">
      <w:trPr>
        <w:trHeight w:hRule="exact" w:val="864"/>
      </w:trPr>
      <w:tc>
        <w:tcPr>
          <w:tcW w:w="4838" w:type="dxa"/>
          <w:tcBorders>
            <w:bottom w:val="single" w:sz="4" w:space="0" w:color="auto"/>
          </w:tcBorders>
          <w:vAlign w:val="bottom"/>
        </w:tcPr>
        <w:p w14:paraId="5B1893AA" w14:textId="77777777" w:rsidR="007F7C0C" w:rsidRPr="003D1A73" w:rsidRDefault="007F7C0C" w:rsidP="003D1A73">
          <w:pPr>
            <w:widowControl w:val="0"/>
            <w:tabs>
              <w:tab w:val="center" w:pos="4320"/>
              <w:tab w:val="right" w:pos="8640"/>
            </w:tabs>
            <w:spacing w:after="80"/>
            <w:rPr>
              <w:b/>
              <w:sz w:val="17"/>
              <w:szCs w:val="17"/>
              <w:lang w:eastAsia="x-none"/>
            </w:rPr>
          </w:pPr>
          <w:r w:rsidRPr="003D1A73">
            <w:rPr>
              <w:b/>
              <w:sz w:val="17"/>
              <w:szCs w:val="17"/>
              <w:lang w:val="x-none" w:eastAsia="x-none"/>
            </w:rPr>
            <w:t>DP/D</w:t>
          </w:r>
          <w:r w:rsidRPr="003D1A73">
            <w:rPr>
              <w:b/>
              <w:sz w:val="17"/>
              <w:szCs w:val="17"/>
              <w:lang w:eastAsia="x-none"/>
            </w:rPr>
            <w:t>S</w:t>
          </w:r>
          <w:r w:rsidRPr="003D1A73">
            <w:rPr>
              <w:b/>
              <w:sz w:val="17"/>
              <w:szCs w:val="17"/>
              <w:lang w:val="x-none" w:eastAsia="x-none"/>
            </w:rPr>
            <w:t>P/</w:t>
          </w:r>
          <w:r w:rsidRPr="003D1A73">
            <w:rPr>
              <w:b/>
              <w:sz w:val="17"/>
              <w:szCs w:val="17"/>
              <w:lang w:eastAsia="x-none"/>
            </w:rPr>
            <w:t>PIC</w:t>
          </w:r>
          <w:r w:rsidRPr="003D1A73">
            <w:rPr>
              <w:b/>
              <w:sz w:val="17"/>
              <w:szCs w:val="17"/>
              <w:lang w:val="x-none" w:eastAsia="x-none"/>
            </w:rPr>
            <w:t>/</w:t>
          </w:r>
          <w:r>
            <w:rPr>
              <w:b/>
              <w:sz w:val="17"/>
              <w:szCs w:val="17"/>
              <w:lang w:eastAsia="x-none"/>
            </w:rPr>
            <w:t>2</w:t>
          </w:r>
        </w:p>
      </w:tc>
      <w:tc>
        <w:tcPr>
          <w:tcW w:w="5047" w:type="dxa"/>
          <w:tcBorders>
            <w:bottom w:val="single" w:sz="4" w:space="0" w:color="auto"/>
          </w:tcBorders>
          <w:vAlign w:val="bottom"/>
        </w:tcPr>
        <w:p w14:paraId="58E5C430" w14:textId="77777777" w:rsidR="007F7C0C" w:rsidRPr="003D1A73" w:rsidRDefault="007F7C0C" w:rsidP="003D1A73">
          <w:pPr>
            <w:widowControl w:val="0"/>
            <w:tabs>
              <w:tab w:val="center" w:pos="4320"/>
              <w:tab w:val="right" w:pos="8640"/>
            </w:tabs>
            <w:rPr>
              <w:sz w:val="17"/>
              <w:szCs w:val="17"/>
              <w:lang w:val="x-none" w:eastAsia="x-none"/>
            </w:rPr>
          </w:pPr>
        </w:p>
      </w:tc>
    </w:tr>
  </w:tbl>
  <w:p w14:paraId="1552F603" w14:textId="77777777" w:rsidR="007F7C0C" w:rsidRDefault="007F7C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90" w:type="dxa"/>
      <w:tblInd w:w="-307" w:type="dxa"/>
      <w:tblBorders>
        <w:bottom w:val="single" w:sz="4" w:space="0" w:color="auto"/>
      </w:tblBorders>
      <w:tblLayout w:type="fixed"/>
      <w:tblCellMar>
        <w:left w:w="0" w:type="dxa"/>
        <w:right w:w="0" w:type="dxa"/>
      </w:tblCellMar>
      <w:tblLook w:val="0000" w:firstRow="0" w:lastRow="0" w:firstColumn="0" w:lastColumn="0" w:noHBand="0" w:noVBand="0"/>
    </w:tblPr>
    <w:tblGrid>
      <w:gridCol w:w="2107"/>
      <w:gridCol w:w="7883"/>
    </w:tblGrid>
    <w:tr w:rsidR="007F7C0C" w:rsidRPr="008F3488" w14:paraId="08F42324" w14:textId="77777777" w:rsidTr="000328C1">
      <w:trPr>
        <w:trHeight w:hRule="exact" w:val="447"/>
      </w:trPr>
      <w:tc>
        <w:tcPr>
          <w:tcW w:w="2107" w:type="dxa"/>
          <w:tcBorders>
            <w:bottom w:val="single" w:sz="4" w:space="0" w:color="auto"/>
          </w:tcBorders>
          <w:vAlign w:val="bottom"/>
        </w:tcPr>
        <w:p w14:paraId="6A00EF57" w14:textId="77777777" w:rsidR="007F7C0C" w:rsidRPr="008F3488" w:rsidRDefault="007F7C0C" w:rsidP="008F3488">
          <w:pPr>
            <w:widowControl w:val="0"/>
            <w:tabs>
              <w:tab w:val="center" w:pos="4320"/>
              <w:tab w:val="right" w:pos="8640"/>
            </w:tabs>
            <w:spacing w:after="80"/>
            <w:rPr>
              <w:b/>
              <w:sz w:val="17"/>
              <w:szCs w:val="17"/>
              <w:lang w:val="x-none" w:eastAsia="x-none"/>
            </w:rPr>
          </w:pPr>
        </w:p>
      </w:tc>
      <w:tc>
        <w:tcPr>
          <w:tcW w:w="7883" w:type="dxa"/>
          <w:tcBorders>
            <w:bottom w:val="single" w:sz="4" w:space="0" w:color="auto"/>
          </w:tcBorders>
          <w:vAlign w:val="bottom"/>
        </w:tcPr>
        <w:p w14:paraId="40EAC0D3" w14:textId="77777777" w:rsidR="007F7C0C" w:rsidRPr="008F3488" w:rsidRDefault="007F7C0C" w:rsidP="008F3488">
          <w:pPr>
            <w:widowControl w:val="0"/>
            <w:tabs>
              <w:tab w:val="center" w:pos="4320"/>
              <w:tab w:val="right" w:pos="8640"/>
            </w:tabs>
            <w:jc w:val="right"/>
            <w:rPr>
              <w:sz w:val="17"/>
              <w:szCs w:val="17"/>
              <w:lang w:eastAsia="x-none"/>
            </w:rPr>
          </w:pPr>
          <w:r w:rsidRPr="008F3488">
            <w:rPr>
              <w:b/>
              <w:sz w:val="17"/>
              <w:szCs w:val="17"/>
              <w:lang w:val="x-none" w:eastAsia="x-none"/>
            </w:rPr>
            <w:t>DP/D</w:t>
          </w:r>
          <w:r w:rsidRPr="008F3488">
            <w:rPr>
              <w:b/>
              <w:sz w:val="17"/>
              <w:szCs w:val="17"/>
              <w:lang w:eastAsia="x-none"/>
            </w:rPr>
            <w:t>S</w:t>
          </w:r>
          <w:r w:rsidRPr="008F3488">
            <w:rPr>
              <w:b/>
              <w:sz w:val="17"/>
              <w:szCs w:val="17"/>
              <w:lang w:val="x-none" w:eastAsia="x-none"/>
            </w:rPr>
            <w:t>P/</w:t>
          </w:r>
          <w:r w:rsidRPr="008F3488">
            <w:rPr>
              <w:b/>
              <w:sz w:val="17"/>
              <w:szCs w:val="17"/>
              <w:lang w:eastAsia="x-none"/>
            </w:rPr>
            <w:t>PIC</w:t>
          </w:r>
          <w:r w:rsidRPr="008F3488">
            <w:rPr>
              <w:b/>
              <w:sz w:val="17"/>
              <w:szCs w:val="17"/>
              <w:lang w:val="x-none" w:eastAsia="x-none"/>
            </w:rPr>
            <w:t>/</w:t>
          </w:r>
          <w:r>
            <w:rPr>
              <w:b/>
              <w:sz w:val="17"/>
              <w:szCs w:val="17"/>
              <w:lang w:eastAsia="x-none"/>
            </w:rPr>
            <w:t>2</w:t>
          </w:r>
        </w:p>
      </w:tc>
    </w:tr>
  </w:tbl>
  <w:p w14:paraId="18F4D04E" w14:textId="73C600F7" w:rsidR="007F7C0C" w:rsidRPr="00342D6F" w:rsidRDefault="007F7C0C" w:rsidP="00342D6F">
    <w:pPr>
      <w:pStyle w:val="Header"/>
      <w:tabs>
        <w:tab w:val="clear" w:pos="4320"/>
        <w:tab w:val="clear" w:pos="8640"/>
        <w:tab w:val="left" w:pos="1755"/>
      </w:tabs>
      <w:rPr>
        <w:sz w:val="16"/>
        <w:szCs w:val="16"/>
      </w:rPr>
    </w:pPr>
    <w:r w:rsidRPr="00342D6F">
      <w:rPr>
        <w:sz w:val="16"/>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7"/>
      <w:gridCol w:w="1872"/>
      <w:gridCol w:w="245"/>
      <w:gridCol w:w="3110"/>
      <w:gridCol w:w="245"/>
      <w:gridCol w:w="3521"/>
    </w:tblGrid>
    <w:tr w:rsidR="007F7C0C" w14:paraId="5A441FA2" w14:textId="77777777" w:rsidTr="003D1A73">
      <w:trPr>
        <w:trHeight w:hRule="exact" w:val="864"/>
      </w:trPr>
      <w:tc>
        <w:tcPr>
          <w:tcW w:w="1267" w:type="dxa"/>
          <w:tcBorders>
            <w:top w:val="nil"/>
            <w:left w:val="nil"/>
            <w:bottom w:val="nil"/>
            <w:right w:val="nil"/>
          </w:tcBorders>
          <w:vAlign w:val="bottom"/>
        </w:tcPr>
        <w:p w14:paraId="0E652B18" w14:textId="77777777" w:rsidR="007F7C0C" w:rsidRPr="00895151" w:rsidRDefault="007F7C0C" w:rsidP="003D1A73">
          <w:pPr>
            <w:pStyle w:val="Header"/>
            <w:spacing w:after="120"/>
            <w:rPr>
              <w:lang w:val="en-US" w:eastAsia="en-US"/>
            </w:rPr>
          </w:pPr>
        </w:p>
      </w:tc>
      <w:tc>
        <w:tcPr>
          <w:tcW w:w="1872" w:type="dxa"/>
          <w:tcBorders>
            <w:top w:val="nil"/>
            <w:left w:val="nil"/>
            <w:bottom w:val="nil"/>
            <w:right w:val="nil"/>
          </w:tcBorders>
          <w:vAlign w:val="bottom"/>
        </w:tcPr>
        <w:p w14:paraId="5A32F589" w14:textId="77777777" w:rsidR="007F7C0C" w:rsidRDefault="007F7C0C" w:rsidP="003D1A73">
          <w:pPr>
            <w:pStyle w:val="HCh"/>
            <w:spacing w:after="80"/>
            <w:rPr>
              <w:b w:val="0"/>
              <w:spacing w:val="2"/>
              <w:w w:val="96"/>
            </w:rPr>
          </w:pPr>
          <w:r>
            <w:rPr>
              <w:b w:val="0"/>
              <w:spacing w:val="2"/>
              <w:w w:val="96"/>
            </w:rPr>
            <w:t>United Nations</w:t>
          </w:r>
        </w:p>
      </w:tc>
      <w:tc>
        <w:tcPr>
          <w:tcW w:w="245" w:type="dxa"/>
          <w:tcBorders>
            <w:top w:val="nil"/>
            <w:left w:val="nil"/>
            <w:bottom w:val="nil"/>
            <w:right w:val="nil"/>
          </w:tcBorders>
          <w:vAlign w:val="bottom"/>
        </w:tcPr>
        <w:p w14:paraId="70025CFC" w14:textId="77777777" w:rsidR="007F7C0C" w:rsidRPr="00895151" w:rsidRDefault="007F7C0C" w:rsidP="003D1A73">
          <w:pPr>
            <w:pStyle w:val="Header"/>
            <w:spacing w:after="120"/>
            <w:rPr>
              <w:lang w:val="en-US" w:eastAsia="en-US"/>
            </w:rPr>
          </w:pPr>
        </w:p>
      </w:tc>
      <w:tc>
        <w:tcPr>
          <w:tcW w:w="6876" w:type="dxa"/>
          <w:gridSpan w:val="3"/>
          <w:tcBorders>
            <w:top w:val="nil"/>
            <w:left w:val="nil"/>
            <w:bottom w:val="nil"/>
            <w:right w:val="nil"/>
          </w:tcBorders>
          <w:vAlign w:val="bottom"/>
        </w:tcPr>
        <w:p w14:paraId="25B6360C" w14:textId="77777777" w:rsidR="007F7C0C" w:rsidRDefault="007F7C0C" w:rsidP="003D1A73">
          <w:pPr>
            <w:spacing w:after="80"/>
            <w:jc w:val="center"/>
            <w:rPr>
              <w:position w:val="-4"/>
            </w:rPr>
          </w:pPr>
          <w:r>
            <w:rPr>
              <w:position w:val="-4"/>
              <w:sz w:val="40"/>
            </w:rPr>
            <w:t xml:space="preserve">                                                  DP</w:t>
          </w:r>
          <w:r>
            <w:rPr>
              <w:position w:val="-4"/>
            </w:rPr>
            <w:t>/DSP/PIC/2</w:t>
          </w:r>
        </w:p>
      </w:tc>
    </w:tr>
    <w:tr w:rsidR="007F7C0C" w14:paraId="31075E02" w14:textId="77777777" w:rsidTr="003D1A73">
      <w:trPr>
        <w:trHeight w:hRule="exact" w:val="2880"/>
      </w:trPr>
      <w:tc>
        <w:tcPr>
          <w:tcW w:w="1267" w:type="dxa"/>
          <w:tcBorders>
            <w:left w:val="nil"/>
            <w:bottom w:val="single" w:sz="12" w:space="0" w:color="auto"/>
            <w:right w:val="nil"/>
          </w:tcBorders>
        </w:tcPr>
        <w:p w14:paraId="027E6950" w14:textId="77777777" w:rsidR="007F7C0C" w:rsidRPr="00895151" w:rsidRDefault="007F7C0C" w:rsidP="003D1A73">
          <w:pPr>
            <w:pStyle w:val="Header"/>
            <w:spacing w:before="109"/>
            <w:rPr>
              <w:lang w:val="en-US" w:eastAsia="en-US"/>
            </w:rPr>
          </w:pPr>
          <w:r w:rsidRPr="00895151">
            <w:rPr>
              <w:lang w:val="en-US" w:eastAsia="en-US"/>
            </w:rPr>
            <w:t xml:space="preserve"> </w:t>
          </w:r>
          <w:r w:rsidRPr="00895151">
            <w:rPr>
              <w:noProof/>
              <w:lang w:val="en-US" w:eastAsia="en-US"/>
            </w:rPr>
            <w:drawing>
              <wp:inline distT="0" distB="0" distL="0" distR="0" wp14:anchorId="1B43B39E" wp14:editId="0F4E669B">
                <wp:extent cx="714375" cy="590550"/>
                <wp:effectExtent l="0" t="0" r="9525" b="0"/>
                <wp:docPr id="10" name="Picture 10" descr="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_u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p w14:paraId="469AE546" w14:textId="77777777" w:rsidR="007F7C0C" w:rsidRPr="00895151" w:rsidRDefault="007F7C0C" w:rsidP="003D1A73">
          <w:pPr>
            <w:pStyle w:val="Header"/>
            <w:spacing w:before="109"/>
            <w:rPr>
              <w:lang w:val="en-US" w:eastAsia="en-US"/>
            </w:rPr>
          </w:pPr>
        </w:p>
      </w:tc>
      <w:tc>
        <w:tcPr>
          <w:tcW w:w="5227" w:type="dxa"/>
          <w:gridSpan w:val="3"/>
          <w:tcBorders>
            <w:left w:val="nil"/>
            <w:bottom w:val="single" w:sz="12" w:space="0" w:color="auto"/>
            <w:right w:val="nil"/>
          </w:tcBorders>
        </w:tcPr>
        <w:p w14:paraId="3F5A85A6" w14:textId="77777777" w:rsidR="007F7C0C" w:rsidRDefault="007F7C0C" w:rsidP="003D1A73">
          <w:pPr>
            <w:pStyle w:val="XLarge"/>
            <w:spacing w:before="109" w:line="330" w:lineRule="exact"/>
            <w:rPr>
              <w:sz w:val="34"/>
            </w:rPr>
          </w:pPr>
          <w:r>
            <w:rPr>
              <w:sz w:val="34"/>
            </w:rPr>
            <w:t>Executive Board of the</w:t>
          </w:r>
          <w:r>
            <w:rPr>
              <w:sz w:val="34"/>
            </w:rPr>
            <w:br/>
            <w:t>United Nations Development</w:t>
          </w:r>
          <w:r>
            <w:rPr>
              <w:sz w:val="34"/>
            </w:rPr>
            <w:br/>
            <w:t>Programme, the United Nations Population Fund and the</w:t>
          </w:r>
          <w:r>
            <w:rPr>
              <w:sz w:val="34"/>
            </w:rPr>
            <w:br/>
            <w:t>United Nations Office for</w:t>
          </w:r>
          <w:r>
            <w:rPr>
              <w:sz w:val="34"/>
            </w:rPr>
            <w:br/>
            <w:t>Project Services</w:t>
          </w:r>
        </w:p>
      </w:tc>
      <w:tc>
        <w:tcPr>
          <w:tcW w:w="245" w:type="dxa"/>
          <w:tcBorders>
            <w:left w:val="nil"/>
            <w:bottom w:val="single" w:sz="12" w:space="0" w:color="auto"/>
            <w:right w:val="nil"/>
          </w:tcBorders>
        </w:tcPr>
        <w:p w14:paraId="0EC60C45" w14:textId="77777777" w:rsidR="007F7C0C" w:rsidRPr="00895151" w:rsidRDefault="007F7C0C" w:rsidP="003D1A73">
          <w:pPr>
            <w:pStyle w:val="Header"/>
            <w:spacing w:before="109"/>
            <w:rPr>
              <w:lang w:val="en-US" w:eastAsia="en-US"/>
            </w:rPr>
          </w:pPr>
        </w:p>
      </w:tc>
      <w:tc>
        <w:tcPr>
          <w:tcW w:w="3521" w:type="dxa"/>
          <w:tcBorders>
            <w:left w:val="nil"/>
            <w:bottom w:val="single" w:sz="12" w:space="0" w:color="auto"/>
            <w:right w:val="nil"/>
          </w:tcBorders>
        </w:tcPr>
        <w:p w14:paraId="5ED17A2C" w14:textId="77777777" w:rsidR="007F7C0C" w:rsidRDefault="007F7C0C" w:rsidP="003D1A73">
          <w:pPr>
            <w:spacing w:before="240"/>
          </w:pPr>
          <w:r>
            <w:t>Distr.: General</w:t>
          </w:r>
        </w:p>
        <w:p w14:paraId="2548D249" w14:textId="0069050D" w:rsidR="007F7C0C" w:rsidRDefault="007F7C0C" w:rsidP="003D1A73">
          <w:r>
            <w:t>13 June 2017</w:t>
          </w:r>
        </w:p>
        <w:p w14:paraId="75B80E5D" w14:textId="77777777" w:rsidR="007F7C0C" w:rsidRDefault="007F7C0C" w:rsidP="003D1A73"/>
        <w:p w14:paraId="310BE971" w14:textId="77777777" w:rsidR="007F7C0C" w:rsidRDefault="007F7C0C" w:rsidP="003D1A73">
          <w:r>
            <w:t>Original: English</w:t>
          </w:r>
        </w:p>
      </w:tc>
    </w:tr>
  </w:tbl>
  <w:p w14:paraId="02AE30EC" w14:textId="77777777" w:rsidR="007F7C0C" w:rsidRPr="00380941" w:rsidRDefault="007F7C0C" w:rsidP="003D1A73">
    <w:pPr>
      <w:pStyle w:val="Header"/>
      <w:rPr>
        <w:sz w:val="8"/>
        <w:szCs w:val="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61612" w14:textId="77777777" w:rsidR="007F7C0C" w:rsidRDefault="007F7C0C">
    <w:pPr>
      <w:pStyle w:val="Header"/>
    </w:pPr>
    <w:r>
      <w:rPr>
        <w:noProof/>
        <w:lang w:val="en-US" w:eastAsia="en-US"/>
      </w:rPr>
      <mc:AlternateContent>
        <mc:Choice Requires="wps">
          <w:drawing>
            <wp:anchor distT="0" distB="0" distL="114300" distR="114300" simplePos="0" relativeHeight="251665920" behindDoc="0" locked="0" layoutInCell="0" allowOverlap="1" wp14:anchorId="2BEBBB3F" wp14:editId="6852A1EB">
              <wp:simplePos x="0" y="0"/>
              <wp:positionH relativeFrom="column">
                <wp:posOffset>-74294</wp:posOffset>
              </wp:positionH>
              <wp:positionV relativeFrom="paragraph">
                <wp:posOffset>-304800</wp:posOffset>
              </wp:positionV>
              <wp:extent cx="8267700" cy="640080"/>
              <wp:effectExtent l="0" t="0" r="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0" cy="640080"/>
                      </a:xfrm>
                      <a:prstGeom prst="rect">
                        <a:avLst/>
                      </a:prstGeom>
                      <a:solidFill>
                        <a:srgbClr val="FFFFFF"/>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8="http://schemas.microsoft.com/office/drawing/2016/5/14/chartex" xmlns:cx7="http://schemas.microsoft.com/office/drawing/2016/5/13/chartex" xmlns:cx6="http://schemas.microsoft.com/office/drawing/2016/5/12/chartex" w="9525">
                            <a:solidFill>
                              <a:srgbClr val="000000"/>
                            </a:solidFill>
                            <a:miter lim="800000"/>
                            <a:headEnd/>
                            <a:tailEnd/>
                          </a14:hiddenLine>
                        </a:ext>
                      </a:extLst>
                    </wps:spPr>
                    <wps:txbx>
                      <w:txbxContent>
                        <w:tbl>
                          <w:tblPr>
                            <w:tblW w:w="14220" w:type="dxa"/>
                            <w:tblInd w:w="90"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9382"/>
                          </w:tblGrid>
                          <w:tr w:rsidR="007F7C0C" w:rsidRPr="005841A3" w14:paraId="78585204" w14:textId="77777777" w:rsidTr="000F015B">
                            <w:trPr>
                              <w:trHeight w:hRule="exact" w:val="864"/>
                            </w:trPr>
                            <w:tc>
                              <w:tcPr>
                                <w:tcW w:w="4838" w:type="dxa"/>
                                <w:tcBorders>
                                  <w:bottom w:val="single" w:sz="4" w:space="0" w:color="auto"/>
                                </w:tcBorders>
                                <w:vAlign w:val="bottom"/>
                              </w:tcPr>
                              <w:p w14:paraId="38C7C1A0" w14:textId="77777777" w:rsidR="007F7C0C" w:rsidRPr="007C6F85" w:rsidRDefault="007F7C0C" w:rsidP="005841A3">
                                <w:pPr>
                                  <w:pStyle w:val="Header"/>
                                  <w:spacing w:after="80"/>
                                  <w:rPr>
                                    <w:rFonts w:ascii="Times New Roman" w:hAnsi="Times New Roman"/>
                                    <w:b/>
                                    <w:sz w:val="17"/>
                                    <w:szCs w:val="17"/>
                                    <w:lang w:val="en-US" w:eastAsia="en-US"/>
                                  </w:rPr>
                                </w:pPr>
                                <w:r>
                                  <w:rPr>
                                    <w:rFonts w:ascii="Times New Roman" w:hAnsi="Times New Roman"/>
                                    <w:b/>
                                    <w:sz w:val="17"/>
                                    <w:szCs w:val="17"/>
                                    <w:lang w:val="en-US" w:eastAsia="en-US"/>
                                  </w:rPr>
                                  <w:t>DP/DSP/PIC/2</w:t>
                                </w:r>
                              </w:p>
                            </w:tc>
                            <w:tc>
                              <w:tcPr>
                                <w:tcW w:w="9382" w:type="dxa"/>
                                <w:tcBorders>
                                  <w:bottom w:val="single" w:sz="4" w:space="0" w:color="auto"/>
                                </w:tcBorders>
                                <w:vAlign w:val="bottom"/>
                              </w:tcPr>
                              <w:p w14:paraId="625BD71D" w14:textId="77777777" w:rsidR="007F7C0C" w:rsidRPr="007C6F85" w:rsidRDefault="007F7C0C">
                                <w:pPr>
                                  <w:pStyle w:val="Header"/>
                                  <w:rPr>
                                    <w:rFonts w:ascii="Times New Roman" w:hAnsi="Times New Roman"/>
                                    <w:sz w:val="17"/>
                                    <w:szCs w:val="17"/>
                                    <w:lang w:val="en-US" w:eastAsia="en-US"/>
                                  </w:rPr>
                                </w:pPr>
                              </w:p>
                            </w:tc>
                          </w:tr>
                        </w:tbl>
                        <w:p w14:paraId="6F4F6587" w14:textId="77777777" w:rsidR="007F7C0C" w:rsidRDefault="007F7C0C"/>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2BEBBB3F" id="_x0000_t202" coordsize="21600,21600" o:spt="202" path="m,l,21600r21600,l21600,xe">
              <v:stroke joinstyle="miter"/>
              <v:path gradientshapeok="t" o:connecttype="rect"/>
            </v:shapetype>
            <v:shape id="Text Box 1" o:spid="_x0000_s1026" type="#_x0000_t202" style="position:absolute;margin-left:-5.85pt;margin-top:-24pt;width:651pt;height:50.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" o:allowincell="f" stroked="f">
              <v:textbox inset="0,0,0,0">
                <w:txbxContent>
                  <w:tbl>
                    <w:tblPr>
                      <w:tblW w:w="14220" w:type="dxa"/>
                      <w:tblInd w:w="90"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9382"/>
                    </w:tblGrid>
                    <w:tr w:rsidR="007F7C0C" w:rsidRPr="005841A3" w14:paraId="78585204" w14:textId="77777777" w:rsidTr="000F015B">
                      <w:trPr>
                        <w:trHeight w:hRule="exact" w:val="864"/>
                      </w:trPr>
                      <w:tc>
                        <w:tcPr>
                          <w:tcW w:w="4838" w:type="dxa"/>
                          <w:tcBorders>
                            <w:bottom w:val="single" w:sz="4" w:space="0" w:color="auto"/>
                          </w:tcBorders>
                          <w:vAlign w:val="bottom"/>
                        </w:tcPr>
                        <w:p w14:paraId="38C7C1A0" w14:textId="77777777" w:rsidR="007F7C0C" w:rsidRPr="007C6F85" w:rsidRDefault="007F7C0C" w:rsidP="005841A3">
                          <w:pPr>
                            <w:pStyle w:val="Header"/>
                            <w:spacing w:after="80"/>
                            <w:rPr>
                              <w:rFonts w:ascii="Times New Roman" w:hAnsi="Times New Roman"/>
                              <w:b/>
                              <w:sz w:val="17"/>
                              <w:szCs w:val="17"/>
                              <w:lang w:val="en-US" w:eastAsia="en-US"/>
                            </w:rPr>
                          </w:pPr>
                          <w:r>
                            <w:rPr>
                              <w:rFonts w:ascii="Times New Roman" w:hAnsi="Times New Roman"/>
                              <w:b/>
                              <w:sz w:val="17"/>
                              <w:szCs w:val="17"/>
                              <w:lang w:val="en-US" w:eastAsia="en-US"/>
                            </w:rPr>
                            <w:t>DP/DSP/PIC/2</w:t>
                          </w:r>
                        </w:p>
                      </w:tc>
                      <w:tc>
                        <w:tcPr>
                          <w:tcW w:w="9382" w:type="dxa"/>
                          <w:tcBorders>
                            <w:bottom w:val="single" w:sz="4" w:space="0" w:color="auto"/>
                          </w:tcBorders>
                          <w:vAlign w:val="bottom"/>
                        </w:tcPr>
                        <w:p w14:paraId="625BD71D" w14:textId="77777777" w:rsidR="007F7C0C" w:rsidRPr="007C6F85" w:rsidRDefault="007F7C0C">
                          <w:pPr>
                            <w:pStyle w:val="Header"/>
                            <w:rPr>
                              <w:rFonts w:ascii="Times New Roman" w:hAnsi="Times New Roman"/>
                              <w:sz w:val="17"/>
                              <w:szCs w:val="17"/>
                              <w:lang w:val="en-US" w:eastAsia="en-US"/>
                            </w:rPr>
                          </w:pPr>
                        </w:p>
                      </w:tc>
                    </w:tr>
                  </w:tbl>
                  <w:p w14:paraId="6F4F6587" w14:textId="77777777" w:rsidR="007F7C0C" w:rsidRDefault="007F7C0C"/>
                </w:txbxContent>
              </v:textbox>
            </v:shape>
          </w:pict>
        </mc:Fallback>
      </mc:AlternateContent>
    </w:r>
    <w:r>
      <w:rPr>
        <w:noProof/>
        <w:lang w:val="en-US" w:eastAsia="en-US"/>
      </w:rPr>
      <mc:AlternateContent>
        <mc:Choice Requires="wps">
          <w:drawing>
            <wp:anchor distT="0" distB="0" distL="114300" distR="114300" simplePos="0" relativeHeight="251664896" behindDoc="0" locked="0" layoutInCell="0" allowOverlap="1" wp14:anchorId="485D2908" wp14:editId="38FBED53">
              <wp:simplePos x="0" y="0"/>
              <wp:positionH relativeFrom="column">
                <wp:posOffset>-73025</wp:posOffset>
              </wp:positionH>
              <wp:positionV relativeFrom="paragraph">
                <wp:posOffset>-302895</wp:posOffset>
              </wp:positionV>
              <wp:extent cx="8464550" cy="640080"/>
              <wp:effectExtent l="3175"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0" cy="640080"/>
                      </a:xfrm>
                      <a:prstGeom prst="rect">
                        <a:avLst/>
                      </a:prstGeom>
                      <a:solidFill>
                        <a:srgbClr val="FFFFFF"/>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cx8="http://schemas.microsoft.com/office/drawing/2016/5/14/chartex" xmlns:cx7="http://schemas.microsoft.com/office/drawing/2016/5/13/chartex" xmlns:cx6="http://schemas.microsoft.com/office/drawing/2016/5/12/chartex" w="9525">
                            <a:solidFill>
                              <a:srgbClr val="000000"/>
                            </a:solidFill>
                            <a:miter lim="800000"/>
                            <a:headEnd/>
                            <a:tailEnd/>
                          </a14:hiddenLine>
                        </a:ext>
                      </a:extLst>
                    </wps:spPr>
                    <wps:txbx>
                      <w:txbxContent>
                        <w:tbl>
                          <w:tblPr>
                            <w:tblW w:w="13114"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76"/>
                          </w:tblGrid>
                          <w:tr w:rsidR="007F7C0C" w:rsidRPr="005841A3" w14:paraId="0E38B4F9" w14:textId="77777777">
                            <w:trPr>
                              <w:trHeight w:hRule="exact" w:val="864"/>
                            </w:trPr>
                            <w:tc>
                              <w:tcPr>
                                <w:tcW w:w="4838" w:type="dxa"/>
                                <w:tcBorders>
                                  <w:bottom w:val="single" w:sz="4" w:space="0" w:color="auto"/>
                                </w:tcBorders>
                                <w:vAlign w:val="bottom"/>
                              </w:tcPr>
                              <w:p w14:paraId="3EF52B1F" w14:textId="77777777" w:rsidR="007F7C0C" w:rsidRPr="007C6F85" w:rsidRDefault="007F7C0C" w:rsidP="005841A3">
                                <w:pPr>
                                  <w:pStyle w:val="Header"/>
                                  <w:spacing w:after="80"/>
                                  <w:rPr>
                                    <w:rFonts w:ascii="Times New Roman" w:hAnsi="Times New Roman"/>
                                    <w:b/>
                                    <w:sz w:val="17"/>
                                    <w:szCs w:val="17"/>
                                    <w:lang w:val="en-US" w:eastAsia="en-US"/>
                                  </w:rPr>
                                </w:pPr>
                                <w:r w:rsidRPr="007C6F85">
                                  <w:rPr>
                                    <w:rFonts w:ascii="Times New Roman" w:hAnsi="Times New Roman"/>
                                    <w:b/>
                                    <w:sz w:val="17"/>
                                    <w:szCs w:val="17"/>
                                    <w:lang w:val="en-US" w:eastAsia="en-US"/>
                                  </w:rPr>
                                  <w:t>DP/DCP/</w:t>
                                </w:r>
                              </w:p>
                            </w:tc>
                            <w:tc>
                              <w:tcPr>
                                <w:tcW w:w="8276" w:type="dxa"/>
                                <w:tcBorders>
                                  <w:bottom w:val="single" w:sz="4" w:space="0" w:color="auto"/>
                                </w:tcBorders>
                                <w:vAlign w:val="bottom"/>
                              </w:tcPr>
                              <w:p w14:paraId="5E8422D2" w14:textId="77777777" w:rsidR="007F7C0C" w:rsidRPr="007C6F85" w:rsidRDefault="007F7C0C">
                                <w:pPr>
                                  <w:pStyle w:val="Header"/>
                                  <w:rPr>
                                    <w:rFonts w:ascii="Times New Roman" w:hAnsi="Times New Roman"/>
                                    <w:sz w:val="17"/>
                                    <w:szCs w:val="17"/>
                                    <w:lang w:val="en-US" w:eastAsia="en-US"/>
                                  </w:rPr>
                                </w:pPr>
                              </w:p>
                            </w:tc>
                          </w:tr>
                        </w:tbl>
                        <w:p w14:paraId="30837067" w14:textId="77777777" w:rsidR="007F7C0C" w:rsidRDefault="007F7C0C"/>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485D2908" id="Text Box 2" o:spid="_x0000_s1027" type="#_x0000_t202" style="position:absolute;margin-left:-5.75pt;margin-top:-23.85pt;width:666.5pt;height:50.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" o:allowincell="f" stroked="f">
              <v:textbox inset="0,0,0,0">
                <w:txbxContent>
                  <w:tbl>
                    <w:tblPr>
                      <w:tblW w:w="13114"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76"/>
                    </w:tblGrid>
                    <w:tr w:rsidR="007F7C0C" w:rsidRPr="005841A3" w14:paraId="0E38B4F9" w14:textId="77777777">
                      <w:trPr>
                        <w:trHeight w:hRule="exact" w:val="864"/>
                      </w:trPr>
                      <w:tc>
                        <w:tcPr>
                          <w:tcW w:w="4838" w:type="dxa"/>
                          <w:tcBorders>
                            <w:bottom w:val="single" w:sz="4" w:space="0" w:color="auto"/>
                          </w:tcBorders>
                          <w:vAlign w:val="bottom"/>
                        </w:tcPr>
                        <w:p w14:paraId="3EF52B1F" w14:textId="77777777" w:rsidR="007F7C0C" w:rsidRPr="007C6F85" w:rsidRDefault="007F7C0C" w:rsidP="005841A3">
                          <w:pPr>
                            <w:pStyle w:val="Header"/>
                            <w:spacing w:after="80"/>
                            <w:rPr>
                              <w:rFonts w:ascii="Times New Roman" w:hAnsi="Times New Roman"/>
                              <w:b/>
                              <w:sz w:val="17"/>
                              <w:szCs w:val="17"/>
                              <w:lang w:val="en-US" w:eastAsia="en-US"/>
                            </w:rPr>
                          </w:pPr>
                          <w:r w:rsidRPr="007C6F85">
                            <w:rPr>
                              <w:rFonts w:ascii="Times New Roman" w:hAnsi="Times New Roman"/>
                              <w:b/>
                              <w:sz w:val="17"/>
                              <w:szCs w:val="17"/>
                              <w:lang w:val="en-US" w:eastAsia="en-US"/>
                            </w:rPr>
                            <w:t>DP/DCP/</w:t>
                          </w:r>
                        </w:p>
                      </w:tc>
                      <w:tc>
                        <w:tcPr>
                          <w:tcW w:w="8276" w:type="dxa"/>
                          <w:tcBorders>
                            <w:bottom w:val="single" w:sz="4" w:space="0" w:color="auto"/>
                          </w:tcBorders>
                          <w:vAlign w:val="bottom"/>
                        </w:tcPr>
                        <w:p w14:paraId="5E8422D2" w14:textId="77777777" w:rsidR="007F7C0C" w:rsidRPr="007C6F85" w:rsidRDefault="007F7C0C">
                          <w:pPr>
                            <w:pStyle w:val="Header"/>
                            <w:rPr>
                              <w:rFonts w:ascii="Times New Roman" w:hAnsi="Times New Roman"/>
                              <w:sz w:val="17"/>
                              <w:szCs w:val="17"/>
                              <w:lang w:val="en-US" w:eastAsia="en-US"/>
                            </w:rPr>
                          </w:pPr>
                        </w:p>
                      </w:tc>
                    </w:tr>
                  </w:tbl>
                  <w:p w14:paraId="30837067" w14:textId="77777777" w:rsidR="007F7C0C" w:rsidRDefault="007F7C0C"/>
                </w:txbxContent>
              </v:textbox>
            </v:shape>
          </w:pict>
        </mc:Fallback>
      </mc:AlternateContent>
    </w:r>
    <w:r>
      <w:rPr>
        <w:noProof/>
        <w:lang w:val="en-US" w:eastAsia="en-US"/>
      </w:rPr>
      <mc:AlternateContent>
        <mc:Choice Requires="wps">
          <w:drawing>
            <wp:anchor distT="0" distB="0" distL="114300" distR="114300" simplePos="0" relativeHeight="251662848" behindDoc="0" locked="0" layoutInCell="0" allowOverlap="1" wp14:anchorId="33CC65B1" wp14:editId="4365F74A">
              <wp:simplePos x="0" y="0"/>
              <wp:positionH relativeFrom="column">
                <wp:posOffset>-73025</wp:posOffset>
              </wp:positionH>
              <wp:positionV relativeFrom="paragraph">
                <wp:posOffset>-302895</wp:posOffset>
              </wp:positionV>
              <wp:extent cx="8464550" cy="640080"/>
              <wp:effectExtent l="3175" t="1905"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0" cy="640080"/>
                      </a:xfrm>
                      <a:prstGeom prst="rect">
                        <a:avLst/>
                      </a:prstGeom>
                      <a:solidFill>
                        <a:srgbClr val="FFFFFF"/>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cx8="http://schemas.microsoft.com/office/drawing/2016/5/14/chartex" xmlns:cx7="http://schemas.microsoft.com/office/drawing/2016/5/13/chartex" xmlns:cx6="http://schemas.microsoft.com/office/drawing/2016/5/12/chartex" w="9525">
                            <a:solidFill>
                              <a:srgbClr val="000000"/>
                            </a:solidFill>
                            <a:miter lim="800000"/>
                            <a:headEnd/>
                            <a:tailEnd/>
                          </a14:hiddenLine>
                        </a:ext>
                      </a:extLst>
                    </wps:spPr>
                    <wps:txbx>
                      <w:txbxContent>
                        <w:tbl>
                          <w:tblPr>
                            <w:tblW w:w="13114"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76"/>
                          </w:tblGrid>
                          <w:tr w:rsidR="007F7C0C" w:rsidRPr="005841A3" w14:paraId="64CC6283" w14:textId="77777777">
                            <w:trPr>
                              <w:trHeight w:hRule="exact" w:val="864"/>
                            </w:trPr>
                            <w:tc>
                              <w:tcPr>
                                <w:tcW w:w="4838" w:type="dxa"/>
                                <w:tcBorders>
                                  <w:bottom w:val="single" w:sz="4" w:space="0" w:color="auto"/>
                                </w:tcBorders>
                                <w:vAlign w:val="bottom"/>
                              </w:tcPr>
                              <w:p w14:paraId="5422582C" w14:textId="77777777" w:rsidR="007F7C0C" w:rsidRPr="007C6F85" w:rsidRDefault="007F7C0C" w:rsidP="005841A3">
                                <w:pPr>
                                  <w:pStyle w:val="Header"/>
                                  <w:spacing w:after="80"/>
                                  <w:rPr>
                                    <w:rFonts w:ascii="Times New Roman" w:hAnsi="Times New Roman"/>
                                    <w:b/>
                                    <w:sz w:val="17"/>
                                    <w:szCs w:val="17"/>
                                    <w:lang w:val="en-US" w:eastAsia="en-US"/>
                                  </w:rPr>
                                </w:pPr>
                                <w:r w:rsidRPr="007C6F85">
                                  <w:rPr>
                                    <w:rFonts w:ascii="Times New Roman" w:hAnsi="Times New Roman"/>
                                    <w:b/>
                                    <w:sz w:val="17"/>
                                    <w:szCs w:val="17"/>
                                    <w:lang w:val="en-US" w:eastAsia="en-US"/>
                                  </w:rPr>
                                  <w:t>DP/DCP/</w:t>
                                </w:r>
                              </w:p>
                            </w:tc>
                            <w:tc>
                              <w:tcPr>
                                <w:tcW w:w="8276" w:type="dxa"/>
                                <w:tcBorders>
                                  <w:bottom w:val="single" w:sz="4" w:space="0" w:color="auto"/>
                                </w:tcBorders>
                                <w:vAlign w:val="bottom"/>
                              </w:tcPr>
                              <w:p w14:paraId="449D622E" w14:textId="77777777" w:rsidR="007F7C0C" w:rsidRPr="007C6F85" w:rsidRDefault="007F7C0C">
                                <w:pPr>
                                  <w:pStyle w:val="Header"/>
                                  <w:rPr>
                                    <w:rFonts w:ascii="Times New Roman" w:hAnsi="Times New Roman"/>
                                    <w:sz w:val="17"/>
                                    <w:szCs w:val="17"/>
                                    <w:lang w:val="en-US" w:eastAsia="en-US"/>
                                  </w:rPr>
                                </w:pPr>
                              </w:p>
                            </w:tc>
                          </w:tr>
                        </w:tbl>
                        <w:p w14:paraId="0FEC39B3" w14:textId="77777777" w:rsidR="007F7C0C" w:rsidRDefault="007F7C0C"/>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33CC65B1" id="Text Box 8" o:spid="_x0000_s1028" type="#_x0000_t202" style="position:absolute;margin-left:-5.75pt;margin-top:-23.85pt;width:666.5pt;height:50.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" o:allowincell="f" stroked="f">
              <v:textbox inset="0,0,0,0">
                <w:txbxContent>
                  <w:tbl>
                    <w:tblPr>
                      <w:tblW w:w="13114"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76"/>
                    </w:tblGrid>
                    <w:tr w:rsidR="007F7C0C" w:rsidRPr="005841A3" w14:paraId="64CC6283" w14:textId="77777777">
                      <w:trPr>
                        <w:trHeight w:hRule="exact" w:val="864"/>
                      </w:trPr>
                      <w:tc>
                        <w:tcPr>
                          <w:tcW w:w="4838" w:type="dxa"/>
                          <w:tcBorders>
                            <w:bottom w:val="single" w:sz="4" w:space="0" w:color="auto"/>
                          </w:tcBorders>
                          <w:vAlign w:val="bottom"/>
                        </w:tcPr>
                        <w:p w14:paraId="5422582C" w14:textId="77777777" w:rsidR="007F7C0C" w:rsidRPr="007C6F85" w:rsidRDefault="007F7C0C" w:rsidP="005841A3">
                          <w:pPr>
                            <w:pStyle w:val="Header"/>
                            <w:spacing w:after="80"/>
                            <w:rPr>
                              <w:rFonts w:ascii="Times New Roman" w:hAnsi="Times New Roman"/>
                              <w:b/>
                              <w:sz w:val="17"/>
                              <w:szCs w:val="17"/>
                              <w:lang w:val="en-US" w:eastAsia="en-US"/>
                            </w:rPr>
                          </w:pPr>
                          <w:r w:rsidRPr="007C6F85">
                            <w:rPr>
                              <w:rFonts w:ascii="Times New Roman" w:hAnsi="Times New Roman"/>
                              <w:b/>
                              <w:sz w:val="17"/>
                              <w:szCs w:val="17"/>
                              <w:lang w:val="en-US" w:eastAsia="en-US"/>
                            </w:rPr>
                            <w:t>DP/DCP/</w:t>
                          </w:r>
                        </w:p>
                      </w:tc>
                      <w:tc>
                        <w:tcPr>
                          <w:tcW w:w="8276" w:type="dxa"/>
                          <w:tcBorders>
                            <w:bottom w:val="single" w:sz="4" w:space="0" w:color="auto"/>
                          </w:tcBorders>
                          <w:vAlign w:val="bottom"/>
                        </w:tcPr>
                        <w:p w14:paraId="449D622E" w14:textId="77777777" w:rsidR="007F7C0C" w:rsidRPr="007C6F85" w:rsidRDefault="007F7C0C">
                          <w:pPr>
                            <w:pStyle w:val="Header"/>
                            <w:rPr>
                              <w:rFonts w:ascii="Times New Roman" w:hAnsi="Times New Roman"/>
                              <w:sz w:val="17"/>
                              <w:szCs w:val="17"/>
                              <w:lang w:val="en-US" w:eastAsia="en-US"/>
                            </w:rPr>
                          </w:pPr>
                        </w:p>
                      </w:tc>
                    </w:tr>
                  </w:tbl>
                  <w:p w14:paraId="0FEC39B3" w14:textId="77777777" w:rsidR="007F7C0C" w:rsidRDefault="007F7C0C"/>
                </w:txbxContent>
              </v:textbox>
            </v:shape>
          </w:pict>
        </mc:Fallback>
      </mc:AlternateContent>
    </w:r>
    <w:r>
      <w:rPr>
        <w:noProof/>
        <w:lang w:val="en-US" w:eastAsia="en-US"/>
      </w:rPr>
      <mc:AlternateContent>
        <mc:Choice Requires="wps">
          <w:drawing>
            <wp:anchor distT="0" distB="0" distL="114300" distR="114300" simplePos="0" relativeHeight="251661824" behindDoc="0" locked="0" layoutInCell="0" allowOverlap="1" wp14:anchorId="39CCB05E" wp14:editId="7C96E1DB">
              <wp:simplePos x="0" y="0"/>
              <wp:positionH relativeFrom="column">
                <wp:posOffset>-73025</wp:posOffset>
              </wp:positionH>
              <wp:positionV relativeFrom="paragraph">
                <wp:posOffset>-302895</wp:posOffset>
              </wp:positionV>
              <wp:extent cx="8464550" cy="640080"/>
              <wp:effectExtent l="3175" t="1905"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0" cy="640080"/>
                      </a:xfrm>
                      <a:prstGeom prst="rect">
                        <a:avLst/>
                      </a:prstGeom>
                      <a:solidFill>
                        <a:srgbClr val="FFFFFF"/>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8="http://schemas.microsoft.com/office/drawing/2016/5/14/chartex" xmlns:cx7="http://schemas.microsoft.com/office/drawing/2016/5/13/chartex" xmlns:cx6="http://schemas.microsoft.com/office/drawing/2016/5/12/chartex" w="9525">
                            <a:solidFill>
                              <a:srgbClr val="000000"/>
                            </a:solidFill>
                            <a:miter lim="800000"/>
                            <a:headEnd/>
                            <a:tailEnd/>
                          </a14:hiddenLine>
                        </a:ext>
                      </a:extLst>
                    </wps:spPr>
                    <wps:txbx>
                      <w:txbxContent>
                        <w:tbl>
                          <w:tblPr>
                            <w:tblW w:w="13114"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76"/>
                          </w:tblGrid>
                          <w:tr w:rsidR="007F7C0C" w:rsidRPr="005841A3" w14:paraId="598B1DF7" w14:textId="77777777">
                            <w:trPr>
                              <w:trHeight w:hRule="exact" w:val="864"/>
                            </w:trPr>
                            <w:tc>
                              <w:tcPr>
                                <w:tcW w:w="4838" w:type="dxa"/>
                                <w:tcBorders>
                                  <w:bottom w:val="single" w:sz="4" w:space="0" w:color="auto"/>
                                </w:tcBorders>
                                <w:vAlign w:val="bottom"/>
                              </w:tcPr>
                              <w:p w14:paraId="4235C952" w14:textId="77777777" w:rsidR="007F7C0C" w:rsidRPr="007C6F85" w:rsidRDefault="007F7C0C" w:rsidP="005841A3">
                                <w:pPr>
                                  <w:pStyle w:val="Header"/>
                                  <w:spacing w:after="80"/>
                                  <w:rPr>
                                    <w:rFonts w:ascii="Times New Roman" w:hAnsi="Times New Roman"/>
                                    <w:b/>
                                    <w:sz w:val="17"/>
                                    <w:szCs w:val="17"/>
                                    <w:lang w:val="en-US" w:eastAsia="en-US"/>
                                  </w:rPr>
                                </w:pPr>
                                <w:r w:rsidRPr="007C6F85">
                                  <w:rPr>
                                    <w:rFonts w:ascii="Times New Roman" w:hAnsi="Times New Roman"/>
                                    <w:b/>
                                    <w:sz w:val="17"/>
                                    <w:szCs w:val="17"/>
                                    <w:lang w:val="en-US" w:eastAsia="en-US"/>
                                  </w:rPr>
                                  <w:t>DP/DCP/</w:t>
                                </w:r>
                              </w:p>
                            </w:tc>
                            <w:tc>
                              <w:tcPr>
                                <w:tcW w:w="8276" w:type="dxa"/>
                                <w:tcBorders>
                                  <w:bottom w:val="single" w:sz="4" w:space="0" w:color="auto"/>
                                </w:tcBorders>
                                <w:vAlign w:val="bottom"/>
                              </w:tcPr>
                              <w:p w14:paraId="247938F7" w14:textId="77777777" w:rsidR="007F7C0C" w:rsidRPr="007C6F85" w:rsidRDefault="007F7C0C">
                                <w:pPr>
                                  <w:pStyle w:val="Header"/>
                                  <w:rPr>
                                    <w:rFonts w:ascii="Times New Roman" w:hAnsi="Times New Roman"/>
                                    <w:sz w:val="17"/>
                                    <w:szCs w:val="17"/>
                                    <w:lang w:val="en-US" w:eastAsia="en-US"/>
                                  </w:rPr>
                                </w:pPr>
                              </w:p>
                            </w:tc>
                          </w:tr>
                        </w:tbl>
                        <w:p w14:paraId="49097C73" w14:textId="77777777" w:rsidR="007F7C0C" w:rsidRDefault="007F7C0C"/>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39CCB05E" id="Text Box 9" o:spid="_x0000_s1029" type="#_x0000_t202" style="position:absolute;margin-left:-5.75pt;margin-top:-23.85pt;width:666.5pt;height:50.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" o:allowincell="f" stroked="f">
              <v:textbox inset="0,0,0,0">
                <w:txbxContent>
                  <w:tbl>
                    <w:tblPr>
                      <w:tblW w:w="13114"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76"/>
                    </w:tblGrid>
                    <w:tr w:rsidR="007F7C0C" w:rsidRPr="005841A3" w14:paraId="598B1DF7" w14:textId="77777777">
                      <w:trPr>
                        <w:trHeight w:hRule="exact" w:val="864"/>
                      </w:trPr>
                      <w:tc>
                        <w:tcPr>
                          <w:tcW w:w="4838" w:type="dxa"/>
                          <w:tcBorders>
                            <w:bottom w:val="single" w:sz="4" w:space="0" w:color="auto"/>
                          </w:tcBorders>
                          <w:vAlign w:val="bottom"/>
                        </w:tcPr>
                        <w:p w14:paraId="4235C952" w14:textId="77777777" w:rsidR="007F7C0C" w:rsidRPr="007C6F85" w:rsidRDefault="007F7C0C" w:rsidP="005841A3">
                          <w:pPr>
                            <w:pStyle w:val="Header"/>
                            <w:spacing w:after="80"/>
                            <w:rPr>
                              <w:rFonts w:ascii="Times New Roman" w:hAnsi="Times New Roman"/>
                              <w:b/>
                              <w:sz w:val="17"/>
                              <w:szCs w:val="17"/>
                              <w:lang w:val="en-US" w:eastAsia="en-US"/>
                            </w:rPr>
                          </w:pPr>
                          <w:r w:rsidRPr="007C6F85">
                            <w:rPr>
                              <w:rFonts w:ascii="Times New Roman" w:hAnsi="Times New Roman"/>
                              <w:b/>
                              <w:sz w:val="17"/>
                              <w:szCs w:val="17"/>
                              <w:lang w:val="en-US" w:eastAsia="en-US"/>
                            </w:rPr>
                            <w:t>DP/DCP/</w:t>
                          </w:r>
                        </w:p>
                      </w:tc>
                      <w:tc>
                        <w:tcPr>
                          <w:tcW w:w="8276" w:type="dxa"/>
                          <w:tcBorders>
                            <w:bottom w:val="single" w:sz="4" w:space="0" w:color="auto"/>
                          </w:tcBorders>
                          <w:vAlign w:val="bottom"/>
                        </w:tcPr>
                        <w:p w14:paraId="247938F7" w14:textId="77777777" w:rsidR="007F7C0C" w:rsidRPr="007C6F85" w:rsidRDefault="007F7C0C">
                          <w:pPr>
                            <w:pStyle w:val="Header"/>
                            <w:rPr>
                              <w:rFonts w:ascii="Times New Roman" w:hAnsi="Times New Roman"/>
                              <w:sz w:val="17"/>
                              <w:szCs w:val="17"/>
                              <w:lang w:val="en-US" w:eastAsia="en-US"/>
                            </w:rPr>
                          </w:pPr>
                        </w:p>
                      </w:tc>
                    </w:tr>
                  </w:tbl>
                  <w:p w14:paraId="49097C73" w14:textId="77777777" w:rsidR="007F7C0C" w:rsidRDefault="007F7C0C"/>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870" w:type="dxa"/>
      <w:tblBorders>
        <w:bottom w:val="single" w:sz="4" w:space="0" w:color="auto"/>
      </w:tblBorders>
      <w:tblLayout w:type="fixed"/>
      <w:tblCellMar>
        <w:left w:w="0" w:type="dxa"/>
        <w:right w:w="0" w:type="dxa"/>
      </w:tblCellMar>
      <w:tblLook w:val="0000" w:firstRow="0" w:lastRow="0" w:firstColumn="0" w:lastColumn="0" w:noHBand="0" w:noVBand="0"/>
    </w:tblPr>
    <w:tblGrid>
      <w:gridCol w:w="2107"/>
      <w:gridCol w:w="10763"/>
    </w:tblGrid>
    <w:tr w:rsidR="007F7C0C" w:rsidRPr="008F3488" w14:paraId="6F4AD7DC" w14:textId="77777777" w:rsidTr="00342D6F">
      <w:trPr>
        <w:trHeight w:hRule="exact" w:val="447"/>
      </w:trPr>
      <w:tc>
        <w:tcPr>
          <w:tcW w:w="2107" w:type="dxa"/>
          <w:tcBorders>
            <w:bottom w:val="single" w:sz="4" w:space="0" w:color="auto"/>
          </w:tcBorders>
          <w:vAlign w:val="bottom"/>
        </w:tcPr>
        <w:p w14:paraId="59AE1115" w14:textId="77777777" w:rsidR="007F7C0C" w:rsidRPr="008F3488" w:rsidRDefault="007F7C0C" w:rsidP="000947BC">
          <w:pPr>
            <w:widowControl w:val="0"/>
            <w:tabs>
              <w:tab w:val="center" w:pos="4320"/>
              <w:tab w:val="right" w:pos="8640"/>
            </w:tabs>
            <w:spacing w:after="80"/>
            <w:ind w:left="397" w:hanging="397"/>
            <w:rPr>
              <w:b/>
              <w:sz w:val="17"/>
              <w:szCs w:val="17"/>
              <w:lang w:val="x-none" w:eastAsia="x-none"/>
            </w:rPr>
          </w:pPr>
        </w:p>
      </w:tc>
      <w:tc>
        <w:tcPr>
          <w:tcW w:w="10763" w:type="dxa"/>
          <w:tcBorders>
            <w:bottom w:val="single" w:sz="4" w:space="0" w:color="auto"/>
          </w:tcBorders>
          <w:vAlign w:val="bottom"/>
        </w:tcPr>
        <w:p w14:paraId="05D24918" w14:textId="77777777" w:rsidR="007F7C0C" w:rsidRPr="008F3488" w:rsidRDefault="007F7C0C" w:rsidP="008F3488">
          <w:pPr>
            <w:widowControl w:val="0"/>
            <w:tabs>
              <w:tab w:val="center" w:pos="4320"/>
              <w:tab w:val="right" w:pos="8640"/>
            </w:tabs>
            <w:jc w:val="right"/>
            <w:rPr>
              <w:sz w:val="17"/>
              <w:szCs w:val="17"/>
              <w:lang w:eastAsia="x-none"/>
            </w:rPr>
          </w:pPr>
          <w:r w:rsidRPr="008F3488">
            <w:rPr>
              <w:b/>
              <w:sz w:val="17"/>
              <w:szCs w:val="17"/>
              <w:lang w:val="x-none" w:eastAsia="x-none"/>
            </w:rPr>
            <w:t>DP/D</w:t>
          </w:r>
          <w:r w:rsidRPr="008F3488">
            <w:rPr>
              <w:b/>
              <w:sz w:val="17"/>
              <w:szCs w:val="17"/>
              <w:lang w:eastAsia="x-none"/>
            </w:rPr>
            <w:t>S</w:t>
          </w:r>
          <w:r w:rsidRPr="008F3488">
            <w:rPr>
              <w:b/>
              <w:sz w:val="17"/>
              <w:szCs w:val="17"/>
              <w:lang w:val="x-none" w:eastAsia="x-none"/>
            </w:rPr>
            <w:t>P/</w:t>
          </w:r>
          <w:r w:rsidRPr="008F3488">
            <w:rPr>
              <w:b/>
              <w:sz w:val="17"/>
              <w:szCs w:val="17"/>
              <w:lang w:eastAsia="x-none"/>
            </w:rPr>
            <w:t>PIC</w:t>
          </w:r>
          <w:r w:rsidRPr="008F3488">
            <w:rPr>
              <w:b/>
              <w:sz w:val="17"/>
              <w:szCs w:val="17"/>
              <w:lang w:val="x-none" w:eastAsia="x-none"/>
            </w:rPr>
            <w:t>/</w:t>
          </w:r>
          <w:r>
            <w:rPr>
              <w:b/>
              <w:sz w:val="17"/>
              <w:szCs w:val="17"/>
              <w:lang w:eastAsia="x-none"/>
            </w:rPr>
            <w:t>2</w:t>
          </w:r>
        </w:p>
      </w:tc>
    </w:tr>
  </w:tbl>
  <w:p w14:paraId="25481154" w14:textId="77777777" w:rsidR="007F7C0C" w:rsidRDefault="007F7C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9FA96AC"/>
    <w:lvl w:ilvl="0">
      <w:start w:val="1"/>
      <w:numFmt w:val="bullet"/>
      <w:pStyle w:val="ListBullet"/>
      <w:lvlText w:val=""/>
      <w:lvlJc w:val="left"/>
      <w:pPr>
        <w:tabs>
          <w:tab w:val="num" w:pos="1170"/>
        </w:tabs>
        <w:ind w:left="1170" w:hanging="360"/>
      </w:pPr>
      <w:rPr>
        <w:rFonts w:ascii="Symbol" w:hAnsi="Symbol" w:hint="default"/>
      </w:rPr>
    </w:lvl>
  </w:abstractNum>
  <w:abstractNum w:abstractNumId="1" w15:restartNumberingAfterBreak="0">
    <w:nsid w:val="00073B1A"/>
    <w:multiLevelType w:val="hybridMultilevel"/>
    <w:tmpl w:val="DC0085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00D1AEC"/>
    <w:multiLevelType w:val="hybridMultilevel"/>
    <w:tmpl w:val="58FC1F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0392BB8"/>
    <w:multiLevelType w:val="hybridMultilevel"/>
    <w:tmpl w:val="2C14749C"/>
    <w:lvl w:ilvl="0" w:tplc="0409000F">
      <w:start w:val="1"/>
      <w:numFmt w:val="decimal"/>
      <w:lvlText w:val="%1."/>
      <w:lvlJc w:val="left"/>
      <w:pPr>
        <w:ind w:left="1353" w:hanging="360"/>
      </w:pPr>
    </w:lvl>
    <w:lvl w:ilvl="1" w:tplc="04090019">
      <w:start w:val="1"/>
      <w:numFmt w:val="lowerLetter"/>
      <w:lvlText w:val="%2."/>
      <w:lvlJc w:val="left"/>
      <w:pPr>
        <w:ind w:left="3067" w:hanging="360"/>
      </w:p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abstractNum w:abstractNumId="4" w15:restartNumberingAfterBreak="0">
    <w:nsid w:val="00FF69C5"/>
    <w:multiLevelType w:val="hybridMultilevel"/>
    <w:tmpl w:val="CE9CB68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070613F0"/>
    <w:multiLevelType w:val="hybridMultilevel"/>
    <w:tmpl w:val="2C14749C"/>
    <w:lvl w:ilvl="0" w:tplc="0409000F">
      <w:start w:val="1"/>
      <w:numFmt w:val="decimal"/>
      <w:lvlText w:val="%1."/>
      <w:lvlJc w:val="left"/>
      <w:pPr>
        <w:ind w:left="1710" w:hanging="360"/>
      </w:pPr>
    </w:lvl>
    <w:lvl w:ilvl="1" w:tplc="04090019">
      <w:start w:val="1"/>
      <w:numFmt w:val="lowerLetter"/>
      <w:lvlText w:val="%2."/>
      <w:lvlJc w:val="left"/>
      <w:pPr>
        <w:ind w:left="3337" w:hanging="360"/>
      </w:pPr>
    </w:lvl>
    <w:lvl w:ilvl="2" w:tplc="0409001B" w:tentative="1">
      <w:start w:val="1"/>
      <w:numFmt w:val="lowerRoman"/>
      <w:lvlText w:val="%3."/>
      <w:lvlJc w:val="right"/>
      <w:pPr>
        <w:ind w:left="4057" w:hanging="180"/>
      </w:pPr>
    </w:lvl>
    <w:lvl w:ilvl="3" w:tplc="0409000F" w:tentative="1">
      <w:start w:val="1"/>
      <w:numFmt w:val="decimal"/>
      <w:lvlText w:val="%4."/>
      <w:lvlJc w:val="left"/>
      <w:pPr>
        <w:ind w:left="4777" w:hanging="360"/>
      </w:pPr>
    </w:lvl>
    <w:lvl w:ilvl="4" w:tplc="04090019" w:tentative="1">
      <w:start w:val="1"/>
      <w:numFmt w:val="lowerLetter"/>
      <w:lvlText w:val="%5."/>
      <w:lvlJc w:val="left"/>
      <w:pPr>
        <w:ind w:left="5497" w:hanging="360"/>
      </w:pPr>
    </w:lvl>
    <w:lvl w:ilvl="5" w:tplc="0409001B" w:tentative="1">
      <w:start w:val="1"/>
      <w:numFmt w:val="lowerRoman"/>
      <w:lvlText w:val="%6."/>
      <w:lvlJc w:val="right"/>
      <w:pPr>
        <w:ind w:left="6217" w:hanging="180"/>
      </w:pPr>
    </w:lvl>
    <w:lvl w:ilvl="6" w:tplc="0409000F" w:tentative="1">
      <w:start w:val="1"/>
      <w:numFmt w:val="decimal"/>
      <w:lvlText w:val="%7."/>
      <w:lvlJc w:val="left"/>
      <w:pPr>
        <w:ind w:left="6937" w:hanging="360"/>
      </w:pPr>
    </w:lvl>
    <w:lvl w:ilvl="7" w:tplc="04090019" w:tentative="1">
      <w:start w:val="1"/>
      <w:numFmt w:val="lowerLetter"/>
      <w:lvlText w:val="%8."/>
      <w:lvlJc w:val="left"/>
      <w:pPr>
        <w:ind w:left="7657" w:hanging="360"/>
      </w:pPr>
    </w:lvl>
    <w:lvl w:ilvl="8" w:tplc="0409001B" w:tentative="1">
      <w:start w:val="1"/>
      <w:numFmt w:val="lowerRoman"/>
      <w:lvlText w:val="%9."/>
      <w:lvlJc w:val="right"/>
      <w:pPr>
        <w:ind w:left="8377" w:hanging="180"/>
      </w:pPr>
    </w:lvl>
  </w:abstractNum>
  <w:abstractNum w:abstractNumId="6" w15:restartNumberingAfterBreak="0">
    <w:nsid w:val="0C804BED"/>
    <w:multiLevelType w:val="hybridMultilevel"/>
    <w:tmpl w:val="2D487A98"/>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0954B04"/>
    <w:multiLevelType w:val="hybridMultilevel"/>
    <w:tmpl w:val="7A3012C0"/>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E7B8C"/>
    <w:multiLevelType w:val="hybridMultilevel"/>
    <w:tmpl w:val="DCCE7DF2"/>
    <w:lvl w:ilvl="0" w:tplc="5DBC596C">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057AFD"/>
    <w:multiLevelType w:val="hybridMultilevel"/>
    <w:tmpl w:val="19F07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F706B6"/>
    <w:multiLevelType w:val="hybridMultilevel"/>
    <w:tmpl w:val="2C14749C"/>
    <w:lvl w:ilvl="0" w:tplc="0409000F">
      <w:start w:val="1"/>
      <w:numFmt w:val="decimal"/>
      <w:lvlText w:val="%1."/>
      <w:lvlJc w:val="left"/>
      <w:pPr>
        <w:ind w:left="2073" w:hanging="360"/>
      </w:pPr>
    </w:lvl>
    <w:lvl w:ilvl="1" w:tplc="04090019">
      <w:start w:val="1"/>
      <w:numFmt w:val="lowerLetter"/>
      <w:lvlText w:val="%2."/>
      <w:lvlJc w:val="left"/>
      <w:pPr>
        <w:ind w:left="3787" w:hanging="360"/>
      </w:pPr>
    </w:lvl>
    <w:lvl w:ilvl="2" w:tplc="0409001B" w:tentative="1">
      <w:start w:val="1"/>
      <w:numFmt w:val="lowerRoman"/>
      <w:lvlText w:val="%3."/>
      <w:lvlJc w:val="right"/>
      <w:pPr>
        <w:ind w:left="4507" w:hanging="180"/>
      </w:pPr>
    </w:lvl>
    <w:lvl w:ilvl="3" w:tplc="0409000F" w:tentative="1">
      <w:start w:val="1"/>
      <w:numFmt w:val="decimal"/>
      <w:lvlText w:val="%4."/>
      <w:lvlJc w:val="left"/>
      <w:pPr>
        <w:ind w:left="5227" w:hanging="360"/>
      </w:pPr>
    </w:lvl>
    <w:lvl w:ilvl="4" w:tplc="04090019" w:tentative="1">
      <w:start w:val="1"/>
      <w:numFmt w:val="lowerLetter"/>
      <w:lvlText w:val="%5."/>
      <w:lvlJc w:val="left"/>
      <w:pPr>
        <w:ind w:left="5947" w:hanging="360"/>
      </w:pPr>
    </w:lvl>
    <w:lvl w:ilvl="5" w:tplc="0409001B" w:tentative="1">
      <w:start w:val="1"/>
      <w:numFmt w:val="lowerRoman"/>
      <w:lvlText w:val="%6."/>
      <w:lvlJc w:val="right"/>
      <w:pPr>
        <w:ind w:left="6667" w:hanging="180"/>
      </w:pPr>
    </w:lvl>
    <w:lvl w:ilvl="6" w:tplc="0409000F" w:tentative="1">
      <w:start w:val="1"/>
      <w:numFmt w:val="decimal"/>
      <w:lvlText w:val="%7."/>
      <w:lvlJc w:val="left"/>
      <w:pPr>
        <w:ind w:left="7387" w:hanging="360"/>
      </w:pPr>
    </w:lvl>
    <w:lvl w:ilvl="7" w:tplc="04090019" w:tentative="1">
      <w:start w:val="1"/>
      <w:numFmt w:val="lowerLetter"/>
      <w:lvlText w:val="%8."/>
      <w:lvlJc w:val="left"/>
      <w:pPr>
        <w:ind w:left="8107" w:hanging="360"/>
      </w:pPr>
    </w:lvl>
    <w:lvl w:ilvl="8" w:tplc="0409001B" w:tentative="1">
      <w:start w:val="1"/>
      <w:numFmt w:val="lowerRoman"/>
      <w:lvlText w:val="%9."/>
      <w:lvlJc w:val="right"/>
      <w:pPr>
        <w:ind w:left="8827" w:hanging="180"/>
      </w:pPr>
    </w:lvl>
  </w:abstractNum>
  <w:abstractNum w:abstractNumId="11" w15:restartNumberingAfterBreak="0">
    <w:nsid w:val="1F302C1F"/>
    <w:multiLevelType w:val="hybridMultilevel"/>
    <w:tmpl w:val="D45C5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D401B3"/>
    <w:multiLevelType w:val="hybridMultilevel"/>
    <w:tmpl w:val="981E4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A20DA9"/>
    <w:multiLevelType w:val="multilevel"/>
    <w:tmpl w:val="9B8257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4" w15:restartNumberingAfterBreak="0">
    <w:nsid w:val="3CEC6FD0"/>
    <w:multiLevelType w:val="multilevel"/>
    <w:tmpl w:val="822C67DC"/>
    <w:lvl w:ilvl="0">
      <w:start w:val="1"/>
      <w:numFmt w:val="bullet"/>
      <w:lvlText w:val=""/>
      <w:lvlJc w:val="left"/>
      <w:pPr>
        <w:tabs>
          <w:tab w:val="num" w:pos="570"/>
        </w:tabs>
        <w:ind w:left="570" w:hanging="570"/>
      </w:pPr>
      <w:rPr>
        <w:rFonts w:ascii="Symbol" w:hAnsi="Symbol" w:hint="default"/>
        <w:sz w:val="20"/>
      </w:rPr>
    </w:lvl>
    <w:lvl w:ilvl="1">
      <w:start w:val="1"/>
      <w:numFmt w:val="bullet"/>
      <w:lvlText w:val=""/>
      <w:lvlJc w:val="left"/>
      <w:pPr>
        <w:tabs>
          <w:tab w:val="num" w:pos="570"/>
        </w:tabs>
        <w:ind w:left="570" w:hanging="570"/>
      </w:pPr>
      <w:rPr>
        <w:rFonts w:ascii="Symbol" w:hAnsi="Symbol" w:hint="default"/>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15" w15:restartNumberingAfterBreak="0">
    <w:nsid w:val="3FD63C2F"/>
    <w:multiLevelType w:val="hybridMultilevel"/>
    <w:tmpl w:val="582C0C0A"/>
    <w:lvl w:ilvl="0" w:tplc="A3766BCE">
      <w:start w:val="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2B42FC5"/>
    <w:multiLevelType w:val="hybridMultilevel"/>
    <w:tmpl w:val="87207EF8"/>
    <w:lvl w:ilvl="0" w:tplc="6658B216">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CD7A38"/>
    <w:multiLevelType w:val="hybridMultilevel"/>
    <w:tmpl w:val="93DA7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6375E0F"/>
    <w:multiLevelType w:val="multilevel"/>
    <w:tmpl w:val="8620EF4A"/>
    <w:name w:val="TOC3"/>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563745FD"/>
    <w:multiLevelType w:val="hybridMultilevel"/>
    <w:tmpl w:val="3DE26EA2"/>
    <w:lvl w:ilvl="0" w:tplc="04090001">
      <w:start w:val="1"/>
      <w:numFmt w:val="bullet"/>
      <w:lvlText w:val=""/>
      <w:lvlJc w:val="left"/>
      <w:pPr>
        <w:ind w:left="360" w:hanging="360"/>
      </w:pPr>
      <w:rPr>
        <w:rFonts w:ascii="Symbol" w:hAnsi="Symbol" w:hint="default"/>
      </w:rPr>
    </w:lvl>
    <w:lvl w:ilvl="1" w:tplc="C5562588">
      <w:numFmt w:val="bullet"/>
      <w:lvlText w:val="•"/>
      <w:lvlJc w:val="left"/>
      <w:pPr>
        <w:ind w:left="1440" w:hanging="72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8D10498"/>
    <w:multiLevelType w:val="hybridMultilevel"/>
    <w:tmpl w:val="DDEC4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C51269"/>
    <w:multiLevelType w:val="hybridMultilevel"/>
    <w:tmpl w:val="0264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D73FD3"/>
    <w:multiLevelType w:val="hybridMultilevel"/>
    <w:tmpl w:val="894A85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EC3BBD"/>
    <w:multiLevelType w:val="hybridMultilevel"/>
    <w:tmpl w:val="E1F4D30A"/>
    <w:lvl w:ilvl="0" w:tplc="D4742014">
      <w:start w:val="32"/>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3403FE1"/>
    <w:multiLevelType w:val="hybridMultilevel"/>
    <w:tmpl w:val="1642493C"/>
    <w:lvl w:ilvl="0" w:tplc="0F883C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42037A"/>
    <w:multiLevelType w:val="hybridMultilevel"/>
    <w:tmpl w:val="93FCA01E"/>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22"/>
  </w:num>
  <w:num w:numId="4">
    <w:abstractNumId w:val="20"/>
  </w:num>
  <w:num w:numId="5">
    <w:abstractNumId w:val="10"/>
  </w:num>
  <w:num w:numId="6">
    <w:abstractNumId w:val="13"/>
  </w:num>
  <w:num w:numId="7">
    <w:abstractNumId w:val="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7"/>
  </w:num>
  <w:num w:numId="13">
    <w:abstractNumId w:val="4"/>
  </w:num>
  <w:num w:numId="14">
    <w:abstractNumId w:val="2"/>
  </w:num>
  <w:num w:numId="15">
    <w:abstractNumId w:val="21"/>
  </w:num>
  <w:num w:numId="16">
    <w:abstractNumId w:val="12"/>
  </w:num>
  <w:num w:numId="17">
    <w:abstractNumId w:val="6"/>
  </w:num>
  <w:num w:numId="18">
    <w:abstractNumId w:val="8"/>
  </w:num>
  <w:num w:numId="19">
    <w:abstractNumId w:val="15"/>
  </w:num>
  <w:num w:numId="20">
    <w:abstractNumId w:val="25"/>
    <w:lvlOverride w:ilvl="0">
      <w:startOverride w:val="1"/>
    </w:lvlOverride>
    <w:lvlOverride w:ilvl="1"/>
    <w:lvlOverride w:ilvl="2"/>
    <w:lvlOverride w:ilvl="3"/>
    <w:lvlOverride w:ilvl="4"/>
    <w:lvlOverride w:ilvl="5"/>
    <w:lvlOverride w:ilvl="6"/>
    <w:lvlOverride w:ilvl="7"/>
    <w:lvlOverride w:ilvl="8"/>
  </w:num>
  <w:num w:numId="21">
    <w:abstractNumId w:val="9"/>
  </w:num>
  <w:num w:numId="22">
    <w:abstractNumId w:val="24"/>
  </w:num>
  <w:num w:numId="23">
    <w:abstractNumId w:val="7"/>
  </w:num>
  <w:num w:numId="24">
    <w:abstractNumId w:val="16"/>
  </w:num>
  <w:num w:numId="25">
    <w:abstractNumId w:val="1"/>
  </w:num>
  <w:num w:numId="26">
    <w:abstractNumId w:val="3"/>
  </w:num>
  <w:num w:numId="27">
    <w:abstractNumId w:val="23"/>
  </w:num>
  <w:num w:numId="28">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53B"/>
    <w:rsid w:val="000008BA"/>
    <w:rsid w:val="000010B5"/>
    <w:rsid w:val="00001CC8"/>
    <w:rsid w:val="000027D2"/>
    <w:rsid w:val="00004A4B"/>
    <w:rsid w:val="00004B1F"/>
    <w:rsid w:val="00005E26"/>
    <w:rsid w:val="0000624C"/>
    <w:rsid w:val="00006764"/>
    <w:rsid w:val="000102E1"/>
    <w:rsid w:val="00010920"/>
    <w:rsid w:val="000146A6"/>
    <w:rsid w:val="000156C9"/>
    <w:rsid w:val="00015FDE"/>
    <w:rsid w:val="0001603C"/>
    <w:rsid w:val="00016217"/>
    <w:rsid w:val="00016861"/>
    <w:rsid w:val="00017D16"/>
    <w:rsid w:val="000200CF"/>
    <w:rsid w:val="000205F1"/>
    <w:rsid w:val="000210DF"/>
    <w:rsid w:val="00022047"/>
    <w:rsid w:val="00023771"/>
    <w:rsid w:val="00025357"/>
    <w:rsid w:val="0002562C"/>
    <w:rsid w:val="00025909"/>
    <w:rsid w:val="00025CBF"/>
    <w:rsid w:val="00026D9D"/>
    <w:rsid w:val="000274B9"/>
    <w:rsid w:val="0002758B"/>
    <w:rsid w:val="000276A0"/>
    <w:rsid w:val="00027AF4"/>
    <w:rsid w:val="000305C9"/>
    <w:rsid w:val="00030B1D"/>
    <w:rsid w:val="000328C1"/>
    <w:rsid w:val="000330DB"/>
    <w:rsid w:val="0003429F"/>
    <w:rsid w:val="000348B4"/>
    <w:rsid w:val="0003562A"/>
    <w:rsid w:val="00036095"/>
    <w:rsid w:val="00036AF4"/>
    <w:rsid w:val="00041C10"/>
    <w:rsid w:val="00043804"/>
    <w:rsid w:val="00043CCC"/>
    <w:rsid w:val="000441A1"/>
    <w:rsid w:val="00044656"/>
    <w:rsid w:val="00045B82"/>
    <w:rsid w:val="000468FD"/>
    <w:rsid w:val="000472DA"/>
    <w:rsid w:val="0004755F"/>
    <w:rsid w:val="00047884"/>
    <w:rsid w:val="00050869"/>
    <w:rsid w:val="000549AE"/>
    <w:rsid w:val="000561C1"/>
    <w:rsid w:val="00056204"/>
    <w:rsid w:val="00056799"/>
    <w:rsid w:val="00056ACC"/>
    <w:rsid w:val="000570D1"/>
    <w:rsid w:val="000571A9"/>
    <w:rsid w:val="00057B27"/>
    <w:rsid w:val="00060290"/>
    <w:rsid w:val="000603BA"/>
    <w:rsid w:val="00061EF4"/>
    <w:rsid w:val="000633DF"/>
    <w:rsid w:val="0006360C"/>
    <w:rsid w:val="000639F8"/>
    <w:rsid w:val="00063E24"/>
    <w:rsid w:val="000644FC"/>
    <w:rsid w:val="0006508B"/>
    <w:rsid w:val="00065C5E"/>
    <w:rsid w:val="00066661"/>
    <w:rsid w:val="000673BA"/>
    <w:rsid w:val="0006740D"/>
    <w:rsid w:val="000711A4"/>
    <w:rsid w:val="00071A10"/>
    <w:rsid w:val="00072067"/>
    <w:rsid w:val="00072229"/>
    <w:rsid w:val="0007269D"/>
    <w:rsid w:val="00073CF1"/>
    <w:rsid w:val="00074BD0"/>
    <w:rsid w:val="00074D9A"/>
    <w:rsid w:val="00074DB9"/>
    <w:rsid w:val="000753C4"/>
    <w:rsid w:val="00075DF0"/>
    <w:rsid w:val="000762CA"/>
    <w:rsid w:val="000771F5"/>
    <w:rsid w:val="00077FC4"/>
    <w:rsid w:val="00080260"/>
    <w:rsid w:val="000803A4"/>
    <w:rsid w:val="000806E3"/>
    <w:rsid w:val="000807E9"/>
    <w:rsid w:val="00080FC2"/>
    <w:rsid w:val="00082443"/>
    <w:rsid w:val="0008339E"/>
    <w:rsid w:val="00084A0D"/>
    <w:rsid w:val="0008581D"/>
    <w:rsid w:val="0008615D"/>
    <w:rsid w:val="00086886"/>
    <w:rsid w:val="00090858"/>
    <w:rsid w:val="00090AD1"/>
    <w:rsid w:val="00090F4F"/>
    <w:rsid w:val="00091476"/>
    <w:rsid w:val="00092879"/>
    <w:rsid w:val="00092A3A"/>
    <w:rsid w:val="00092B90"/>
    <w:rsid w:val="00092F5C"/>
    <w:rsid w:val="00093251"/>
    <w:rsid w:val="00093850"/>
    <w:rsid w:val="000947BC"/>
    <w:rsid w:val="00094A64"/>
    <w:rsid w:val="00094E87"/>
    <w:rsid w:val="00095607"/>
    <w:rsid w:val="000967FB"/>
    <w:rsid w:val="00096A28"/>
    <w:rsid w:val="00097FB2"/>
    <w:rsid w:val="000A151D"/>
    <w:rsid w:val="000A1F88"/>
    <w:rsid w:val="000A212F"/>
    <w:rsid w:val="000A24C5"/>
    <w:rsid w:val="000A3831"/>
    <w:rsid w:val="000A3F7F"/>
    <w:rsid w:val="000A5A47"/>
    <w:rsid w:val="000A5C93"/>
    <w:rsid w:val="000A5E99"/>
    <w:rsid w:val="000B0AA0"/>
    <w:rsid w:val="000B0F0F"/>
    <w:rsid w:val="000B104C"/>
    <w:rsid w:val="000B1343"/>
    <w:rsid w:val="000B1D9F"/>
    <w:rsid w:val="000B269C"/>
    <w:rsid w:val="000B37D9"/>
    <w:rsid w:val="000B3A13"/>
    <w:rsid w:val="000B43CF"/>
    <w:rsid w:val="000B4BB2"/>
    <w:rsid w:val="000B538E"/>
    <w:rsid w:val="000B5DAF"/>
    <w:rsid w:val="000B612E"/>
    <w:rsid w:val="000B63EE"/>
    <w:rsid w:val="000C0F5C"/>
    <w:rsid w:val="000C1F61"/>
    <w:rsid w:val="000C3363"/>
    <w:rsid w:val="000C443E"/>
    <w:rsid w:val="000C5F50"/>
    <w:rsid w:val="000C6050"/>
    <w:rsid w:val="000C76B0"/>
    <w:rsid w:val="000C7BBE"/>
    <w:rsid w:val="000D19B5"/>
    <w:rsid w:val="000D1C33"/>
    <w:rsid w:val="000D2042"/>
    <w:rsid w:val="000D2475"/>
    <w:rsid w:val="000D442C"/>
    <w:rsid w:val="000D4DC4"/>
    <w:rsid w:val="000D6065"/>
    <w:rsid w:val="000E2467"/>
    <w:rsid w:val="000E2602"/>
    <w:rsid w:val="000E5249"/>
    <w:rsid w:val="000E5486"/>
    <w:rsid w:val="000E612D"/>
    <w:rsid w:val="000E745A"/>
    <w:rsid w:val="000E7B46"/>
    <w:rsid w:val="000E7E9E"/>
    <w:rsid w:val="000F0044"/>
    <w:rsid w:val="000F015B"/>
    <w:rsid w:val="000F5BBD"/>
    <w:rsid w:val="000F6C8B"/>
    <w:rsid w:val="000F703B"/>
    <w:rsid w:val="000F73BD"/>
    <w:rsid w:val="001002A7"/>
    <w:rsid w:val="00102E67"/>
    <w:rsid w:val="00103026"/>
    <w:rsid w:val="0010422E"/>
    <w:rsid w:val="0010433A"/>
    <w:rsid w:val="00106EF8"/>
    <w:rsid w:val="00107AF3"/>
    <w:rsid w:val="001101A2"/>
    <w:rsid w:val="00111489"/>
    <w:rsid w:val="00111797"/>
    <w:rsid w:val="00111B19"/>
    <w:rsid w:val="00112A21"/>
    <w:rsid w:val="00114A64"/>
    <w:rsid w:val="00114DD0"/>
    <w:rsid w:val="00115F59"/>
    <w:rsid w:val="001163C0"/>
    <w:rsid w:val="00116C1A"/>
    <w:rsid w:val="00117237"/>
    <w:rsid w:val="001214E9"/>
    <w:rsid w:val="00121F3E"/>
    <w:rsid w:val="00122081"/>
    <w:rsid w:val="0012229E"/>
    <w:rsid w:val="00123849"/>
    <w:rsid w:val="00123872"/>
    <w:rsid w:val="00123A5E"/>
    <w:rsid w:val="00123CD6"/>
    <w:rsid w:val="00123DF0"/>
    <w:rsid w:val="00125010"/>
    <w:rsid w:val="00125266"/>
    <w:rsid w:val="0012533B"/>
    <w:rsid w:val="0012549C"/>
    <w:rsid w:val="00125B5F"/>
    <w:rsid w:val="00125B82"/>
    <w:rsid w:val="00126013"/>
    <w:rsid w:val="001268E5"/>
    <w:rsid w:val="001305E6"/>
    <w:rsid w:val="00130721"/>
    <w:rsid w:val="001307E9"/>
    <w:rsid w:val="0013129F"/>
    <w:rsid w:val="0013148E"/>
    <w:rsid w:val="0013239A"/>
    <w:rsid w:val="001324EE"/>
    <w:rsid w:val="001325E6"/>
    <w:rsid w:val="00134A1D"/>
    <w:rsid w:val="0013761A"/>
    <w:rsid w:val="0014070D"/>
    <w:rsid w:val="00141346"/>
    <w:rsid w:val="00141433"/>
    <w:rsid w:val="001418E2"/>
    <w:rsid w:val="00141F31"/>
    <w:rsid w:val="0014423A"/>
    <w:rsid w:val="001464A5"/>
    <w:rsid w:val="0014699B"/>
    <w:rsid w:val="00147042"/>
    <w:rsid w:val="001471A7"/>
    <w:rsid w:val="001504F9"/>
    <w:rsid w:val="001506F6"/>
    <w:rsid w:val="001508A5"/>
    <w:rsid w:val="00150C7A"/>
    <w:rsid w:val="00151EEF"/>
    <w:rsid w:val="00152653"/>
    <w:rsid w:val="0015390A"/>
    <w:rsid w:val="00154032"/>
    <w:rsid w:val="001547D3"/>
    <w:rsid w:val="00154D84"/>
    <w:rsid w:val="00154F51"/>
    <w:rsid w:val="0015562E"/>
    <w:rsid w:val="001559BD"/>
    <w:rsid w:val="00155C82"/>
    <w:rsid w:val="001565F9"/>
    <w:rsid w:val="0015713B"/>
    <w:rsid w:val="00157F79"/>
    <w:rsid w:val="001605EE"/>
    <w:rsid w:val="001620CE"/>
    <w:rsid w:val="00162118"/>
    <w:rsid w:val="001628BB"/>
    <w:rsid w:val="00163E84"/>
    <w:rsid w:val="00164ECF"/>
    <w:rsid w:val="00165227"/>
    <w:rsid w:val="001656A1"/>
    <w:rsid w:val="00165CCD"/>
    <w:rsid w:val="001668AA"/>
    <w:rsid w:val="00166F18"/>
    <w:rsid w:val="001675B1"/>
    <w:rsid w:val="0016789D"/>
    <w:rsid w:val="00167C87"/>
    <w:rsid w:val="00170173"/>
    <w:rsid w:val="00172EE3"/>
    <w:rsid w:val="00173960"/>
    <w:rsid w:val="00173BA8"/>
    <w:rsid w:val="00174D0A"/>
    <w:rsid w:val="00175CF1"/>
    <w:rsid w:val="00175ED7"/>
    <w:rsid w:val="00177E7E"/>
    <w:rsid w:val="001803BC"/>
    <w:rsid w:val="0018073C"/>
    <w:rsid w:val="00182A36"/>
    <w:rsid w:val="00182BF3"/>
    <w:rsid w:val="0018356F"/>
    <w:rsid w:val="001838EA"/>
    <w:rsid w:val="001857C0"/>
    <w:rsid w:val="00185916"/>
    <w:rsid w:val="001876C1"/>
    <w:rsid w:val="001876C5"/>
    <w:rsid w:val="00187890"/>
    <w:rsid w:val="00187D68"/>
    <w:rsid w:val="00190155"/>
    <w:rsid w:val="001906B5"/>
    <w:rsid w:val="00190CFF"/>
    <w:rsid w:val="001922D4"/>
    <w:rsid w:val="00192769"/>
    <w:rsid w:val="00194163"/>
    <w:rsid w:val="00194FEB"/>
    <w:rsid w:val="00196265"/>
    <w:rsid w:val="001970A4"/>
    <w:rsid w:val="00197AD1"/>
    <w:rsid w:val="00197E5D"/>
    <w:rsid w:val="001A3B94"/>
    <w:rsid w:val="001A4DAB"/>
    <w:rsid w:val="001A5DA2"/>
    <w:rsid w:val="001A6CC4"/>
    <w:rsid w:val="001B0020"/>
    <w:rsid w:val="001B1248"/>
    <w:rsid w:val="001B2215"/>
    <w:rsid w:val="001B3553"/>
    <w:rsid w:val="001B3F87"/>
    <w:rsid w:val="001B4026"/>
    <w:rsid w:val="001B4F54"/>
    <w:rsid w:val="001B512C"/>
    <w:rsid w:val="001B598C"/>
    <w:rsid w:val="001B5A8A"/>
    <w:rsid w:val="001B76A6"/>
    <w:rsid w:val="001C0073"/>
    <w:rsid w:val="001C07F8"/>
    <w:rsid w:val="001C22F6"/>
    <w:rsid w:val="001C2F59"/>
    <w:rsid w:val="001C386E"/>
    <w:rsid w:val="001C3DD5"/>
    <w:rsid w:val="001C6C08"/>
    <w:rsid w:val="001C7B5E"/>
    <w:rsid w:val="001D009D"/>
    <w:rsid w:val="001D0C18"/>
    <w:rsid w:val="001D0F69"/>
    <w:rsid w:val="001D18FC"/>
    <w:rsid w:val="001D1A12"/>
    <w:rsid w:val="001D1FD8"/>
    <w:rsid w:val="001D2056"/>
    <w:rsid w:val="001D3161"/>
    <w:rsid w:val="001D4087"/>
    <w:rsid w:val="001D42D1"/>
    <w:rsid w:val="001D562B"/>
    <w:rsid w:val="001D64E5"/>
    <w:rsid w:val="001D64EF"/>
    <w:rsid w:val="001D6565"/>
    <w:rsid w:val="001D6EB8"/>
    <w:rsid w:val="001D79FA"/>
    <w:rsid w:val="001D7A06"/>
    <w:rsid w:val="001E0123"/>
    <w:rsid w:val="001E05EC"/>
    <w:rsid w:val="001E1A12"/>
    <w:rsid w:val="001E1CCC"/>
    <w:rsid w:val="001E2FB7"/>
    <w:rsid w:val="001E4071"/>
    <w:rsid w:val="001E4809"/>
    <w:rsid w:val="001E4F4F"/>
    <w:rsid w:val="001E5505"/>
    <w:rsid w:val="001F27F4"/>
    <w:rsid w:val="001F2C4C"/>
    <w:rsid w:val="001F3DC0"/>
    <w:rsid w:val="001F4C5A"/>
    <w:rsid w:val="001F4EA9"/>
    <w:rsid w:val="001F4F73"/>
    <w:rsid w:val="001F6425"/>
    <w:rsid w:val="001F6772"/>
    <w:rsid w:val="001F693D"/>
    <w:rsid w:val="001F7421"/>
    <w:rsid w:val="00200195"/>
    <w:rsid w:val="00200B5F"/>
    <w:rsid w:val="00201677"/>
    <w:rsid w:val="00201EEF"/>
    <w:rsid w:val="0020354A"/>
    <w:rsid w:val="0020425F"/>
    <w:rsid w:val="002047C8"/>
    <w:rsid w:val="002052B3"/>
    <w:rsid w:val="002058F9"/>
    <w:rsid w:val="0020738A"/>
    <w:rsid w:val="00207BDE"/>
    <w:rsid w:val="0021240C"/>
    <w:rsid w:val="00212B1F"/>
    <w:rsid w:val="00213AD8"/>
    <w:rsid w:val="00213C29"/>
    <w:rsid w:val="00213C99"/>
    <w:rsid w:val="00213D7C"/>
    <w:rsid w:val="00214513"/>
    <w:rsid w:val="002155B7"/>
    <w:rsid w:val="0021661B"/>
    <w:rsid w:val="0021766A"/>
    <w:rsid w:val="00217AA7"/>
    <w:rsid w:val="0022034E"/>
    <w:rsid w:val="002203CF"/>
    <w:rsid w:val="00220453"/>
    <w:rsid w:val="00221AAE"/>
    <w:rsid w:val="002225D3"/>
    <w:rsid w:val="00222A35"/>
    <w:rsid w:val="00222D4C"/>
    <w:rsid w:val="0022301D"/>
    <w:rsid w:val="0022338B"/>
    <w:rsid w:val="00224108"/>
    <w:rsid w:val="00224B2C"/>
    <w:rsid w:val="002255DF"/>
    <w:rsid w:val="00226F1E"/>
    <w:rsid w:val="00227E55"/>
    <w:rsid w:val="002308A0"/>
    <w:rsid w:val="00232AA0"/>
    <w:rsid w:val="00234CDF"/>
    <w:rsid w:val="00236B17"/>
    <w:rsid w:val="00236B91"/>
    <w:rsid w:val="0023715D"/>
    <w:rsid w:val="00237A05"/>
    <w:rsid w:val="00241825"/>
    <w:rsid w:val="00241EB1"/>
    <w:rsid w:val="002424A2"/>
    <w:rsid w:val="002424C0"/>
    <w:rsid w:val="00242CAA"/>
    <w:rsid w:val="00243A53"/>
    <w:rsid w:val="00243C18"/>
    <w:rsid w:val="002452D4"/>
    <w:rsid w:val="002455D7"/>
    <w:rsid w:val="00245D74"/>
    <w:rsid w:val="00246310"/>
    <w:rsid w:val="00246D03"/>
    <w:rsid w:val="00246DDF"/>
    <w:rsid w:val="002518C2"/>
    <w:rsid w:val="0025398B"/>
    <w:rsid w:val="00254FFB"/>
    <w:rsid w:val="00256ED9"/>
    <w:rsid w:val="00257232"/>
    <w:rsid w:val="002573CC"/>
    <w:rsid w:val="00257DD1"/>
    <w:rsid w:val="0026024E"/>
    <w:rsid w:val="00260A03"/>
    <w:rsid w:val="00260C99"/>
    <w:rsid w:val="00260FAA"/>
    <w:rsid w:val="00262338"/>
    <w:rsid w:val="0026368D"/>
    <w:rsid w:val="00263938"/>
    <w:rsid w:val="002646D7"/>
    <w:rsid w:val="00265F1B"/>
    <w:rsid w:val="002671D7"/>
    <w:rsid w:val="00267A06"/>
    <w:rsid w:val="00267D73"/>
    <w:rsid w:val="00270E2E"/>
    <w:rsid w:val="00271B8F"/>
    <w:rsid w:val="00271DFC"/>
    <w:rsid w:val="0027259C"/>
    <w:rsid w:val="00273543"/>
    <w:rsid w:val="00274C82"/>
    <w:rsid w:val="0027654D"/>
    <w:rsid w:val="00276C77"/>
    <w:rsid w:val="00277707"/>
    <w:rsid w:val="002804D3"/>
    <w:rsid w:val="002810DF"/>
    <w:rsid w:val="002812AB"/>
    <w:rsid w:val="002816D8"/>
    <w:rsid w:val="00282A8C"/>
    <w:rsid w:val="00283C10"/>
    <w:rsid w:val="002854EE"/>
    <w:rsid w:val="0028565C"/>
    <w:rsid w:val="00286959"/>
    <w:rsid w:val="002875DE"/>
    <w:rsid w:val="00287E07"/>
    <w:rsid w:val="00290D8E"/>
    <w:rsid w:val="00290EB3"/>
    <w:rsid w:val="00292846"/>
    <w:rsid w:val="00292A90"/>
    <w:rsid w:val="00292B51"/>
    <w:rsid w:val="002938F2"/>
    <w:rsid w:val="0029445C"/>
    <w:rsid w:val="00294FCA"/>
    <w:rsid w:val="0029649A"/>
    <w:rsid w:val="002971D6"/>
    <w:rsid w:val="002977EA"/>
    <w:rsid w:val="00297C32"/>
    <w:rsid w:val="00297E4F"/>
    <w:rsid w:val="002A0202"/>
    <w:rsid w:val="002A0FF1"/>
    <w:rsid w:val="002A10A9"/>
    <w:rsid w:val="002A2922"/>
    <w:rsid w:val="002A2F08"/>
    <w:rsid w:val="002A3344"/>
    <w:rsid w:val="002A3641"/>
    <w:rsid w:val="002A495F"/>
    <w:rsid w:val="002A519E"/>
    <w:rsid w:val="002A5ACC"/>
    <w:rsid w:val="002A5D28"/>
    <w:rsid w:val="002A6762"/>
    <w:rsid w:val="002A6A4B"/>
    <w:rsid w:val="002A706F"/>
    <w:rsid w:val="002A70EA"/>
    <w:rsid w:val="002A7363"/>
    <w:rsid w:val="002A7F43"/>
    <w:rsid w:val="002B0AB5"/>
    <w:rsid w:val="002B19A7"/>
    <w:rsid w:val="002B3598"/>
    <w:rsid w:val="002B365E"/>
    <w:rsid w:val="002B45D3"/>
    <w:rsid w:val="002B489A"/>
    <w:rsid w:val="002B5CAB"/>
    <w:rsid w:val="002B6341"/>
    <w:rsid w:val="002C0526"/>
    <w:rsid w:val="002C27A8"/>
    <w:rsid w:val="002C2C68"/>
    <w:rsid w:val="002C2C89"/>
    <w:rsid w:val="002C2FD7"/>
    <w:rsid w:val="002C333E"/>
    <w:rsid w:val="002C33F5"/>
    <w:rsid w:val="002C36C8"/>
    <w:rsid w:val="002C51A0"/>
    <w:rsid w:val="002C5A88"/>
    <w:rsid w:val="002C7971"/>
    <w:rsid w:val="002D0584"/>
    <w:rsid w:val="002D2E2A"/>
    <w:rsid w:val="002D316A"/>
    <w:rsid w:val="002D347E"/>
    <w:rsid w:val="002D3C3C"/>
    <w:rsid w:val="002D4274"/>
    <w:rsid w:val="002D4847"/>
    <w:rsid w:val="002D4A3B"/>
    <w:rsid w:val="002D4ECE"/>
    <w:rsid w:val="002D5295"/>
    <w:rsid w:val="002D52BF"/>
    <w:rsid w:val="002D68FA"/>
    <w:rsid w:val="002D7837"/>
    <w:rsid w:val="002D7CDE"/>
    <w:rsid w:val="002D7ECA"/>
    <w:rsid w:val="002E0141"/>
    <w:rsid w:val="002E0B5D"/>
    <w:rsid w:val="002E0B76"/>
    <w:rsid w:val="002E1495"/>
    <w:rsid w:val="002E2900"/>
    <w:rsid w:val="002E3C0D"/>
    <w:rsid w:val="002E43EC"/>
    <w:rsid w:val="002E4983"/>
    <w:rsid w:val="002E4CA0"/>
    <w:rsid w:val="002E4E89"/>
    <w:rsid w:val="002E5B3C"/>
    <w:rsid w:val="002E7A79"/>
    <w:rsid w:val="002E7B8D"/>
    <w:rsid w:val="002F1C3A"/>
    <w:rsid w:val="002F1FC2"/>
    <w:rsid w:val="002F2B0C"/>
    <w:rsid w:val="002F2C6E"/>
    <w:rsid w:val="002F36C7"/>
    <w:rsid w:val="002F390A"/>
    <w:rsid w:val="002F39C5"/>
    <w:rsid w:val="002F3C88"/>
    <w:rsid w:val="002F4067"/>
    <w:rsid w:val="002F47EB"/>
    <w:rsid w:val="002F6BA1"/>
    <w:rsid w:val="002F70E0"/>
    <w:rsid w:val="002F7339"/>
    <w:rsid w:val="002F7461"/>
    <w:rsid w:val="00300286"/>
    <w:rsid w:val="003005DF"/>
    <w:rsid w:val="003007E0"/>
    <w:rsid w:val="00300C6E"/>
    <w:rsid w:val="00301F62"/>
    <w:rsid w:val="00302008"/>
    <w:rsid w:val="003025E2"/>
    <w:rsid w:val="00302ADB"/>
    <w:rsid w:val="0030335C"/>
    <w:rsid w:val="003034F4"/>
    <w:rsid w:val="00306D24"/>
    <w:rsid w:val="00307712"/>
    <w:rsid w:val="0030799B"/>
    <w:rsid w:val="003101B3"/>
    <w:rsid w:val="003105A1"/>
    <w:rsid w:val="00310A0F"/>
    <w:rsid w:val="00310D82"/>
    <w:rsid w:val="00311C27"/>
    <w:rsid w:val="003120E7"/>
    <w:rsid w:val="0031404A"/>
    <w:rsid w:val="00314B7C"/>
    <w:rsid w:val="00314E49"/>
    <w:rsid w:val="00315445"/>
    <w:rsid w:val="0031579F"/>
    <w:rsid w:val="00317183"/>
    <w:rsid w:val="003204AE"/>
    <w:rsid w:val="003208EF"/>
    <w:rsid w:val="003224BD"/>
    <w:rsid w:val="00324846"/>
    <w:rsid w:val="00324ABD"/>
    <w:rsid w:val="00324D9B"/>
    <w:rsid w:val="00326145"/>
    <w:rsid w:val="00326C67"/>
    <w:rsid w:val="003272A6"/>
    <w:rsid w:val="003273CB"/>
    <w:rsid w:val="0033125E"/>
    <w:rsid w:val="00331EB9"/>
    <w:rsid w:val="003324A4"/>
    <w:rsid w:val="003326A1"/>
    <w:rsid w:val="00335134"/>
    <w:rsid w:val="003353A9"/>
    <w:rsid w:val="00335CF9"/>
    <w:rsid w:val="00336887"/>
    <w:rsid w:val="00336913"/>
    <w:rsid w:val="00336F10"/>
    <w:rsid w:val="0033718C"/>
    <w:rsid w:val="0033732F"/>
    <w:rsid w:val="00337407"/>
    <w:rsid w:val="003378CB"/>
    <w:rsid w:val="00340E02"/>
    <w:rsid w:val="00341337"/>
    <w:rsid w:val="00342B69"/>
    <w:rsid w:val="00342D6F"/>
    <w:rsid w:val="003438BA"/>
    <w:rsid w:val="00343E6E"/>
    <w:rsid w:val="00344E11"/>
    <w:rsid w:val="003450C8"/>
    <w:rsid w:val="003455F6"/>
    <w:rsid w:val="0034666A"/>
    <w:rsid w:val="0034782B"/>
    <w:rsid w:val="0034784D"/>
    <w:rsid w:val="00347C49"/>
    <w:rsid w:val="003514F4"/>
    <w:rsid w:val="00351D29"/>
    <w:rsid w:val="00351E5C"/>
    <w:rsid w:val="0035255A"/>
    <w:rsid w:val="0035478F"/>
    <w:rsid w:val="0035557F"/>
    <w:rsid w:val="0035580F"/>
    <w:rsid w:val="003575BC"/>
    <w:rsid w:val="00357CB4"/>
    <w:rsid w:val="0036039A"/>
    <w:rsid w:val="003604EE"/>
    <w:rsid w:val="00360591"/>
    <w:rsid w:val="003610A7"/>
    <w:rsid w:val="003627FF"/>
    <w:rsid w:val="0036286B"/>
    <w:rsid w:val="00363371"/>
    <w:rsid w:val="00363F09"/>
    <w:rsid w:val="00364989"/>
    <w:rsid w:val="003664C0"/>
    <w:rsid w:val="00366769"/>
    <w:rsid w:val="00366F1B"/>
    <w:rsid w:val="0036737E"/>
    <w:rsid w:val="00367E04"/>
    <w:rsid w:val="00370265"/>
    <w:rsid w:val="0037064D"/>
    <w:rsid w:val="00373263"/>
    <w:rsid w:val="00374E07"/>
    <w:rsid w:val="00375F20"/>
    <w:rsid w:val="003761F2"/>
    <w:rsid w:val="00376A05"/>
    <w:rsid w:val="003774FE"/>
    <w:rsid w:val="00377D2B"/>
    <w:rsid w:val="00380941"/>
    <w:rsid w:val="0038200C"/>
    <w:rsid w:val="00382808"/>
    <w:rsid w:val="0038291E"/>
    <w:rsid w:val="003839C8"/>
    <w:rsid w:val="0038558E"/>
    <w:rsid w:val="003876C0"/>
    <w:rsid w:val="00390E30"/>
    <w:rsid w:val="00391BD1"/>
    <w:rsid w:val="003925E8"/>
    <w:rsid w:val="00393459"/>
    <w:rsid w:val="00393ABE"/>
    <w:rsid w:val="003942DE"/>
    <w:rsid w:val="00394441"/>
    <w:rsid w:val="0039458D"/>
    <w:rsid w:val="003946FA"/>
    <w:rsid w:val="00394C0E"/>
    <w:rsid w:val="00394D61"/>
    <w:rsid w:val="003950EE"/>
    <w:rsid w:val="00395969"/>
    <w:rsid w:val="003963B2"/>
    <w:rsid w:val="003969E8"/>
    <w:rsid w:val="00396C50"/>
    <w:rsid w:val="003A011A"/>
    <w:rsid w:val="003A079F"/>
    <w:rsid w:val="003A087B"/>
    <w:rsid w:val="003A124E"/>
    <w:rsid w:val="003A1F5A"/>
    <w:rsid w:val="003A25AB"/>
    <w:rsid w:val="003A2DD5"/>
    <w:rsid w:val="003A2ECE"/>
    <w:rsid w:val="003A4252"/>
    <w:rsid w:val="003A539A"/>
    <w:rsid w:val="003A5F12"/>
    <w:rsid w:val="003A62A4"/>
    <w:rsid w:val="003A7476"/>
    <w:rsid w:val="003A7D86"/>
    <w:rsid w:val="003B0688"/>
    <w:rsid w:val="003B0AA1"/>
    <w:rsid w:val="003B1263"/>
    <w:rsid w:val="003B243D"/>
    <w:rsid w:val="003B304F"/>
    <w:rsid w:val="003B5191"/>
    <w:rsid w:val="003B5D18"/>
    <w:rsid w:val="003B795D"/>
    <w:rsid w:val="003C26A6"/>
    <w:rsid w:val="003C26C1"/>
    <w:rsid w:val="003C3882"/>
    <w:rsid w:val="003C3A9D"/>
    <w:rsid w:val="003C5C11"/>
    <w:rsid w:val="003C65D6"/>
    <w:rsid w:val="003C6A5A"/>
    <w:rsid w:val="003C6AAD"/>
    <w:rsid w:val="003D0A2B"/>
    <w:rsid w:val="003D0EA1"/>
    <w:rsid w:val="003D114E"/>
    <w:rsid w:val="003D1A73"/>
    <w:rsid w:val="003D1D4D"/>
    <w:rsid w:val="003D377E"/>
    <w:rsid w:val="003D37DD"/>
    <w:rsid w:val="003D3871"/>
    <w:rsid w:val="003D44F9"/>
    <w:rsid w:val="003D45DF"/>
    <w:rsid w:val="003D47C6"/>
    <w:rsid w:val="003D58CF"/>
    <w:rsid w:val="003D734B"/>
    <w:rsid w:val="003D7C81"/>
    <w:rsid w:val="003D7E2E"/>
    <w:rsid w:val="003D7E38"/>
    <w:rsid w:val="003D7EAC"/>
    <w:rsid w:val="003E04FC"/>
    <w:rsid w:val="003E092E"/>
    <w:rsid w:val="003E166F"/>
    <w:rsid w:val="003E31BE"/>
    <w:rsid w:val="003E321F"/>
    <w:rsid w:val="003E379A"/>
    <w:rsid w:val="003E42BC"/>
    <w:rsid w:val="003E4C88"/>
    <w:rsid w:val="003E52B0"/>
    <w:rsid w:val="003E64DC"/>
    <w:rsid w:val="003E666C"/>
    <w:rsid w:val="003E6D27"/>
    <w:rsid w:val="003E7A43"/>
    <w:rsid w:val="003F046F"/>
    <w:rsid w:val="003F06E8"/>
    <w:rsid w:val="003F0B58"/>
    <w:rsid w:val="003F0D40"/>
    <w:rsid w:val="003F1AC9"/>
    <w:rsid w:val="003F2236"/>
    <w:rsid w:val="003F27B7"/>
    <w:rsid w:val="003F353F"/>
    <w:rsid w:val="003F4051"/>
    <w:rsid w:val="003F5812"/>
    <w:rsid w:val="003F6AA4"/>
    <w:rsid w:val="003F6EA1"/>
    <w:rsid w:val="004007AE"/>
    <w:rsid w:val="00400E4A"/>
    <w:rsid w:val="004018BA"/>
    <w:rsid w:val="00401D8B"/>
    <w:rsid w:val="00402517"/>
    <w:rsid w:val="00402E9A"/>
    <w:rsid w:val="0040310B"/>
    <w:rsid w:val="00403403"/>
    <w:rsid w:val="00403FA8"/>
    <w:rsid w:val="00404040"/>
    <w:rsid w:val="00404213"/>
    <w:rsid w:val="004048AC"/>
    <w:rsid w:val="00404B8E"/>
    <w:rsid w:val="004063D8"/>
    <w:rsid w:val="004068C2"/>
    <w:rsid w:val="00406CE9"/>
    <w:rsid w:val="00407906"/>
    <w:rsid w:val="0041094A"/>
    <w:rsid w:val="00412E49"/>
    <w:rsid w:val="00413125"/>
    <w:rsid w:val="00414C1F"/>
    <w:rsid w:val="00415B6C"/>
    <w:rsid w:val="00415E7F"/>
    <w:rsid w:val="00415FBD"/>
    <w:rsid w:val="00417F04"/>
    <w:rsid w:val="00420288"/>
    <w:rsid w:val="004207FC"/>
    <w:rsid w:val="00421C78"/>
    <w:rsid w:val="00421E5C"/>
    <w:rsid w:val="004224CE"/>
    <w:rsid w:val="00424A78"/>
    <w:rsid w:val="004254DB"/>
    <w:rsid w:val="00426131"/>
    <w:rsid w:val="00426181"/>
    <w:rsid w:val="00426267"/>
    <w:rsid w:val="004265D8"/>
    <w:rsid w:val="00426CFC"/>
    <w:rsid w:val="00427EEA"/>
    <w:rsid w:val="00431836"/>
    <w:rsid w:val="004321E6"/>
    <w:rsid w:val="004322F0"/>
    <w:rsid w:val="0043278E"/>
    <w:rsid w:val="004360AC"/>
    <w:rsid w:val="00436B83"/>
    <w:rsid w:val="00436F83"/>
    <w:rsid w:val="004373CA"/>
    <w:rsid w:val="00437743"/>
    <w:rsid w:val="0044053A"/>
    <w:rsid w:val="00440E4C"/>
    <w:rsid w:val="00441000"/>
    <w:rsid w:val="00441061"/>
    <w:rsid w:val="00441420"/>
    <w:rsid w:val="0044186F"/>
    <w:rsid w:val="00442E13"/>
    <w:rsid w:val="004435B3"/>
    <w:rsid w:val="00444615"/>
    <w:rsid w:val="00446B51"/>
    <w:rsid w:val="00447209"/>
    <w:rsid w:val="00447383"/>
    <w:rsid w:val="00450C70"/>
    <w:rsid w:val="004511E6"/>
    <w:rsid w:val="0045211C"/>
    <w:rsid w:val="0045228C"/>
    <w:rsid w:val="00452824"/>
    <w:rsid w:val="00453344"/>
    <w:rsid w:val="004534E7"/>
    <w:rsid w:val="0045372C"/>
    <w:rsid w:val="00454CF6"/>
    <w:rsid w:val="00454E76"/>
    <w:rsid w:val="00455087"/>
    <w:rsid w:val="00455B1B"/>
    <w:rsid w:val="00455C7F"/>
    <w:rsid w:val="00455E29"/>
    <w:rsid w:val="00457080"/>
    <w:rsid w:val="00460891"/>
    <w:rsid w:val="00460A28"/>
    <w:rsid w:val="00461055"/>
    <w:rsid w:val="00461BCA"/>
    <w:rsid w:val="00461D5A"/>
    <w:rsid w:val="0046232A"/>
    <w:rsid w:val="00464FB2"/>
    <w:rsid w:val="004652FB"/>
    <w:rsid w:val="00466657"/>
    <w:rsid w:val="00466CDC"/>
    <w:rsid w:val="0046745E"/>
    <w:rsid w:val="00467CC7"/>
    <w:rsid w:val="00470FCF"/>
    <w:rsid w:val="004710E8"/>
    <w:rsid w:val="00471513"/>
    <w:rsid w:val="004727A0"/>
    <w:rsid w:val="004736BE"/>
    <w:rsid w:val="0047424A"/>
    <w:rsid w:val="0047556D"/>
    <w:rsid w:val="00475789"/>
    <w:rsid w:val="00475CA2"/>
    <w:rsid w:val="00476170"/>
    <w:rsid w:val="004761FE"/>
    <w:rsid w:val="00476853"/>
    <w:rsid w:val="00477608"/>
    <w:rsid w:val="004812F9"/>
    <w:rsid w:val="004820B0"/>
    <w:rsid w:val="00482E2F"/>
    <w:rsid w:val="00484620"/>
    <w:rsid w:val="00484975"/>
    <w:rsid w:val="0048529B"/>
    <w:rsid w:val="0048582E"/>
    <w:rsid w:val="004859B4"/>
    <w:rsid w:val="00485B88"/>
    <w:rsid w:val="00486ACD"/>
    <w:rsid w:val="00486C93"/>
    <w:rsid w:val="00492301"/>
    <w:rsid w:val="00492C65"/>
    <w:rsid w:val="0049403F"/>
    <w:rsid w:val="00494323"/>
    <w:rsid w:val="00494349"/>
    <w:rsid w:val="00494485"/>
    <w:rsid w:val="004946B4"/>
    <w:rsid w:val="0049472C"/>
    <w:rsid w:val="004951CF"/>
    <w:rsid w:val="004951E5"/>
    <w:rsid w:val="004953FF"/>
    <w:rsid w:val="00496C2E"/>
    <w:rsid w:val="004977CA"/>
    <w:rsid w:val="004A0F27"/>
    <w:rsid w:val="004A0F37"/>
    <w:rsid w:val="004A0F68"/>
    <w:rsid w:val="004A1601"/>
    <w:rsid w:val="004A3247"/>
    <w:rsid w:val="004A3608"/>
    <w:rsid w:val="004A4FBD"/>
    <w:rsid w:val="004A5E48"/>
    <w:rsid w:val="004A6118"/>
    <w:rsid w:val="004A6ADA"/>
    <w:rsid w:val="004A7061"/>
    <w:rsid w:val="004A7810"/>
    <w:rsid w:val="004A7E93"/>
    <w:rsid w:val="004B02CE"/>
    <w:rsid w:val="004B0EAB"/>
    <w:rsid w:val="004B3CFB"/>
    <w:rsid w:val="004B3D28"/>
    <w:rsid w:val="004B416F"/>
    <w:rsid w:val="004B42AB"/>
    <w:rsid w:val="004B44AF"/>
    <w:rsid w:val="004B5D6B"/>
    <w:rsid w:val="004B6332"/>
    <w:rsid w:val="004B76F8"/>
    <w:rsid w:val="004C01BF"/>
    <w:rsid w:val="004C1FA6"/>
    <w:rsid w:val="004C53CB"/>
    <w:rsid w:val="004C55DC"/>
    <w:rsid w:val="004C5CFD"/>
    <w:rsid w:val="004C5D0C"/>
    <w:rsid w:val="004C7BF9"/>
    <w:rsid w:val="004D12C0"/>
    <w:rsid w:val="004D18EA"/>
    <w:rsid w:val="004D1BD4"/>
    <w:rsid w:val="004D226C"/>
    <w:rsid w:val="004D30CF"/>
    <w:rsid w:val="004D3713"/>
    <w:rsid w:val="004D3D9D"/>
    <w:rsid w:val="004D4D96"/>
    <w:rsid w:val="004D5422"/>
    <w:rsid w:val="004D5B22"/>
    <w:rsid w:val="004D621C"/>
    <w:rsid w:val="004D6254"/>
    <w:rsid w:val="004D7E99"/>
    <w:rsid w:val="004E00CE"/>
    <w:rsid w:val="004E0D4C"/>
    <w:rsid w:val="004E249C"/>
    <w:rsid w:val="004E2BDB"/>
    <w:rsid w:val="004E2E3D"/>
    <w:rsid w:val="004E43EF"/>
    <w:rsid w:val="004E49A6"/>
    <w:rsid w:val="004E4E39"/>
    <w:rsid w:val="004E73FD"/>
    <w:rsid w:val="004F1625"/>
    <w:rsid w:val="004F28C6"/>
    <w:rsid w:val="004F42F6"/>
    <w:rsid w:val="004F447A"/>
    <w:rsid w:val="004F50AF"/>
    <w:rsid w:val="004F5413"/>
    <w:rsid w:val="004F576E"/>
    <w:rsid w:val="004F5B29"/>
    <w:rsid w:val="004F63DD"/>
    <w:rsid w:val="004F65F9"/>
    <w:rsid w:val="004F681D"/>
    <w:rsid w:val="004F6E14"/>
    <w:rsid w:val="0050031A"/>
    <w:rsid w:val="00501E9C"/>
    <w:rsid w:val="0050228C"/>
    <w:rsid w:val="005024EA"/>
    <w:rsid w:val="00502857"/>
    <w:rsid w:val="005044A9"/>
    <w:rsid w:val="0050558C"/>
    <w:rsid w:val="0050564A"/>
    <w:rsid w:val="00505994"/>
    <w:rsid w:val="00505FD4"/>
    <w:rsid w:val="00506E25"/>
    <w:rsid w:val="005079F4"/>
    <w:rsid w:val="00507BA9"/>
    <w:rsid w:val="00507BFD"/>
    <w:rsid w:val="00507EB1"/>
    <w:rsid w:val="0051132C"/>
    <w:rsid w:val="00513483"/>
    <w:rsid w:val="00513BC2"/>
    <w:rsid w:val="00514A55"/>
    <w:rsid w:val="00514EF5"/>
    <w:rsid w:val="00516733"/>
    <w:rsid w:val="005169D4"/>
    <w:rsid w:val="00516CA3"/>
    <w:rsid w:val="0051782D"/>
    <w:rsid w:val="00517E27"/>
    <w:rsid w:val="00517FCC"/>
    <w:rsid w:val="005206B1"/>
    <w:rsid w:val="0052087E"/>
    <w:rsid w:val="00520F4A"/>
    <w:rsid w:val="00522FB4"/>
    <w:rsid w:val="0052315E"/>
    <w:rsid w:val="005261BF"/>
    <w:rsid w:val="00526361"/>
    <w:rsid w:val="00530027"/>
    <w:rsid w:val="005307FE"/>
    <w:rsid w:val="00530ED3"/>
    <w:rsid w:val="005314DC"/>
    <w:rsid w:val="005314DD"/>
    <w:rsid w:val="00531F71"/>
    <w:rsid w:val="00532724"/>
    <w:rsid w:val="005333B2"/>
    <w:rsid w:val="0053438E"/>
    <w:rsid w:val="005355EE"/>
    <w:rsid w:val="00535B16"/>
    <w:rsid w:val="005366D0"/>
    <w:rsid w:val="0053786E"/>
    <w:rsid w:val="00537E27"/>
    <w:rsid w:val="005403DE"/>
    <w:rsid w:val="00540B4D"/>
    <w:rsid w:val="00540FFA"/>
    <w:rsid w:val="0054152D"/>
    <w:rsid w:val="005423A2"/>
    <w:rsid w:val="00542930"/>
    <w:rsid w:val="00542C5C"/>
    <w:rsid w:val="005435B3"/>
    <w:rsid w:val="00543F05"/>
    <w:rsid w:val="00550160"/>
    <w:rsid w:val="00550849"/>
    <w:rsid w:val="00550DB8"/>
    <w:rsid w:val="00551893"/>
    <w:rsid w:val="00551EF0"/>
    <w:rsid w:val="00553273"/>
    <w:rsid w:val="005532D2"/>
    <w:rsid w:val="00553759"/>
    <w:rsid w:val="00554BF3"/>
    <w:rsid w:val="00555141"/>
    <w:rsid w:val="00555B43"/>
    <w:rsid w:val="0055655F"/>
    <w:rsid w:val="0055657D"/>
    <w:rsid w:val="00560D0D"/>
    <w:rsid w:val="00561326"/>
    <w:rsid w:val="0056159B"/>
    <w:rsid w:val="00562A3B"/>
    <w:rsid w:val="0056348E"/>
    <w:rsid w:val="005653F8"/>
    <w:rsid w:val="00565FB1"/>
    <w:rsid w:val="005662FB"/>
    <w:rsid w:val="00567781"/>
    <w:rsid w:val="00567ECC"/>
    <w:rsid w:val="00570DD6"/>
    <w:rsid w:val="00570FB6"/>
    <w:rsid w:val="005713B1"/>
    <w:rsid w:val="00571F8C"/>
    <w:rsid w:val="00571FCA"/>
    <w:rsid w:val="00574A02"/>
    <w:rsid w:val="00574CA7"/>
    <w:rsid w:val="0057699A"/>
    <w:rsid w:val="00580B7F"/>
    <w:rsid w:val="00580D8E"/>
    <w:rsid w:val="0058186E"/>
    <w:rsid w:val="00583090"/>
    <w:rsid w:val="005835F4"/>
    <w:rsid w:val="00583EFE"/>
    <w:rsid w:val="005841A3"/>
    <w:rsid w:val="00585A8C"/>
    <w:rsid w:val="00590EAE"/>
    <w:rsid w:val="0059112A"/>
    <w:rsid w:val="00592CAB"/>
    <w:rsid w:val="00593216"/>
    <w:rsid w:val="00593CC0"/>
    <w:rsid w:val="00594BC3"/>
    <w:rsid w:val="00596699"/>
    <w:rsid w:val="00596CA7"/>
    <w:rsid w:val="00596DC8"/>
    <w:rsid w:val="00596E16"/>
    <w:rsid w:val="005A16A3"/>
    <w:rsid w:val="005A1C48"/>
    <w:rsid w:val="005A253A"/>
    <w:rsid w:val="005A28A4"/>
    <w:rsid w:val="005A331B"/>
    <w:rsid w:val="005A46C2"/>
    <w:rsid w:val="005A48AC"/>
    <w:rsid w:val="005A5DEB"/>
    <w:rsid w:val="005A6864"/>
    <w:rsid w:val="005A69DF"/>
    <w:rsid w:val="005A739C"/>
    <w:rsid w:val="005A79BB"/>
    <w:rsid w:val="005B12D2"/>
    <w:rsid w:val="005B337D"/>
    <w:rsid w:val="005B39D4"/>
    <w:rsid w:val="005B4421"/>
    <w:rsid w:val="005B5DD3"/>
    <w:rsid w:val="005B7929"/>
    <w:rsid w:val="005C04E9"/>
    <w:rsid w:val="005C1221"/>
    <w:rsid w:val="005C12A9"/>
    <w:rsid w:val="005C236C"/>
    <w:rsid w:val="005C25D1"/>
    <w:rsid w:val="005C35A9"/>
    <w:rsid w:val="005C3FCC"/>
    <w:rsid w:val="005C41AB"/>
    <w:rsid w:val="005C464B"/>
    <w:rsid w:val="005C74A0"/>
    <w:rsid w:val="005C7B48"/>
    <w:rsid w:val="005D0016"/>
    <w:rsid w:val="005D052C"/>
    <w:rsid w:val="005D16FE"/>
    <w:rsid w:val="005D4084"/>
    <w:rsid w:val="005D4257"/>
    <w:rsid w:val="005D4777"/>
    <w:rsid w:val="005D4C2B"/>
    <w:rsid w:val="005D7CD6"/>
    <w:rsid w:val="005E12A3"/>
    <w:rsid w:val="005E1CC7"/>
    <w:rsid w:val="005E1F8B"/>
    <w:rsid w:val="005E3D5C"/>
    <w:rsid w:val="005E583E"/>
    <w:rsid w:val="005E5EB9"/>
    <w:rsid w:val="005E65FF"/>
    <w:rsid w:val="005E73CE"/>
    <w:rsid w:val="005E7953"/>
    <w:rsid w:val="005E7E82"/>
    <w:rsid w:val="005F1154"/>
    <w:rsid w:val="005F1532"/>
    <w:rsid w:val="005F211E"/>
    <w:rsid w:val="005F298A"/>
    <w:rsid w:val="005F3CAF"/>
    <w:rsid w:val="005F451C"/>
    <w:rsid w:val="005F494B"/>
    <w:rsid w:val="005F5B9C"/>
    <w:rsid w:val="005F6C28"/>
    <w:rsid w:val="005F78B7"/>
    <w:rsid w:val="005F7AB6"/>
    <w:rsid w:val="005F7E3C"/>
    <w:rsid w:val="00600FA8"/>
    <w:rsid w:val="00601A37"/>
    <w:rsid w:val="00601B52"/>
    <w:rsid w:val="006043CB"/>
    <w:rsid w:val="0060618E"/>
    <w:rsid w:val="006063DA"/>
    <w:rsid w:val="00606CE3"/>
    <w:rsid w:val="0061103D"/>
    <w:rsid w:val="00611DD3"/>
    <w:rsid w:val="00611EF0"/>
    <w:rsid w:val="00612219"/>
    <w:rsid w:val="00612E04"/>
    <w:rsid w:val="0061375E"/>
    <w:rsid w:val="00614167"/>
    <w:rsid w:val="00616069"/>
    <w:rsid w:val="006172E5"/>
    <w:rsid w:val="006173A4"/>
    <w:rsid w:val="00617C44"/>
    <w:rsid w:val="00617EE8"/>
    <w:rsid w:val="00620D93"/>
    <w:rsid w:val="00622CE4"/>
    <w:rsid w:val="00622DA5"/>
    <w:rsid w:val="006234A7"/>
    <w:rsid w:val="006256B8"/>
    <w:rsid w:val="00625917"/>
    <w:rsid w:val="00625A44"/>
    <w:rsid w:val="006268AA"/>
    <w:rsid w:val="00626B69"/>
    <w:rsid w:val="00626ECF"/>
    <w:rsid w:val="00627074"/>
    <w:rsid w:val="0062789F"/>
    <w:rsid w:val="006301BE"/>
    <w:rsid w:val="0063096E"/>
    <w:rsid w:val="006314C0"/>
    <w:rsid w:val="00633349"/>
    <w:rsid w:val="0063346D"/>
    <w:rsid w:val="00633D61"/>
    <w:rsid w:val="0063402B"/>
    <w:rsid w:val="006360DA"/>
    <w:rsid w:val="00636570"/>
    <w:rsid w:val="00636DDC"/>
    <w:rsid w:val="00637901"/>
    <w:rsid w:val="00637E1B"/>
    <w:rsid w:val="006402DF"/>
    <w:rsid w:val="006407AD"/>
    <w:rsid w:val="0064164B"/>
    <w:rsid w:val="00644468"/>
    <w:rsid w:val="00645215"/>
    <w:rsid w:val="00645F5E"/>
    <w:rsid w:val="00646253"/>
    <w:rsid w:val="00647B1E"/>
    <w:rsid w:val="00647C55"/>
    <w:rsid w:val="0065008B"/>
    <w:rsid w:val="0065034F"/>
    <w:rsid w:val="0065153A"/>
    <w:rsid w:val="0065207E"/>
    <w:rsid w:val="0065251E"/>
    <w:rsid w:val="00653A3B"/>
    <w:rsid w:val="00653FD9"/>
    <w:rsid w:val="00654871"/>
    <w:rsid w:val="00654D42"/>
    <w:rsid w:val="00656328"/>
    <w:rsid w:val="00656E6F"/>
    <w:rsid w:val="00657A05"/>
    <w:rsid w:val="00660279"/>
    <w:rsid w:val="00661D1A"/>
    <w:rsid w:val="00661E12"/>
    <w:rsid w:val="006622B9"/>
    <w:rsid w:val="0066269B"/>
    <w:rsid w:val="00662AE8"/>
    <w:rsid w:val="00662E1E"/>
    <w:rsid w:val="0066371E"/>
    <w:rsid w:val="00665427"/>
    <w:rsid w:val="00666332"/>
    <w:rsid w:val="00666BAD"/>
    <w:rsid w:val="006673D7"/>
    <w:rsid w:val="00667918"/>
    <w:rsid w:val="00670C86"/>
    <w:rsid w:val="006724AD"/>
    <w:rsid w:val="00672BAB"/>
    <w:rsid w:val="0067314A"/>
    <w:rsid w:val="00673C52"/>
    <w:rsid w:val="00673D1E"/>
    <w:rsid w:val="00673D99"/>
    <w:rsid w:val="00673DA7"/>
    <w:rsid w:val="00674040"/>
    <w:rsid w:val="00674424"/>
    <w:rsid w:val="00675576"/>
    <w:rsid w:val="00675CDF"/>
    <w:rsid w:val="00677988"/>
    <w:rsid w:val="006779CF"/>
    <w:rsid w:val="00677A8F"/>
    <w:rsid w:val="00677D0C"/>
    <w:rsid w:val="00677F8A"/>
    <w:rsid w:val="00680004"/>
    <w:rsid w:val="00680FDB"/>
    <w:rsid w:val="00681D12"/>
    <w:rsid w:val="00681D77"/>
    <w:rsid w:val="006821E3"/>
    <w:rsid w:val="00683AD6"/>
    <w:rsid w:val="006842AE"/>
    <w:rsid w:val="00684736"/>
    <w:rsid w:val="00685CE7"/>
    <w:rsid w:val="00687672"/>
    <w:rsid w:val="00690645"/>
    <w:rsid w:val="0069097D"/>
    <w:rsid w:val="00690EF0"/>
    <w:rsid w:val="00693E97"/>
    <w:rsid w:val="00697719"/>
    <w:rsid w:val="00697760"/>
    <w:rsid w:val="006A015F"/>
    <w:rsid w:val="006A0868"/>
    <w:rsid w:val="006A0C25"/>
    <w:rsid w:val="006A1E2D"/>
    <w:rsid w:val="006A24D3"/>
    <w:rsid w:val="006A5773"/>
    <w:rsid w:val="006A5804"/>
    <w:rsid w:val="006A58F0"/>
    <w:rsid w:val="006B00A1"/>
    <w:rsid w:val="006B0372"/>
    <w:rsid w:val="006B0764"/>
    <w:rsid w:val="006B171F"/>
    <w:rsid w:val="006B2239"/>
    <w:rsid w:val="006B31DC"/>
    <w:rsid w:val="006B4467"/>
    <w:rsid w:val="006B4DB4"/>
    <w:rsid w:val="006B6C46"/>
    <w:rsid w:val="006B6E78"/>
    <w:rsid w:val="006B72AB"/>
    <w:rsid w:val="006B7B4F"/>
    <w:rsid w:val="006C0039"/>
    <w:rsid w:val="006C0135"/>
    <w:rsid w:val="006C1927"/>
    <w:rsid w:val="006C2585"/>
    <w:rsid w:val="006C3DFF"/>
    <w:rsid w:val="006C3E6F"/>
    <w:rsid w:val="006C3FC7"/>
    <w:rsid w:val="006C4008"/>
    <w:rsid w:val="006C438F"/>
    <w:rsid w:val="006C4CFB"/>
    <w:rsid w:val="006C4E61"/>
    <w:rsid w:val="006C5428"/>
    <w:rsid w:val="006C5931"/>
    <w:rsid w:val="006C5EBE"/>
    <w:rsid w:val="006C5FFF"/>
    <w:rsid w:val="006C689E"/>
    <w:rsid w:val="006C73EF"/>
    <w:rsid w:val="006D074D"/>
    <w:rsid w:val="006D0CAC"/>
    <w:rsid w:val="006D1723"/>
    <w:rsid w:val="006D5D3F"/>
    <w:rsid w:val="006D60ED"/>
    <w:rsid w:val="006D70E6"/>
    <w:rsid w:val="006D7DFB"/>
    <w:rsid w:val="006E028C"/>
    <w:rsid w:val="006E1166"/>
    <w:rsid w:val="006E37E1"/>
    <w:rsid w:val="006E596E"/>
    <w:rsid w:val="006E5C23"/>
    <w:rsid w:val="006E672D"/>
    <w:rsid w:val="006F033F"/>
    <w:rsid w:val="006F1818"/>
    <w:rsid w:val="006F24D8"/>
    <w:rsid w:val="006F2664"/>
    <w:rsid w:val="006F2842"/>
    <w:rsid w:val="006F33B8"/>
    <w:rsid w:val="006F3706"/>
    <w:rsid w:val="006F3D50"/>
    <w:rsid w:val="006F4C9C"/>
    <w:rsid w:val="006F640F"/>
    <w:rsid w:val="006F762A"/>
    <w:rsid w:val="007002D3"/>
    <w:rsid w:val="00701AF3"/>
    <w:rsid w:val="00701B6B"/>
    <w:rsid w:val="007035AE"/>
    <w:rsid w:val="0070384F"/>
    <w:rsid w:val="00703A9E"/>
    <w:rsid w:val="00703D6D"/>
    <w:rsid w:val="00704152"/>
    <w:rsid w:val="00704987"/>
    <w:rsid w:val="00704FB5"/>
    <w:rsid w:val="00705E10"/>
    <w:rsid w:val="007066EA"/>
    <w:rsid w:val="00706B71"/>
    <w:rsid w:val="00710698"/>
    <w:rsid w:val="00710ECF"/>
    <w:rsid w:val="0071198E"/>
    <w:rsid w:val="00711A01"/>
    <w:rsid w:val="0071277A"/>
    <w:rsid w:val="00712C40"/>
    <w:rsid w:val="00712EE5"/>
    <w:rsid w:val="00713067"/>
    <w:rsid w:val="00713493"/>
    <w:rsid w:val="00713494"/>
    <w:rsid w:val="00714031"/>
    <w:rsid w:val="00714659"/>
    <w:rsid w:val="0071466E"/>
    <w:rsid w:val="0071480E"/>
    <w:rsid w:val="00714A6C"/>
    <w:rsid w:val="00714CD3"/>
    <w:rsid w:val="00715E9A"/>
    <w:rsid w:val="0071699E"/>
    <w:rsid w:val="007200C9"/>
    <w:rsid w:val="00720319"/>
    <w:rsid w:val="007204AC"/>
    <w:rsid w:val="007206A8"/>
    <w:rsid w:val="0072116D"/>
    <w:rsid w:val="007218A1"/>
    <w:rsid w:val="00721A45"/>
    <w:rsid w:val="00721E62"/>
    <w:rsid w:val="0072226F"/>
    <w:rsid w:val="0072292D"/>
    <w:rsid w:val="0072333C"/>
    <w:rsid w:val="00725B78"/>
    <w:rsid w:val="00725EE1"/>
    <w:rsid w:val="0072637F"/>
    <w:rsid w:val="00726A7A"/>
    <w:rsid w:val="00727082"/>
    <w:rsid w:val="007279C8"/>
    <w:rsid w:val="00727C75"/>
    <w:rsid w:val="00730A97"/>
    <w:rsid w:val="007315D4"/>
    <w:rsid w:val="00731F72"/>
    <w:rsid w:val="0073215F"/>
    <w:rsid w:val="0073233C"/>
    <w:rsid w:val="00732C96"/>
    <w:rsid w:val="00732D0C"/>
    <w:rsid w:val="00733255"/>
    <w:rsid w:val="007337E1"/>
    <w:rsid w:val="00733EAD"/>
    <w:rsid w:val="00734F54"/>
    <w:rsid w:val="00735377"/>
    <w:rsid w:val="00735BC5"/>
    <w:rsid w:val="00735CE6"/>
    <w:rsid w:val="0073670E"/>
    <w:rsid w:val="00737C04"/>
    <w:rsid w:val="00740F11"/>
    <w:rsid w:val="00743204"/>
    <w:rsid w:val="00743480"/>
    <w:rsid w:val="007437E2"/>
    <w:rsid w:val="00744110"/>
    <w:rsid w:val="0074437A"/>
    <w:rsid w:val="00744595"/>
    <w:rsid w:val="007459DF"/>
    <w:rsid w:val="00746174"/>
    <w:rsid w:val="00747650"/>
    <w:rsid w:val="00747A52"/>
    <w:rsid w:val="00750F1E"/>
    <w:rsid w:val="007512B7"/>
    <w:rsid w:val="00751B11"/>
    <w:rsid w:val="00751C12"/>
    <w:rsid w:val="00752691"/>
    <w:rsid w:val="007528F2"/>
    <w:rsid w:val="0075668F"/>
    <w:rsid w:val="007568D6"/>
    <w:rsid w:val="00756E0C"/>
    <w:rsid w:val="00756E46"/>
    <w:rsid w:val="007575C4"/>
    <w:rsid w:val="007577F7"/>
    <w:rsid w:val="007603F3"/>
    <w:rsid w:val="0076165C"/>
    <w:rsid w:val="00762EAA"/>
    <w:rsid w:val="00763700"/>
    <w:rsid w:val="0076427C"/>
    <w:rsid w:val="00765217"/>
    <w:rsid w:val="007659AA"/>
    <w:rsid w:val="00767DBE"/>
    <w:rsid w:val="0077266C"/>
    <w:rsid w:val="00772802"/>
    <w:rsid w:val="00772DA2"/>
    <w:rsid w:val="00773FEE"/>
    <w:rsid w:val="00774B96"/>
    <w:rsid w:val="00775066"/>
    <w:rsid w:val="007755AA"/>
    <w:rsid w:val="00776406"/>
    <w:rsid w:val="0077755C"/>
    <w:rsid w:val="00777567"/>
    <w:rsid w:val="0078005A"/>
    <w:rsid w:val="00780CB6"/>
    <w:rsid w:val="00780D5C"/>
    <w:rsid w:val="00781B6F"/>
    <w:rsid w:val="00781F9C"/>
    <w:rsid w:val="00782AAE"/>
    <w:rsid w:val="00782DFD"/>
    <w:rsid w:val="0078306F"/>
    <w:rsid w:val="00784424"/>
    <w:rsid w:val="007845C5"/>
    <w:rsid w:val="00785474"/>
    <w:rsid w:val="00785CAA"/>
    <w:rsid w:val="00786527"/>
    <w:rsid w:val="00787B99"/>
    <w:rsid w:val="0079091E"/>
    <w:rsid w:val="00791D4D"/>
    <w:rsid w:val="00793DB3"/>
    <w:rsid w:val="0079421C"/>
    <w:rsid w:val="0079526D"/>
    <w:rsid w:val="00795A2C"/>
    <w:rsid w:val="0079603C"/>
    <w:rsid w:val="007962DF"/>
    <w:rsid w:val="00797390"/>
    <w:rsid w:val="00797E5B"/>
    <w:rsid w:val="00797EFD"/>
    <w:rsid w:val="007A03C8"/>
    <w:rsid w:val="007A05B6"/>
    <w:rsid w:val="007A174D"/>
    <w:rsid w:val="007A1C0A"/>
    <w:rsid w:val="007A1C59"/>
    <w:rsid w:val="007A215D"/>
    <w:rsid w:val="007A2F4B"/>
    <w:rsid w:val="007A30D3"/>
    <w:rsid w:val="007A330A"/>
    <w:rsid w:val="007A5B41"/>
    <w:rsid w:val="007A65FC"/>
    <w:rsid w:val="007A74AA"/>
    <w:rsid w:val="007B0268"/>
    <w:rsid w:val="007B2CDE"/>
    <w:rsid w:val="007B32A5"/>
    <w:rsid w:val="007B5792"/>
    <w:rsid w:val="007B61B7"/>
    <w:rsid w:val="007B6345"/>
    <w:rsid w:val="007C20FC"/>
    <w:rsid w:val="007C31E2"/>
    <w:rsid w:val="007C4B53"/>
    <w:rsid w:val="007C4F1F"/>
    <w:rsid w:val="007C5CE1"/>
    <w:rsid w:val="007C6F85"/>
    <w:rsid w:val="007C6FF5"/>
    <w:rsid w:val="007C71FB"/>
    <w:rsid w:val="007D0138"/>
    <w:rsid w:val="007D0569"/>
    <w:rsid w:val="007D0FD7"/>
    <w:rsid w:val="007D16B1"/>
    <w:rsid w:val="007D19E4"/>
    <w:rsid w:val="007D24CB"/>
    <w:rsid w:val="007D5961"/>
    <w:rsid w:val="007D6164"/>
    <w:rsid w:val="007D67A9"/>
    <w:rsid w:val="007D6B1A"/>
    <w:rsid w:val="007D7400"/>
    <w:rsid w:val="007D7761"/>
    <w:rsid w:val="007D7823"/>
    <w:rsid w:val="007D79FF"/>
    <w:rsid w:val="007E02A7"/>
    <w:rsid w:val="007E04D7"/>
    <w:rsid w:val="007E20CA"/>
    <w:rsid w:val="007E2BAB"/>
    <w:rsid w:val="007E468A"/>
    <w:rsid w:val="007E51A5"/>
    <w:rsid w:val="007E578B"/>
    <w:rsid w:val="007E5F7A"/>
    <w:rsid w:val="007E706D"/>
    <w:rsid w:val="007E7F4C"/>
    <w:rsid w:val="007F3018"/>
    <w:rsid w:val="007F583B"/>
    <w:rsid w:val="007F606A"/>
    <w:rsid w:val="007F6245"/>
    <w:rsid w:val="007F6821"/>
    <w:rsid w:val="007F6D8C"/>
    <w:rsid w:val="007F7C0C"/>
    <w:rsid w:val="008017FF"/>
    <w:rsid w:val="00802C68"/>
    <w:rsid w:val="00802CCC"/>
    <w:rsid w:val="0080389B"/>
    <w:rsid w:val="00804C8E"/>
    <w:rsid w:val="008060C3"/>
    <w:rsid w:val="008062BA"/>
    <w:rsid w:val="008063A1"/>
    <w:rsid w:val="00807825"/>
    <w:rsid w:val="00807F00"/>
    <w:rsid w:val="00812095"/>
    <w:rsid w:val="00812E52"/>
    <w:rsid w:val="008134BD"/>
    <w:rsid w:val="00814656"/>
    <w:rsid w:val="00814ADE"/>
    <w:rsid w:val="00815C84"/>
    <w:rsid w:val="008168BB"/>
    <w:rsid w:val="00817E48"/>
    <w:rsid w:val="0082016A"/>
    <w:rsid w:val="0082035C"/>
    <w:rsid w:val="00820E45"/>
    <w:rsid w:val="00821838"/>
    <w:rsid w:val="00821E2C"/>
    <w:rsid w:val="00822835"/>
    <w:rsid w:val="0082384B"/>
    <w:rsid w:val="00823D0A"/>
    <w:rsid w:val="00824B9F"/>
    <w:rsid w:val="00825342"/>
    <w:rsid w:val="00826758"/>
    <w:rsid w:val="008269D9"/>
    <w:rsid w:val="0082791F"/>
    <w:rsid w:val="00827A6E"/>
    <w:rsid w:val="00827AD9"/>
    <w:rsid w:val="0083014C"/>
    <w:rsid w:val="00830868"/>
    <w:rsid w:val="008329B6"/>
    <w:rsid w:val="0083391F"/>
    <w:rsid w:val="008352BE"/>
    <w:rsid w:val="008353E0"/>
    <w:rsid w:val="008365F0"/>
    <w:rsid w:val="00840924"/>
    <w:rsid w:val="00841534"/>
    <w:rsid w:val="00841767"/>
    <w:rsid w:val="008419FF"/>
    <w:rsid w:val="0084201E"/>
    <w:rsid w:val="008428ED"/>
    <w:rsid w:val="0084351B"/>
    <w:rsid w:val="00845F0F"/>
    <w:rsid w:val="008462F1"/>
    <w:rsid w:val="00846930"/>
    <w:rsid w:val="008469B2"/>
    <w:rsid w:val="00846C6F"/>
    <w:rsid w:val="0084702A"/>
    <w:rsid w:val="00850FDE"/>
    <w:rsid w:val="00852876"/>
    <w:rsid w:val="00852CD0"/>
    <w:rsid w:val="008535E1"/>
    <w:rsid w:val="008543F5"/>
    <w:rsid w:val="00854550"/>
    <w:rsid w:val="00855004"/>
    <w:rsid w:val="008572C4"/>
    <w:rsid w:val="0085733E"/>
    <w:rsid w:val="008604A8"/>
    <w:rsid w:val="0086090E"/>
    <w:rsid w:val="00861AFA"/>
    <w:rsid w:val="0086277A"/>
    <w:rsid w:val="00863C61"/>
    <w:rsid w:val="008640B0"/>
    <w:rsid w:val="00864176"/>
    <w:rsid w:val="0086459C"/>
    <w:rsid w:val="00865522"/>
    <w:rsid w:val="00865ADF"/>
    <w:rsid w:val="0086644C"/>
    <w:rsid w:val="008666B5"/>
    <w:rsid w:val="008702EF"/>
    <w:rsid w:val="008703B3"/>
    <w:rsid w:val="00870515"/>
    <w:rsid w:val="008719F8"/>
    <w:rsid w:val="00872497"/>
    <w:rsid w:val="00872B5E"/>
    <w:rsid w:val="00876985"/>
    <w:rsid w:val="008801A5"/>
    <w:rsid w:val="00880732"/>
    <w:rsid w:val="008829F0"/>
    <w:rsid w:val="00883780"/>
    <w:rsid w:val="00883B99"/>
    <w:rsid w:val="00884E5B"/>
    <w:rsid w:val="00885066"/>
    <w:rsid w:val="00885B4D"/>
    <w:rsid w:val="00885F85"/>
    <w:rsid w:val="0088665E"/>
    <w:rsid w:val="00887439"/>
    <w:rsid w:val="008904CF"/>
    <w:rsid w:val="00890DB9"/>
    <w:rsid w:val="00891774"/>
    <w:rsid w:val="00891DAA"/>
    <w:rsid w:val="00892136"/>
    <w:rsid w:val="008923C8"/>
    <w:rsid w:val="00892683"/>
    <w:rsid w:val="008926A7"/>
    <w:rsid w:val="00892E4D"/>
    <w:rsid w:val="00893260"/>
    <w:rsid w:val="008932A8"/>
    <w:rsid w:val="00893756"/>
    <w:rsid w:val="00893E18"/>
    <w:rsid w:val="008942DD"/>
    <w:rsid w:val="00894609"/>
    <w:rsid w:val="00894A9E"/>
    <w:rsid w:val="008950F6"/>
    <w:rsid w:val="008951BE"/>
    <w:rsid w:val="008966DE"/>
    <w:rsid w:val="00896815"/>
    <w:rsid w:val="00896D67"/>
    <w:rsid w:val="00897958"/>
    <w:rsid w:val="008A05F0"/>
    <w:rsid w:val="008A0744"/>
    <w:rsid w:val="008A0A6E"/>
    <w:rsid w:val="008A0D0F"/>
    <w:rsid w:val="008A1117"/>
    <w:rsid w:val="008A1858"/>
    <w:rsid w:val="008A2FB3"/>
    <w:rsid w:val="008A32D3"/>
    <w:rsid w:val="008A398B"/>
    <w:rsid w:val="008A3C41"/>
    <w:rsid w:val="008A47FD"/>
    <w:rsid w:val="008A5601"/>
    <w:rsid w:val="008A59AD"/>
    <w:rsid w:val="008A7697"/>
    <w:rsid w:val="008B029C"/>
    <w:rsid w:val="008B0EEB"/>
    <w:rsid w:val="008B13E1"/>
    <w:rsid w:val="008B25D6"/>
    <w:rsid w:val="008B431D"/>
    <w:rsid w:val="008B51FD"/>
    <w:rsid w:val="008B6590"/>
    <w:rsid w:val="008B6E86"/>
    <w:rsid w:val="008B7186"/>
    <w:rsid w:val="008C1939"/>
    <w:rsid w:val="008C3396"/>
    <w:rsid w:val="008C39FA"/>
    <w:rsid w:val="008C3BFF"/>
    <w:rsid w:val="008C5500"/>
    <w:rsid w:val="008C606A"/>
    <w:rsid w:val="008C621C"/>
    <w:rsid w:val="008C697C"/>
    <w:rsid w:val="008C75ED"/>
    <w:rsid w:val="008C7649"/>
    <w:rsid w:val="008C7957"/>
    <w:rsid w:val="008D02B5"/>
    <w:rsid w:val="008D094F"/>
    <w:rsid w:val="008D166E"/>
    <w:rsid w:val="008D6BFF"/>
    <w:rsid w:val="008D7413"/>
    <w:rsid w:val="008E0991"/>
    <w:rsid w:val="008E0C3C"/>
    <w:rsid w:val="008E0FBA"/>
    <w:rsid w:val="008E2243"/>
    <w:rsid w:val="008E2371"/>
    <w:rsid w:val="008E338E"/>
    <w:rsid w:val="008E3A03"/>
    <w:rsid w:val="008E54FB"/>
    <w:rsid w:val="008E57FE"/>
    <w:rsid w:val="008E58C9"/>
    <w:rsid w:val="008E7142"/>
    <w:rsid w:val="008E7E05"/>
    <w:rsid w:val="008F2665"/>
    <w:rsid w:val="008F3488"/>
    <w:rsid w:val="008F388C"/>
    <w:rsid w:val="008F507E"/>
    <w:rsid w:val="008F5574"/>
    <w:rsid w:val="008F6005"/>
    <w:rsid w:val="008F6174"/>
    <w:rsid w:val="008F6376"/>
    <w:rsid w:val="00900AA2"/>
    <w:rsid w:val="00900CC2"/>
    <w:rsid w:val="009019FB"/>
    <w:rsid w:val="00901AE0"/>
    <w:rsid w:val="009025D4"/>
    <w:rsid w:val="00904A11"/>
    <w:rsid w:val="00905620"/>
    <w:rsid w:val="00905B05"/>
    <w:rsid w:val="00905B43"/>
    <w:rsid w:val="0090753C"/>
    <w:rsid w:val="00907586"/>
    <w:rsid w:val="00907C1C"/>
    <w:rsid w:val="00910FC2"/>
    <w:rsid w:val="00911B66"/>
    <w:rsid w:val="00912A7E"/>
    <w:rsid w:val="0091331A"/>
    <w:rsid w:val="00915330"/>
    <w:rsid w:val="0091537A"/>
    <w:rsid w:val="0091698A"/>
    <w:rsid w:val="00916E69"/>
    <w:rsid w:val="0091739A"/>
    <w:rsid w:val="00917525"/>
    <w:rsid w:val="0091777D"/>
    <w:rsid w:val="0092057D"/>
    <w:rsid w:val="00920763"/>
    <w:rsid w:val="00920857"/>
    <w:rsid w:val="00920D71"/>
    <w:rsid w:val="0092109A"/>
    <w:rsid w:val="009218DE"/>
    <w:rsid w:val="00922D00"/>
    <w:rsid w:val="00923626"/>
    <w:rsid w:val="00923F17"/>
    <w:rsid w:val="00924150"/>
    <w:rsid w:val="0092437D"/>
    <w:rsid w:val="00925260"/>
    <w:rsid w:val="009266DA"/>
    <w:rsid w:val="00927313"/>
    <w:rsid w:val="00927540"/>
    <w:rsid w:val="00927D6E"/>
    <w:rsid w:val="00930DE8"/>
    <w:rsid w:val="00931744"/>
    <w:rsid w:val="009318DD"/>
    <w:rsid w:val="00933CF2"/>
    <w:rsid w:val="00933EBE"/>
    <w:rsid w:val="0093410C"/>
    <w:rsid w:val="009351B9"/>
    <w:rsid w:val="00935413"/>
    <w:rsid w:val="009358B7"/>
    <w:rsid w:val="00935E26"/>
    <w:rsid w:val="00935F5D"/>
    <w:rsid w:val="009368E0"/>
    <w:rsid w:val="00937B08"/>
    <w:rsid w:val="0094087A"/>
    <w:rsid w:val="009419E4"/>
    <w:rsid w:val="00941E16"/>
    <w:rsid w:val="0094260B"/>
    <w:rsid w:val="00942661"/>
    <w:rsid w:val="009428AE"/>
    <w:rsid w:val="00942D72"/>
    <w:rsid w:val="00945307"/>
    <w:rsid w:val="0094558D"/>
    <w:rsid w:val="00946695"/>
    <w:rsid w:val="00946FA5"/>
    <w:rsid w:val="00946FCE"/>
    <w:rsid w:val="00947077"/>
    <w:rsid w:val="00950432"/>
    <w:rsid w:val="009505DD"/>
    <w:rsid w:val="00950B88"/>
    <w:rsid w:val="009515BC"/>
    <w:rsid w:val="0095190F"/>
    <w:rsid w:val="00952256"/>
    <w:rsid w:val="00953ED0"/>
    <w:rsid w:val="009542BB"/>
    <w:rsid w:val="0095492E"/>
    <w:rsid w:val="0095536D"/>
    <w:rsid w:val="00955F7D"/>
    <w:rsid w:val="0096242F"/>
    <w:rsid w:val="00962E3B"/>
    <w:rsid w:val="00962FF5"/>
    <w:rsid w:val="00963B2D"/>
    <w:rsid w:val="00964A4E"/>
    <w:rsid w:val="00965B02"/>
    <w:rsid w:val="00965C07"/>
    <w:rsid w:val="00965D2D"/>
    <w:rsid w:val="00971847"/>
    <w:rsid w:val="00972964"/>
    <w:rsid w:val="00972E58"/>
    <w:rsid w:val="0097463E"/>
    <w:rsid w:val="009755A2"/>
    <w:rsid w:val="009758C0"/>
    <w:rsid w:val="0097762F"/>
    <w:rsid w:val="009778F2"/>
    <w:rsid w:val="00977B3D"/>
    <w:rsid w:val="009808E2"/>
    <w:rsid w:val="009816B8"/>
    <w:rsid w:val="00981E72"/>
    <w:rsid w:val="00982D89"/>
    <w:rsid w:val="00982DA2"/>
    <w:rsid w:val="00983B45"/>
    <w:rsid w:val="009844D9"/>
    <w:rsid w:val="009850AA"/>
    <w:rsid w:val="00986101"/>
    <w:rsid w:val="009862E2"/>
    <w:rsid w:val="0098766F"/>
    <w:rsid w:val="00990D3E"/>
    <w:rsid w:val="00990EF2"/>
    <w:rsid w:val="00992BBA"/>
    <w:rsid w:val="00992BE5"/>
    <w:rsid w:val="0099328E"/>
    <w:rsid w:val="00993912"/>
    <w:rsid w:val="00994050"/>
    <w:rsid w:val="00994E5B"/>
    <w:rsid w:val="009962CF"/>
    <w:rsid w:val="009969D6"/>
    <w:rsid w:val="00996D6A"/>
    <w:rsid w:val="0099721F"/>
    <w:rsid w:val="00997A59"/>
    <w:rsid w:val="00997F60"/>
    <w:rsid w:val="009A0103"/>
    <w:rsid w:val="009A1257"/>
    <w:rsid w:val="009A156B"/>
    <w:rsid w:val="009A1B22"/>
    <w:rsid w:val="009A3907"/>
    <w:rsid w:val="009A4543"/>
    <w:rsid w:val="009A54D5"/>
    <w:rsid w:val="009A56AC"/>
    <w:rsid w:val="009A5DB1"/>
    <w:rsid w:val="009A7574"/>
    <w:rsid w:val="009A7C5A"/>
    <w:rsid w:val="009A7E51"/>
    <w:rsid w:val="009B0171"/>
    <w:rsid w:val="009B089B"/>
    <w:rsid w:val="009B1538"/>
    <w:rsid w:val="009B1F47"/>
    <w:rsid w:val="009B21B9"/>
    <w:rsid w:val="009B4CD0"/>
    <w:rsid w:val="009B4DA7"/>
    <w:rsid w:val="009B57C5"/>
    <w:rsid w:val="009C0839"/>
    <w:rsid w:val="009C19C0"/>
    <w:rsid w:val="009C21C6"/>
    <w:rsid w:val="009C383B"/>
    <w:rsid w:val="009C3A80"/>
    <w:rsid w:val="009C4354"/>
    <w:rsid w:val="009C5238"/>
    <w:rsid w:val="009C5C43"/>
    <w:rsid w:val="009D0D62"/>
    <w:rsid w:val="009D12B4"/>
    <w:rsid w:val="009D186F"/>
    <w:rsid w:val="009D1E70"/>
    <w:rsid w:val="009D2135"/>
    <w:rsid w:val="009D2FA7"/>
    <w:rsid w:val="009D4CAE"/>
    <w:rsid w:val="009D4CBE"/>
    <w:rsid w:val="009D4E6E"/>
    <w:rsid w:val="009D4FDB"/>
    <w:rsid w:val="009D55F9"/>
    <w:rsid w:val="009D5A11"/>
    <w:rsid w:val="009D63F4"/>
    <w:rsid w:val="009D676D"/>
    <w:rsid w:val="009D771E"/>
    <w:rsid w:val="009D7760"/>
    <w:rsid w:val="009E01FD"/>
    <w:rsid w:val="009E088E"/>
    <w:rsid w:val="009E08E3"/>
    <w:rsid w:val="009E0B80"/>
    <w:rsid w:val="009E16E6"/>
    <w:rsid w:val="009E2953"/>
    <w:rsid w:val="009E30CE"/>
    <w:rsid w:val="009E57ED"/>
    <w:rsid w:val="009E62C3"/>
    <w:rsid w:val="009F04C3"/>
    <w:rsid w:val="009F0760"/>
    <w:rsid w:val="009F117B"/>
    <w:rsid w:val="009F271D"/>
    <w:rsid w:val="009F3B29"/>
    <w:rsid w:val="009F4860"/>
    <w:rsid w:val="009F499D"/>
    <w:rsid w:val="009F5993"/>
    <w:rsid w:val="009F7EF6"/>
    <w:rsid w:val="00A00057"/>
    <w:rsid w:val="00A00413"/>
    <w:rsid w:val="00A00485"/>
    <w:rsid w:val="00A01A5F"/>
    <w:rsid w:val="00A02C96"/>
    <w:rsid w:val="00A02E65"/>
    <w:rsid w:val="00A032BA"/>
    <w:rsid w:val="00A0340A"/>
    <w:rsid w:val="00A03F2B"/>
    <w:rsid w:val="00A0440C"/>
    <w:rsid w:val="00A04B0F"/>
    <w:rsid w:val="00A05141"/>
    <w:rsid w:val="00A052AA"/>
    <w:rsid w:val="00A057D6"/>
    <w:rsid w:val="00A0585F"/>
    <w:rsid w:val="00A0649E"/>
    <w:rsid w:val="00A068C1"/>
    <w:rsid w:val="00A0694A"/>
    <w:rsid w:val="00A06C08"/>
    <w:rsid w:val="00A07E59"/>
    <w:rsid w:val="00A1014A"/>
    <w:rsid w:val="00A104B2"/>
    <w:rsid w:val="00A10A30"/>
    <w:rsid w:val="00A10B2E"/>
    <w:rsid w:val="00A1137C"/>
    <w:rsid w:val="00A113D7"/>
    <w:rsid w:val="00A11DF9"/>
    <w:rsid w:val="00A11F0F"/>
    <w:rsid w:val="00A12125"/>
    <w:rsid w:val="00A14C97"/>
    <w:rsid w:val="00A1587D"/>
    <w:rsid w:val="00A16126"/>
    <w:rsid w:val="00A2304A"/>
    <w:rsid w:val="00A23C72"/>
    <w:rsid w:val="00A24133"/>
    <w:rsid w:val="00A25127"/>
    <w:rsid w:val="00A251FF"/>
    <w:rsid w:val="00A262BF"/>
    <w:rsid w:val="00A264FF"/>
    <w:rsid w:val="00A27024"/>
    <w:rsid w:val="00A27809"/>
    <w:rsid w:val="00A300B9"/>
    <w:rsid w:val="00A30533"/>
    <w:rsid w:val="00A317B0"/>
    <w:rsid w:val="00A32794"/>
    <w:rsid w:val="00A34591"/>
    <w:rsid w:val="00A34E44"/>
    <w:rsid w:val="00A3640F"/>
    <w:rsid w:val="00A37182"/>
    <w:rsid w:val="00A37B3D"/>
    <w:rsid w:val="00A40CE2"/>
    <w:rsid w:val="00A42568"/>
    <w:rsid w:val="00A42676"/>
    <w:rsid w:val="00A43900"/>
    <w:rsid w:val="00A4461A"/>
    <w:rsid w:val="00A44E4D"/>
    <w:rsid w:val="00A4686E"/>
    <w:rsid w:val="00A46907"/>
    <w:rsid w:val="00A4697B"/>
    <w:rsid w:val="00A47176"/>
    <w:rsid w:val="00A475C5"/>
    <w:rsid w:val="00A4768C"/>
    <w:rsid w:val="00A47D4C"/>
    <w:rsid w:val="00A47E4D"/>
    <w:rsid w:val="00A50A68"/>
    <w:rsid w:val="00A50D3B"/>
    <w:rsid w:val="00A518AA"/>
    <w:rsid w:val="00A5327E"/>
    <w:rsid w:val="00A537EB"/>
    <w:rsid w:val="00A55736"/>
    <w:rsid w:val="00A56348"/>
    <w:rsid w:val="00A56AC6"/>
    <w:rsid w:val="00A5703F"/>
    <w:rsid w:val="00A57D39"/>
    <w:rsid w:val="00A61992"/>
    <w:rsid w:val="00A625FB"/>
    <w:rsid w:val="00A627F9"/>
    <w:rsid w:val="00A6316B"/>
    <w:rsid w:val="00A6405A"/>
    <w:rsid w:val="00A64268"/>
    <w:rsid w:val="00A65316"/>
    <w:rsid w:val="00A658F9"/>
    <w:rsid w:val="00A6630A"/>
    <w:rsid w:val="00A67459"/>
    <w:rsid w:val="00A674FF"/>
    <w:rsid w:val="00A70F69"/>
    <w:rsid w:val="00A72611"/>
    <w:rsid w:val="00A73ABB"/>
    <w:rsid w:val="00A73E5E"/>
    <w:rsid w:val="00A7468A"/>
    <w:rsid w:val="00A75B11"/>
    <w:rsid w:val="00A76D2C"/>
    <w:rsid w:val="00A76EF1"/>
    <w:rsid w:val="00A77746"/>
    <w:rsid w:val="00A77F5B"/>
    <w:rsid w:val="00A806AA"/>
    <w:rsid w:val="00A8171A"/>
    <w:rsid w:val="00A81D82"/>
    <w:rsid w:val="00A82744"/>
    <w:rsid w:val="00A83BF6"/>
    <w:rsid w:val="00A84616"/>
    <w:rsid w:val="00A85F06"/>
    <w:rsid w:val="00A87F31"/>
    <w:rsid w:val="00A9050C"/>
    <w:rsid w:val="00A90D27"/>
    <w:rsid w:val="00A9103B"/>
    <w:rsid w:val="00A91284"/>
    <w:rsid w:val="00A91365"/>
    <w:rsid w:val="00A918A7"/>
    <w:rsid w:val="00A92871"/>
    <w:rsid w:val="00A92EF7"/>
    <w:rsid w:val="00A955EB"/>
    <w:rsid w:val="00A971B5"/>
    <w:rsid w:val="00AA195F"/>
    <w:rsid w:val="00AA1F49"/>
    <w:rsid w:val="00AA33A3"/>
    <w:rsid w:val="00AA3A2E"/>
    <w:rsid w:val="00AA4099"/>
    <w:rsid w:val="00AA6456"/>
    <w:rsid w:val="00AA6913"/>
    <w:rsid w:val="00AA6FFD"/>
    <w:rsid w:val="00AB067F"/>
    <w:rsid w:val="00AB089C"/>
    <w:rsid w:val="00AB19FB"/>
    <w:rsid w:val="00AB2190"/>
    <w:rsid w:val="00AB301C"/>
    <w:rsid w:val="00AB3082"/>
    <w:rsid w:val="00AB39EB"/>
    <w:rsid w:val="00AB3F27"/>
    <w:rsid w:val="00AB3FD9"/>
    <w:rsid w:val="00AB5061"/>
    <w:rsid w:val="00AB6103"/>
    <w:rsid w:val="00AB72A5"/>
    <w:rsid w:val="00AB7D3D"/>
    <w:rsid w:val="00AB7DE7"/>
    <w:rsid w:val="00AC0F9A"/>
    <w:rsid w:val="00AC1BE7"/>
    <w:rsid w:val="00AC275F"/>
    <w:rsid w:val="00AC3196"/>
    <w:rsid w:val="00AC3A6D"/>
    <w:rsid w:val="00AC4B9C"/>
    <w:rsid w:val="00AC50A4"/>
    <w:rsid w:val="00AC5A95"/>
    <w:rsid w:val="00AC6074"/>
    <w:rsid w:val="00AC6471"/>
    <w:rsid w:val="00AC6A71"/>
    <w:rsid w:val="00AC761D"/>
    <w:rsid w:val="00AD1751"/>
    <w:rsid w:val="00AD1A75"/>
    <w:rsid w:val="00AD2268"/>
    <w:rsid w:val="00AD2B6E"/>
    <w:rsid w:val="00AD2CAC"/>
    <w:rsid w:val="00AD3093"/>
    <w:rsid w:val="00AD3443"/>
    <w:rsid w:val="00AD4337"/>
    <w:rsid w:val="00AD43F9"/>
    <w:rsid w:val="00AD4B3C"/>
    <w:rsid w:val="00AD5883"/>
    <w:rsid w:val="00AD68A5"/>
    <w:rsid w:val="00AD6B0B"/>
    <w:rsid w:val="00AD6DC6"/>
    <w:rsid w:val="00AD7BAF"/>
    <w:rsid w:val="00AE1610"/>
    <w:rsid w:val="00AE185D"/>
    <w:rsid w:val="00AE1BFE"/>
    <w:rsid w:val="00AE3842"/>
    <w:rsid w:val="00AE3D83"/>
    <w:rsid w:val="00AE4374"/>
    <w:rsid w:val="00AE485C"/>
    <w:rsid w:val="00AE62E5"/>
    <w:rsid w:val="00AE6AD4"/>
    <w:rsid w:val="00AE6B7D"/>
    <w:rsid w:val="00AE6E85"/>
    <w:rsid w:val="00AE715C"/>
    <w:rsid w:val="00AE7D4F"/>
    <w:rsid w:val="00AE7FE4"/>
    <w:rsid w:val="00AF17D3"/>
    <w:rsid w:val="00AF1D77"/>
    <w:rsid w:val="00AF215E"/>
    <w:rsid w:val="00AF38BA"/>
    <w:rsid w:val="00AF4F67"/>
    <w:rsid w:val="00AF507B"/>
    <w:rsid w:val="00AF5811"/>
    <w:rsid w:val="00AF605F"/>
    <w:rsid w:val="00AF6509"/>
    <w:rsid w:val="00AF7307"/>
    <w:rsid w:val="00B005FF"/>
    <w:rsid w:val="00B00BBE"/>
    <w:rsid w:val="00B00E1D"/>
    <w:rsid w:val="00B01036"/>
    <w:rsid w:val="00B019C1"/>
    <w:rsid w:val="00B0244D"/>
    <w:rsid w:val="00B026AD"/>
    <w:rsid w:val="00B0328C"/>
    <w:rsid w:val="00B03C8A"/>
    <w:rsid w:val="00B0456E"/>
    <w:rsid w:val="00B04ED8"/>
    <w:rsid w:val="00B04FEB"/>
    <w:rsid w:val="00B06A05"/>
    <w:rsid w:val="00B06BF6"/>
    <w:rsid w:val="00B06F7F"/>
    <w:rsid w:val="00B100F0"/>
    <w:rsid w:val="00B1345A"/>
    <w:rsid w:val="00B1402E"/>
    <w:rsid w:val="00B14865"/>
    <w:rsid w:val="00B14AEB"/>
    <w:rsid w:val="00B14F49"/>
    <w:rsid w:val="00B17321"/>
    <w:rsid w:val="00B219C5"/>
    <w:rsid w:val="00B21AC1"/>
    <w:rsid w:val="00B21D50"/>
    <w:rsid w:val="00B22015"/>
    <w:rsid w:val="00B22779"/>
    <w:rsid w:val="00B22B0F"/>
    <w:rsid w:val="00B22D76"/>
    <w:rsid w:val="00B22F9B"/>
    <w:rsid w:val="00B23747"/>
    <w:rsid w:val="00B2378A"/>
    <w:rsid w:val="00B23A83"/>
    <w:rsid w:val="00B23AAD"/>
    <w:rsid w:val="00B23B0B"/>
    <w:rsid w:val="00B24090"/>
    <w:rsid w:val="00B24CA6"/>
    <w:rsid w:val="00B25100"/>
    <w:rsid w:val="00B257E3"/>
    <w:rsid w:val="00B2585A"/>
    <w:rsid w:val="00B260C7"/>
    <w:rsid w:val="00B2713D"/>
    <w:rsid w:val="00B27494"/>
    <w:rsid w:val="00B279B9"/>
    <w:rsid w:val="00B27BFD"/>
    <w:rsid w:val="00B33974"/>
    <w:rsid w:val="00B34F48"/>
    <w:rsid w:val="00B36F25"/>
    <w:rsid w:val="00B410E6"/>
    <w:rsid w:val="00B461EF"/>
    <w:rsid w:val="00B462D3"/>
    <w:rsid w:val="00B46E25"/>
    <w:rsid w:val="00B509A6"/>
    <w:rsid w:val="00B512DE"/>
    <w:rsid w:val="00B51BA0"/>
    <w:rsid w:val="00B52FD1"/>
    <w:rsid w:val="00B52FD3"/>
    <w:rsid w:val="00B535BD"/>
    <w:rsid w:val="00B53701"/>
    <w:rsid w:val="00B55EB3"/>
    <w:rsid w:val="00B56A26"/>
    <w:rsid w:val="00B56EE1"/>
    <w:rsid w:val="00B57A39"/>
    <w:rsid w:val="00B60B90"/>
    <w:rsid w:val="00B6110A"/>
    <w:rsid w:val="00B61185"/>
    <w:rsid w:val="00B615CC"/>
    <w:rsid w:val="00B6176A"/>
    <w:rsid w:val="00B628CD"/>
    <w:rsid w:val="00B6301A"/>
    <w:rsid w:val="00B64CAD"/>
    <w:rsid w:val="00B65179"/>
    <w:rsid w:val="00B65F01"/>
    <w:rsid w:val="00B66751"/>
    <w:rsid w:val="00B66BE8"/>
    <w:rsid w:val="00B6740A"/>
    <w:rsid w:val="00B67AA6"/>
    <w:rsid w:val="00B7066C"/>
    <w:rsid w:val="00B70E80"/>
    <w:rsid w:val="00B717D8"/>
    <w:rsid w:val="00B72DF3"/>
    <w:rsid w:val="00B732D8"/>
    <w:rsid w:val="00B73866"/>
    <w:rsid w:val="00B74146"/>
    <w:rsid w:val="00B76D42"/>
    <w:rsid w:val="00B76F6C"/>
    <w:rsid w:val="00B8080B"/>
    <w:rsid w:val="00B811EF"/>
    <w:rsid w:val="00B83A9D"/>
    <w:rsid w:val="00B850B3"/>
    <w:rsid w:val="00B86252"/>
    <w:rsid w:val="00B86EF1"/>
    <w:rsid w:val="00B876AC"/>
    <w:rsid w:val="00B90674"/>
    <w:rsid w:val="00B90EC9"/>
    <w:rsid w:val="00B91152"/>
    <w:rsid w:val="00B93176"/>
    <w:rsid w:val="00B934E3"/>
    <w:rsid w:val="00B94323"/>
    <w:rsid w:val="00B9566B"/>
    <w:rsid w:val="00B961B7"/>
    <w:rsid w:val="00B963D4"/>
    <w:rsid w:val="00B9772B"/>
    <w:rsid w:val="00BA0047"/>
    <w:rsid w:val="00BA036B"/>
    <w:rsid w:val="00BA2A60"/>
    <w:rsid w:val="00BA2DEF"/>
    <w:rsid w:val="00BA3569"/>
    <w:rsid w:val="00BA42FB"/>
    <w:rsid w:val="00BA4768"/>
    <w:rsid w:val="00BA516F"/>
    <w:rsid w:val="00BA601B"/>
    <w:rsid w:val="00BA628C"/>
    <w:rsid w:val="00BA68CA"/>
    <w:rsid w:val="00BA7059"/>
    <w:rsid w:val="00BA7275"/>
    <w:rsid w:val="00BA729A"/>
    <w:rsid w:val="00BA7DCD"/>
    <w:rsid w:val="00BB001C"/>
    <w:rsid w:val="00BB0051"/>
    <w:rsid w:val="00BB01E8"/>
    <w:rsid w:val="00BB02C6"/>
    <w:rsid w:val="00BB1082"/>
    <w:rsid w:val="00BB1CF4"/>
    <w:rsid w:val="00BB2127"/>
    <w:rsid w:val="00BB2266"/>
    <w:rsid w:val="00BB32CD"/>
    <w:rsid w:val="00BB3805"/>
    <w:rsid w:val="00BB3D60"/>
    <w:rsid w:val="00BB4355"/>
    <w:rsid w:val="00BB49B2"/>
    <w:rsid w:val="00BB4DF0"/>
    <w:rsid w:val="00BB52A5"/>
    <w:rsid w:val="00BB5C1F"/>
    <w:rsid w:val="00BB6740"/>
    <w:rsid w:val="00BB7451"/>
    <w:rsid w:val="00BB7EA1"/>
    <w:rsid w:val="00BB7F81"/>
    <w:rsid w:val="00BC0EF3"/>
    <w:rsid w:val="00BC1D09"/>
    <w:rsid w:val="00BC269B"/>
    <w:rsid w:val="00BC27D2"/>
    <w:rsid w:val="00BC305C"/>
    <w:rsid w:val="00BC3A08"/>
    <w:rsid w:val="00BC5DE1"/>
    <w:rsid w:val="00BD18FC"/>
    <w:rsid w:val="00BD1D99"/>
    <w:rsid w:val="00BD35E1"/>
    <w:rsid w:val="00BD54FC"/>
    <w:rsid w:val="00BD63C3"/>
    <w:rsid w:val="00BD67CE"/>
    <w:rsid w:val="00BD76A4"/>
    <w:rsid w:val="00BE0DE9"/>
    <w:rsid w:val="00BE0EFE"/>
    <w:rsid w:val="00BE1C8A"/>
    <w:rsid w:val="00BE2F53"/>
    <w:rsid w:val="00BE4857"/>
    <w:rsid w:val="00BE5847"/>
    <w:rsid w:val="00BE5BE0"/>
    <w:rsid w:val="00BE607A"/>
    <w:rsid w:val="00BE61DA"/>
    <w:rsid w:val="00BE70E8"/>
    <w:rsid w:val="00BE7A36"/>
    <w:rsid w:val="00BF078A"/>
    <w:rsid w:val="00BF0B8C"/>
    <w:rsid w:val="00BF0E76"/>
    <w:rsid w:val="00BF19DC"/>
    <w:rsid w:val="00BF2B3E"/>
    <w:rsid w:val="00BF2DAF"/>
    <w:rsid w:val="00BF39B4"/>
    <w:rsid w:val="00BF4AA8"/>
    <w:rsid w:val="00BF4E1B"/>
    <w:rsid w:val="00C014E0"/>
    <w:rsid w:val="00C042AB"/>
    <w:rsid w:val="00C0480F"/>
    <w:rsid w:val="00C04EEC"/>
    <w:rsid w:val="00C0546F"/>
    <w:rsid w:val="00C055DF"/>
    <w:rsid w:val="00C06DDA"/>
    <w:rsid w:val="00C06E85"/>
    <w:rsid w:val="00C101D0"/>
    <w:rsid w:val="00C1043C"/>
    <w:rsid w:val="00C10862"/>
    <w:rsid w:val="00C12A51"/>
    <w:rsid w:val="00C12B7B"/>
    <w:rsid w:val="00C12CD1"/>
    <w:rsid w:val="00C13DC0"/>
    <w:rsid w:val="00C153DF"/>
    <w:rsid w:val="00C1591E"/>
    <w:rsid w:val="00C20D36"/>
    <w:rsid w:val="00C21038"/>
    <w:rsid w:val="00C21607"/>
    <w:rsid w:val="00C21622"/>
    <w:rsid w:val="00C22D01"/>
    <w:rsid w:val="00C2396B"/>
    <w:rsid w:val="00C23C28"/>
    <w:rsid w:val="00C25234"/>
    <w:rsid w:val="00C256C6"/>
    <w:rsid w:val="00C25EA7"/>
    <w:rsid w:val="00C263DF"/>
    <w:rsid w:val="00C265EF"/>
    <w:rsid w:val="00C2760B"/>
    <w:rsid w:val="00C2785F"/>
    <w:rsid w:val="00C3074C"/>
    <w:rsid w:val="00C30BA6"/>
    <w:rsid w:val="00C31467"/>
    <w:rsid w:val="00C332D7"/>
    <w:rsid w:val="00C347B6"/>
    <w:rsid w:val="00C34CCB"/>
    <w:rsid w:val="00C34D57"/>
    <w:rsid w:val="00C35515"/>
    <w:rsid w:val="00C35807"/>
    <w:rsid w:val="00C35A4B"/>
    <w:rsid w:val="00C35F92"/>
    <w:rsid w:val="00C3614A"/>
    <w:rsid w:val="00C36696"/>
    <w:rsid w:val="00C36720"/>
    <w:rsid w:val="00C36C42"/>
    <w:rsid w:val="00C37518"/>
    <w:rsid w:val="00C37F00"/>
    <w:rsid w:val="00C4035F"/>
    <w:rsid w:val="00C407FA"/>
    <w:rsid w:val="00C421C9"/>
    <w:rsid w:val="00C42A3A"/>
    <w:rsid w:val="00C436A0"/>
    <w:rsid w:val="00C4498A"/>
    <w:rsid w:val="00C4517F"/>
    <w:rsid w:val="00C45232"/>
    <w:rsid w:val="00C46BD7"/>
    <w:rsid w:val="00C46E94"/>
    <w:rsid w:val="00C473A9"/>
    <w:rsid w:val="00C4767E"/>
    <w:rsid w:val="00C50462"/>
    <w:rsid w:val="00C505D3"/>
    <w:rsid w:val="00C51F4F"/>
    <w:rsid w:val="00C52A9B"/>
    <w:rsid w:val="00C52BA5"/>
    <w:rsid w:val="00C5331E"/>
    <w:rsid w:val="00C53323"/>
    <w:rsid w:val="00C53731"/>
    <w:rsid w:val="00C5392F"/>
    <w:rsid w:val="00C54D8C"/>
    <w:rsid w:val="00C5621E"/>
    <w:rsid w:val="00C56A97"/>
    <w:rsid w:val="00C57A62"/>
    <w:rsid w:val="00C57DDB"/>
    <w:rsid w:val="00C60D0A"/>
    <w:rsid w:val="00C60E2A"/>
    <w:rsid w:val="00C616B5"/>
    <w:rsid w:val="00C62442"/>
    <w:rsid w:val="00C644DE"/>
    <w:rsid w:val="00C647EC"/>
    <w:rsid w:val="00C64DE9"/>
    <w:rsid w:val="00C66CEF"/>
    <w:rsid w:val="00C670FE"/>
    <w:rsid w:val="00C67460"/>
    <w:rsid w:val="00C67AE0"/>
    <w:rsid w:val="00C67F0F"/>
    <w:rsid w:val="00C67F79"/>
    <w:rsid w:val="00C700D2"/>
    <w:rsid w:val="00C71087"/>
    <w:rsid w:val="00C7137F"/>
    <w:rsid w:val="00C71E3C"/>
    <w:rsid w:val="00C72842"/>
    <w:rsid w:val="00C73661"/>
    <w:rsid w:val="00C73BAB"/>
    <w:rsid w:val="00C73E44"/>
    <w:rsid w:val="00C748C2"/>
    <w:rsid w:val="00C7510B"/>
    <w:rsid w:val="00C75492"/>
    <w:rsid w:val="00C7564C"/>
    <w:rsid w:val="00C76AB4"/>
    <w:rsid w:val="00C7790E"/>
    <w:rsid w:val="00C77C78"/>
    <w:rsid w:val="00C80798"/>
    <w:rsid w:val="00C8146C"/>
    <w:rsid w:val="00C81D1E"/>
    <w:rsid w:val="00C829C2"/>
    <w:rsid w:val="00C8430E"/>
    <w:rsid w:val="00C846DD"/>
    <w:rsid w:val="00C85CA6"/>
    <w:rsid w:val="00C86BCF"/>
    <w:rsid w:val="00C86EF9"/>
    <w:rsid w:val="00C87F5A"/>
    <w:rsid w:val="00C9147E"/>
    <w:rsid w:val="00C923D9"/>
    <w:rsid w:val="00C925ED"/>
    <w:rsid w:val="00C9339F"/>
    <w:rsid w:val="00C9485F"/>
    <w:rsid w:val="00C9549D"/>
    <w:rsid w:val="00C95738"/>
    <w:rsid w:val="00C96820"/>
    <w:rsid w:val="00C96A10"/>
    <w:rsid w:val="00C96EAD"/>
    <w:rsid w:val="00C9753B"/>
    <w:rsid w:val="00C9787B"/>
    <w:rsid w:val="00C97B2E"/>
    <w:rsid w:val="00CA056E"/>
    <w:rsid w:val="00CA0C87"/>
    <w:rsid w:val="00CA19CD"/>
    <w:rsid w:val="00CA1AC6"/>
    <w:rsid w:val="00CA3305"/>
    <w:rsid w:val="00CA47FA"/>
    <w:rsid w:val="00CA4A62"/>
    <w:rsid w:val="00CA561E"/>
    <w:rsid w:val="00CA659E"/>
    <w:rsid w:val="00CA74E3"/>
    <w:rsid w:val="00CB130D"/>
    <w:rsid w:val="00CB23DD"/>
    <w:rsid w:val="00CB2757"/>
    <w:rsid w:val="00CB2B63"/>
    <w:rsid w:val="00CB2FE7"/>
    <w:rsid w:val="00CB35DF"/>
    <w:rsid w:val="00CB3B57"/>
    <w:rsid w:val="00CB415F"/>
    <w:rsid w:val="00CB42AE"/>
    <w:rsid w:val="00CB4CE8"/>
    <w:rsid w:val="00CB5869"/>
    <w:rsid w:val="00CB6768"/>
    <w:rsid w:val="00CB67D0"/>
    <w:rsid w:val="00CB7A00"/>
    <w:rsid w:val="00CC0652"/>
    <w:rsid w:val="00CC1258"/>
    <w:rsid w:val="00CC147A"/>
    <w:rsid w:val="00CC17DB"/>
    <w:rsid w:val="00CC2912"/>
    <w:rsid w:val="00CC2F01"/>
    <w:rsid w:val="00CC3D1C"/>
    <w:rsid w:val="00CC522A"/>
    <w:rsid w:val="00CC5743"/>
    <w:rsid w:val="00CC5E50"/>
    <w:rsid w:val="00CC6453"/>
    <w:rsid w:val="00CC6DCA"/>
    <w:rsid w:val="00CC7858"/>
    <w:rsid w:val="00CD0AD2"/>
    <w:rsid w:val="00CD11E7"/>
    <w:rsid w:val="00CD20FC"/>
    <w:rsid w:val="00CD2D8A"/>
    <w:rsid w:val="00CD31EA"/>
    <w:rsid w:val="00CD4F6C"/>
    <w:rsid w:val="00CD5A3D"/>
    <w:rsid w:val="00CD692F"/>
    <w:rsid w:val="00CD7495"/>
    <w:rsid w:val="00CD7523"/>
    <w:rsid w:val="00CD7CBA"/>
    <w:rsid w:val="00CE0392"/>
    <w:rsid w:val="00CE0BBD"/>
    <w:rsid w:val="00CE1753"/>
    <w:rsid w:val="00CE2131"/>
    <w:rsid w:val="00CE233D"/>
    <w:rsid w:val="00CE4E36"/>
    <w:rsid w:val="00CE4E68"/>
    <w:rsid w:val="00CE5481"/>
    <w:rsid w:val="00CE5866"/>
    <w:rsid w:val="00CE5ECB"/>
    <w:rsid w:val="00CF0045"/>
    <w:rsid w:val="00CF0C2C"/>
    <w:rsid w:val="00CF1C0B"/>
    <w:rsid w:val="00CF3664"/>
    <w:rsid w:val="00CF4486"/>
    <w:rsid w:val="00CF4BCB"/>
    <w:rsid w:val="00CF7194"/>
    <w:rsid w:val="00CF7C90"/>
    <w:rsid w:val="00CF7E83"/>
    <w:rsid w:val="00CF7EA0"/>
    <w:rsid w:val="00D00600"/>
    <w:rsid w:val="00D0329F"/>
    <w:rsid w:val="00D038FC"/>
    <w:rsid w:val="00D047A4"/>
    <w:rsid w:val="00D06299"/>
    <w:rsid w:val="00D06D12"/>
    <w:rsid w:val="00D07945"/>
    <w:rsid w:val="00D1045D"/>
    <w:rsid w:val="00D1088E"/>
    <w:rsid w:val="00D10CF0"/>
    <w:rsid w:val="00D116F9"/>
    <w:rsid w:val="00D123A7"/>
    <w:rsid w:val="00D131BA"/>
    <w:rsid w:val="00D133AA"/>
    <w:rsid w:val="00D13B0B"/>
    <w:rsid w:val="00D13CCF"/>
    <w:rsid w:val="00D14CF7"/>
    <w:rsid w:val="00D15E67"/>
    <w:rsid w:val="00D16424"/>
    <w:rsid w:val="00D16FC4"/>
    <w:rsid w:val="00D17231"/>
    <w:rsid w:val="00D178AF"/>
    <w:rsid w:val="00D17BDF"/>
    <w:rsid w:val="00D2081A"/>
    <w:rsid w:val="00D20ABB"/>
    <w:rsid w:val="00D24AEE"/>
    <w:rsid w:val="00D24DE9"/>
    <w:rsid w:val="00D24E31"/>
    <w:rsid w:val="00D26A33"/>
    <w:rsid w:val="00D27C97"/>
    <w:rsid w:val="00D302DF"/>
    <w:rsid w:val="00D3073E"/>
    <w:rsid w:val="00D31676"/>
    <w:rsid w:val="00D316C8"/>
    <w:rsid w:val="00D32A9C"/>
    <w:rsid w:val="00D32C78"/>
    <w:rsid w:val="00D32E02"/>
    <w:rsid w:val="00D337D5"/>
    <w:rsid w:val="00D34817"/>
    <w:rsid w:val="00D35F6B"/>
    <w:rsid w:val="00D365BB"/>
    <w:rsid w:val="00D3795A"/>
    <w:rsid w:val="00D37AB5"/>
    <w:rsid w:val="00D40C74"/>
    <w:rsid w:val="00D43282"/>
    <w:rsid w:val="00D43562"/>
    <w:rsid w:val="00D4358F"/>
    <w:rsid w:val="00D43EA4"/>
    <w:rsid w:val="00D44508"/>
    <w:rsid w:val="00D4500A"/>
    <w:rsid w:val="00D45045"/>
    <w:rsid w:val="00D46E31"/>
    <w:rsid w:val="00D47810"/>
    <w:rsid w:val="00D47A94"/>
    <w:rsid w:val="00D5128E"/>
    <w:rsid w:val="00D51438"/>
    <w:rsid w:val="00D52D75"/>
    <w:rsid w:val="00D52FD0"/>
    <w:rsid w:val="00D53535"/>
    <w:rsid w:val="00D53E58"/>
    <w:rsid w:val="00D541D5"/>
    <w:rsid w:val="00D54385"/>
    <w:rsid w:val="00D5484E"/>
    <w:rsid w:val="00D56BB1"/>
    <w:rsid w:val="00D6066B"/>
    <w:rsid w:val="00D60B45"/>
    <w:rsid w:val="00D617C7"/>
    <w:rsid w:val="00D6259C"/>
    <w:rsid w:val="00D63B91"/>
    <w:rsid w:val="00D64A4A"/>
    <w:rsid w:val="00D65837"/>
    <w:rsid w:val="00D65861"/>
    <w:rsid w:val="00D65B9C"/>
    <w:rsid w:val="00D65FCE"/>
    <w:rsid w:val="00D6679C"/>
    <w:rsid w:val="00D67C3E"/>
    <w:rsid w:val="00D67D1C"/>
    <w:rsid w:val="00D71687"/>
    <w:rsid w:val="00D7190D"/>
    <w:rsid w:val="00D72A27"/>
    <w:rsid w:val="00D73EE6"/>
    <w:rsid w:val="00D742D2"/>
    <w:rsid w:val="00D744DC"/>
    <w:rsid w:val="00D7574E"/>
    <w:rsid w:val="00D75CF7"/>
    <w:rsid w:val="00D75F59"/>
    <w:rsid w:val="00D76B4C"/>
    <w:rsid w:val="00D776C3"/>
    <w:rsid w:val="00D80153"/>
    <w:rsid w:val="00D8099D"/>
    <w:rsid w:val="00D81825"/>
    <w:rsid w:val="00D81AC7"/>
    <w:rsid w:val="00D81C30"/>
    <w:rsid w:val="00D8495C"/>
    <w:rsid w:val="00D861E7"/>
    <w:rsid w:val="00D86737"/>
    <w:rsid w:val="00D8696A"/>
    <w:rsid w:val="00D86B82"/>
    <w:rsid w:val="00D8716A"/>
    <w:rsid w:val="00D8717E"/>
    <w:rsid w:val="00D904DA"/>
    <w:rsid w:val="00D9153B"/>
    <w:rsid w:val="00D92B52"/>
    <w:rsid w:val="00D9512A"/>
    <w:rsid w:val="00D9550F"/>
    <w:rsid w:val="00D95903"/>
    <w:rsid w:val="00D95D78"/>
    <w:rsid w:val="00D96FA9"/>
    <w:rsid w:val="00D976F3"/>
    <w:rsid w:val="00D97FB0"/>
    <w:rsid w:val="00DA0452"/>
    <w:rsid w:val="00DA0810"/>
    <w:rsid w:val="00DA19BB"/>
    <w:rsid w:val="00DA1B86"/>
    <w:rsid w:val="00DA36B4"/>
    <w:rsid w:val="00DA3D92"/>
    <w:rsid w:val="00DA3F0C"/>
    <w:rsid w:val="00DA3FCE"/>
    <w:rsid w:val="00DA5184"/>
    <w:rsid w:val="00DA51A2"/>
    <w:rsid w:val="00DA7378"/>
    <w:rsid w:val="00DA7D87"/>
    <w:rsid w:val="00DB0459"/>
    <w:rsid w:val="00DB0FEE"/>
    <w:rsid w:val="00DB14EC"/>
    <w:rsid w:val="00DB194C"/>
    <w:rsid w:val="00DB30F9"/>
    <w:rsid w:val="00DB4203"/>
    <w:rsid w:val="00DB46C9"/>
    <w:rsid w:val="00DB4CE4"/>
    <w:rsid w:val="00DB6128"/>
    <w:rsid w:val="00DB69E4"/>
    <w:rsid w:val="00DB6BB3"/>
    <w:rsid w:val="00DB7172"/>
    <w:rsid w:val="00DB7CA1"/>
    <w:rsid w:val="00DC106D"/>
    <w:rsid w:val="00DC14D4"/>
    <w:rsid w:val="00DC25DA"/>
    <w:rsid w:val="00DC272A"/>
    <w:rsid w:val="00DC493A"/>
    <w:rsid w:val="00DC4C59"/>
    <w:rsid w:val="00DC5149"/>
    <w:rsid w:val="00DC5640"/>
    <w:rsid w:val="00DC5D86"/>
    <w:rsid w:val="00DC6DE0"/>
    <w:rsid w:val="00DD0773"/>
    <w:rsid w:val="00DD14C0"/>
    <w:rsid w:val="00DD1B88"/>
    <w:rsid w:val="00DD3C08"/>
    <w:rsid w:val="00DE046E"/>
    <w:rsid w:val="00DE0476"/>
    <w:rsid w:val="00DE1286"/>
    <w:rsid w:val="00DE2847"/>
    <w:rsid w:val="00DE2AAC"/>
    <w:rsid w:val="00DE2BFF"/>
    <w:rsid w:val="00DE4CC1"/>
    <w:rsid w:val="00DE5601"/>
    <w:rsid w:val="00DE662D"/>
    <w:rsid w:val="00DF0B30"/>
    <w:rsid w:val="00DF0E41"/>
    <w:rsid w:val="00DF1125"/>
    <w:rsid w:val="00DF27AC"/>
    <w:rsid w:val="00DF28E7"/>
    <w:rsid w:val="00DF2D9D"/>
    <w:rsid w:val="00DF3350"/>
    <w:rsid w:val="00DF399A"/>
    <w:rsid w:val="00DF5582"/>
    <w:rsid w:val="00DF5A06"/>
    <w:rsid w:val="00DF627D"/>
    <w:rsid w:val="00DF6280"/>
    <w:rsid w:val="00DF7B14"/>
    <w:rsid w:val="00DF7D23"/>
    <w:rsid w:val="00E00009"/>
    <w:rsid w:val="00E0079C"/>
    <w:rsid w:val="00E01806"/>
    <w:rsid w:val="00E01EF4"/>
    <w:rsid w:val="00E02CF2"/>
    <w:rsid w:val="00E03466"/>
    <w:rsid w:val="00E04684"/>
    <w:rsid w:val="00E04947"/>
    <w:rsid w:val="00E05186"/>
    <w:rsid w:val="00E05424"/>
    <w:rsid w:val="00E05D4B"/>
    <w:rsid w:val="00E05D6F"/>
    <w:rsid w:val="00E067FE"/>
    <w:rsid w:val="00E069F7"/>
    <w:rsid w:val="00E06C35"/>
    <w:rsid w:val="00E0710D"/>
    <w:rsid w:val="00E07F71"/>
    <w:rsid w:val="00E114D8"/>
    <w:rsid w:val="00E1347F"/>
    <w:rsid w:val="00E13E89"/>
    <w:rsid w:val="00E1621B"/>
    <w:rsid w:val="00E1641E"/>
    <w:rsid w:val="00E21114"/>
    <w:rsid w:val="00E22B84"/>
    <w:rsid w:val="00E2546C"/>
    <w:rsid w:val="00E26045"/>
    <w:rsid w:val="00E26BDB"/>
    <w:rsid w:val="00E27151"/>
    <w:rsid w:val="00E27304"/>
    <w:rsid w:val="00E31A2A"/>
    <w:rsid w:val="00E31FDB"/>
    <w:rsid w:val="00E32408"/>
    <w:rsid w:val="00E337F5"/>
    <w:rsid w:val="00E339E4"/>
    <w:rsid w:val="00E34EBC"/>
    <w:rsid w:val="00E355D1"/>
    <w:rsid w:val="00E3584F"/>
    <w:rsid w:val="00E35C5F"/>
    <w:rsid w:val="00E36A67"/>
    <w:rsid w:val="00E37211"/>
    <w:rsid w:val="00E37848"/>
    <w:rsid w:val="00E4034D"/>
    <w:rsid w:val="00E404B3"/>
    <w:rsid w:val="00E41B6A"/>
    <w:rsid w:val="00E41EE7"/>
    <w:rsid w:val="00E42084"/>
    <w:rsid w:val="00E44854"/>
    <w:rsid w:val="00E458BA"/>
    <w:rsid w:val="00E45CE3"/>
    <w:rsid w:val="00E46113"/>
    <w:rsid w:val="00E50251"/>
    <w:rsid w:val="00E504ED"/>
    <w:rsid w:val="00E51BD7"/>
    <w:rsid w:val="00E51BE0"/>
    <w:rsid w:val="00E51D96"/>
    <w:rsid w:val="00E523DD"/>
    <w:rsid w:val="00E527A1"/>
    <w:rsid w:val="00E52A92"/>
    <w:rsid w:val="00E53D9E"/>
    <w:rsid w:val="00E547F8"/>
    <w:rsid w:val="00E55808"/>
    <w:rsid w:val="00E559EA"/>
    <w:rsid w:val="00E55B76"/>
    <w:rsid w:val="00E5696D"/>
    <w:rsid w:val="00E56E45"/>
    <w:rsid w:val="00E57CFF"/>
    <w:rsid w:val="00E57EBD"/>
    <w:rsid w:val="00E600D9"/>
    <w:rsid w:val="00E6071A"/>
    <w:rsid w:val="00E60B81"/>
    <w:rsid w:val="00E6161C"/>
    <w:rsid w:val="00E62DEC"/>
    <w:rsid w:val="00E63233"/>
    <w:rsid w:val="00E64129"/>
    <w:rsid w:val="00E65F8A"/>
    <w:rsid w:val="00E66500"/>
    <w:rsid w:val="00E66ECB"/>
    <w:rsid w:val="00E6744B"/>
    <w:rsid w:val="00E67486"/>
    <w:rsid w:val="00E6758C"/>
    <w:rsid w:val="00E6785B"/>
    <w:rsid w:val="00E727CE"/>
    <w:rsid w:val="00E72A03"/>
    <w:rsid w:val="00E72C80"/>
    <w:rsid w:val="00E734A0"/>
    <w:rsid w:val="00E73A6C"/>
    <w:rsid w:val="00E740AC"/>
    <w:rsid w:val="00E7456E"/>
    <w:rsid w:val="00E749E1"/>
    <w:rsid w:val="00E76F10"/>
    <w:rsid w:val="00E8007A"/>
    <w:rsid w:val="00E80578"/>
    <w:rsid w:val="00E80B43"/>
    <w:rsid w:val="00E80BC0"/>
    <w:rsid w:val="00E81C6B"/>
    <w:rsid w:val="00E833CB"/>
    <w:rsid w:val="00E83995"/>
    <w:rsid w:val="00E83CBA"/>
    <w:rsid w:val="00E83D2E"/>
    <w:rsid w:val="00E83FB2"/>
    <w:rsid w:val="00E86344"/>
    <w:rsid w:val="00E90615"/>
    <w:rsid w:val="00E91FE0"/>
    <w:rsid w:val="00E92CDB"/>
    <w:rsid w:val="00E945A0"/>
    <w:rsid w:val="00E95AC2"/>
    <w:rsid w:val="00E966EC"/>
    <w:rsid w:val="00E97167"/>
    <w:rsid w:val="00E97DBB"/>
    <w:rsid w:val="00EA0169"/>
    <w:rsid w:val="00EA1A19"/>
    <w:rsid w:val="00EA2DC4"/>
    <w:rsid w:val="00EA3781"/>
    <w:rsid w:val="00EA3AEF"/>
    <w:rsid w:val="00EA3BD4"/>
    <w:rsid w:val="00EA3C7B"/>
    <w:rsid w:val="00EA5023"/>
    <w:rsid w:val="00EA7061"/>
    <w:rsid w:val="00EA7CB2"/>
    <w:rsid w:val="00EA7DD4"/>
    <w:rsid w:val="00EA7EDC"/>
    <w:rsid w:val="00EB0EA9"/>
    <w:rsid w:val="00EB13FE"/>
    <w:rsid w:val="00EB1EA9"/>
    <w:rsid w:val="00EB1FF0"/>
    <w:rsid w:val="00EB254B"/>
    <w:rsid w:val="00EB2728"/>
    <w:rsid w:val="00EB3758"/>
    <w:rsid w:val="00EB39F1"/>
    <w:rsid w:val="00EB3DD7"/>
    <w:rsid w:val="00EB4153"/>
    <w:rsid w:val="00EB472E"/>
    <w:rsid w:val="00EB5434"/>
    <w:rsid w:val="00EB5C14"/>
    <w:rsid w:val="00EB5D6C"/>
    <w:rsid w:val="00EB6A9B"/>
    <w:rsid w:val="00EB76D6"/>
    <w:rsid w:val="00EC0178"/>
    <w:rsid w:val="00EC049F"/>
    <w:rsid w:val="00EC10C2"/>
    <w:rsid w:val="00EC1C71"/>
    <w:rsid w:val="00EC3101"/>
    <w:rsid w:val="00EC447D"/>
    <w:rsid w:val="00EC4BB1"/>
    <w:rsid w:val="00EC4FC6"/>
    <w:rsid w:val="00EC5B9F"/>
    <w:rsid w:val="00ED024E"/>
    <w:rsid w:val="00ED067A"/>
    <w:rsid w:val="00ED14E6"/>
    <w:rsid w:val="00ED194C"/>
    <w:rsid w:val="00ED2C26"/>
    <w:rsid w:val="00ED3898"/>
    <w:rsid w:val="00ED5EC2"/>
    <w:rsid w:val="00ED73C6"/>
    <w:rsid w:val="00ED74B9"/>
    <w:rsid w:val="00ED7886"/>
    <w:rsid w:val="00ED7B6F"/>
    <w:rsid w:val="00EE0375"/>
    <w:rsid w:val="00EE0DF2"/>
    <w:rsid w:val="00EE1F7C"/>
    <w:rsid w:val="00EE21DD"/>
    <w:rsid w:val="00EE231E"/>
    <w:rsid w:val="00EE3A15"/>
    <w:rsid w:val="00EE3E04"/>
    <w:rsid w:val="00EE4B7D"/>
    <w:rsid w:val="00EE56DF"/>
    <w:rsid w:val="00EE627F"/>
    <w:rsid w:val="00EF00DD"/>
    <w:rsid w:val="00EF1231"/>
    <w:rsid w:val="00EF1A24"/>
    <w:rsid w:val="00EF1BF1"/>
    <w:rsid w:val="00EF3A3C"/>
    <w:rsid w:val="00EF428D"/>
    <w:rsid w:val="00EF45B4"/>
    <w:rsid w:val="00EF5DBC"/>
    <w:rsid w:val="00EF5FDC"/>
    <w:rsid w:val="00EF71E1"/>
    <w:rsid w:val="00EF76C8"/>
    <w:rsid w:val="00F0005F"/>
    <w:rsid w:val="00F004BC"/>
    <w:rsid w:val="00F01BD5"/>
    <w:rsid w:val="00F0264E"/>
    <w:rsid w:val="00F03724"/>
    <w:rsid w:val="00F03C24"/>
    <w:rsid w:val="00F05D39"/>
    <w:rsid w:val="00F05EAF"/>
    <w:rsid w:val="00F06D7C"/>
    <w:rsid w:val="00F072CB"/>
    <w:rsid w:val="00F07E62"/>
    <w:rsid w:val="00F1049D"/>
    <w:rsid w:val="00F10D9A"/>
    <w:rsid w:val="00F119F0"/>
    <w:rsid w:val="00F139BC"/>
    <w:rsid w:val="00F142E5"/>
    <w:rsid w:val="00F143F1"/>
    <w:rsid w:val="00F147FD"/>
    <w:rsid w:val="00F15FC1"/>
    <w:rsid w:val="00F16FC8"/>
    <w:rsid w:val="00F17762"/>
    <w:rsid w:val="00F20B1B"/>
    <w:rsid w:val="00F21466"/>
    <w:rsid w:val="00F2263D"/>
    <w:rsid w:val="00F2324A"/>
    <w:rsid w:val="00F23297"/>
    <w:rsid w:val="00F23C5A"/>
    <w:rsid w:val="00F23E91"/>
    <w:rsid w:val="00F275F2"/>
    <w:rsid w:val="00F277D4"/>
    <w:rsid w:val="00F279DC"/>
    <w:rsid w:val="00F3081B"/>
    <w:rsid w:val="00F31104"/>
    <w:rsid w:val="00F31853"/>
    <w:rsid w:val="00F31B5F"/>
    <w:rsid w:val="00F32048"/>
    <w:rsid w:val="00F33BF0"/>
    <w:rsid w:val="00F33E65"/>
    <w:rsid w:val="00F34E93"/>
    <w:rsid w:val="00F3579F"/>
    <w:rsid w:val="00F36959"/>
    <w:rsid w:val="00F36CDD"/>
    <w:rsid w:val="00F41D62"/>
    <w:rsid w:val="00F42559"/>
    <w:rsid w:val="00F4474B"/>
    <w:rsid w:val="00F45401"/>
    <w:rsid w:val="00F45922"/>
    <w:rsid w:val="00F46BD7"/>
    <w:rsid w:val="00F47218"/>
    <w:rsid w:val="00F475C0"/>
    <w:rsid w:val="00F5124D"/>
    <w:rsid w:val="00F513E5"/>
    <w:rsid w:val="00F5219B"/>
    <w:rsid w:val="00F53138"/>
    <w:rsid w:val="00F534C0"/>
    <w:rsid w:val="00F54930"/>
    <w:rsid w:val="00F5523B"/>
    <w:rsid w:val="00F55F11"/>
    <w:rsid w:val="00F5657D"/>
    <w:rsid w:val="00F5674F"/>
    <w:rsid w:val="00F57532"/>
    <w:rsid w:val="00F602FE"/>
    <w:rsid w:val="00F609F5"/>
    <w:rsid w:val="00F623B6"/>
    <w:rsid w:val="00F6280F"/>
    <w:rsid w:val="00F62819"/>
    <w:rsid w:val="00F6394B"/>
    <w:rsid w:val="00F6653B"/>
    <w:rsid w:val="00F665B0"/>
    <w:rsid w:val="00F66C68"/>
    <w:rsid w:val="00F6716D"/>
    <w:rsid w:val="00F708D9"/>
    <w:rsid w:val="00F71AC6"/>
    <w:rsid w:val="00F720FB"/>
    <w:rsid w:val="00F721C2"/>
    <w:rsid w:val="00F73743"/>
    <w:rsid w:val="00F744E5"/>
    <w:rsid w:val="00F7500D"/>
    <w:rsid w:val="00F75D7A"/>
    <w:rsid w:val="00F80602"/>
    <w:rsid w:val="00F81376"/>
    <w:rsid w:val="00F824F3"/>
    <w:rsid w:val="00F8286C"/>
    <w:rsid w:val="00F84C20"/>
    <w:rsid w:val="00F84FB3"/>
    <w:rsid w:val="00F85D11"/>
    <w:rsid w:val="00F86FA9"/>
    <w:rsid w:val="00F872A2"/>
    <w:rsid w:val="00F90CFD"/>
    <w:rsid w:val="00F915E3"/>
    <w:rsid w:val="00F92112"/>
    <w:rsid w:val="00F9230A"/>
    <w:rsid w:val="00F92366"/>
    <w:rsid w:val="00F92518"/>
    <w:rsid w:val="00F92753"/>
    <w:rsid w:val="00F9499F"/>
    <w:rsid w:val="00F9598E"/>
    <w:rsid w:val="00F96940"/>
    <w:rsid w:val="00F96B32"/>
    <w:rsid w:val="00F9735A"/>
    <w:rsid w:val="00F977AB"/>
    <w:rsid w:val="00FA0B4F"/>
    <w:rsid w:val="00FA203F"/>
    <w:rsid w:val="00FA2B31"/>
    <w:rsid w:val="00FA4014"/>
    <w:rsid w:val="00FA42F4"/>
    <w:rsid w:val="00FA5024"/>
    <w:rsid w:val="00FA54DD"/>
    <w:rsid w:val="00FA6486"/>
    <w:rsid w:val="00FA6502"/>
    <w:rsid w:val="00FA7959"/>
    <w:rsid w:val="00FB0730"/>
    <w:rsid w:val="00FB0A7E"/>
    <w:rsid w:val="00FB0BC1"/>
    <w:rsid w:val="00FB14A0"/>
    <w:rsid w:val="00FB1BF5"/>
    <w:rsid w:val="00FB4277"/>
    <w:rsid w:val="00FB48C2"/>
    <w:rsid w:val="00FB4E4A"/>
    <w:rsid w:val="00FB52A1"/>
    <w:rsid w:val="00FB6D3A"/>
    <w:rsid w:val="00FB7924"/>
    <w:rsid w:val="00FB7F35"/>
    <w:rsid w:val="00FC03D5"/>
    <w:rsid w:val="00FC11D6"/>
    <w:rsid w:val="00FC1BE9"/>
    <w:rsid w:val="00FC1C19"/>
    <w:rsid w:val="00FC32EC"/>
    <w:rsid w:val="00FC48DD"/>
    <w:rsid w:val="00FC4DA7"/>
    <w:rsid w:val="00FC569E"/>
    <w:rsid w:val="00FC67E5"/>
    <w:rsid w:val="00FC6BFF"/>
    <w:rsid w:val="00FD03AB"/>
    <w:rsid w:val="00FD04EB"/>
    <w:rsid w:val="00FD1036"/>
    <w:rsid w:val="00FD131D"/>
    <w:rsid w:val="00FD237D"/>
    <w:rsid w:val="00FD2F28"/>
    <w:rsid w:val="00FD5177"/>
    <w:rsid w:val="00FD5E00"/>
    <w:rsid w:val="00FD6383"/>
    <w:rsid w:val="00FD67CA"/>
    <w:rsid w:val="00FE2EE6"/>
    <w:rsid w:val="00FE35E1"/>
    <w:rsid w:val="00FE40B1"/>
    <w:rsid w:val="00FE6735"/>
    <w:rsid w:val="00FE6D86"/>
    <w:rsid w:val="00FF09C7"/>
    <w:rsid w:val="00FF0DA7"/>
    <w:rsid w:val="00FF3276"/>
    <w:rsid w:val="00FF52A9"/>
    <w:rsid w:val="00FF5B26"/>
    <w:rsid w:val="00FF5D3A"/>
    <w:rsid w:val="00FF682B"/>
    <w:rsid w:val="00FF69CB"/>
    <w:rsid w:val="00FF6F5A"/>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34A420E"/>
  <w15:docId w15:val="{F1BCCC16-30E6-4DC5-B9BB-9B5D90796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243"/>
    <w:rPr>
      <w:lang w:val="en-US" w:eastAsia="en-US"/>
    </w:rPr>
  </w:style>
  <w:style w:type="paragraph" w:styleId="Heading1">
    <w:name w:val="heading 1"/>
    <w:basedOn w:val="Normal"/>
    <w:next w:val="Normal"/>
    <w:link w:val="Heading1Char"/>
    <w:qFormat/>
    <w:rsid w:val="00D9153B"/>
    <w:pPr>
      <w:keepNext/>
      <w:widowControl w:val="0"/>
      <w:suppressAutoHyphens/>
      <w:outlineLvl w:val="0"/>
    </w:pPr>
    <w:rPr>
      <w:rFonts w:ascii="Courier" w:hAnsi="Courier"/>
      <w:b/>
      <w:spacing w:val="-3"/>
      <w:sz w:val="28"/>
      <w:lang w:val="x-none" w:eastAsia="x-none"/>
    </w:rPr>
  </w:style>
  <w:style w:type="paragraph" w:styleId="Heading2">
    <w:name w:val="heading 2"/>
    <w:basedOn w:val="Normal"/>
    <w:next w:val="Normal"/>
    <w:link w:val="Heading2Char"/>
    <w:qFormat/>
    <w:rsid w:val="00D9153B"/>
    <w:pPr>
      <w:keepNext/>
      <w:jc w:val="center"/>
      <w:outlineLvl w:val="1"/>
    </w:pPr>
    <w:rPr>
      <w:rFonts w:ascii="Arial" w:hAnsi="Arial"/>
      <w:b/>
      <w:sz w:val="28"/>
    </w:rPr>
  </w:style>
  <w:style w:type="paragraph" w:styleId="Heading4">
    <w:name w:val="heading 4"/>
    <w:basedOn w:val="Normal"/>
    <w:next w:val="Normal"/>
    <w:qFormat/>
    <w:rsid w:val="00D9153B"/>
    <w:pPr>
      <w:keepNex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153B"/>
    <w:pPr>
      <w:widowControl w:val="0"/>
      <w:tabs>
        <w:tab w:val="center" w:pos="4320"/>
        <w:tab w:val="right" w:pos="8640"/>
      </w:tabs>
    </w:pPr>
    <w:rPr>
      <w:rFonts w:ascii="Courier" w:hAnsi="Courier"/>
      <w:sz w:val="22"/>
      <w:lang w:val="x-none" w:eastAsia="x-none"/>
    </w:rPr>
  </w:style>
  <w:style w:type="paragraph" w:styleId="FootnoteText">
    <w:name w:val="footnote text"/>
    <w:aliases w:val="Footnote Text Char Char Char,Footnote Text Char Char Char Char Char Char Char,Footnote Text Char Char Char Char Char,Footnote Text Char Char Char Char Char Char,Footnote Text Char Char Char Char Ch Char,Footnotes,Geneva 9,Font: Geneva 9,f"/>
    <w:basedOn w:val="Normal"/>
    <w:link w:val="FootnoteTextChar"/>
    <w:uiPriority w:val="99"/>
    <w:qFormat/>
    <w:rsid w:val="00D9153B"/>
    <w:pPr>
      <w:widowControl w:val="0"/>
    </w:pPr>
    <w:rPr>
      <w:rFonts w:ascii="Courier" w:hAnsi="Courier"/>
    </w:rPr>
  </w:style>
  <w:style w:type="paragraph" w:styleId="Subtitle">
    <w:name w:val="Subtitle"/>
    <w:basedOn w:val="Normal"/>
    <w:link w:val="SubtitleChar"/>
    <w:qFormat/>
    <w:rsid w:val="00D9153B"/>
    <w:pPr>
      <w:spacing w:after="60"/>
      <w:jc w:val="center"/>
      <w:outlineLvl w:val="1"/>
    </w:pPr>
    <w:rPr>
      <w:rFonts w:ascii="Arial" w:hAnsi="Arial" w:cs="Arial"/>
      <w:sz w:val="24"/>
      <w:szCs w:val="24"/>
    </w:rPr>
  </w:style>
  <w:style w:type="character" w:styleId="FootnoteReference">
    <w:name w:val="footnote reference"/>
    <w:aliases w:val="16 Point,Superscript 6 Point,ftref,fr,(NECG) Footnote Reference,Ref,de nota al pie,BVI fnr,4_G,BVI fnr Char,BVI fnr Car Car Char,BVI fnr Car Char,BVI fnr Car Car Car Car Char,BVI fnr Car Car Car Car Char Char Char, BVI fnr Char,10 pt"/>
    <w:link w:val="BVIfnrCarCar"/>
    <w:uiPriority w:val="99"/>
    <w:qFormat/>
    <w:rsid w:val="00D9153B"/>
    <w:rPr>
      <w:rFonts w:cs="Times New Roman"/>
      <w:vertAlign w:val="superscript"/>
    </w:rPr>
  </w:style>
  <w:style w:type="paragraph" w:styleId="Footer">
    <w:name w:val="footer"/>
    <w:basedOn w:val="Normal"/>
    <w:link w:val="FooterChar"/>
    <w:uiPriority w:val="99"/>
    <w:rsid w:val="00D9153B"/>
    <w:pPr>
      <w:tabs>
        <w:tab w:val="center" w:pos="4320"/>
        <w:tab w:val="right" w:pos="8640"/>
      </w:tabs>
    </w:pPr>
    <w:rPr>
      <w:lang w:val="x-none" w:eastAsia="x-none"/>
    </w:rPr>
  </w:style>
  <w:style w:type="paragraph" w:customStyle="1" w:styleId="HCh">
    <w:name w:val="_ H _Ch"/>
    <w:basedOn w:val="Normal"/>
    <w:next w:val="Normal"/>
    <w:rsid w:val="00D9153B"/>
    <w:pPr>
      <w:keepNext/>
      <w:keepLines/>
      <w:suppressAutoHyphens/>
      <w:spacing w:line="300" w:lineRule="exact"/>
      <w:outlineLvl w:val="0"/>
    </w:pPr>
    <w:rPr>
      <w:b/>
      <w:spacing w:val="-2"/>
      <w:w w:val="103"/>
      <w:kern w:val="14"/>
      <w:sz w:val="28"/>
      <w:lang w:val="en-GB"/>
    </w:rPr>
  </w:style>
  <w:style w:type="paragraph" w:customStyle="1" w:styleId="SingleTxt">
    <w:name w:val="__Single Txt"/>
    <w:basedOn w:val="Normal"/>
    <w:rsid w:val="00D9153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lang w:val="en-GB"/>
    </w:rPr>
  </w:style>
  <w:style w:type="paragraph" w:customStyle="1" w:styleId="XLarge">
    <w:name w:val="XLarge"/>
    <w:basedOn w:val="Normal"/>
    <w:rsid w:val="00D9153B"/>
    <w:pPr>
      <w:keepNext/>
      <w:keepLines/>
      <w:tabs>
        <w:tab w:val="right" w:leader="dot" w:pos="360"/>
      </w:tabs>
      <w:suppressAutoHyphens/>
      <w:spacing w:line="390" w:lineRule="exact"/>
      <w:outlineLvl w:val="0"/>
    </w:pPr>
    <w:rPr>
      <w:b/>
      <w:spacing w:val="-4"/>
      <w:w w:val="98"/>
      <w:kern w:val="14"/>
      <w:sz w:val="40"/>
      <w:lang w:val="en-GB"/>
    </w:rPr>
  </w:style>
  <w:style w:type="paragraph" w:styleId="BalloonText">
    <w:name w:val="Balloon Text"/>
    <w:basedOn w:val="Normal"/>
    <w:semiHidden/>
    <w:rsid w:val="005D4084"/>
    <w:rPr>
      <w:rFonts w:ascii="Tahoma" w:hAnsi="Tahoma" w:cs="Tahoma"/>
      <w:sz w:val="16"/>
      <w:szCs w:val="16"/>
    </w:rPr>
  </w:style>
  <w:style w:type="character" w:styleId="Hyperlink">
    <w:name w:val="Hyperlink"/>
    <w:rsid w:val="0079421C"/>
    <w:rPr>
      <w:rFonts w:cs="Times New Roman"/>
      <w:color w:val="336699"/>
      <w:u w:val="none"/>
      <w:effect w:val="none"/>
    </w:rPr>
  </w:style>
  <w:style w:type="paragraph" w:styleId="ListParagraph">
    <w:name w:val="List Paragraph"/>
    <w:aliases w:val="List Paragraph (numbered (a)),Bullets,Bullet paras,123 List Paragraph,MCHIP_list paragraph,List Paragraph1,Recommendation,Dot pt,F5 List Paragraph,No Spacing1,List Paragraph Char Char Char,Indicator Text,Numbered Para 1,MAIN CONTENT"/>
    <w:basedOn w:val="Normal"/>
    <w:link w:val="ListParagraphChar"/>
    <w:uiPriority w:val="34"/>
    <w:qFormat/>
    <w:rsid w:val="00896815"/>
    <w:pPr>
      <w:ind w:left="720"/>
    </w:pPr>
  </w:style>
  <w:style w:type="paragraph" w:styleId="DocumentMap">
    <w:name w:val="Document Map"/>
    <w:basedOn w:val="Normal"/>
    <w:link w:val="DocumentMapChar"/>
    <w:semiHidden/>
    <w:rsid w:val="00993912"/>
    <w:rPr>
      <w:rFonts w:ascii="Tahoma" w:hAnsi="Tahoma"/>
      <w:sz w:val="16"/>
      <w:szCs w:val="16"/>
      <w:lang w:val="x-none" w:eastAsia="x-none"/>
    </w:rPr>
  </w:style>
  <w:style w:type="character" w:customStyle="1" w:styleId="DocumentMapChar">
    <w:name w:val="Document Map Char"/>
    <w:link w:val="DocumentMap"/>
    <w:locked/>
    <w:rsid w:val="00993912"/>
    <w:rPr>
      <w:rFonts w:ascii="Tahoma" w:hAnsi="Tahoma" w:cs="Tahoma"/>
      <w:sz w:val="16"/>
      <w:szCs w:val="16"/>
    </w:rPr>
  </w:style>
  <w:style w:type="character" w:styleId="CommentReference">
    <w:name w:val="annotation reference"/>
    <w:semiHidden/>
    <w:rsid w:val="00400E4A"/>
    <w:rPr>
      <w:rFonts w:cs="Times New Roman"/>
      <w:sz w:val="6"/>
      <w:szCs w:val="6"/>
    </w:rPr>
  </w:style>
  <w:style w:type="character" w:customStyle="1" w:styleId="FooterChar">
    <w:name w:val="Footer Char"/>
    <w:link w:val="Footer"/>
    <w:uiPriority w:val="99"/>
    <w:locked/>
    <w:rsid w:val="005841A3"/>
    <w:rPr>
      <w:rFonts w:cs="Times New Roman"/>
    </w:rPr>
  </w:style>
  <w:style w:type="paragraph" w:styleId="CommentText">
    <w:name w:val="annotation text"/>
    <w:basedOn w:val="Normal"/>
    <w:link w:val="CommentTextChar"/>
    <w:rsid w:val="008543F5"/>
  </w:style>
  <w:style w:type="character" w:customStyle="1" w:styleId="CommentTextChar">
    <w:name w:val="Comment Text Char"/>
    <w:basedOn w:val="DefaultParagraphFont"/>
    <w:link w:val="CommentText"/>
    <w:rsid w:val="008543F5"/>
  </w:style>
  <w:style w:type="paragraph" w:styleId="CommentSubject">
    <w:name w:val="annotation subject"/>
    <w:basedOn w:val="CommentText"/>
    <w:next w:val="CommentText"/>
    <w:link w:val="CommentSubjectChar"/>
    <w:rsid w:val="008543F5"/>
    <w:rPr>
      <w:b/>
      <w:bCs/>
      <w:lang w:val="x-none" w:eastAsia="x-none"/>
    </w:rPr>
  </w:style>
  <w:style w:type="character" w:customStyle="1" w:styleId="CommentSubjectChar">
    <w:name w:val="Comment Subject Char"/>
    <w:link w:val="CommentSubject"/>
    <w:rsid w:val="008543F5"/>
    <w:rPr>
      <w:b/>
      <w:bCs/>
    </w:rPr>
  </w:style>
  <w:style w:type="character" w:customStyle="1" w:styleId="Heading1Char">
    <w:name w:val="Heading 1 Char"/>
    <w:link w:val="Heading1"/>
    <w:rsid w:val="001D42D1"/>
    <w:rPr>
      <w:rFonts w:ascii="Courier" w:hAnsi="Courier"/>
      <w:b/>
      <w:spacing w:val="-3"/>
      <w:sz w:val="28"/>
    </w:rPr>
  </w:style>
  <w:style w:type="character" w:customStyle="1" w:styleId="HeaderChar">
    <w:name w:val="Header Char"/>
    <w:link w:val="Header"/>
    <w:rsid w:val="00852876"/>
    <w:rPr>
      <w:rFonts w:ascii="Courier" w:hAnsi="Courier"/>
      <w:sz w:val="22"/>
    </w:rPr>
  </w:style>
  <w:style w:type="character" w:styleId="PageNumber">
    <w:name w:val="page number"/>
    <w:basedOn w:val="DefaultParagraphFont"/>
    <w:semiHidden/>
    <w:rsid w:val="00D6679C"/>
  </w:style>
  <w:style w:type="character" w:customStyle="1" w:styleId="SubtitleChar">
    <w:name w:val="Subtitle Char"/>
    <w:basedOn w:val="DefaultParagraphFont"/>
    <w:link w:val="Subtitle"/>
    <w:rsid w:val="00D6679C"/>
    <w:rPr>
      <w:rFonts w:ascii="Arial" w:hAnsi="Arial" w:cs="Arial"/>
      <w:sz w:val="24"/>
      <w:szCs w:val="24"/>
      <w:lang w:val="en-US" w:eastAsia="en-US"/>
    </w:rPr>
  </w:style>
  <w:style w:type="paragraph" w:styleId="BodyText">
    <w:name w:val="Body Text"/>
    <w:basedOn w:val="Normal"/>
    <w:link w:val="BodyTextChar"/>
    <w:semiHidden/>
    <w:rsid w:val="00D6679C"/>
    <w:rPr>
      <w:b/>
      <w:bCs/>
      <w:sz w:val="24"/>
    </w:rPr>
  </w:style>
  <w:style w:type="character" w:customStyle="1" w:styleId="BodyTextChar">
    <w:name w:val="Body Text Char"/>
    <w:basedOn w:val="DefaultParagraphFont"/>
    <w:link w:val="BodyText"/>
    <w:semiHidden/>
    <w:rsid w:val="00D6679C"/>
    <w:rPr>
      <w:b/>
      <w:bCs/>
      <w:sz w:val="24"/>
      <w:lang w:val="en-US" w:eastAsia="en-US"/>
    </w:rPr>
  </w:style>
  <w:style w:type="paragraph" w:styleId="BodyText2">
    <w:name w:val="Body Text 2"/>
    <w:basedOn w:val="Normal"/>
    <w:link w:val="BodyText2Char"/>
    <w:semiHidden/>
    <w:rsid w:val="00D6679C"/>
    <w:rPr>
      <w:sz w:val="24"/>
    </w:rPr>
  </w:style>
  <w:style w:type="character" w:customStyle="1" w:styleId="BodyText2Char">
    <w:name w:val="Body Text 2 Char"/>
    <w:basedOn w:val="DefaultParagraphFont"/>
    <w:link w:val="BodyText2"/>
    <w:semiHidden/>
    <w:rsid w:val="00D6679C"/>
    <w:rPr>
      <w:sz w:val="24"/>
      <w:lang w:val="en-US" w:eastAsia="en-US"/>
    </w:rPr>
  </w:style>
  <w:style w:type="paragraph" w:styleId="BodyText3">
    <w:name w:val="Body Text 3"/>
    <w:basedOn w:val="Normal"/>
    <w:link w:val="BodyText3Char"/>
    <w:semiHidden/>
    <w:rsid w:val="00D6679C"/>
    <w:pPr>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jc w:val="both"/>
    </w:pPr>
    <w:rPr>
      <w:sz w:val="24"/>
    </w:rPr>
  </w:style>
  <w:style w:type="character" w:customStyle="1" w:styleId="BodyText3Char">
    <w:name w:val="Body Text 3 Char"/>
    <w:basedOn w:val="DefaultParagraphFont"/>
    <w:link w:val="BodyText3"/>
    <w:semiHidden/>
    <w:rsid w:val="00D6679C"/>
    <w:rPr>
      <w:sz w:val="24"/>
      <w:lang w:val="en-US" w:eastAsia="en-US"/>
    </w:rPr>
  </w:style>
  <w:style w:type="character" w:customStyle="1" w:styleId="FootnoteTextChar">
    <w:name w:val="Footnote Text Char"/>
    <w:aliases w:val="Footnote Text Char Char Char Char,Footnote Text Char Char Char Char Char Char Char Char,Footnote Text Char Char Char Char Char Char1,Footnote Text Char Char Char Char Char Char Char1,Footnote Text Char Char Char Char Ch Char Char"/>
    <w:basedOn w:val="DefaultParagraphFont"/>
    <w:link w:val="FootnoteText"/>
    <w:uiPriority w:val="99"/>
    <w:rsid w:val="00D6679C"/>
    <w:rPr>
      <w:rFonts w:ascii="Courier" w:hAnsi="Courier"/>
      <w:lang w:val="en-US" w:eastAsia="en-US"/>
    </w:rPr>
  </w:style>
  <w:style w:type="character" w:customStyle="1" w:styleId="ListParagraphChar">
    <w:name w:val="List Paragraph Char"/>
    <w:aliases w:val="List Paragraph (numbered (a)) Char,Bullets Char,Bullet paras Char,123 List Paragraph Char,MCHIP_list paragraph Char,List Paragraph1 Char,Recommendation Char,Dot pt Char,F5 List Paragraph Char,No Spacing1 Char,Indicator Text Char"/>
    <w:link w:val="ListParagraph"/>
    <w:uiPriority w:val="34"/>
    <w:locked/>
    <w:rsid w:val="009A4543"/>
    <w:rPr>
      <w:lang w:val="en-US" w:eastAsia="en-US"/>
    </w:rPr>
  </w:style>
  <w:style w:type="paragraph" w:styleId="Revision">
    <w:name w:val="Revision"/>
    <w:hidden/>
    <w:uiPriority w:val="99"/>
    <w:semiHidden/>
    <w:rsid w:val="0050228C"/>
    <w:rPr>
      <w:lang w:val="en-US" w:eastAsia="en-US"/>
    </w:rPr>
  </w:style>
  <w:style w:type="paragraph" w:customStyle="1" w:styleId="BVIfnrCarCar">
    <w:name w:val="BVI fnr Car Car"/>
    <w:aliases w:val="BVI fnr Car,BVI fnr Car Car Car Car, BVI fnr, BVI fnr Car Car, BVI fnr Car Car Car Car"/>
    <w:basedOn w:val="Normal"/>
    <w:link w:val="FootnoteReference"/>
    <w:uiPriority w:val="99"/>
    <w:rsid w:val="00715E9A"/>
    <w:pPr>
      <w:spacing w:after="160" w:line="240" w:lineRule="exact"/>
    </w:pPr>
    <w:rPr>
      <w:vertAlign w:val="superscript"/>
      <w:lang w:val="en-GB" w:eastAsia="en-GB"/>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rsid w:val="001F693D"/>
    <w:pPr>
      <w:spacing w:before="100" w:after="200" w:line="240" w:lineRule="exact"/>
      <w:jc w:val="both"/>
    </w:pPr>
    <w:rPr>
      <w:rFonts w:asciiTheme="minorHAnsi" w:eastAsiaTheme="minorEastAsia" w:hAnsiTheme="minorHAnsi" w:cstheme="minorBidi"/>
      <w:sz w:val="24"/>
      <w:szCs w:val="24"/>
      <w:vertAlign w:val="superscript"/>
      <w:lang w:val="en-AU"/>
    </w:rPr>
  </w:style>
  <w:style w:type="character" w:styleId="FollowedHyperlink">
    <w:name w:val="FollowedHyperlink"/>
    <w:basedOn w:val="DefaultParagraphFont"/>
    <w:semiHidden/>
    <w:unhideWhenUsed/>
    <w:rsid w:val="00ED7B6F"/>
    <w:rPr>
      <w:color w:val="800080" w:themeColor="followedHyperlink"/>
      <w:u w:val="single"/>
    </w:rPr>
  </w:style>
  <w:style w:type="paragraph" w:customStyle="1" w:styleId="4GChar">
    <w:name w:val="4_G Char"/>
    <w:aliases w:val="Footnote Reference1 Char,Footnotes refss Char,ftref Char,BVI fnr Char Car Car Car Char,footnote number Char"/>
    <w:basedOn w:val="Normal"/>
    <w:uiPriority w:val="99"/>
    <w:rsid w:val="00896D67"/>
    <w:pPr>
      <w:spacing w:after="160" w:line="240" w:lineRule="exact"/>
      <w:jc w:val="both"/>
    </w:pPr>
    <w:rPr>
      <w:vertAlign w:val="superscript"/>
      <w:lang w:bidi="en-US"/>
    </w:rPr>
  </w:style>
  <w:style w:type="character" w:customStyle="1" w:styleId="Heading2Char">
    <w:name w:val="Heading 2 Char"/>
    <w:basedOn w:val="DefaultParagraphFont"/>
    <w:link w:val="Heading2"/>
    <w:rsid w:val="003E42BC"/>
    <w:rPr>
      <w:rFonts w:ascii="Arial" w:hAnsi="Arial"/>
      <w:b/>
      <w:sz w:val="28"/>
      <w:lang w:val="en-US" w:eastAsia="en-US"/>
    </w:rPr>
  </w:style>
  <w:style w:type="paragraph" w:styleId="NoSpacing">
    <w:name w:val="No Spacing"/>
    <w:uiPriority w:val="1"/>
    <w:qFormat/>
    <w:rsid w:val="00542C5C"/>
    <w:rPr>
      <w:rFonts w:asciiTheme="minorHAnsi" w:eastAsiaTheme="minorHAnsi" w:hAnsiTheme="minorHAnsi" w:cstheme="minorBidi"/>
      <w:sz w:val="22"/>
      <w:szCs w:val="22"/>
      <w:lang w:val="en-US" w:eastAsia="en-US"/>
    </w:rPr>
  </w:style>
  <w:style w:type="paragraph" w:styleId="ListBullet">
    <w:name w:val="List Bullet"/>
    <w:basedOn w:val="Normal"/>
    <w:unhideWhenUsed/>
    <w:rsid w:val="00254FFB"/>
    <w:pPr>
      <w:numPr>
        <w:numId w:val="9"/>
      </w:numPr>
      <w:contextualSpacing/>
    </w:pPr>
  </w:style>
  <w:style w:type="paragraph" w:customStyle="1" w:styleId="Default">
    <w:name w:val="Default"/>
    <w:rsid w:val="00CC5743"/>
    <w:pPr>
      <w:autoSpaceDE w:val="0"/>
      <w:autoSpaceDN w:val="0"/>
      <w:adjustRightInd w:val="0"/>
    </w:pPr>
    <w:rPr>
      <w:rFonts w:ascii="Calibri" w:eastAsiaTheme="minorHAnsi" w:hAnsi="Calibri" w:cs="Calibri"/>
      <w:color w:val="000000"/>
      <w:sz w:val="24"/>
      <w:szCs w:val="24"/>
      <w:lang w:val="en-US" w:eastAsia="en-US"/>
    </w:rPr>
  </w:style>
  <w:style w:type="paragraph" w:styleId="EndnoteText">
    <w:name w:val="endnote text"/>
    <w:basedOn w:val="Normal"/>
    <w:link w:val="EndnoteTextChar"/>
    <w:semiHidden/>
    <w:unhideWhenUsed/>
    <w:rsid w:val="002F6BA1"/>
  </w:style>
  <w:style w:type="character" w:customStyle="1" w:styleId="EndnoteTextChar">
    <w:name w:val="Endnote Text Char"/>
    <w:basedOn w:val="DefaultParagraphFont"/>
    <w:link w:val="EndnoteText"/>
    <w:semiHidden/>
    <w:rsid w:val="002F6BA1"/>
    <w:rPr>
      <w:lang w:val="en-US" w:eastAsia="en-US"/>
    </w:rPr>
  </w:style>
  <w:style w:type="character" w:styleId="EndnoteReference">
    <w:name w:val="endnote reference"/>
    <w:basedOn w:val="DefaultParagraphFont"/>
    <w:semiHidden/>
    <w:unhideWhenUsed/>
    <w:rsid w:val="002F6BA1"/>
    <w:rPr>
      <w:vertAlign w:val="superscript"/>
    </w:rPr>
  </w:style>
  <w:style w:type="character" w:customStyle="1" w:styleId="apple-converted-space">
    <w:name w:val="apple-converted-space"/>
    <w:basedOn w:val="DefaultParagraphFont"/>
    <w:rsid w:val="0050564A"/>
  </w:style>
  <w:style w:type="character" w:styleId="Emphasis">
    <w:name w:val="Emphasis"/>
    <w:basedOn w:val="DefaultParagraphFont"/>
    <w:uiPriority w:val="20"/>
    <w:qFormat/>
    <w:locked/>
    <w:rsid w:val="005056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547"/>
          <w:marRight w:val="0"/>
          <w:marTop w:val="115"/>
          <w:marBottom w:val="0"/>
          <w:divBdr>
            <w:top w:val="none" w:sz="0" w:space="0" w:color="auto"/>
            <w:left w:val="none" w:sz="0" w:space="0" w:color="auto"/>
            <w:bottom w:val="none" w:sz="0" w:space="0" w:color="auto"/>
            <w:right w:val="none" w:sz="0" w:space="0" w:color="auto"/>
          </w:divBdr>
        </w:div>
        <w:div w:id="12">
          <w:marLeft w:val="547"/>
          <w:marRight w:val="0"/>
          <w:marTop w:val="115"/>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547"/>
          <w:marRight w:val="0"/>
          <w:marTop w:val="115"/>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547"/>
          <w:marRight w:val="0"/>
          <w:marTop w:val="115"/>
          <w:marBottom w:val="0"/>
          <w:divBdr>
            <w:top w:val="none" w:sz="0" w:space="0" w:color="auto"/>
            <w:left w:val="none" w:sz="0" w:space="0" w:color="auto"/>
            <w:bottom w:val="none" w:sz="0" w:space="0" w:color="auto"/>
            <w:right w:val="none" w:sz="0" w:space="0" w:color="auto"/>
          </w:divBdr>
        </w:div>
        <w:div w:id="4">
          <w:marLeft w:val="547"/>
          <w:marRight w:val="0"/>
          <w:marTop w:val="115"/>
          <w:marBottom w:val="0"/>
          <w:divBdr>
            <w:top w:val="none" w:sz="0" w:space="0" w:color="auto"/>
            <w:left w:val="none" w:sz="0" w:space="0" w:color="auto"/>
            <w:bottom w:val="none" w:sz="0" w:space="0" w:color="auto"/>
            <w:right w:val="none" w:sz="0" w:space="0" w:color="auto"/>
          </w:divBdr>
        </w:div>
        <w:div w:id="9">
          <w:marLeft w:val="547"/>
          <w:marRight w:val="0"/>
          <w:marTop w:val="115"/>
          <w:marBottom w:val="0"/>
          <w:divBdr>
            <w:top w:val="none" w:sz="0" w:space="0" w:color="auto"/>
            <w:left w:val="none" w:sz="0" w:space="0" w:color="auto"/>
            <w:bottom w:val="none" w:sz="0" w:space="0" w:color="auto"/>
            <w:right w:val="none" w:sz="0" w:space="0" w:color="auto"/>
          </w:divBdr>
        </w:div>
        <w:div w:id="13">
          <w:marLeft w:val="547"/>
          <w:marRight w:val="0"/>
          <w:marTop w:val="115"/>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39324416">
      <w:bodyDiv w:val="1"/>
      <w:marLeft w:val="0"/>
      <w:marRight w:val="0"/>
      <w:marTop w:val="0"/>
      <w:marBottom w:val="0"/>
      <w:divBdr>
        <w:top w:val="none" w:sz="0" w:space="0" w:color="auto"/>
        <w:left w:val="none" w:sz="0" w:space="0" w:color="auto"/>
        <w:bottom w:val="none" w:sz="0" w:space="0" w:color="auto"/>
        <w:right w:val="none" w:sz="0" w:space="0" w:color="auto"/>
      </w:divBdr>
    </w:div>
    <w:div w:id="60686712">
      <w:bodyDiv w:val="1"/>
      <w:marLeft w:val="0"/>
      <w:marRight w:val="0"/>
      <w:marTop w:val="0"/>
      <w:marBottom w:val="0"/>
      <w:divBdr>
        <w:top w:val="none" w:sz="0" w:space="0" w:color="auto"/>
        <w:left w:val="none" w:sz="0" w:space="0" w:color="auto"/>
        <w:bottom w:val="none" w:sz="0" w:space="0" w:color="auto"/>
        <w:right w:val="none" w:sz="0" w:space="0" w:color="auto"/>
      </w:divBdr>
    </w:div>
    <w:div w:id="117795626">
      <w:bodyDiv w:val="1"/>
      <w:marLeft w:val="0"/>
      <w:marRight w:val="0"/>
      <w:marTop w:val="0"/>
      <w:marBottom w:val="0"/>
      <w:divBdr>
        <w:top w:val="none" w:sz="0" w:space="0" w:color="auto"/>
        <w:left w:val="none" w:sz="0" w:space="0" w:color="auto"/>
        <w:bottom w:val="none" w:sz="0" w:space="0" w:color="auto"/>
        <w:right w:val="none" w:sz="0" w:space="0" w:color="auto"/>
      </w:divBdr>
    </w:div>
    <w:div w:id="135950848">
      <w:bodyDiv w:val="1"/>
      <w:marLeft w:val="0"/>
      <w:marRight w:val="0"/>
      <w:marTop w:val="0"/>
      <w:marBottom w:val="0"/>
      <w:divBdr>
        <w:top w:val="none" w:sz="0" w:space="0" w:color="auto"/>
        <w:left w:val="none" w:sz="0" w:space="0" w:color="auto"/>
        <w:bottom w:val="none" w:sz="0" w:space="0" w:color="auto"/>
        <w:right w:val="none" w:sz="0" w:space="0" w:color="auto"/>
      </w:divBdr>
    </w:div>
    <w:div w:id="180508274">
      <w:bodyDiv w:val="1"/>
      <w:marLeft w:val="0"/>
      <w:marRight w:val="0"/>
      <w:marTop w:val="0"/>
      <w:marBottom w:val="0"/>
      <w:divBdr>
        <w:top w:val="none" w:sz="0" w:space="0" w:color="auto"/>
        <w:left w:val="none" w:sz="0" w:space="0" w:color="auto"/>
        <w:bottom w:val="none" w:sz="0" w:space="0" w:color="auto"/>
        <w:right w:val="none" w:sz="0" w:space="0" w:color="auto"/>
      </w:divBdr>
    </w:div>
    <w:div w:id="191845909">
      <w:bodyDiv w:val="1"/>
      <w:marLeft w:val="0"/>
      <w:marRight w:val="0"/>
      <w:marTop w:val="0"/>
      <w:marBottom w:val="0"/>
      <w:divBdr>
        <w:top w:val="none" w:sz="0" w:space="0" w:color="auto"/>
        <w:left w:val="none" w:sz="0" w:space="0" w:color="auto"/>
        <w:bottom w:val="none" w:sz="0" w:space="0" w:color="auto"/>
        <w:right w:val="none" w:sz="0" w:space="0" w:color="auto"/>
      </w:divBdr>
    </w:div>
    <w:div w:id="408161246">
      <w:bodyDiv w:val="1"/>
      <w:marLeft w:val="0"/>
      <w:marRight w:val="0"/>
      <w:marTop w:val="0"/>
      <w:marBottom w:val="0"/>
      <w:divBdr>
        <w:top w:val="none" w:sz="0" w:space="0" w:color="auto"/>
        <w:left w:val="none" w:sz="0" w:space="0" w:color="auto"/>
        <w:bottom w:val="none" w:sz="0" w:space="0" w:color="auto"/>
        <w:right w:val="none" w:sz="0" w:space="0" w:color="auto"/>
      </w:divBdr>
    </w:div>
    <w:div w:id="559051589">
      <w:bodyDiv w:val="1"/>
      <w:marLeft w:val="0"/>
      <w:marRight w:val="0"/>
      <w:marTop w:val="0"/>
      <w:marBottom w:val="0"/>
      <w:divBdr>
        <w:top w:val="none" w:sz="0" w:space="0" w:color="auto"/>
        <w:left w:val="none" w:sz="0" w:space="0" w:color="auto"/>
        <w:bottom w:val="none" w:sz="0" w:space="0" w:color="auto"/>
        <w:right w:val="none" w:sz="0" w:space="0" w:color="auto"/>
      </w:divBdr>
    </w:div>
    <w:div w:id="664862947">
      <w:bodyDiv w:val="1"/>
      <w:marLeft w:val="0"/>
      <w:marRight w:val="0"/>
      <w:marTop w:val="0"/>
      <w:marBottom w:val="0"/>
      <w:divBdr>
        <w:top w:val="none" w:sz="0" w:space="0" w:color="auto"/>
        <w:left w:val="none" w:sz="0" w:space="0" w:color="auto"/>
        <w:bottom w:val="none" w:sz="0" w:space="0" w:color="auto"/>
        <w:right w:val="none" w:sz="0" w:space="0" w:color="auto"/>
      </w:divBdr>
    </w:div>
    <w:div w:id="778599519">
      <w:bodyDiv w:val="1"/>
      <w:marLeft w:val="0"/>
      <w:marRight w:val="0"/>
      <w:marTop w:val="0"/>
      <w:marBottom w:val="0"/>
      <w:divBdr>
        <w:top w:val="none" w:sz="0" w:space="0" w:color="auto"/>
        <w:left w:val="none" w:sz="0" w:space="0" w:color="auto"/>
        <w:bottom w:val="none" w:sz="0" w:space="0" w:color="auto"/>
        <w:right w:val="none" w:sz="0" w:space="0" w:color="auto"/>
      </w:divBdr>
    </w:div>
    <w:div w:id="889533940">
      <w:bodyDiv w:val="1"/>
      <w:marLeft w:val="0"/>
      <w:marRight w:val="0"/>
      <w:marTop w:val="0"/>
      <w:marBottom w:val="0"/>
      <w:divBdr>
        <w:top w:val="none" w:sz="0" w:space="0" w:color="auto"/>
        <w:left w:val="none" w:sz="0" w:space="0" w:color="auto"/>
        <w:bottom w:val="none" w:sz="0" w:space="0" w:color="auto"/>
        <w:right w:val="none" w:sz="0" w:space="0" w:color="auto"/>
      </w:divBdr>
    </w:div>
    <w:div w:id="973603140">
      <w:bodyDiv w:val="1"/>
      <w:marLeft w:val="0"/>
      <w:marRight w:val="0"/>
      <w:marTop w:val="0"/>
      <w:marBottom w:val="0"/>
      <w:divBdr>
        <w:top w:val="none" w:sz="0" w:space="0" w:color="auto"/>
        <w:left w:val="none" w:sz="0" w:space="0" w:color="auto"/>
        <w:bottom w:val="none" w:sz="0" w:space="0" w:color="auto"/>
        <w:right w:val="none" w:sz="0" w:space="0" w:color="auto"/>
      </w:divBdr>
    </w:div>
    <w:div w:id="1016466414">
      <w:bodyDiv w:val="1"/>
      <w:marLeft w:val="0"/>
      <w:marRight w:val="0"/>
      <w:marTop w:val="0"/>
      <w:marBottom w:val="0"/>
      <w:divBdr>
        <w:top w:val="none" w:sz="0" w:space="0" w:color="auto"/>
        <w:left w:val="none" w:sz="0" w:space="0" w:color="auto"/>
        <w:bottom w:val="none" w:sz="0" w:space="0" w:color="auto"/>
        <w:right w:val="none" w:sz="0" w:space="0" w:color="auto"/>
      </w:divBdr>
    </w:div>
    <w:div w:id="1124038906">
      <w:bodyDiv w:val="1"/>
      <w:marLeft w:val="0"/>
      <w:marRight w:val="0"/>
      <w:marTop w:val="0"/>
      <w:marBottom w:val="0"/>
      <w:divBdr>
        <w:top w:val="none" w:sz="0" w:space="0" w:color="auto"/>
        <w:left w:val="none" w:sz="0" w:space="0" w:color="auto"/>
        <w:bottom w:val="none" w:sz="0" w:space="0" w:color="auto"/>
        <w:right w:val="none" w:sz="0" w:space="0" w:color="auto"/>
      </w:divBdr>
    </w:div>
    <w:div w:id="1229337883">
      <w:bodyDiv w:val="1"/>
      <w:marLeft w:val="0"/>
      <w:marRight w:val="0"/>
      <w:marTop w:val="0"/>
      <w:marBottom w:val="0"/>
      <w:divBdr>
        <w:top w:val="none" w:sz="0" w:space="0" w:color="auto"/>
        <w:left w:val="none" w:sz="0" w:space="0" w:color="auto"/>
        <w:bottom w:val="none" w:sz="0" w:space="0" w:color="auto"/>
        <w:right w:val="none" w:sz="0" w:space="0" w:color="auto"/>
      </w:divBdr>
    </w:div>
    <w:div w:id="1292901529">
      <w:bodyDiv w:val="1"/>
      <w:marLeft w:val="0"/>
      <w:marRight w:val="0"/>
      <w:marTop w:val="0"/>
      <w:marBottom w:val="0"/>
      <w:divBdr>
        <w:top w:val="none" w:sz="0" w:space="0" w:color="auto"/>
        <w:left w:val="none" w:sz="0" w:space="0" w:color="auto"/>
        <w:bottom w:val="none" w:sz="0" w:space="0" w:color="auto"/>
        <w:right w:val="none" w:sz="0" w:space="0" w:color="auto"/>
      </w:divBdr>
    </w:div>
    <w:div w:id="1317805239">
      <w:bodyDiv w:val="1"/>
      <w:marLeft w:val="0"/>
      <w:marRight w:val="0"/>
      <w:marTop w:val="0"/>
      <w:marBottom w:val="0"/>
      <w:divBdr>
        <w:top w:val="none" w:sz="0" w:space="0" w:color="auto"/>
        <w:left w:val="none" w:sz="0" w:space="0" w:color="auto"/>
        <w:bottom w:val="none" w:sz="0" w:space="0" w:color="auto"/>
        <w:right w:val="none" w:sz="0" w:space="0" w:color="auto"/>
      </w:divBdr>
    </w:div>
    <w:div w:id="1392654898">
      <w:bodyDiv w:val="1"/>
      <w:marLeft w:val="0"/>
      <w:marRight w:val="0"/>
      <w:marTop w:val="0"/>
      <w:marBottom w:val="0"/>
      <w:divBdr>
        <w:top w:val="none" w:sz="0" w:space="0" w:color="auto"/>
        <w:left w:val="none" w:sz="0" w:space="0" w:color="auto"/>
        <w:bottom w:val="none" w:sz="0" w:space="0" w:color="auto"/>
        <w:right w:val="none" w:sz="0" w:space="0" w:color="auto"/>
      </w:divBdr>
    </w:div>
    <w:div w:id="1399594852">
      <w:bodyDiv w:val="1"/>
      <w:marLeft w:val="0"/>
      <w:marRight w:val="0"/>
      <w:marTop w:val="0"/>
      <w:marBottom w:val="0"/>
      <w:divBdr>
        <w:top w:val="none" w:sz="0" w:space="0" w:color="auto"/>
        <w:left w:val="none" w:sz="0" w:space="0" w:color="auto"/>
        <w:bottom w:val="none" w:sz="0" w:space="0" w:color="auto"/>
        <w:right w:val="none" w:sz="0" w:space="0" w:color="auto"/>
      </w:divBdr>
    </w:div>
    <w:div w:id="1548443715">
      <w:bodyDiv w:val="1"/>
      <w:marLeft w:val="0"/>
      <w:marRight w:val="0"/>
      <w:marTop w:val="0"/>
      <w:marBottom w:val="0"/>
      <w:divBdr>
        <w:top w:val="none" w:sz="0" w:space="0" w:color="auto"/>
        <w:left w:val="none" w:sz="0" w:space="0" w:color="auto"/>
        <w:bottom w:val="none" w:sz="0" w:space="0" w:color="auto"/>
        <w:right w:val="none" w:sz="0" w:space="0" w:color="auto"/>
      </w:divBdr>
    </w:div>
    <w:div w:id="1712606788">
      <w:bodyDiv w:val="1"/>
      <w:marLeft w:val="0"/>
      <w:marRight w:val="0"/>
      <w:marTop w:val="0"/>
      <w:marBottom w:val="0"/>
      <w:divBdr>
        <w:top w:val="none" w:sz="0" w:space="0" w:color="auto"/>
        <w:left w:val="none" w:sz="0" w:space="0" w:color="auto"/>
        <w:bottom w:val="none" w:sz="0" w:space="0" w:color="auto"/>
        <w:right w:val="none" w:sz="0" w:space="0" w:color="auto"/>
      </w:divBdr>
    </w:div>
    <w:div w:id="1847360200">
      <w:bodyDiv w:val="1"/>
      <w:marLeft w:val="0"/>
      <w:marRight w:val="0"/>
      <w:marTop w:val="0"/>
      <w:marBottom w:val="0"/>
      <w:divBdr>
        <w:top w:val="none" w:sz="0" w:space="0" w:color="auto"/>
        <w:left w:val="none" w:sz="0" w:space="0" w:color="auto"/>
        <w:bottom w:val="none" w:sz="0" w:space="0" w:color="auto"/>
        <w:right w:val="none" w:sz="0" w:space="0" w:color="auto"/>
      </w:divBdr>
    </w:div>
    <w:div w:id="1998994832">
      <w:bodyDiv w:val="1"/>
      <w:marLeft w:val="0"/>
      <w:marRight w:val="0"/>
      <w:marTop w:val="0"/>
      <w:marBottom w:val="0"/>
      <w:divBdr>
        <w:top w:val="none" w:sz="0" w:space="0" w:color="auto"/>
        <w:left w:val="none" w:sz="0" w:space="0" w:color="auto"/>
        <w:bottom w:val="none" w:sz="0" w:space="0" w:color="auto"/>
        <w:right w:val="none" w:sz="0" w:space="0" w:color="auto"/>
      </w:divBdr>
    </w:div>
    <w:div w:id="202724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nfo.undp.org/global/popp/rma/Pages/internal-control-framework.asp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yperlink" Target="http://www.undp.org/content/undp/en/home/operations/accountability/programme_and_operationspoliciesandprocedures.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sa.un.org/unpd/wpp/DataQuery/"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ebeba3d-fd60-4dcb-8548-a9fd3c51d9ff">UNITOFFICE-440-367</_dlc_DocId>
    <_dlc_DocIdUrl xmlns="5ebeba3d-fd60-4dcb-8548-a9fd3c51d9ff">
      <Url>https://intranet.undp.org/unit/office/exo/sp2014/SP201417/_layouts/DocIdRedir.aspx?ID=UNITOFFICE-440-367</Url>
      <Description>UNITOFFICE-440-367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E7738F05FF7548ABAF8944C74FA045" ma:contentTypeVersion="0" ma:contentTypeDescription="Create a new document." ma:contentTypeScope="" ma:versionID="e492fd8e14e3aed3a793ca7813f398b8">
  <xsd:schema xmlns:xsd="http://www.w3.org/2001/XMLSchema" xmlns:xs="http://www.w3.org/2001/XMLSchema" xmlns:p="http://schemas.microsoft.com/office/2006/metadata/properties" xmlns:ns2="5ebeba3d-fd60-4dcb-8548-a9fd3c51d9ff" targetNamespace="http://schemas.microsoft.com/office/2006/metadata/properties" ma:root="true" ma:fieldsID="98f07ae1c2d7656ffd86fd1786707b1b" ns2:_="">
    <xsd:import namespace="5ebeba3d-fd60-4dcb-8548-a9fd3c51d9f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eba3d-fd60-4dcb-8548-a9fd3c51d9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3C48D-7F62-4D2D-8219-0D81AFFED2D0}">
  <ds:schemaRefs>
    <ds:schemaRef ds:uri="http://schemas.microsoft.com/office/2006/metadata/properties"/>
    <ds:schemaRef ds:uri="http://schemas.microsoft.com/office/infopath/2007/PartnerControls"/>
    <ds:schemaRef ds:uri="5ebeba3d-fd60-4dcb-8548-a9fd3c51d9ff"/>
  </ds:schemaRefs>
</ds:datastoreItem>
</file>

<file path=customXml/itemProps2.xml><?xml version="1.0" encoding="utf-8"?>
<ds:datastoreItem xmlns:ds="http://schemas.openxmlformats.org/officeDocument/2006/customXml" ds:itemID="{3D1B8F7B-BA39-44ED-8DCD-42BF9FAEB5EA}">
  <ds:schemaRefs>
    <ds:schemaRef ds:uri="http://schemas.microsoft.com/sharepoint/v3/contenttype/forms"/>
  </ds:schemaRefs>
</ds:datastoreItem>
</file>

<file path=customXml/itemProps3.xml><?xml version="1.0" encoding="utf-8"?>
<ds:datastoreItem xmlns:ds="http://schemas.openxmlformats.org/officeDocument/2006/customXml" ds:itemID="{B6B2BE2B-167E-4723-ACEA-F0FD35901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eba3d-fd60-4dcb-8548-a9fd3c51d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625C90-2827-49F4-8BE7-A485F8CCE6CA}">
  <ds:schemaRefs>
    <ds:schemaRef ds:uri="http://schemas.microsoft.com/sharepoint/events"/>
  </ds:schemaRefs>
</ds:datastoreItem>
</file>

<file path=customXml/itemProps5.xml><?xml version="1.0" encoding="utf-8"?>
<ds:datastoreItem xmlns:ds="http://schemas.openxmlformats.org/officeDocument/2006/customXml" ds:itemID="{3B87A9C0-2208-4CAF-9CF1-292DA801E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7631</Words>
  <Characters>47696</Characters>
  <Application>Microsoft Office Word</Application>
  <DocSecurity>0</DocSecurity>
  <Lines>1084</Lines>
  <Paragraphs>310</Paragraphs>
  <ScaleCrop>false</ScaleCrop>
  <HeadingPairs>
    <vt:vector size="2" baseType="variant">
      <vt:variant>
        <vt:lpstr>Title</vt:lpstr>
      </vt:variant>
      <vt:variant>
        <vt:i4>1</vt:i4>
      </vt:variant>
    </vt:vector>
  </HeadingPairs>
  <TitlesOfParts>
    <vt:vector size="1" baseType="lpstr">
      <vt:lpstr>Second/First/Annual session of (year)</vt:lpstr>
    </vt:vector>
  </TitlesOfParts>
  <Company>Microsoft</Company>
  <LinksUpToDate>false</LinksUpToDate>
  <CharactersWithSpaces>55017</CharactersWithSpaces>
  <SharedDoc>false</SharedDoc>
  <HLinks>
    <vt:vector size="12" baseType="variant">
      <vt:variant>
        <vt:i4>18</vt:i4>
      </vt:variant>
      <vt:variant>
        <vt:i4>3</vt:i4>
      </vt:variant>
      <vt:variant>
        <vt:i4>0</vt:i4>
      </vt:variant>
      <vt:variant>
        <vt:i4>5</vt:i4>
      </vt:variant>
      <vt:variant>
        <vt:lpwstr>http://www.un.org/sc/committees/1267/aq_sanctions_list.shtml</vt:lpwstr>
      </vt:variant>
      <vt:variant>
        <vt:lpwstr/>
      </vt:variant>
      <vt:variant>
        <vt:i4>18</vt:i4>
      </vt:variant>
      <vt:variant>
        <vt:i4>0</vt:i4>
      </vt:variant>
      <vt:variant>
        <vt:i4>0</vt:i4>
      </vt:variant>
      <vt:variant>
        <vt:i4>5</vt:i4>
      </vt:variant>
      <vt:variant>
        <vt:lpwstr>http://www.un.org/sc/committees/1267/aq_sanctions_list.shtml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Second/First/Annual session of (year)</dc:title>
  <dc:creator>John Magoha</dc:creator>
  <cp:lastModifiedBy>Svetlana Iazykova</cp:lastModifiedBy>
  <cp:revision>2</cp:revision>
  <cp:lastPrinted>2017-05-27T20:21:00Z</cp:lastPrinted>
  <dcterms:created xsi:type="dcterms:W3CDTF">2017-06-06T16:42:00Z</dcterms:created>
  <dcterms:modified xsi:type="dcterms:W3CDTF">2017-06-06T16:42:00Z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0x010100EDE7738F05FF7548ABAF8944C74FA045</vt:lpwstr>
  </property>
  <property fmtid="{D5CDD505-2E9C-101B-9397-08002B2CF9AE}" pid="3" name="_dlc_DocIdItemGuid">
    <vt:lpwstr>2d22be3a-becd-4272-9cc7-0fc9305e0154</vt:lpwstr>
  </property>
</Properties>
</file>