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AA" w:rsidRDefault="004E57AA" w:rsidP="00B54193">
      <w:pPr>
        <w:spacing w:after="0" w:line="240" w:lineRule="auto"/>
        <w:rPr>
          <w:rFonts w:eastAsia="Times New Roman"/>
          <w:b/>
          <w:bCs/>
          <w:color w:val="000000"/>
          <w:sz w:val="32"/>
          <w:szCs w:val="32"/>
        </w:rPr>
      </w:pPr>
      <w:bookmarkStart w:id="0" w:name="_GoBack"/>
      <w:bookmarkEnd w:id="0"/>
    </w:p>
    <w:p w:rsidR="004E57AA" w:rsidRDefault="004E57AA" w:rsidP="00B54193">
      <w:pPr>
        <w:spacing w:after="0" w:line="240" w:lineRule="auto"/>
        <w:rPr>
          <w:rFonts w:eastAsia="Times New Roman"/>
          <w:b/>
          <w:bCs/>
          <w:color w:val="000000"/>
          <w:sz w:val="32"/>
          <w:szCs w:val="32"/>
        </w:rPr>
      </w:pPr>
    </w:p>
    <w:p w:rsidR="00B54193" w:rsidRPr="00B54193" w:rsidRDefault="00B54193" w:rsidP="00B54193">
      <w:pPr>
        <w:spacing w:after="0" w:line="240" w:lineRule="auto"/>
        <w:rPr>
          <w:rFonts w:eastAsia="Times New Roman"/>
          <w:b/>
          <w:bCs/>
          <w:color w:val="000000"/>
          <w:sz w:val="32"/>
          <w:szCs w:val="32"/>
        </w:rPr>
      </w:pPr>
      <w:r w:rsidRPr="00B54193">
        <w:rPr>
          <w:rFonts w:eastAsia="Times New Roman"/>
          <w:b/>
          <w:bCs/>
          <w:color w:val="000000"/>
          <w:sz w:val="32"/>
          <w:szCs w:val="32"/>
        </w:rPr>
        <w:t>Annex 1</w:t>
      </w:r>
      <w:r w:rsidR="001F0F91">
        <w:rPr>
          <w:rFonts w:eastAsia="Times New Roman"/>
          <w:b/>
          <w:bCs/>
          <w:color w:val="000000"/>
          <w:sz w:val="32"/>
          <w:szCs w:val="32"/>
        </w:rPr>
        <w:t xml:space="preserve">                           </w:t>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r>
      <w:r w:rsidR="001F0F91">
        <w:rPr>
          <w:rFonts w:eastAsia="Times New Roman"/>
          <w:b/>
          <w:bCs/>
          <w:color w:val="000000"/>
          <w:sz w:val="32"/>
          <w:szCs w:val="32"/>
        </w:rPr>
        <w:tab/>
        <w:t xml:space="preserve">         </w:t>
      </w:r>
      <w:r w:rsidR="001F0F91" w:rsidRPr="001F0F91">
        <w:rPr>
          <w:noProof/>
        </w:rPr>
        <w:t xml:space="preserve"> </w:t>
      </w:r>
    </w:p>
    <w:p w:rsidR="00F45ED6" w:rsidRDefault="00F45ED6" w:rsidP="00C64B75">
      <w:pPr>
        <w:rPr>
          <w:noProof/>
        </w:rPr>
      </w:pPr>
    </w:p>
    <w:p w:rsidR="00C64B75" w:rsidRPr="001F0F91" w:rsidRDefault="00C64B75" w:rsidP="00363BC7">
      <w:pPr>
        <w:jc w:val="center"/>
        <w:outlineLvl w:val="0"/>
        <w:rPr>
          <w:b/>
          <w:sz w:val="32"/>
          <w:szCs w:val="32"/>
        </w:rPr>
      </w:pPr>
      <w:r w:rsidRPr="001F0F91">
        <w:rPr>
          <w:b/>
          <w:sz w:val="32"/>
          <w:szCs w:val="32"/>
        </w:rPr>
        <w:t>UNCDF Integrated Results and Resources Matr</w:t>
      </w:r>
      <w:r w:rsidR="004E57AA">
        <w:rPr>
          <w:b/>
          <w:sz w:val="32"/>
          <w:szCs w:val="32"/>
        </w:rPr>
        <w:t>ix 2014-2017 (Results as of 201</w:t>
      </w:r>
      <w:r w:rsidR="009B30E1">
        <w:rPr>
          <w:b/>
          <w:sz w:val="32"/>
          <w:szCs w:val="32"/>
        </w:rPr>
        <w:t>7</w:t>
      </w:r>
      <w:r w:rsidRPr="001F0F91">
        <w:rPr>
          <w:b/>
          <w:sz w:val="32"/>
          <w:szCs w:val="32"/>
        </w:rPr>
        <w:t>)</w:t>
      </w:r>
    </w:p>
    <w:p w:rsidR="00B54193" w:rsidRDefault="00B54193" w:rsidP="00363BC7">
      <w:pPr>
        <w:spacing w:after="0"/>
        <w:outlineLvl w:val="0"/>
        <w:rPr>
          <w:b/>
        </w:rPr>
      </w:pPr>
      <w:r w:rsidRPr="00B54193">
        <w:rPr>
          <w:b/>
        </w:rPr>
        <w:t>Part A</w:t>
      </w:r>
      <w:r w:rsidR="00C206C9">
        <w:rPr>
          <w:b/>
        </w:rPr>
        <w:t xml:space="preserve"> </w:t>
      </w:r>
      <w:r w:rsidRPr="00B54193">
        <w:rPr>
          <w:b/>
        </w:rPr>
        <w:t>- Development Effectiveness</w:t>
      </w:r>
    </w:p>
    <w:tbl>
      <w:tblPr>
        <w:tblW w:w="14359" w:type="dxa"/>
        <w:tblInd w:w="113" w:type="dxa"/>
        <w:tblLook w:val="04A0" w:firstRow="1" w:lastRow="0" w:firstColumn="1" w:lastColumn="0" w:noHBand="0" w:noVBand="1"/>
      </w:tblPr>
      <w:tblGrid>
        <w:gridCol w:w="1732"/>
        <w:gridCol w:w="1839"/>
        <w:gridCol w:w="1622"/>
        <w:gridCol w:w="1107"/>
        <w:gridCol w:w="1167"/>
        <w:gridCol w:w="1747"/>
        <w:gridCol w:w="1622"/>
        <w:gridCol w:w="1732"/>
        <w:gridCol w:w="1793"/>
      </w:tblGrid>
      <w:tr w:rsidR="00620829" w:rsidRPr="00620829" w:rsidTr="00666855">
        <w:trPr>
          <w:trHeight w:val="570"/>
        </w:trPr>
        <w:tc>
          <w:tcPr>
            <w:tcW w:w="14359" w:type="dxa"/>
            <w:gridSpan w:val="9"/>
            <w:tcBorders>
              <w:top w:val="single" w:sz="4" w:space="0" w:color="auto"/>
              <w:left w:val="single" w:sz="4" w:space="0" w:color="auto"/>
              <w:bottom w:val="single" w:sz="4" w:space="0" w:color="auto"/>
              <w:right w:val="single" w:sz="4" w:space="0" w:color="auto"/>
            </w:tcBorders>
            <w:shd w:val="clear" w:color="000000" w:fill="8EA9DB"/>
            <w:noWrap/>
            <w:hideMark/>
          </w:tcPr>
          <w:p w:rsidR="00620829" w:rsidRDefault="00620829" w:rsidP="00620829">
            <w:pPr>
              <w:spacing w:after="0" w:line="240" w:lineRule="auto"/>
              <w:rPr>
                <w:rFonts w:eastAsia="Times New Roman"/>
                <w:b/>
                <w:bCs/>
              </w:rPr>
            </w:pPr>
            <w:r w:rsidRPr="00620829">
              <w:rPr>
                <w:rFonts w:eastAsia="Times New Roman"/>
                <w:b/>
                <w:bCs/>
              </w:rPr>
              <w:t>Outcome 1: Financing increased for basic services and inclusive growth/local economic development</w:t>
            </w:r>
          </w:p>
          <w:p w:rsidR="004A4983" w:rsidRDefault="004A4983" w:rsidP="00620829">
            <w:pPr>
              <w:spacing w:after="0" w:line="240" w:lineRule="auto"/>
              <w:rPr>
                <w:rFonts w:eastAsia="Times New Roman"/>
                <w:b/>
                <w:bCs/>
              </w:rPr>
            </w:pPr>
          </w:p>
          <w:p w:rsidR="0073028A" w:rsidRPr="00620829" w:rsidRDefault="0073028A" w:rsidP="0073028A">
            <w:pPr>
              <w:spacing w:after="0" w:line="240" w:lineRule="auto"/>
              <w:ind w:left="511"/>
              <w:rPr>
                <w:rFonts w:eastAsia="Times New Roman"/>
                <w:b/>
                <w:bCs/>
              </w:rPr>
            </w:pPr>
          </w:p>
        </w:tc>
      </w:tr>
      <w:tr w:rsidR="009B30E1" w:rsidRPr="00620829" w:rsidTr="00F357AD">
        <w:trPr>
          <w:trHeight w:val="1466"/>
        </w:trPr>
        <w:tc>
          <w:tcPr>
            <w:tcW w:w="3402"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9B30E1" w:rsidRPr="00F357AD" w:rsidRDefault="00F357AD" w:rsidP="009B30E1">
            <w:pPr>
              <w:spacing w:after="0" w:line="240" w:lineRule="auto"/>
              <w:rPr>
                <w:rFonts w:eastAsia="Times New Roman"/>
                <w:bCs/>
              </w:rPr>
            </w:pPr>
            <w:r>
              <w:rPr>
                <w:rFonts w:eastAsia="Times New Roman"/>
                <w:b/>
                <w:bCs/>
              </w:rPr>
              <w:t xml:space="preserve">Outcome Indicators: </w:t>
            </w:r>
            <w:r>
              <w:rPr>
                <w:rFonts w:eastAsia="Times New Roman"/>
                <w:bCs/>
              </w:rPr>
              <w:t xml:space="preserve">(access progress against specified outcomes; they help verify that the intended positive change in the development situation has </w:t>
            </w:r>
            <w:proofErr w:type="gramStart"/>
            <w:r>
              <w:rPr>
                <w:rFonts w:eastAsia="Times New Roman"/>
                <w:bCs/>
              </w:rPr>
              <w:t>actually taken</w:t>
            </w:r>
            <w:proofErr w:type="gramEnd"/>
            <w:r>
              <w:rPr>
                <w:rFonts w:eastAsia="Times New Roman"/>
                <w:bCs/>
              </w:rPr>
              <w:t xml:space="preserve"> place)</w:t>
            </w:r>
          </w:p>
        </w:tc>
        <w:tc>
          <w:tcPr>
            <w:tcW w:w="1619"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 xml:space="preserve">Baseline </w:t>
            </w:r>
          </w:p>
          <w:p w:rsidR="009B30E1" w:rsidRPr="00620829" w:rsidRDefault="009B30E1" w:rsidP="009B30E1">
            <w:pPr>
              <w:spacing w:after="0" w:line="240" w:lineRule="auto"/>
              <w:jc w:val="center"/>
              <w:rPr>
                <w:rFonts w:eastAsia="Times New Roman"/>
                <w:b/>
                <w:bCs/>
              </w:rPr>
            </w:pPr>
            <w:r>
              <w:rPr>
                <w:rFonts w:eastAsia="Times New Roman"/>
                <w:b/>
                <w:bCs/>
              </w:rPr>
              <w:t>(2013, if not otherwise specified)</w:t>
            </w:r>
          </w:p>
        </w:tc>
        <w:tc>
          <w:tcPr>
            <w:tcW w:w="1105"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Actual</w:t>
            </w:r>
          </w:p>
          <w:p w:rsidR="009B30E1" w:rsidRPr="00620829" w:rsidRDefault="009B30E1" w:rsidP="009B30E1">
            <w:pPr>
              <w:spacing w:after="0" w:line="240" w:lineRule="auto"/>
              <w:jc w:val="center"/>
              <w:rPr>
                <w:rFonts w:eastAsia="Times New Roman"/>
                <w:b/>
                <w:bCs/>
              </w:rPr>
            </w:pPr>
            <w:r>
              <w:rPr>
                <w:rFonts w:eastAsia="Times New Roman"/>
                <w:b/>
                <w:bCs/>
              </w:rPr>
              <w:t>2016</w:t>
            </w:r>
          </w:p>
        </w:tc>
        <w:tc>
          <w:tcPr>
            <w:tcW w:w="1619"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Actual</w:t>
            </w:r>
          </w:p>
          <w:p w:rsidR="009B30E1" w:rsidRPr="00620829" w:rsidRDefault="009B30E1" w:rsidP="009B30E1">
            <w:pPr>
              <w:spacing w:after="0" w:line="240" w:lineRule="auto"/>
              <w:jc w:val="center"/>
              <w:rPr>
                <w:rFonts w:eastAsia="Times New Roman"/>
                <w:b/>
                <w:bCs/>
              </w:rPr>
            </w:pPr>
            <w:r>
              <w:rPr>
                <w:rFonts w:eastAsia="Times New Roman"/>
                <w:b/>
                <w:bCs/>
              </w:rPr>
              <w:t>2017</w:t>
            </w:r>
          </w:p>
        </w:tc>
        <w:tc>
          <w:tcPr>
            <w:tcW w:w="1846" w:type="dxa"/>
            <w:tcBorders>
              <w:top w:val="nil"/>
              <w:left w:val="nil"/>
              <w:bottom w:val="single" w:sz="4" w:space="0" w:color="auto"/>
              <w:right w:val="single" w:sz="4" w:space="0" w:color="auto"/>
            </w:tcBorders>
            <w:shd w:val="clear" w:color="000000" w:fill="D9D9D9"/>
          </w:tcPr>
          <w:p w:rsidR="009B30E1" w:rsidRPr="00620829" w:rsidRDefault="009B30E1" w:rsidP="009B30E1">
            <w:pPr>
              <w:spacing w:after="0" w:line="240" w:lineRule="auto"/>
              <w:jc w:val="center"/>
              <w:rPr>
                <w:rFonts w:eastAsia="Times New Roman"/>
                <w:b/>
                <w:bCs/>
              </w:rPr>
            </w:pPr>
            <w:r w:rsidRPr="00620829">
              <w:rPr>
                <w:rFonts w:eastAsia="Times New Roman"/>
                <w:b/>
                <w:bCs/>
              </w:rPr>
              <w:t>Cumulative targets</w:t>
            </w:r>
          </w:p>
        </w:tc>
        <w:tc>
          <w:tcPr>
            <w:tcW w:w="1820"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r w:rsidRPr="00620829">
              <w:rPr>
                <w:rFonts w:eastAsia="Times New Roman"/>
                <w:b/>
                <w:bCs/>
              </w:rPr>
              <w:t>Implementation rate against cumulative target</w:t>
            </w:r>
            <w:r w:rsidR="00E567A5">
              <w:rPr>
                <w:rStyle w:val="FootnoteReference"/>
                <w:rFonts w:eastAsia="Times New Roman"/>
                <w:b/>
                <w:bCs/>
              </w:rPr>
              <w:footnoteReference w:id="1"/>
            </w:r>
          </w:p>
        </w:tc>
      </w:tr>
      <w:tr w:rsidR="009B30E1" w:rsidRPr="00620829" w:rsidTr="00666855">
        <w:trPr>
          <w:trHeight w:val="37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9B30E1" w:rsidRPr="00620829" w:rsidRDefault="009B30E1" w:rsidP="009B30E1">
            <w:pPr>
              <w:spacing w:after="0" w:line="240" w:lineRule="auto"/>
              <w:rPr>
                <w:rFonts w:eastAsia="Times New Roman"/>
                <w:b/>
                <w:bCs/>
                <w:u w:val="single"/>
              </w:rPr>
            </w:pPr>
            <w:r w:rsidRPr="00620829">
              <w:rPr>
                <w:rFonts w:eastAsia="Times New Roman"/>
                <w:b/>
                <w:bCs/>
                <w:u w:val="single"/>
              </w:rPr>
              <w:t>Inclusive Finance</w:t>
            </w:r>
          </w:p>
        </w:tc>
      </w:tr>
      <w:tr w:rsidR="009B30E1" w:rsidRPr="00620829" w:rsidTr="00666855">
        <w:trPr>
          <w:trHeight w:val="503"/>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hideMark/>
          </w:tcPr>
          <w:p w:rsidR="009B30E1" w:rsidRPr="003237B6" w:rsidRDefault="009B30E1" w:rsidP="009B30E1">
            <w:pPr>
              <w:spacing w:before="60" w:after="60"/>
              <w:ind w:left="150" w:firstLine="11"/>
            </w:pPr>
            <w:r w:rsidRPr="003237B6">
              <w:t>1.a. Total and net change in number of active clients reached by the UNCDF supported FSPs from the baseline, disaggregated by product and sex.</w:t>
            </w:r>
          </w:p>
          <w:p w:rsidR="009B30E1" w:rsidRPr="00620829" w:rsidRDefault="009B30E1" w:rsidP="009B30E1">
            <w:pPr>
              <w:spacing w:after="0" w:line="240" w:lineRule="auto"/>
              <w:jc w:val="right"/>
              <w:rPr>
                <w:rFonts w:eastAsia="Times New Roman"/>
              </w:rPr>
            </w:pPr>
          </w:p>
        </w:tc>
      </w:tr>
      <w:tr w:rsidR="009B30E1" w:rsidRPr="00620829" w:rsidTr="003B6170">
        <w:trPr>
          <w:trHeight w:val="9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9B30E1" w:rsidRPr="003237B6" w:rsidRDefault="009B30E1" w:rsidP="00F357AD">
            <w:pPr>
              <w:spacing w:before="60" w:after="60"/>
              <w:ind w:left="521"/>
            </w:pPr>
            <w:r w:rsidRPr="003237B6">
              <w:rPr>
                <w:u w:val="single"/>
              </w:rPr>
              <w:t>Sub-indicator 1. a.1</w:t>
            </w:r>
            <w:r w:rsidRPr="003237B6">
              <w:t xml:space="preserve"> Total and net change in number of voluntary savers (disaggregated by sex)</w:t>
            </w:r>
          </w:p>
        </w:tc>
        <w:tc>
          <w:tcPr>
            <w:tcW w:w="1619"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sidRPr="003237B6">
              <w:t>8,927,869 (52% of whom women)</w:t>
            </w:r>
          </w:p>
        </w:tc>
        <w:tc>
          <w:tcPr>
            <w:tcW w:w="1105"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9B30E1" w:rsidRPr="00666855" w:rsidRDefault="009B30E1" w:rsidP="009B30E1">
            <w:pPr>
              <w:spacing w:after="0" w:line="240" w:lineRule="auto"/>
              <w:jc w:val="right"/>
              <w:rPr>
                <w:lang w:eastAsia="ko-KR"/>
              </w:rPr>
            </w:pPr>
            <w:r w:rsidRPr="00666855">
              <w:t xml:space="preserve">  5,893,826 (net change);</w:t>
            </w:r>
            <w:r w:rsidRPr="00BE3AA5">
              <w:rPr>
                <w:rFonts w:eastAsia="Times New Roman"/>
              </w:rPr>
              <w:t xml:space="preserve"> </w:t>
            </w:r>
          </w:p>
          <w:p w:rsidR="00F357AD" w:rsidRDefault="009B30E1" w:rsidP="009B30E1">
            <w:pPr>
              <w:spacing w:after="0" w:line="240" w:lineRule="auto"/>
              <w:jc w:val="right"/>
              <w:rPr>
                <w:rFonts w:eastAsia="Times New Roman"/>
              </w:rPr>
            </w:pPr>
            <w:r w:rsidRPr="00BE3AA5">
              <w:rPr>
                <w:rFonts w:eastAsia="Times New Roman"/>
              </w:rPr>
              <w:t>14,821,</w:t>
            </w:r>
            <w:r w:rsidRPr="00E567A5">
              <w:rPr>
                <w:rFonts w:eastAsia="Times New Roman"/>
              </w:rPr>
              <w:t xml:space="preserve">695 (total); </w:t>
            </w:r>
          </w:p>
          <w:p w:rsidR="009B30E1" w:rsidRPr="00E567A5" w:rsidRDefault="009B30E1" w:rsidP="009B30E1">
            <w:pPr>
              <w:spacing w:after="0" w:line="240" w:lineRule="auto"/>
              <w:jc w:val="right"/>
              <w:rPr>
                <w:rFonts w:eastAsia="Times New Roman"/>
              </w:rPr>
            </w:pPr>
            <w:r w:rsidRPr="00E567A5">
              <w:rPr>
                <w:rFonts w:eastAsia="Times New Roman"/>
              </w:rPr>
              <w:t>(43.7% women)</w:t>
            </w:r>
          </w:p>
        </w:tc>
        <w:tc>
          <w:tcPr>
            <w:tcW w:w="1619" w:type="dxa"/>
            <w:tcBorders>
              <w:top w:val="nil"/>
              <w:left w:val="nil"/>
              <w:bottom w:val="single" w:sz="4" w:space="0" w:color="auto"/>
              <w:right w:val="single" w:sz="4" w:space="0" w:color="auto"/>
            </w:tcBorders>
            <w:shd w:val="clear" w:color="auto" w:fill="FFFFFF"/>
          </w:tcPr>
          <w:p w:rsidR="00F357AD" w:rsidRDefault="008E737F" w:rsidP="00666855">
            <w:pPr>
              <w:spacing w:after="0" w:line="240" w:lineRule="auto"/>
              <w:jc w:val="right"/>
              <w:rPr>
                <w:rFonts w:eastAsia="Times New Roman"/>
              </w:rPr>
            </w:pPr>
            <w:r w:rsidRPr="00666855">
              <w:rPr>
                <w:rFonts w:eastAsia="Times New Roman"/>
              </w:rPr>
              <w:t>5,306,661</w:t>
            </w:r>
            <w:r w:rsidR="00CB6F52" w:rsidRPr="00666855">
              <w:rPr>
                <w:rFonts w:eastAsia="Times New Roman"/>
              </w:rPr>
              <w:t xml:space="preserve"> </w:t>
            </w:r>
            <w:r w:rsidRPr="00666855">
              <w:rPr>
                <w:rFonts w:eastAsia="Times New Roman"/>
              </w:rPr>
              <w:t>(net change);</w:t>
            </w:r>
            <w:r w:rsidR="005A276E" w:rsidRPr="00666855">
              <w:rPr>
                <w:rFonts w:eastAsia="Times New Roman"/>
              </w:rPr>
              <w:t xml:space="preserve"> 20,128,356</w:t>
            </w:r>
            <w:r w:rsidR="00CB6F52" w:rsidRPr="00666855">
              <w:rPr>
                <w:rFonts w:eastAsia="Times New Roman"/>
              </w:rPr>
              <w:t xml:space="preserve"> </w:t>
            </w:r>
            <w:r w:rsidR="005A276E" w:rsidRPr="00666855">
              <w:rPr>
                <w:rFonts w:eastAsia="Times New Roman"/>
              </w:rPr>
              <w:t xml:space="preserve">(total); </w:t>
            </w:r>
          </w:p>
          <w:p w:rsidR="008E737F" w:rsidRPr="00666855" w:rsidRDefault="005A276E" w:rsidP="00666855">
            <w:pPr>
              <w:spacing w:after="0" w:line="240" w:lineRule="auto"/>
              <w:jc w:val="right"/>
              <w:rPr>
                <w:rFonts w:eastAsia="Times New Roman"/>
              </w:rPr>
            </w:pPr>
            <w:r w:rsidRPr="00666855">
              <w:rPr>
                <w:rFonts w:eastAsia="Times New Roman"/>
              </w:rPr>
              <w:t>(41% women)</w:t>
            </w:r>
          </w:p>
        </w:tc>
        <w:tc>
          <w:tcPr>
            <w:tcW w:w="1846" w:type="dxa"/>
            <w:tcBorders>
              <w:top w:val="nil"/>
              <w:left w:val="nil"/>
              <w:bottom w:val="single" w:sz="4" w:space="0" w:color="auto"/>
              <w:right w:val="single" w:sz="4" w:space="0" w:color="auto"/>
            </w:tcBorders>
            <w:shd w:val="clear" w:color="auto" w:fill="FFFFFF"/>
          </w:tcPr>
          <w:p w:rsidR="002370D4" w:rsidRDefault="009B30E1" w:rsidP="00F357AD">
            <w:pPr>
              <w:pStyle w:val="TableParagraph"/>
              <w:spacing w:before="60" w:after="60"/>
              <w:ind w:left="-18" w:right="67" w:firstLine="208"/>
              <w:jc w:val="right"/>
            </w:pPr>
            <w:r w:rsidRPr="00BE3AA5">
              <w:t>6,400,000</w:t>
            </w:r>
          </w:p>
          <w:p w:rsidR="009B30E1" w:rsidRDefault="002370D4" w:rsidP="00F357AD">
            <w:pPr>
              <w:pStyle w:val="TableParagraph"/>
              <w:spacing w:before="60" w:after="60"/>
              <w:ind w:left="-18" w:right="67" w:firstLine="208"/>
              <w:jc w:val="right"/>
            </w:pPr>
            <w:r>
              <w:t>(for annual net change)</w:t>
            </w:r>
            <w:r w:rsidR="00C52C82">
              <w:t>;</w:t>
            </w:r>
            <w:r w:rsidR="009B30E1" w:rsidRPr="00BE3AA5">
              <w:t xml:space="preserve"> (50% women)</w:t>
            </w:r>
          </w:p>
          <w:p w:rsidR="00DE0F89" w:rsidRPr="00E567A5" w:rsidRDefault="00DE0F89" w:rsidP="00F357AD">
            <w:pPr>
              <w:pStyle w:val="TableParagraph"/>
              <w:spacing w:before="60" w:after="60"/>
              <w:ind w:left="-18" w:right="67" w:firstLine="208"/>
              <w:jc w:val="right"/>
              <w:rPr>
                <w:rFonts w:eastAsia="Times New Roman"/>
              </w:rPr>
            </w:pPr>
          </w:p>
        </w:tc>
        <w:tc>
          <w:tcPr>
            <w:tcW w:w="1820" w:type="dxa"/>
            <w:tcBorders>
              <w:top w:val="nil"/>
              <w:left w:val="nil"/>
              <w:bottom w:val="single" w:sz="4" w:space="0" w:color="auto"/>
              <w:right w:val="single" w:sz="4" w:space="0" w:color="auto"/>
            </w:tcBorders>
            <w:shd w:val="clear" w:color="auto" w:fill="E2EFD9"/>
          </w:tcPr>
          <w:p w:rsidR="00F357AD" w:rsidRDefault="00CB6F52" w:rsidP="009B30E1">
            <w:pPr>
              <w:spacing w:after="0" w:line="240" w:lineRule="auto"/>
              <w:jc w:val="right"/>
              <w:rPr>
                <w:rFonts w:eastAsia="Times New Roman"/>
              </w:rPr>
            </w:pPr>
            <w:r>
              <w:rPr>
                <w:rFonts w:eastAsia="Times New Roman"/>
              </w:rPr>
              <w:t xml:space="preserve">83% </w:t>
            </w:r>
            <w:r w:rsidR="00477569">
              <w:rPr>
                <w:rFonts w:eastAsia="Times New Roman"/>
              </w:rPr>
              <w:t>(</w:t>
            </w:r>
            <w:r w:rsidR="00BE3AA5">
              <w:rPr>
                <w:rFonts w:eastAsia="Times New Roman"/>
              </w:rPr>
              <w:t xml:space="preserve">based on </w:t>
            </w:r>
            <w:r w:rsidR="00477569">
              <w:rPr>
                <w:rFonts w:eastAsia="Times New Roman"/>
              </w:rPr>
              <w:t>net change)</w:t>
            </w:r>
            <w:r w:rsidR="00BE3AA5">
              <w:rPr>
                <w:rFonts w:eastAsia="Times New Roman"/>
              </w:rPr>
              <w:t xml:space="preserve">; </w:t>
            </w:r>
          </w:p>
          <w:p w:rsidR="009B30E1" w:rsidRPr="00620829" w:rsidRDefault="00BE3AA5" w:rsidP="009B30E1">
            <w:pPr>
              <w:spacing w:after="0" w:line="240" w:lineRule="auto"/>
              <w:jc w:val="right"/>
              <w:rPr>
                <w:rFonts w:eastAsia="Times New Roman"/>
              </w:rPr>
            </w:pPr>
            <w:r>
              <w:rPr>
                <w:rFonts w:eastAsia="Times New Roman"/>
              </w:rPr>
              <w:t>82% (sex-disaggregation)</w:t>
            </w:r>
          </w:p>
        </w:tc>
      </w:tr>
      <w:tr w:rsidR="009B30E1" w:rsidRPr="00620829" w:rsidTr="003B6170">
        <w:trPr>
          <w:trHeight w:val="9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9B30E1" w:rsidRPr="003237B6" w:rsidRDefault="009B30E1" w:rsidP="009B30E1">
            <w:pPr>
              <w:spacing w:before="60" w:after="60"/>
              <w:ind w:left="521"/>
              <w:rPr>
                <w:color w:val="FF0000"/>
              </w:rPr>
            </w:pPr>
            <w:r w:rsidRPr="003237B6">
              <w:rPr>
                <w:u w:val="single"/>
              </w:rPr>
              <w:lastRenderedPageBreak/>
              <w:t xml:space="preserve">Sub-indicator 1.a.2 </w:t>
            </w:r>
            <w:r w:rsidRPr="003237B6">
              <w:t>Total and net change in number of active borrowers (disaggregated by sex)</w:t>
            </w:r>
          </w:p>
          <w:p w:rsidR="009B30E1" w:rsidRPr="003237B6" w:rsidRDefault="009B30E1" w:rsidP="009B30E1">
            <w:pPr>
              <w:spacing w:before="60" w:after="60"/>
              <w:ind w:left="521"/>
              <w:rPr>
                <w:u w:val="single"/>
              </w:rPr>
            </w:pPr>
          </w:p>
        </w:tc>
        <w:tc>
          <w:tcPr>
            <w:tcW w:w="1619"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sidRPr="003237B6">
              <w:t>1,301,827</w:t>
            </w:r>
          </w:p>
        </w:tc>
        <w:tc>
          <w:tcPr>
            <w:tcW w:w="1105"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9B30E1" w:rsidRDefault="009B30E1" w:rsidP="009B30E1">
            <w:pPr>
              <w:spacing w:after="0" w:line="240" w:lineRule="auto"/>
              <w:jc w:val="right"/>
              <w:rPr>
                <w:color w:val="000000"/>
              </w:rPr>
            </w:pPr>
            <w:r>
              <w:rPr>
                <w:color w:val="000000"/>
              </w:rPr>
              <w:t xml:space="preserve">       2,748,026 (net change);</w:t>
            </w:r>
          </w:p>
          <w:p w:rsidR="009B30E1" w:rsidRDefault="009B30E1" w:rsidP="009B30E1">
            <w:pPr>
              <w:spacing w:after="0" w:line="240" w:lineRule="auto"/>
              <w:jc w:val="right"/>
              <w:rPr>
                <w:color w:val="000000"/>
              </w:rPr>
            </w:pPr>
            <w:r>
              <w:rPr>
                <w:color w:val="000000"/>
              </w:rPr>
              <w:t xml:space="preserve">       4,049,853 (total);</w:t>
            </w:r>
          </w:p>
          <w:p w:rsidR="009B30E1" w:rsidRDefault="009B30E1" w:rsidP="009B30E1">
            <w:pPr>
              <w:spacing w:after="0" w:line="240" w:lineRule="auto"/>
              <w:jc w:val="right"/>
              <w:rPr>
                <w:color w:val="000000"/>
              </w:rPr>
            </w:pPr>
            <w:r>
              <w:rPr>
                <w:color w:val="000000"/>
              </w:rPr>
              <w:t>(54.4% women)</w:t>
            </w:r>
          </w:p>
          <w:p w:rsidR="009B30E1" w:rsidRPr="006740A6" w:rsidRDefault="009B30E1" w:rsidP="009B30E1">
            <w:pPr>
              <w:spacing w:after="0" w:line="240" w:lineRule="auto"/>
              <w:jc w:val="right"/>
              <w:rPr>
                <w:color w:val="000000"/>
                <w:lang w:eastAsia="ko-KR"/>
              </w:rPr>
            </w:pPr>
          </w:p>
        </w:tc>
        <w:tc>
          <w:tcPr>
            <w:tcW w:w="1619" w:type="dxa"/>
            <w:tcBorders>
              <w:top w:val="nil"/>
              <w:left w:val="nil"/>
              <w:bottom w:val="single" w:sz="4" w:space="0" w:color="auto"/>
              <w:right w:val="single" w:sz="4" w:space="0" w:color="auto"/>
            </w:tcBorders>
            <w:shd w:val="clear" w:color="auto" w:fill="FFFFFF"/>
          </w:tcPr>
          <w:p w:rsidR="00477569" w:rsidRDefault="00BE3AA5" w:rsidP="00666855">
            <w:pPr>
              <w:tabs>
                <w:tab w:val="left" w:pos="495"/>
                <w:tab w:val="center" w:pos="703"/>
              </w:tabs>
              <w:spacing w:after="0" w:line="240" w:lineRule="auto"/>
              <w:jc w:val="right"/>
              <w:rPr>
                <w:color w:val="000000"/>
              </w:rPr>
            </w:pPr>
            <w:r>
              <w:rPr>
                <w:rFonts w:eastAsia="Times New Roman"/>
                <w:color w:val="FF0000"/>
              </w:rPr>
              <w:tab/>
            </w:r>
            <w:r w:rsidR="00477569" w:rsidRPr="00477569">
              <w:rPr>
                <w:color w:val="000000"/>
              </w:rPr>
              <w:t xml:space="preserve">1,950,162 </w:t>
            </w:r>
            <w:r w:rsidR="00477569">
              <w:rPr>
                <w:color w:val="000000"/>
              </w:rPr>
              <w:t>(net change</w:t>
            </w:r>
            <w:proofErr w:type="gramStart"/>
            <w:r w:rsidR="00477569">
              <w:rPr>
                <w:color w:val="000000"/>
              </w:rPr>
              <w:t xml:space="preserve">);   </w:t>
            </w:r>
            <w:proofErr w:type="gramEnd"/>
            <w:r w:rsidR="00477569">
              <w:rPr>
                <w:color w:val="000000"/>
              </w:rPr>
              <w:t xml:space="preserve">     6,000,015 (total);</w:t>
            </w:r>
          </w:p>
          <w:p w:rsidR="00477569" w:rsidRDefault="00477569" w:rsidP="00BE3AA5">
            <w:pPr>
              <w:spacing w:after="0" w:line="240" w:lineRule="auto"/>
              <w:jc w:val="right"/>
              <w:rPr>
                <w:color w:val="000000"/>
              </w:rPr>
            </w:pPr>
            <w:r>
              <w:rPr>
                <w:color w:val="000000"/>
              </w:rPr>
              <w:t>(51% women)</w:t>
            </w:r>
          </w:p>
          <w:p w:rsidR="00477569" w:rsidRPr="006740A6" w:rsidRDefault="00477569" w:rsidP="009B30E1">
            <w:pPr>
              <w:spacing w:after="0" w:line="240" w:lineRule="auto"/>
              <w:jc w:val="center"/>
              <w:rPr>
                <w:color w:val="000000"/>
                <w:lang w:eastAsia="ko-KR"/>
              </w:rPr>
            </w:pPr>
          </w:p>
        </w:tc>
        <w:tc>
          <w:tcPr>
            <w:tcW w:w="1846" w:type="dxa"/>
            <w:tcBorders>
              <w:top w:val="nil"/>
              <w:left w:val="nil"/>
              <w:bottom w:val="single" w:sz="4" w:space="0" w:color="auto"/>
              <w:right w:val="single" w:sz="4" w:space="0" w:color="auto"/>
            </w:tcBorders>
            <w:shd w:val="clear" w:color="auto" w:fill="FFFFFF"/>
          </w:tcPr>
          <w:p w:rsidR="002370D4" w:rsidRDefault="009B30E1" w:rsidP="009B30E1">
            <w:pPr>
              <w:pStyle w:val="TableParagraph"/>
              <w:spacing w:before="60" w:after="60"/>
              <w:ind w:left="190" w:right="67"/>
              <w:jc w:val="right"/>
            </w:pPr>
            <w:r w:rsidRPr="003237B6">
              <w:t>1,280,000</w:t>
            </w:r>
          </w:p>
          <w:p w:rsidR="009B30E1" w:rsidRDefault="002370D4" w:rsidP="009B30E1">
            <w:pPr>
              <w:pStyle w:val="TableParagraph"/>
              <w:spacing w:before="60" w:after="60"/>
              <w:ind w:left="190" w:right="67"/>
              <w:jc w:val="right"/>
            </w:pPr>
            <w:r>
              <w:t>(for annual net change)</w:t>
            </w:r>
            <w:r w:rsidR="00C52C82">
              <w:t>;</w:t>
            </w:r>
            <w:r w:rsidRPr="00BE3AA5">
              <w:t xml:space="preserve"> </w:t>
            </w:r>
            <w:r w:rsidR="009B30E1">
              <w:t>(50% women)</w:t>
            </w:r>
          </w:p>
          <w:p w:rsidR="00DE0F89" w:rsidRPr="003237B6" w:rsidRDefault="00DE0F89" w:rsidP="009B30E1">
            <w:pPr>
              <w:pStyle w:val="TableParagraph"/>
              <w:spacing w:before="60" w:after="60"/>
              <w:ind w:left="190" w:right="67"/>
              <w:jc w:val="right"/>
            </w:pPr>
          </w:p>
          <w:p w:rsidR="009B30E1" w:rsidRPr="00620829" w:rsidRDefault="009B30E1" w:rsidP="009B30E1">
            <w:pPr>
              <w:spacing w:after="0" w:line="240" w:lineRule="auto"/>
              <w:jc w:val="right"/>
              <w:rPr>
                <w:rFonts w:eastAsia="Times New Roman"/>
              </w:rPr>
            </w:pPr>
          </w:p>
        </w:tc>
        <w:tc>
          <w:tcPr>
            <w:tcW w:w="1820" w:type="dxa"/>
            <w:tcBorders>
              <w:top w:val="nil"/>
              <w:left w:val="nil"/>
              <w:bottom w:val="single" w:sz="4" w:space="0" w:color="auto"/>
              <w:right w:val="single" w:sz="4" w:space="0" w:color="auto"/>
            </w:tcBorders>
            <w:shd w:val="clear" w:color="auto" w:fill="E2EFD9"/>
          </w:tcPr>
          <w:p w:rsidR="00BE3AA5" w:rsidRDefault="00835D4F" w:rsidP="009B30E1">
            <w:pPr>
              <w:spacing w:after="0" w:line="240" w:lineRule="auto"/>
              <w:jc w:val="right"/>
              <w:rPr>
                <w:rFonts w:eastAsia="Times New Roman"/>
              </w:rPr>
            </w:pPr>
            <w:r>
              <w:rPr>
                <w:rFonts w:eastAsia="Times New Roman"/>
              </w:rPr>
              <w:t>152% (</w:t>
            </w:r>
            <w:r w:rsidR="00BE3AA5">
              <w:rPr>
                <w:rFonts w:eastAsia="Times New Roman"/>
              </w:rPr>
              <w:t xml:space="preserve">based on </w:t>
            </w:r>
            <w:r>
              <w:rPr>
                <w:rFonts w:eastAsia="Times New Roman"/>
              </w:rPr>
              <w:t xml:space="preserve">net change); </w:t>
            </w:r>
          </w:p>
          <w:p w:rsidR="009B30E1" w:rsidRPr="00620829" w:rsidRDefault="00835D4F" w:rsidP="009B30E1">
            <w:pPr>
              <w:spacing w:after="0" w:line="240" w:lineRule="auto"/>
              <w:jc w:val="right"/>
              <w:rPr>
                <w:rFonts w:eastAsia="Times New Roman"/>
              </w:rPr>
            </w:pPr>
            <w:r>
              <w:rPr>
                <w:rFonts w:eastAsia="Times New Roman"/>
              </w:rPr>
              <w:t>103% (sex disaggregat</w:t>
            </w:r>
            <w:r w:rsidR="00BE3AA5">
              <w:rPr>
                <w:rFonts w:eastAsia="Times New Roman"/>
              </w:rPr>
              <w:t>ion</w:t>
            </w:r>
            <w:r>
              <w:rPr>
                <w:rFonts w:eastAsia="Times New Roman"/>
              </w:rPr>
              <w:t>)</w:t>
            </w:r>
          </w:p>
        </w:tc>
      </w:tr>
      <w:tr w:rsidR="009B30E1" w:rsidRPr="00620829" w:rsidTr="003B6170">
        <w:trPr>
          <w:trHeight w:val="9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9B30E1" w:rsidRPr="003237B6" w:rsidRDefault="009B30E1" w:rsidP="009B30E1">
            <w:pPr>
              <w:spacing w:before="60" w:after="60"/>
              <w:ind w:left="521"/>
            </w:pPr>
            <w:r w:rsidRPr="003237B6">
              <w:rPr>
                <w:u w:val="single"/>
              </w:rPr>
              <w:t xml:space="preserve">Sub-indicator 1.a.3 </w:t>
            </w:r>
            <w:r w:rsidRPr="003237B6">
              <w:t>Total and net change in number of active clients of electronic payments facilitating financial inclusions (disaggregated by sex)</w:t>
            </w:r>
          </w:p>
          <w:p w:rsidR="009B30E1" w:rsidRPr="003237B6" w:rsidRDefault="009B30E1" w:rsidP="009B30E1">
            <w:pPr>
              <w:spacing w:before="60" w:after="60"/>
            </w:pPr>
          </w:p>
        </w:tc>
        <w:tc>
          <w:tcPr>
            <w:tcW w:w="1619"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sidRPr="00CC651D">
              <w:rPr>
                <w:rFonts w:eastAsia="Times New Roman"/>
              </w:rPr>
              <w:t>632</w:t>
            </w:r>
            <w:r>
              <w:rPr>
                <w:rFonts w:eastAsia="Times New Roman"/>
              </w:rPr>
              <w:t>,</w:t>
            </w:r>
            <w:r w:rsidRPr="00CC651D">
              <w:rPr>
                <w:rFonts w:eastAsia="Times New Roman"/>
              </w:rPr>
              <w:t>780</w:t>
            </w:r>
          </w:p>
        </w:tc>
        <w:tc>
          <w:tcPr>
            <w:tcW w:w="1105"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9B30E1" w:rsidRDefault="009B30E1" w:rsidP="009B30E1">
            <w:pPr>
              <w:spacing w:after="0" w:line="240" w:lineRule="auto"/>
              <w:jc w:val="right"/>
              <w:rPr>
                <w:rFonts w:eastAsia="Times New Roman"/>
              </w:rPr>
            </w:pPr>
            <w:r>
              <w:rPr>
                <w:color w:val="000000"/>
              </w:rPr>
              <w:t xml:space="preserve">10,373,514 </w:t>
            </w:r>
            <w:r>
              <w:rPr>
                <w:rFonts w:eastAsia="Times New Roman"/>
              </w:rPr>
              <w:t>(net change);</w:t>
            </w:r>
          </w:p>
          <w:p w:rsidR="00F357AD" w:rsidRDefault="009B30E1" w:rsidP="009B30E1">
            <w:pPr>
              <w:spacing w:after="0" w:line="240" w:lineRule="auto"/>
              <w:jc w:val="right"/>
              <w:rPr>
                <w:rFonts w:eastAsia="Times New Roman"/>
              </w:rPr>
            </w:pPr>
            <w:r w:rsidRPr="00ED3257">
              <w:rPr>
                <w:rFonts w:eastAsia="Times New Roman"/>
              </w:rPr>
              <w:t>11,006,294</w:t>
            </w:r>
            <w:r>
              <w:rPr>
                <w:rFonts w:eastAsia="Times New Roman"/>
              </w:rPr>
              <w:t xml:space="preserve"> (total); </w:t>
            </w:r>
          </w:p>
          <w:p w:rsidR="009B30E1" w:rsidRPr="00620829" w:rsidRDefault="009B30E1" w:rsidP="009B30E1">
            <w:pPr>
              <w:spacing w:after="0" w:line="240" w:lineRule="auto"/>
              <w:jc w:val="right"/>
              <w:rPr>
                <w:rFonts w:eastAsia="Times New Roman"/>
              </w:rPr>
            </w:pPr>
            <w:r>
              <w:rPr>
                <w:rFonts w:eastAsia="Times New Roman"/>
              </w:rPr>
              <w:t>(37.2% women)</w:t>
            </w:r>
          </w:p>
        </w:tc>
        <w:tc>
          <w:tcPr>
            <w:tcW w:w="1619" w:type="dxa"/>
            <w:tcBorders>
              <w:top w:val="nil"/>
              <w:left w:val="nil"/>
              <w:bottom w:val="single" w:sz="4" w:space="0" w:color="auto"/>
              <w:right w:val="single" w:sz="4" w:space="0" w:color="auto"/>
            </w:tcBorders>
            <w:shd w:val="clear" w:color="auto" w:fill="FFFFFF"/>
          </w:tcPr>
          <w:p w:rsidR="00BE3AA5" w:rsidRDefault="00B27BAC" w:rsidP="00B27BAC">
            <w:pPr>
              <w:spacing w:after="0" w:line="240" w:lineRule="auto"/>
              <w:jc w:val="right"/>
              <w:rPr>
                <w:color w:val="000000"/>
              </w:rPr>
            </w:pPr>
            <w:r w:rsidRPr="00B27BAC">
              <w:rPr>
                <w:color w:val="000000"/>
              </w:rPr>
              <w:t xml:space="preserve">6,964,342 </w:t>
            </w:r>
          </w:p>
          <w:p w:rsidR="00B27BAC" w:rsidRDefault="00B27BAC" w:rsidP="00B27BAC">
            <w:pPr>
              <w:spacing w:after="0" w:line="240" w:lineRule="auto"/>
              <w:jc w:val="right"/>
              <w:rPr>
                <w:rFonts w:eastAsia="Times New Roman"/>
              </w:rPr>
            </w:pPr>
            <w:r>
              <w:rPr>
                <w:rFonts w:eastAsia="Times New Roman"/>
              </w:rPr>
              <w:t>(net change);</w:t>
            </w:r>
          </w:p>
          <w:p w:rsidR="00BE3AA5" w:rsidRDefault="00B27BAC" w:rsidP="00666855">
            <w:pPr>
              <w:spacing w:after="0" w:line="240" w:lineRule="auto"/>
              <w:jc w:val="right"/>
              <w:rPr>
                <w:rFonts w:eastAsia="Times New Roman"/>
              </w:rPr>
            </w:pPr>
            <w:r w:rsidRPr="00B27BAC">
              <w:rPr>
                <w:rFonts w:eastAsia="Times New Roman"/>
              </w:rPr>
              <w:t xml:space="preserve">17,970,636 </w:t>
            </w:r>
            <w:r>
              <w:rPr>
                <w:rFonts w:eastAsia="Times New Roman"/>
              </w:rPr>
              <w:t xml:space="preserve">(total); </w:t>
            </w:r>
          </w:p>
          <w:p w:rsidR="00B27BAC" w:rsidRPr="00620829" w:rsidRDefault="00B27BAC" w:rsidP="00666855">
            <w:pPr>
              <w:spacing w:after="0" w:line="240" w:lineRule="auto"/>
              <w:jc w:val="right"/>
              <w:rPr>
                <w:rFonts w:eastAsia="Times New Roman"/>
              </w:rPr>
            </w:pPr>
            <w:r>
              <w:rPr>
                <w:rFonts w:eastAsia="Times New Roman"/>
              </w:rPr>
              <w:t>(</w:t>
            </w:r>
            <w:r w:rsidR="003C75FD">
              <w:rPr>
                <w:rFonts w:eastAsia="Times New Roman"/>
              </w:rPr>
              <w:t>46.6</w:t>
            </w:r>
            <w:r w:rsidR="00F357AD">
              <w:rPr>
                <w:rFonts w:eastAsia="Times New Roman"/>
              </w:rPr>
              <w:t>%</w:t>
            </w:r>
            <w:r>
              <w:rPr>
                <w:rFonts w:eastAsia="Times New Roman"/>
              </w:rPr>
              <w:t xml:space="preserve"> women)</w:t>
            </w:r>
          </w:p>
        </w:tc>
        <w:tc>
          <w:tcPr>
            <w:tcW w:w="1846" w:type="dxa"/>
            <w:tcBorders>
              <w:top w:val="nil"/>
              <w:left w:val="nil"/>
              <w:bottom w:val="single" w:sz="4" w:space="0" w:color="auto"/>
              <w:right w:val="single" w:sz="4" w:space="0" w:color="auto"/>
            </w:tcBorders>
            <w:shd w:val="clear" w:color="auto" w:fill="FFFFFF"/>
          </w:tcPr>
          <w:p w:rsidR="002370D4" w:rsidRDefault="009B30E1" w:rsidP="009B30E1">
            <w:pPr>
              <w:spacing w:after="0" w:line="240" w:lineRule="auto"/>
              <w:jc w:val="right"/>
              <w:rPr>
                <w:rFonts w:eastAsia="Times New Roman"/>
              </w:rPr>
            </w:pPr>
            <w:r w:rsidRPr="00ED3257">
              <w:rPr>
                <w:rFonts w:eastAsia="Times New Roman"/>
              </w:rPr>
              <w:t>2,585,150</w:t>
            </w:r>
          </w:p>
          <w:p w:rsidR="00BE3AA5" w:rsidRDefault="002370D4" w:rsidP="009B30E1">
            <w:pPr>
              <w:spacing w:after="0" w:line="240" w:lineRule="auto"/>
              <w:jc w:val="right"/>
              <w:rPr>
                <w:rFonts w:eastAsia="Times New Roman"/>
              </w:rPr>
            </w:pPr>
            <w:r>
              <w:t>(for annual net change)</w:t>
            </w:r>
            <w:r w:rsidR="00C52C82">
              <w:t>;</w:t>
            </w:r>
            <w:r w:rsidRPr="00BE3AA5">
              <w:t xml:space="preserve"> </w:t>
            </w:r>
            <w:r w:rsidR="009B30E1">
              <w:rPr>
                <w:rFonts w:eastAsia="Times New Roman"/>
              </w:rPr>
              <w:t xml:space="preserve"> </w:t>
            </w:r>
          </w:p>
          <w:p w:rsidR="009B30E1" w:rsidRDefault="009B30E1" w:rsidP="009B30E1">
            <w:pPr>
              <w:spacing w:after="0" w:line="240" w:lineRule="auto"/>
              <w:jc w:val="right"/>
              <w:rPr>
                <w:rFonts w:eastAsia="Times New Roman"/>
              </w:rPr>
            </w:pPr>
            <w:r>
              <w:rPr>
                <w:rFonts w:eastAsia="Times New Roman"/>
              </w:rPr>
              <w:t>(50% women)</w:t>
            </w:r>
          </w:p>
          <w:p w:rsidR="00DE0F89" w:rsidRPr="00620829" w:rsidRDefault="00DE0F89" w:rsidP="009B30E1">
            <w:pPr>
              <w:spacing w:after="0" w:line="240" w:lineRule="auto"/>
              <w:jc w:val="right"/>
              <w:rPr>
                <w:rFonts w:eastAsia="Times New Roman"/>
              </w:rPr>
            </w:pPr>
          </w:p>
        </w:tc>
        <w:tc>
          <w:tcPr>
            <w:tcW w:w="1820" w:type="dxa"/>
            <w:tcBorders>
              <w:top w:val="nil"/>
              <w:left w:val="nil"/>
              <w:bottom w:val="single" w:sz="4" w:space="0" w:color="auto"/>
              <w:right w:val="single" w:sz="4" w:space="0" w:color="auto"/>
            </w:tcBorders>
            <w:shd w:val="clear" w:color="auto" w:fill="E2EFD9"/>
          </w:tcPr>
          <w:p w:rsidR="00BE3AA5" w:rsidRDefault="003C75FD" w:rsidP="009B30E1">
            <w:pPr>
              <w:spacing w:after="0" w:line="240" w:lineRule="auto"/>
              <w:jc w:val="right"/>
              <w:rPr>
                <w:rFonts w:eastAsia="Times New Roman"/>
              </w:rPr>
            </w:pPr>
            <w:r>
              <w:rPr>
                <w:rFonts w:eastAsia="Times New Roman"/>
              </w:rPr>
              <w:t>269% (</w:t>
            </w:r>
            <w:r w:rsidR="00BE3AA5">
              <w:rPr>
                <w:rFonts w:eastAsia="Times New Roman"/>
              </w:rPr>
              <w:t xml:space="preserve">based on </w:t>
            </w:r>
            <w:r>
              <w:rPr>
                <w:rFonts w:eastAsia="Times New Roman"/>
              </w:rPr>
              <w:t xml:space="preserve">net change); </w:t>
            </w:r>
          </w:p>
          <w:p w:rsidR="009B30E1" w:rsidRPr="00620829" w:rsidRDefault="003C75FD" w:rsidP="009B30E1">
            <w:pPr>
              <w:spacing w:after="0" w:line="240" w:lineRule="auto"/>
              <w:jc w:val="right"/>
              <w:rPr>
                <w:rFonts w:eastAsia="Times New Roman"/>
              </w:rPr>
            </w:pPr>
            <w:r>
              <w:rPr>
                <w:rFonts w:eastAsia="Times New Roman"/>
              </w:rPr>
              <w:t>93% (sex disaggregat</w:t>
            </w:r>
            <w:r w:rsidR="00BE3AA5">
              <w:rPr>
                <w:rFonts w:eastAsia="Times New Roman"/>
              </w:rPr>
              <w:t>ion</w:t>
            </w:r>
            <w:r>
              <w:rPr>
                <w:rFonts w:eastAsia="Times New Roman"/>
              </w:rPr>
              <w:t>)</w:t>
            </w:r>
          </w:p>
        </w:tc>
      </w:tr>
      <w:tr w:rsidR="009B30E1" w:rsidRPr="00620829" w:rsidTr="003B6170">
        <w:trPr>
          <w:trHeight w:val="9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9B30E1" w:rsidRDefault="009B30E1" w:rsidP="009B30E1">
            <w:pPr>
              <w:spacing w:before="60" w:after="60"/>
              <w:ind w:left="150" w:firstLine="11"/>
            </w:pPr>
            <w:r w:rsidRPr="003E6D2F">
              <w:t xml:space="preserve">1.b. </w:t>
            </w:r>
            <w:r w:rsidRPr="00171C57">
              <w:t>Total and net change in US$ value of savings portfolio of UNCDF-supported FSPs</w:t>
            </w:r>
          </w:p>
          <w:p w:rsidR="009B30E1" w:rsidRPr="003237B6" w:rsidRDefault="009B30E1" w:rsidP="009B30E1">
            <w:pPr>
              <w:spacing w:before="60" w:after="60"/>
              <w:rPr>
                <w:u w:val="single"/>
              </w:rPr>
            </w:pPr>
          </w:p>
        </w:tc>
        <w:tc>
          <w:tcPr>
            <w:tcW w:w="1619" w:type="dxa"/>
            <w:tcBorders>
              <w:top w:val="nil"/>
              <w:left w:val="nil"/>
              <w:bottom w:val="single" w:sz="4" w:space="0" w:color="auto"/>
              <w:right w:val="single" w:sz="4" w:space="0" w:color="auto"/>
            </w:tcBorders>
            <w:shd w:val="clear" w:color="auto" w:fill="auto"/>
          </w:tcPr>
          <w:p w:rsidR="009B30E1" w:rsidRPr="00CC651D" w:rsidRDefault="009B30E1" w:rsidP="009B30E1">
            <w:pPr>
              <w:spacing w:after="0" w:line="240" w:lineRule="auto"/>
              <w:jc w:val="right"/>
              <w:rPr>
                <w:rFonts w:eastAsia="Times New Roman"/>
              </w:rPr>
            </w:pPr>
            <w:r w:rsidRPr="003237B6">
              <w:t>904,707,994</w:t>
            </w:r>
          </w:p>
        </w:tc>
        <w:tc>
          <w:tcPr>
            <w:tcW w:w="1105" w:type="dxa"/>
            <w:tcBorders>
              <w:top w:val="nil"/>
              <w:left w:val="nil"/>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9B30E1" w:rsidRDefault="009B30E1" w:rsidP="009B30E1">
            <w:pPr>
              <w:spacing w:after="0" w:line="240" w:lineRule="auto"/>
              <w:jc w:val="right"/>
              <w:rPr>
                <w:color w:val="000000"/>
              </w:rPr>
            </w:pPr>
            <w:r w:rsidRPr="00ED3257">
              <w:rPr>
                <w:color w:val="000000"/>
              </w:rPr>
              <w:t>1,090,906,583</w:t>
            </w:r>
            <w:r>
              <w:rPr>
                <w:color w:val="000000"/>
              </w:rPr>
              <w:t xml:space="preserve"> (net change);</w:t>
            </w:r>
          </w:p>
          <w:p w:rsidR="009B30E1" w:rsidRDefault="009B30E1" w:rsidP="009B30E1">
            <w:pPr>
              <w:spacing w:after="0" w:line="240" w:lineRule="auto"/>
              <w:jc w:val="right"/>
              <w:rPr>
                <w:color w:val="000000"/>
              </w:rPr>
            </w:pPr>
            <w:r w:rsidRPr="00ED3257">
              <w:rPr>
                <w:color w:val="000000"/>
              </w:rPr>
              <w:t>3,011,260,911</w:t>
            </w:r>
            <w:r>
              <w:rPr>
                <w:color w:val="000000"/>
              </w:rPr>
              <w:t xml:space="preserve"> (total)</w:t>
            </w:r>
          </w:p>
          <w:p w:rsidR="009B30E1" w:rsidRDefault="009B30E1" w:rsidP="009B30E1">
            <w:pPr>
              <w:spacing w:after="0" w:line="240" w:lineRule="auto"/>
              <w:jc w:val="right"/>
              <w:rPr>
                <w:color w:val="000000"/>
              </w:rPr>
            </w:pPr>
          </w:p>
        </w:tc>
        <w:tc>
          <w:tcPr>
            <w:tcW w:w="1619" w:type="dxa"/>
            <w:tcBorders>
              <w:top w:val="nil"/>
              <w:left w:val="nil"/>
              <w:bottom w:val="single" w:sz="4" w:space="0" w:color="auto"/>
              <w:right w:val="single" w:sz="4" w:space="0" w:color="auto"/>
            </w:tcBorders>
            <w:shd w:val="clear" w:color="auto" w:fill="FFFFFF"/>
          </w:tcPr>
          <w:p w:rsidR="005461CB" w:rsidRDefault="00582A6B" w:rsidP="005461CB">
            <w:pPr>
              <w:spacing w:after="0" w:line="240" w:lineRule="auto"/>
              <w:jc w:val="right"/>
              <w:rPr>
                <w:color w:val="000000"/>
              </w:rPr>
            </w:pPr>
            <w:r>
              <w:rPr>
                <w:color w:val="000000"/>
              </w:rPr>
              <w:t>1,951,805,782</w:t>
            </w:r>
            <w:r w:rsidR="005461CB" w:rsidRPr="005461CB">
              <w:rPr>
                <w:color w:val="000000"/>
              </w:rPr>
              <w:t xml:space="preserve"> </w:t>
            </w:r>
            <w:r w:rsidR="005461CB">
              <w:rPr>
                <w:color w:val="000000"/>
              </w:rPr>
              <w:t>(net change);</w:t>
            </w:r>
          </w:p>
          <w:p w:rsidR="005461CB" w:rsidRDefault="005461CB" w:rsidP="00666855">
            <w:pPr>
              <w:spacing w:after="0" w:line="240" w:lineRule="auto"/>
              <w:jc w:val="right"/>
              <w:rPr>
                <w:color w:val="000000"/>
              </w:rPr>
            </w:pPr>
            <w:r w:rsidRPr="005461CB">
              <w:rPr>
                <w:color w:val="000000"/>
              </w:rPr>
              <w:t xml:space="preserve">7,485,186,271 </w:t>
            </w:r>
            <w:r>
              <w:rPr>
                <w:color w:val="000000"/>
              </w:rPr>
              <w:t>(total)</w:t>
            </w:r>
          </w:p>
          <w:p w:rsidR="005461CB" w:rsidRPr="006740A6" w:rsidRDefault="005461CB" w:rsidP="00666855">
            <w:pPr>
              <w:spacing w:after="0" w:line="240" w:lineRule="auto"/>
              <w:jc w:val="right"/>
              <w:rPr>
                <w:color w:val="000000"/>
              </w:rPr>
            </w:pPr>
          </w:p>
        </w:tc>
        <w:tc>
          <w:tcPr>
            <w:tcW w:w="1846" w:type="dxa"/>
            <w:tcBorders>
              <w:top w:val="nil"/>
              <w:left w:val="nil"/>
              <w:bottom w:val="single" w:sz="4" w:space="0" w:color="auto"/>
              <w:right w:val="single" w:sz="4" w:space="0" w:color="auto"/>
            </w:tcBorders>
            <w:shd w:val="clear" w:color="auto" w:fill="FFFFFF"/>
          </w:tcPr>
          <w:p w:rsidR="002370D4" w:rsidRDefault="009B30E1" w:rsidP="009B30E1">
            <w:pPr>
              <w:spacing w:after="0" w:line="240" w:lineRule="auto"/>
              <w:jc w:val="right"/>
              <w:rPr>
                <w:rFonts w:eastAsia="Times New Roman"/>
              </w:rPr>
            </w:pPr>
            <w:r>
              <w:rPr>
                <w:rFonts w:eastAsia="Times New Roman"/>
              </w:rPr>
              <w:t xml:space="preserve">585,000,000 </w:t>
            </w:r>
          </w:p>
          <w:p w:rsidR="009B30E1" w:rsidRPr="00ED3257" w:rsidRDefault="009B30E1" w:rsidP="009B30E1">
            <w:pPr>
              <w:spacing w:after="0" w:line="240" w:lineRule="auto"/>
              <w:jc w:val="right"/>
              <w:rPr>
                <w:rFonts w:eastAsia="Times New Roman"/>
              </w:rPr>
            </w:pPr>
            <w:r>
              <w:rPr>
                <w:rFonts w:eastAsia="Times New Roman"/>
              </w:rPr>
              <w:t>(for</w:t>
            </w:r>
            <w:r w:rsidR="002370D4">
              <w:rPr>
                <w:rFonts w:eastAsia="Times New Roman"/>
              </w:rPr>
              <w:t xml:space="preserve"> annual </w:t>
            </w:r>
            <w:r>
              <w:rPr>
                <w:rFonts w:eastAsia="Times New Roman"/>
              </w:rPr>
              <w:t>net change)</w:t>
            </w:r>
          </w:p>
        </w:tc>
        <w:tc>
          <w:tcPr>
            <w:tcW w:w="1820" w:type="dxa"/>
            <w:tcBorders>
              <w:top w:val="nil"/>
              <w:left w:val="nil"/>
              <w:bottom w:val="single" w:sz="4" w:space="0" w:color="auto"/>
              <w:right w:val="single" w:sz="4" w:space="0" w:color="auto"/>
            </w:tcBorders>
            <w:shd w:val="clear" w:color="auto" w:fill="E2EFD9"/>
          </w:tcPr>
          <w:p w:rsidR="009B30E1" w:rsidRDefault="00582A6B" w:rsidP="009B30E1">
            <w:pPr>
              <w:spacing w:after="0" w:line="240" w:lineRule="auto"/>
              <w:jc w:val="right"/>
              <w:rPr>
                <w:rFonts w:eastAsia="Times New Roman"/>
              </w:rPr>
            </w:pPr>
            <w:r>
              <w:rPr>
                <w:rFonts w:eastAsia="Times New Roman"/>
              </w:rPr>
              <w:t>334</w:t>
            </w:r>
            <w:r w:rsidR="005461CB">
              <w:rPr>
                <w:rFonts w:eastAsia="Times New Roman"/>
              </w:rPr>
              <w:t>% (</w:t>
            </w:r>
            <w:r w:rsidR="00BE3AA5">
              <w:rPr>
                <w:rFonts w:eastAsia="Times New Roman"/>
              </w:rPr>
              <w:t xml:space="preserve">based on </w:t>
            </w:r>
            <w:r w:rsidR="005461CB">
              <w:rPr>
                <w:rFonts w:eastAsia="Times New Roman"/>
              </w:rPr>
              <w:t>net change)</w:t>
            </w:r>
          </w:p>
        </w:tc>
      </w:tr>
      <w:tr w:rsidR="009B30E1" w:rsidRPr="00620829" w:rsidTr="003B6170">
        <w:trPr>
          <w:trHeight w:val="9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9B30E1" w:rsidRPr="003237B6" w:rsidRDefault="009B30E1" w:rsidP="009B30E1">
            <w:pPr>
              <w:spacing w:before="60" w:after="60"/>
              <w:ind w:left="150" w:firstLine="11"/>
              <w:rPr>
                <w:u w:val="single"/>
              </w:rPr>
            </w:pPr>
            <w:r w:rsidRPr="00171C57">
              <w:t>1.c. Total and net change in US$ value of loan portfolio of UNCDF</w:t>
            </w:r>
            <w:r>
              <w:t>-</w:t>
            </w:r>
            <w:r w:rsidRPr="00171C57">
              <w:t>supported FSPs</w:t>
            </w:r>
          </w:p>
        </w:tc>
        <w:tc>
          <w:tcPr>
            <w:tcW w:w="1619" w:type="dxa"/>
            <w:tcBorders>
              <w:top w:val="nil"/>
              <w:left w:val="nil"/>
              <w:bottom w:val="single" w:sz="4" w:space="0" w:color="auto"/>
              <w:right w:val="single" w:sz="4" w:space="0" w:color="auto"/>
            </w:tcBorders>
            <w:shd w:val="clear" w:color="auto" w:fill="auto"/>
          </w:tcPr>
          <w:p w:rsidR="009B30E1" w:rsidRPr="00CC651D" w:rsidRDefault="009B30E1" w:rsidP="009B30E1">
            <w:pPr>
              <w:spacing w:after="0" w:line="240" w:lineRule="auto"/>
              <w:jc w:val="right"/>
              <w:rPr>
                <w:rFonts w:eastAsia="Times New Roman"/>
              </w:rPr>
            </w:pPr>
            <w:r w:rsidRPr="003237B6">
              <w:t>1,182,994,892</w:t>
            </w:r>
          </w:p>
        </w:tc>
        <w:tc>
          <w:tcPr>
            <w:tcW w:w="1105" w:type="dxa"/>
            <w:tcBorders>
              <w:top w:val="nil"/>
              <w:left w:val="nil"/>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9B30E1" w:rsidRDefault="009B30E1" w:rsidP="009B30E1">
            <w:pPr>
              <w:spacing w:after="0" w:line="240" w:lineRule="auto"/>
              <w:jc w:val="right"/>
              <w:rPr>
                <w:color w:val="000000"/>
              </w:rPr>
            </w:pPr>
            <w:r w:rsidRPr="00ED3257">
              <w:rPr>
                <w:color w:val="000000"/>
              </w:rPr>
              <w:t>465,911,122</w:t>
            </w:r>
            <w:r>
              <w:rPr>
                <w:color w:val="000000"/>
              </w:rPr>
              <w:t xml:space="preserve"> (net change);</w:t>
            </w:r>
          </w:p>
          <w:p w:rsidR="009B30E1" w:rsidRDefault="009B30E1" w:rsidP="009B30E1">
            <w:pPr>
              <w:spacing w:after="0" w:line="240" w:lineRule="auto"/>
              <w:jc w:val="right"/>
              <w:rPr>
                <w:color w:val="000000"/>
              </w:rPr>
            </w:pPr>
            <w:r w:rsidRPr="00ED3257">
              <w:rPr>
                <w:color w:val="000000"/>
              </w:rPr>
              <w:t>2,574,497,219</w:t>
            </w:r>
            <w:r>
              <w:rPr>
                <w:color w:val="000000"/>
              </w:rPr>
              <w:t xml:space="preserve"> (total)</w:t>
            </w:r>
          </w:p>
          <w:p w:rsidR="009B30E1" w:rsidRDefault="009B30E1" w:rsidP="009B30E1">
            <w:pPr>
              <w:spacing w:after="0" w:line="240" w:lineRule="auto"/>
              <w:jc w:val="right"/>
              <w:rPr>
                <w:color w:val="000000"/>
              </w:rPr>
            </w:pPr>
            <w:r>
              <w:rPr>
                <w:color w:val="000000"/>
              </w:rPr>
              <w:t xml:space="preserve"> </w:t>
            </w:r>
          </w:p>
        </w:tc>
        <w:tc>
          <w:tcPr>
            <w:tcW w:w="1619" w:type="dxa"/>
            <w:tcBorders>
              <w:top w:val="nil"/>
              <w:left w:val="nil"/>
              <w:bottom w:val="single" w:sz="4" w:space="0" w:color="auto"/>
              <w:right w:val="single" w:sz="4" w:space="0" w:color="auto"/>
            </w:tcBorders>
            <w:shd w:val="clear" w:color="auto" w:fill="FFFFFF"/>
          </w:tcPr>
          <w:p w:rsidR="00FC7E9D" w:rsidRDefault="008A0434" w:rsidP="00FC7E9D">
            <w:pPr>
              <w:spacing w:after="0" w:line="240" w:lineRule="auto"/>
              <w:jc w:val="right"/>
              <w:rPr>
                <w:color w:val="000000"/>
              </w:rPr>
            </w:pPr>
            <w:r>
              <w:rPr>
                <w:color w:val="000000"/>
              </w:rPr>
              <w:t>2,406,271,196</w:t>
            </w:r>
            <w:r w:rsidR="00FC7E9D" w:rsidRPr="00FC7E9D">
              <w:rPr>
                <w:color w:val="000000"/>
              </w:rPr>
              <w:t xml:space="preserve"> </w:t>
            </w:r>
            <w:r w:rsidR="00FC7E9D">
              <w:rPr>
                <w:color w:val="000000"/>
              </w:rPr>
              <w:t>(net change);</w:t>
            </w:r>
          </w:p>
          <w:p w:rsidR="00FC7E9D" w:rsidRDefault="00FC7E9D" w:rsidP="00FC7E9D">
            <w:pPr>
              <w:spacing w:after="0" w:line="240" w:lineRule="auto"/>
              <w:jc w:val="right"/>
              <w:rPr>
                <w:color w:val="000000"/>
              </w:rPr>
            </w:pPr>
            <w:r w:rsidRPr="00FC7E9D">
              <w:rPr>
                <w:color w:val="000000"/>
              </w:rPr>
              <w:t xml:space="preserve">6,517,552,611 </w:t>
            </w:r>
            <w:r>
              <w:rPr>
                <w:color w:val="000000"/>
              </w:rPr>
              <w:t>(total)</w:t>
            </w:r>
          </w:p>
          <w:p w:rsidR="00FC7E9D" w:rsidRPr="00620829" w:rsidRDefault="00FC7E9D" w:rsidP="009B30E1">
            <w:pPr>
              <w:spacing w:after="0" w:line="240" w:lineRule="auto"/>
              <w:jc w:val="center"/>
              <w:rPr>
                <w:rFonts w:eastAsia="Times New Roman"/>
              </w:rPr>
            </w:pPr>
          </w:p>
        </w:tc>
        <w:tc>
          <w:tcPr>
            <w:tcW w:w="1846" w:type="dxa"/>
            <w:tcBorders>
              <w:top w:val="nil"/>
              <w:left w:val="nil"/>
              <w:bottom w:val="single" w:sz="4" w:space="0" w:color="auto"/>
              <w:right w:val="single" w:sz="4" w:space="0" w:color="auto"/>
            </w:tcBorders>
            <w:shd w:val="clear" w:color="auto" w:fill="FFFFFF"/>
          </w:tcPr>
          <w:p w:rsidR="002370D4" w:rsidRDefault="009B30E1" w:rsidP="009B30E1">
            <w:pPr>
              <w:spacing w:after="0" w:line="240" w:lineRule="auto"/>
              <w:jc w:val="right"/>
              <w:rPr>
                <w:rFonts w:eastAsia="Times New Roman"/>
              </w:rPr>
            </w:pPr>
            <w:r>
              <w:rPr>
                <w:rFonts w:eastAsia="Times New Roman"/>
              </w:rPr>
              <w:t xml:space="preserve">585,000,000 </w:t>
            </w:r>
          </w:p>
          <w:p w:rsidR="009B30E1" w:rsidRPr="00ED3257" w:rsidRDefault="002370D4" w:rsidP="009B30E1">
            <w:pPr>
              <w:spacing w:after="0" w:line="240" w:lineRule="auto"/>
              <w:jc w:val="right"/>
              <w:rPr>
                <w:rFonts w:eastAsia="Times New Roman"/>
              </w:rPr>
            </w:pPr>
            <w:r>
              <w:rPr>
                <w:rFonts w:eastAsia="Times New Roman"/>
              </w:rPr>
              <w:t>(for annual net change)</w:t>
            </w:r>
          </w:p>
        </w:tc>
        <w:tc>
          <w:tcPr>
            <w:tcW w:w="1820" w:type="dxa"/>
            <w:tcBorders>
              <w:top w:val="nil"/>
              <w:left w:val="nil"/>
              <w:bottom w:val="single" w:sz="4" w:space="0" w:color="auto"/>
              <w:right w:val="single" w:sz="4" w:space="0" w:color="auto"/>
            </w:tcBorders>
            <w:shd w:val="clear" w:color="auto" w:fill="E2EFD9"/>
          </w:tcPr>
          <w:p w:rsidR="009B30E1" w:rsidRDefault="008A0434" w:rsidP="009B30E1">
            <w:pPr>
              <w:spacing w:after="0" w:line="240" w:lineRule="auto"/>
              <w:jc w:val="right"/>
              <w:rPr>
                <w:rFonts w:eastAsia="Times New Roman"/>
              </w:rPr>
            </w:pPr>
            <w:r>
              <w:rPr>
                <w:rFonts w:eastAsia="Times New Roman"/>
              </w:rPr>
              <w:t>411</w:t>
            </w:r>
            <w:r w:rsidR="006B270F">
              <w:rPr>
                <w:rFonts w:eastAsia="Times New Roman"/>
              </w:rPr>
              <w:t>% (</w:t>
            </w:r>
            <w:r w:rsidR="00BE3AA5">
              <w:rPr>
                <w:rFonts w:eastAsia="Times New Roman"/>
              </w:rPr>
              <w:t xml:space="preserve">based on </w:t>
            </w:r>
            <w:r w:rsidR="006B270F">
              <w:rPr>
                <w:rFonts w:eastAsia="Times New Roman"/>
              </w:rPr>
              <w:t>net change)</w:t>
            </w:r>
          </w:p>
        </w:tc>
      </w:tr>
      <w:tr w:rsidR="009B30E1"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9B30E1" w:rsidRPr="00620829" w:rsidRDefault="009B30E1" w:rsidP="009B30E1">
            <w:pPr>
              <w:spacing w:after="0" w:line="240" w:lineRule="auto"/>
              <w:rPr>
                <w:rFonts w:eastAsia="Times New Roman"/>
                <w:b/>
                <w:bCs/>
                <w:u w:val="single"/>
              </w:rPr>
            </w:pPr>
            <w:r w:rsidRPr="00620829">
              <w:rPr>
                <w:rFonts w:eastAsia="Times New Roman"/>
                <w:b/>
                <w:bCs/>
                <w:u w:val="single"/>
              </w:rPr>
              <w:t xml:space="preserve">Local Development Finance </w:t>
            </w:r>
          </w:p>
        </w:tc>
      </w:tr>
      <w:tr w:rsidR="009B30E1" w:rsidRPr="00620829" w:rsidTr="003B6170">
        <w:trPr>
          <w:trHeight w:val="93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B30E1" w:rsidRPr="00620829" w:rsidRDefault="009B30E1" w:rsidP="009B30E1">
            <w:pPr>
              <w:spacing w:after="0" w:line="240" w:lineRule="auto"/>
              <w:rPr>
                <w:rFonts w:eastAsia="Times New Roman"/>
              </w:rPr>
            </w:pPr>
            <w:r w:rsidRPr="00620829">
              <w:rPr>
                <w:rFonts w:eastAsia="Times New Roman"/>
              </w:rPr>
              <w:t>1.</w:t>
            </w:r>
            <w:r>
              <w:rPr>
                <w:rFonts w:eastAsia="Times New Roman"/>
              </w:rPr>
              <w:t>d</w:t>
            </w:r>
            <w:r>
              <w:t xml:space="preserve"> Net change in local fiscal space available for local development in sub-national territorial jurisdictions supported by UNCDF (%)</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 xml:space="preserve">          0</w:t>
            </w:r>
            <w:r w:rsidRPr="00620829">
              <w:rPr>
                <w:rFonts w:eastAsia="Times New Roman"/>
              </w:rPr>
              <w:t xml:space="preserve"> </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BE3AA5" w:rsidP="009B30E1">
            <w:pPr>
              <w:spacing w:after="0" w:line="240" w:lineRule="auto"/>
              <w:jc w:val="right"/>
              <w:rPr>
                <w:rFonts w:eastAsia="Times New Roman"/>
              </w:rPr>
            </w:pPr>
            <w:r>
              <w:rPr>
                <w:rFonts w:eastAsia="Times New Roman"/>
              </w:rPr>
              <w:t>43.1</w:t>
            </w:r>
            <w:r w:rsidR="009B30E1">
              <w:rPr>
                <w:rFonts w:eastAsia="Times New Roman"/>
              </w:rPr>
              <w:t>%</w:t>
            </w:r>
            <w:r>
              <w:rPr>
                <w:rStyle w:val="FootnoteReference"/>
                <w:rFonts w:eastAsia="Times New Roman"/>
              </w:rPr>
              <w:footnoteReference w:id="2"/>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NA</w:t>
            </w:r>
          </w:p>
        </w:tc>
        <w:tc>
          <w:tcPr>
            <w:tcW w:w="1619" w:type="dxa"/>
            <w:tcBorders>
              <w:top w:val="nil"/>
              <w:left w:val="nil"/>
              <w:bottom w:val="single" w:sz="4" w:space="0" w:color="auto"/>
              <w:right w:val="single" w:sz="4" w:space="0" w:color="auto"/>
            </w:tcBorders>
            <w:shd w:val="clear" w:color="auto" w:fill="FFFFFF"/>
          </w:tcPr>
          <w:p w:rsidR="006F320B" w:rsidRPr="009B30E1" w:rsidRDefault="006F320B" w:rsidP="00666855">
            <w:pPr>
              <w:spacing w:after="0" w:line="240" w:lineRule="auto"/>
              <w:jc w:val="right"/>
              <w:rPr>
                <w:rFonts w:eastAsia="Times New Roman"/>
                <w:color w:val="FF0000"/>
              </w:rPr>
            </w:pPr>
            <w:r w:rsidRPr="00666855">
              <w:rPr>
                <w:rFonts w:eastAsia="Times New Roman"/>
              </w:rPr>
              <w:t>75.6%</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100%</w:t>
            </w:r>
          </w:p>
        </w:tc>
        <w:tc>
          <w:tcPr>
            <w:tcW w:w="1820" w:type="dxa"/>
            <w:tcBorders>
              <w:top w:val="nil"/>
              <w:left w:val="nil"/>
              <w:bottom w:val="single" w:sz="4" w:space="0" w:color="auto"/>
              <w:right w:val="single" w:sz="4" w:space="0" w:color="auto"/>
            </w:tcBorders>
            <w:shd w:val="clear" w:color="auto" w:fill="E2EFD9"/>
          </w:tcPr>
          <w:p w:rsidR="009B30E1" w:rsidRDefault="001669AC" w:rsidP="009B30E1">
            <w:pPr>
              <w:spacing w:after="0" w:line="240" w:lineRule="auto"/>
              <w:jc w:val="right"/>
              <w:rPr>
                <w:rFonts w:eastAsia="Times New Roman"/>
              </w:rPr>
            </w:pPr>
            <w:r>
              <w:rPr>
                <w:rFonts w:eastAsia="Times New Roman"/>
              </w:rPr>
              <w:t>76%</w:t>
            </w:r>
          </w:p>
        </w:tc>
      </w:tr>
      <w:tr w:rsidR="009B30E1" w:rsidRPr="00620829" w:rsidTr="003B6170">
        <w:trPr>
          <w:trHeight w:val="1395"/>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B30E1" w:rsidRPr="00620829" w:rsidRDefault="009B30E1" w:rsidP="009B30E1">
            <w:pPr>
              <w:spacing w:after="0" w:line="240" w:lineRule="auto"/>
              <w:rPr>
                <w:rFonts w:eastAsia="Times New Roman"/>
              </w:rPr>
            </w:pPr>
            <w:r w:rsidRPr="00620829">
              <w:rPr>
                <w:rFonts w:eastAsia="Times New Roman"/>
              </w:rPr>
              <w:lastRenderedPageBreak/>
              <w:t>1.</w:t>
            </w:r>
            <w:r>
              <w:t xml:space="preserve"> e</w:t>
            </w:r>
            <w:r w:rsidRPr="00415DC0">
              <w:t xml:space="preserve">. Number of UNCDF supported countries demonstrating increase in gross fixed capital formation </w:t>
            </w:r>
            <w:r>
              <w:t>in the UNCDF supported localities</w:t>
            </w:r>
            <w:r>
              <w:rPr>
                <w:rStyle w:val="FootnoteReference"/>
                <w:rFonts w:eastAsia="Times New Roman"/>
              </w:rPr>
              <w:footnoteReference w:id="3"/>
            </w:r>
          </w:p>
        </w:tc>
        <w:tc>
          <w:tcPr>
            <w:tcW w:w="1619"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0</w:t>
            </w:r>
            <w:r w:rsidRPr="00620829">
              <w:rPr>
                <w:rFonts w:eastAsia="Times New Roman"/>
              </w:rPr>
              <w:t xml:space="preserve">  </w:t>
            </w:r>
          </w:p>
        </w:tc>
        <w:tc>
          <w:tcPr>
            <w:tcW w:w="1105"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NA</w:t>
            </w:r>
          </w:p>
        </w:tc>
        <w:tc>
          <w:tcPr>
            <w:tcW w:w="1167" w:type="dxa"/>
            <w:tcBorders>
              <w:top w:val="single" w:sz="4" w:space="0" w:color="auto"/>
              <w:left w:val="nil"/>
              <w:bottom w:val="single" w:sz="4" w:space="0" w:color="auto"/>
              <w:right w:val="single" w:sz="4" w:space="0" w:color="auto"/>
            </w:tcBorders>
            <w:shd w:val="clear" w:color="auto" w:fill="auto"/>
            <w:hideMark/>
          </w:tcPr>
          <w:p w:rsidR="009B30E1" w:rsidRPr="003C08EF" w:rsidRDefault="009B30E1" w:rsidP="009B30E1">
            <w:pPr>
              <w:spacing w:after="0" w:line="240" w:lineRule="auto"/>
              <w:jc w:val="right"/>
              <w:rPr>
                <w:rFonts w:eastAsia="Times New Roman"/>
              </w:rPr>
            </w:pPr>
            <w:r w:rsidRPr="003C08EF">
              <w:rPr>
                <w:rFonts w:eastAsia="Times New Roman"/>
              </w:rPr>
              <w:t>NA</w:t>
            </w:r>
          </w:p>
        </w:tc>
        <w:tc>
          <w:tcPr>
            <w:tcW w:w="1781" w:type="dxa"/>
            <w:tcBorders>
              <w:top w:val="single" w:sz="4" w:space="0" w:color="auto"/>
              <w:left w:val="nil"/>
              <w:bottom w:val="single" w:sz="4" w:space="0" w:color="auto"/>
              <w:right w:val="single" w:sz="4" w:space="0" w:color="auto"/>
            </w:tcBorders>
            <w:shd w:val="clear" w:color="auto" w:fill="FFFFFF"/>
            <w:hideMark/>
          </w:tcPr>
          <w:p w:rsidR="009B30E1" w:rsidRPr="00866FF9" w:rsidRDefault="009B30E1" w:rsidP="009B30E1">
            <w:pPr>
              <w:spacing w:after="0" w:line="240" w:lineRule="auto"/>
              <w:jc w:val="right"/>
              <w:rPr>
                <w:rFonts w:eastAsia="Times New Roman"/>
              </w:rPr>
            </w:pPr>
            <w:r w:rsidRPr="00866FF9">
              <w:rPr>
                <w:rFonts w:eastAsia="Times New Roman"/>
              </w:rPr>
              <w:t>NA</w:t>
            </w:r>
          </w:p>
        </w:tc>
        <w:tc>
          <w:tcPr>
            <w:tcW w:w="1619" w:type="dxa"/>
            <w:tcBorders>
              <w:top w:val="single" w:sz="4" w:space="0" w:color="auto"/>
              <w:left w:val="nil"/>
              <w:bottom w:val="single" w:sz="4" w:space="0" w:color="auto"/>
              <w:right w:val="single" w:sz="4" w:space="0" w:color="auto"/>
            </w:tcBorders>
            <w:shd w:val="clear" w:color="auto" w:fill="FFFFFF"/>
          </w:tcPr>
          <w:p w:rsidR="001D50D1" w:rsidRPr="003C08EF" w:rsidRDefault="001D50D1" w:rsidP="00666855">
            <w:pPr>
              <w:spacing w:after="0" w:line="240" w:lineRule="auto"/>
              <w:jc w:val="right"/>
              <w:rPr>
                <w:rFonts w:eastAsia="Times New Roman"/>
              </w:rPr>
            </w:pPr>
            <w:r w:rsidRPr="00666855">
              <w:rPr>
                <w:rFonts w:eastAsia="Times New Roman"/>
              </w:rPr>
              <w:t>75%</w:t>
            </w:r>
            <w:r w:rsidR="00E567A5" w:rsidRPr="00666855">
              <w:rPr>
                <w:rFonts w:eastAsia="Times New Roman"/>
              </w:rPr>
              <w:t xml:space="preserve"> of sample</w:t>
            </w:r>
          </w:p>
        </w:tc>
        <w:tc>
          <w:tcPr>
            <w:tcW w:w="1846" w:type="dxa"/>
            <w:tcBorders>
              <w:top w:val="single" w:sz="4" w:space="0" w:color="auto"/>
              <w:left w:val="nil"/>
              <w:bottom w:val="single" w:sz="4" w:space="0" w:color="auto"/>
              <w:right w:val="single" w:sz="4" w:space="0" w:color="auto"/>
            </w:tcBorders>
            <w:shd w:val="clear" w:color="auto" w:fill="FFFFFF"/>
            <w:hideMark/>
          </w:tcPr>
          <w:p w:rsidR="009B30E1" w:rsidRPr="00866FF9" w:rsidRDefault="009B30E1" w:rsidP="009B30E1">
            <w:pPr>
              <w:spacing w:after="0" w:line="240" w:lineRule="auto"/>
              <w:jc w:val="right"/>
              <w:rPr>
                <w:rFonts w:eastAsia="Times New Roman"/>
              </w:rPr>
            </w:pPr>
            <w:r w:rsidRPr="00866FF9">
              <w:rPr>
                <w:rFonts w:eastAsia="Times New Roman"/>
              </w:rPr>
              <w:t>70% increase of sample</w:t>
            </w:r>
          </w:p>
        </w:tc>
        <w:tc>
          <w:tcPr>
            <w:tcW w:w="1820" w:type="dxa"/>
            <w:tcBorders>
              <w:top w:val="single" w:sz="4" w:space="0" w:color="auto"/>
              <w:left w:val="nil"/>
              <w:bottom w:val="single" w:sz="4" w:space="0" w:color="auto"/>
              <w:right w:val="single" w:sz="4" w:space="0" w:color="auto"/>
            </w:tcBorders>
            <w:shd w:val="clear" w:color="auto" w:fill="E2EFD9"/>
          </w:tcPr>
          <w:p w:rsidR="009B30E1" w:rsidRDefault="001D50D1" w:rsidP="009B30E1">
            <w:pPr>
              <w:spacing w:after="0" w:line="240" w:lineRule="auto"/>
              <w:jc w:val="right"/>
              <w:rPr>
                <w:rFonts w:eastAsia="Times New Roman"/>
              </w:rPr>
            </w:pPr>
            <w:r>
              <w:rPr>
                <w:rFonts w:eastAsia="Times New Roman"/>
              </w:rPr>
              <w:t>76%</w:t>
            </w:r>
          </w:p>
        </w:tc>
      </w:tr>
      <w:tr w:rsidR="009B30E1" w:rsidRPr="00620829" w:rsidTr="00666855">
        <w:trPr>
          <w:trHeight w:val="1800"/>
        </w:trPr>
        <w:tc>
          <w:tcPr>
            <w:tcW w:w="1795" w:type="dxa"/>
            <w:tcBorders>
              <w:top w:val="nil"/>
              <w:left w:val="single" w:sz="4" w:space="0" w:color="auto"/>
              <w:bottom w:val="single" w:sz="4" w:space="0" w:color="auto"/>
              <w:right w:val="single" w:sz="4" w:space="0" w:color="auto"/>
            </w:tcBorders>
            <w:shd w:val="clear" w:color="000000" w:fill="D9D9D9"/>
            <w:hideMark/>
          </w:tcPr>
          <w:p w:rsidR="009B30E1" w:rsidRPr="00620829" w:rsidRDefault="009B30E1" w:rsidP="009B30E1">
            <w:pPr>
              <w:spacing w:after="0" w:line="240" w:lineRule="auto"/>
              <w:rPr>
                <w:rFonts w:eastAsia="Times New Roman"/>
                <w:b/>
                <w:bCs/>
              </w:rPr>
            </w:pPr>
            <w:r w:rsidRPr="00620829">
              <w:rPr>
                <w:rFonts w:eastAsia="Times New Roman"/>
                <w:b/>
                <w:bCs/>
              </w:rPr>
              <w:t>Outputs</w:t>
            </w:r>
            <w:r>
              <w:rPr>
                <w:rFonts w:eastAsia="Times New Roman"/>
                <w:b/>
                <w:bCs/>
              </w:rPr>
              <w:t xml:space="preserve"> </w:t>
            </w:r>
            <w:r w:rsidRPr="00620829">
              <w:rPr>
                <w:rFonts w:eastAsia="Times New Roman"/>
              </w:rPr>
              <w:t>(UNCDF provides specific support for the following results)</w:t>
            </w:r>
          </w:p>
        </w:tc>
        <w:tc>
          <w:tcPr>
            <w:tcW w:w="1607"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rPr>
                <w:rFonts w:eastAsia="Times New Roman"/>
                <w:b/>
                <w:bCs/>
              </w:rPr>
            </w:pPr>
            <w:r w:rsidRPr="00620829">
              <w:rPr>
                <w:rFonts w:eastAsia="Times New Roman"/>
                <w:b/>
                <w:bCs/>
              </w:rPr>
              <w:t>Output Indicators</w:t>
            </w:r>
            <w:r w:rsidRPr="00620829">
              <w:rPr>
                <w:rFonts w:eastAsia="Times New Roman"/>
              </w:rPr>
              <w:t xml:space="preserve"> (output indicators measure only those results from schemes, services, plans, actions, etc., which are specifically supported by UNCDF.)</w:t>
            </w:r>
          </w:p>
        </w:tc>
        <w:tc>
          <w:tcPr>
            <w:tcW w:w="1619"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 xml:space="preserve">Baseline </w:t>
            </w:r>
          </w:p>
          <w:p w:rsidR="009B30E1" w:rsidRPr="00620829" w:rsidRDefault="009B30E1" w:rsidP="009B30E1">
            <w:pPr>
              <w:spacing w:after="0" w:line="240" w:lineRule="auto"/>
              <w:jc w:val="center"/>
              <w:rPr>
                <w:rFonts w:eastAsia="Times New Roman"/>
                <w:b/>
                <w:bCs/>
              </w:rPr>
            </w:pPr>
            <w:r>
              <w:rPr>
                <w:rFonts w:eastAsia="Times New Roman"/>
                <w:b/>
                <w:bCs/>
              </w:rPr>
              <w:t>(2013, if not otherwise specified)</w:t>
            </w:r>
          </w:p>
        </w:tc>
        <w:tc>
          <w:tcPr>
            <w:tcW w:w="1105"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Actual</w:t>
            </w:r>
          </w:p>
          <w:p w:rsidR="009B30E1" w:rsidRPr="00620829" w:rsidRDefault="009B30E1" w:rsidP="009B30E1">
            <w:pPr>
              <w:spacing w:after="0" w:line="240" w:lineRule="auto"/>
              <w:jc w:val="center"/>
              <w:rPr>
                <w:rFonts w:eastAsia="Times New Roman"/>
                <w:b/>
                <w:bCs/>
              </w:rPr>
            </w:pPr>
            <w:r>
              <w:rPr>
                <w:rFonts w:eastAsia="Times New Roman"/>
                <w:b/>
                <w:bCs/>
              </w:rPr>
              <w:t>2016</w:t>
            </w:r>
          </w:p>
        </w:tc>
        <w:tc>
          <w:tcPr>
            <w:tcW w:w="1619" w:type="dxa"/>
            <w:tcBorders>
              <w:top w:val="nil"/>
              <w:left w:val="nil"/>
              <w:bottom w:val="single" w:sz="4" w:space="0" w:color="auto"/>
              <w:right w:val="single" w:sz="4" w:space="0" w:color="auto"/>
            </w:tcBorders>
            <w:shd w:val="clear" w:color="000000" w:fill="D9D9D9"/>
            <w:hideMark/>
          </w:tcPr>
          <w:p w:rsidR="009B30E1" w:rsidRDefault="009B30E1" w:rsidP="009B30E1">
            <w:pPr>
              <w:spacing w:after="0" w:line="240" w:lineRule="auto"/>
              <w:jc w:val="center"/>
              <w:rPr>
                <w:rFonts w:eastAsia="Times New Roman"/>
                <w:b/>
                <w:bCs/>
              </w:rPr>
            </w:pPr>
            <w:r w:rsidRPr="00620829">
              <w:rPr>
                <w:rFonts w:eastAsia="Times New Roman"/>
                <w:b/>
                <w:bCs/>
              </w:rPr>
              <w:t>Actual</w:t>
            </w:r>
          </w:p>
          <w:p w:rsidR="009B30E1" w:rsidRPr="00620829" w:rsidRDefault="009B30E1" w:rsidP="009B30E1">
            <w:pPr>
              <w:spacing w:after="0" w:line="240" w:lineRule="auto"/>
              <w:jc w:val="center"/>
              <w:rPr>
                <w:rFonts w:eastAsia="Times New Roman"/>
                <w:b/>
                <w:bCs/>
              </w:rPr>
            </w:pPr>
            <w:r>
              <w:rPr>
                <w:rFonts w:eastAsia="Times New Roman"/>
                <w:b/>
                <w:bCs/>
              </w:rPr>
              <w:t>2017</w:t>
            </w:r>
          </w:p>
        </w:tc>
        <w:tc>
          <w:tcPr>
            <w:tcW w:w="1846"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r w:rsidRPr="00620829">
              <w:rPr>
                <w:rFonts w:eastAsia="Times New Roman"/>
                <w:b/>
                <w:bCs/>
              </w:rPr>
              <w:t>Cumulative targets</w:t>
            </w:r>
          </w:p>
        </w:tc>
        <w:tc>
          <w:tcPr>
            <w:tcW w:w="1820" w:type="dxa"/>
            <w:tcBorders>
              <w:top w:val="nil"/>
              <w:left w:val="nil"/>
              <w:bottom w:val="single" w:sz="4" w:space="0" w:color="auto"/>
              <w:right w:val="single" w:sz="4" w:space="0" w:color="auto"/>
            </w:tcBorders>
            <w:shd w:val="clear" w:color="000000" w:fill="D9D9D9"/>
            <w:hideMark/>
          </w:tcPr>
          <w:p w:rsidR="009B30E1" w:rsidRPr="00620829" w:rsidRDefault="009B30E1" w:rsidP="009B30E1">
            <w:pPr>
              <w:spacing w:after="0" w:line="240" w:lineRule="auto"/>
              <w:jc w:val="center"/>
              <w:rPr>
                <w:rFonts w:eastAsia="Times New Roman"/>
                <w:b/>
                <w:bCs/>
              </w:rPr>
            </w:pPr>
            <w:r w:rsidRPr="00620829">
              <w:rPr>
                <w:rFonts w:eastAsia="Times New Roman"/>
                <w:b/>
                <w:bCs/>
              </w:rPr>
              <w:t>Implementation rate against cumulative target</w:t>
            </w:r>
          </w:p>
        </w:tc>
      </w:tr>
      <w:tr w:rsidR="009B30E1"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9B30E1" w:rsidRPr="00620829" w:rsidRDefault="009B30E1" w:rsidP="009B30E1">
            <w:pPr>
              <w:spacing w:after="0" w:line="240" w:lineRule="auto"/>
              <w:rPr>
                <w:rFonts w:eastAsia="Times New Roman"/>
                <w:b/>
                <w:bCs/>
                <w:u w:val="single"/>
              </w:rPr>
            </w:pPr>
            <w:r w:rsidRPr="00620829">
              <w:rPr>
                <w:rFonts w:eastAsia="Times New Roman"/>
                <w:b/>
                <w:bCs/>
                <w:u w:val="single"/>
              </w:rPr>
              <w:t>Inclusive Finance</w:t>
            </w:r>
          </w:p>
        </w:tc>
      </w:tr>
      <w:tr w:rsidR="009B30E1" w:rsidRPr="00620829" w:rsidTr="00666855">
        <w:trPr>
          <w:trHeight w:val="435"/>
        </w:trPr>
        <w:tc>
          <w:tcPr>
            <w:tcW w:w="1795" w:type="dxa"/>
            <w:vMerge w:val="restart"/>
            <w:tcBorders>
              <w:top w:val="nil"/>
              <w:left w:val="single" w:sz="4" w:space="0" w:color="auto"/>
              <w:bottom w:val="single" w:sz="4" w:space="0" w:color="auto"/>
              <w:right w:val="single" w:sz="4" w:space="0" w:color="auto"/>
            </w:tcBorders>
            <w:shd w:val="clear" w:color="000000" w:fill="FFFFFF"/>
            <w:hideMark/>
          </w:tcPr>
          <w:p w:rsidR="009B30E1" w:rsidRDefault="009B30E1" w:rsidP="009B30E1">
            <w:pPr>
              <w:spacing w:after="0" w:line="240" w:lineRule="auto"/>
              <w:rPr>
                <w:rFonts w:eastAsia="Times New Roman"/>
                <w:color w:val="000000"/>
              </w:rPr>
            </w:pPr>
            <w:r w:rsidRPr="00620829">
              <w:rPr>
                <w:rFonts w:eastAsia="Times New Roman"/>
                <w:b/>
                <w:bCs/>
                <w:color w:val="000000"/>
              </w:rPr>
              <w:t xml:space="preserve">Output 1.1                             </w:t>
            </w:r>
            <w:r w:rsidRPr="00620829">
              <w:rPr>
                <w:rFonts w:eastAsia="Times New Roman"/>
                <w:color w:val="000000"/>
              </w:rPr>
              <w:t>Improved performance of sustainable, healthy, responsible FSPs leveraging UNCDF funds (to be measured in terms of sustainability, portfolio quality,</w:t>
            </w:r>
          </w:p>
          <w:p w:rsidR="009B30E1" w:rsidRPr="00620829" w:rsidRDefault="009B30E1" w:rsidP="009B30E1">
            <w:pPr>
              <w:spacing w:after="0" w:line="240" w:lineRule="auto"/>
              <w:rPr>
                <w:rFonts w:eastAsia="Times New Roman"/>
                <w:b/>
                <w:bCs/>
                <w:color w:val="000000"/>
              </w:rPr>
            </w:pPr>
            <w:r w:rsidRPr="00620829">
              <w:rPr>
                <w:rFonts w:eastAsia="Times New Roman"/>
                <w:color w:val="000000"/>
              </w:rPr>
              <w:lastRenderedPageBreak/>
              <w:t>outreach, responsible provision of financial services)</w:t>
            </w:r>
          </w:p>
        </w:tc>
        <w:tc>
          <w:tcPr>
            <w:tcW w:w="12564" w:type="dxa"/>
            <w:gridSpan w:val="8"/>
            <w:tcBorders>
              <w:top w:val="single" w:sz="4" w:space="0" w:color="auto"/>
              <w:left w:val="nil"/>
              <w:bottom w:val="single" w:sz="4" w:space="0" w:color="auto"/>
              <w:right w:val="single" w:sz="4" w:space="0" w:color="auto"/>
            </w:tcBorders>
            <w:shd w:val="clear" w:color="auto" w:fill="auto"/>
            <w:noWrap/>
            <w:hideMark/>
          </w:tcPr>
          <w:p w:rsidR="009B30E1" w:rsidRPr="00620829" w:rsidRDefault="009B30E1" w:rsidP="009B30E1">
            <w:pPr>
              <w:spacing w:after="0" w:line="240" w:lineRule="auto"/>
              <w:rPr>
                <w:rFonts w:eastAsia="Times New Roman"/>
                <w:b/>
                <w:bCs/>
              </w:rPr>
            </w:pPr>
            <w:r w:rsidRPr="00620829">
              <w:rPr>
                <w:rFonts w:eastAsia="Times New Roman"/>
                <w:b/>
                <w:bCs/>
              </w:rPr>
              <w:lastRenderedPageBreak/>
              <w:t>Financing for development:  effect of UNCDF core funding on resources for inclusive finance</w:t>
            </w:r>
          </w:p>
        </w:tc>
      </w:tr>
      <w:tr w:rsidR="009B30E1" w:rsidRPr="00620829" w:rsidTr="003B6170">
        <w:trPr>
          <w:trHeight w:val="935"/>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rPr>
            </w:pPr>
            <w:r>
              <w:rPr>
                <w:rFonts w:eastAsia="Times New Roman"/>
              </w:rPr>
              <w:t xml:space="preserve">1.1.1 </w:t>
            </w:r>
            <w:r w:rsidRPr="009954E9">
              <w:rPr>
                <w:rFonts w:eastAsia="Times New Roman"/>
              </w:rPr>
              <w:t xml:space="preserve">Total number of FSPs supported </w:t>
            </w:r>
          </w:p>
        </w:tc>
        <w:tc>
          <w:tcPr>
            <w:tcW w:w="1619"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74</w:t>
            </w:r>
          </w:p>
        </w:tc>
        <w:tc>
          <w:tcPr>
            <w:tcW w:w="1105"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134</w:t>
            </w:r>
          </w:p>
        </w:tc>
        <w:tc>
          <w:tcPr>
            <w:tcW w:w="1619" w:type="dxa"/>
            <w:tcBorders>
              <w:top w:val="single" w:sz="4" w:space="0" w:color="auto"/>
              <w:left w:val="nil"/>
              <w:bottom w:val="single" w:sz="4" w:space="0" w:color="auto"/>
              <w:right w:val="single" w:sz="4" w:space="0" w:color="auto"/>
            </w:tcBorders>
            <w:shd w:val="clear" w:color="auto" w:fill="FFFFFF"/>
          </w:tcPr>
          <w:p w:rsidR="003A53BF" w:rsidRPr="003C08EF" w:rsidRDefault="003A53BF" w:rsidP="00666855">
            <w:pPr>
              <w:spacing w:after="0" w:line="240" w:lineRule="auto"/>
              <w:jc w:val="right"/>
              <w:rPr>
                <w:rFonts w:eastAsia="Times New Roman"/>
              </w:rPr>
            </w:pPr>
            <w:r w:rsidRPr="00666855">
              <w:rPr>
                <w:rFonts w:eastAsia="Times New Roman"/>
              </w:rPr>
              <w:t>138</w:t>
            </w:r>
          </w:p>
        </w:tc>
        <w:tc>
          <w:tcPr>
            <w:tcW w:w="1846" w:type="dxa"/>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100</w:t>
            </w:r>
          </w:p>
        </w:tc>
        <w:tc>
          <w:tcPr>
            <w:tcW w:w="1820" w:type="dxa"/>
            <w:tcBorders>
              <w:top w:val="single" w:sz="4" w:space="0" w:color="auto"/>
              <w:left w:val="nil"/>
              <w:bottom w:val="single" w:sz="4" w:space="0" w:color="auto"/>
              <w:right w:val="single" w:sz="4" w:space="0" w:color="auto"/>
            </w:tcBorders>
            <w:shd w:val="clear" w:color="auto" w:fill="E2EFD9"/>
          </w:tcPr>
          <w:p w:rsidR="009B30E1" w:rsidRPr="00620829" w:rsidRDefault="003A53BF" w:rsidP="009B30E1">
            <w:pPr>
              <w:spacing w:after="0" w:line="240" w:lineRule="auto"/>
              <w:jc w:val="right"/>
              <w:rPr>
                <w:rFonts w:eastAsia="Times New Roman"/>
              </w:rPr>
            </w:pPr>
            <w:r>
              <w:rPr>
                <w:rFonts w:eastAsia="Times New Roman"/>
              </w:rPr>
              <w:t>138%</w:t>
            </w:r>
          </w:p>
        </w:tc>
      </w:tr>
      <w:tr w:rsidR="00666855" w:rsidRPr="00620829" w:rsidTr="003B6170">
        <w:trPr>
          <w:trHeight w:val="1232"/>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C85472">
              <w:t xml:space="preserve">1.1.2 Total volume of </w:t>
            </w:r>
            <w:r w:rsidR="00F357AD">
              <w:t>UNCDF investments made to FSPs</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t xml:space="preserve">US$ </w:t>
            </w:r>
            <w:r w:rsidRPr="003237B6">
              <w:t>16,363,966</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9B30E1" w:rsidRPr="00620829" w:rsidRDefault="009B30E1" w:rsidP="009B30E1">
            <w:pPr>
              <w:spacing w:after="0" w:line="240" w:lineRule="auto"/>
              <w:jc w:val="right"/>
              <w:rPr>
                <w:rFonts w:eastAsia="Times New Roman"/>
              </w:rPr>
            </w:pPr>
            <w:r>
              <w:rPr>
                <w:rFonts w:eastAsia="Times New Roman"/>
              </w:rPr>
              <w:t xml:space="preserve">US$ </w:t>
            </w:r>
            <w:r w:rsidRPr="009954E9">
              <w:rPr>
                <w:rFonts w:eastAsia="Times New Roman"/>
              </w:rPr>
              <w:t>8</w:t>
            </w:r>
            <w:r>
              <w:rPr>
                <w:rFonts w:eastAsia="Times New Roman"/>
              </w:rPr>
              <w:t>,</w:t>
            </w:r>
            <w:r w:rsidRPr="009954E9">
              <w:rPr>
                <w:rFonts w:eastAsia="Times New Roman"/>
              </w:rPr>
              <w:t>285</w:t>
            </w:r>
            <w:r>
              <w:rPr>
                <w:rFonts w:eastAsia="Times New Roman"/>
              </w:rPr>
              <w:t>,</w:t>
            </w:r>
            <w:r w:rsidRPr="009954E9">
              <w:rPr>
                <w:rFonts w:eastAsia="Times New Roman"/>
              </w:rPr>
              <w:t>566</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AA29D0" w:rsidRPr="003C08EF" w:rsidRDefault="00AA29D0" w:rsidP="00666855">
            <w:pPr>
              <w:spacing w:after="0" w:line="240" w:lineRule="auto"/>
              <w:jc w:val="right"/>
              <w:rPr>
                <w:rFonts w:eastAsia="Times New Roman"/>
              </w:rPr>
            </w:pPr>
            <w:r w:rsidRPr="003C08EF">
              <w:rPr>
                <w:rFonts w:eastAsia="Times New Roman"/>
              </w:rPr>
              <w:t xml:space="preserve">US$ </w:t>
            </w:r>
            <w:r w:rsidR="003A3188" w:rsidRPr="003C08EF">
              <w:rPr>
                <w:rFonts w:eastAsia="Times New Roman"/>
              </w:rPr>
              <w:t>11,520,798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B30E1" w:rsidRDefault="00E567A5" w:rsidP="009B30E1">
            <w:pPr>
              <w:spacing w:after="0" w:line="240" w:lineRule="auto"/>
              <w:jc w:val="right"/>
              <w:rPr>
                <w:rFonts w:eastAsia="Times New Roman"/>
              </w:rPr>
            </w:pPr>
            <w:r>
              <w:rPr>
                <w:rFonts w:eastAsia="Times New Roman"/>
              </w:rPr>
              <w:t>US$ 15,000,000</w:t>
            </w:r>
          </w:p>
          <w:p w:rsidR="00E567A5" w:rsidRPr="00620829" w:rsidRDefault="00E567A5" w:rsidP="009B30E1">
            <w:pPr>
              <w:spacing w:after="0" w:line="240" w:lineRule="auto"/>
              <w:jc w:val="right"/>
              <w:rPr>
                <w:rFonts w:eastAsia="Times New Roman"/>
              </w:rPr>
            </w:pPr>
            <w:r>
              <w:rPr>
                <w:rFonts w:eastAsia="Times New Roman"/>
              </w:rPr>
              <w:t>(annual)</w:t>
            </w:r>
          </w:p>
        </w:tc>
        <w:tc>
          <w:tcPr>
            <w:tcW w:w="1820" w:type="dxa"/>
            <w:tcBorders>
              <w:top w:val="single" w:sz="4" w:space="0" w:color="auto"/>
              <w:left w:val="single" w:sz="4" w:space="0" w:color="auto"/>
              <w:bottom w:val="single" w:sz="4" w:space="0" w:color="auto"/>
              <w:right w:val="single" w:sz="4" w:space="0" w:color="auto"/>
            </w:tcBorders>
            <w:shd w:val="clear" w:color="auto" w:fill="FFF2CC"/>
          </w:tcPr>
          <w:p w:rsidR="009B30E1" w:rsidRDefault="00E567A5" w:rsidP="009B30E1">
            <w:pPr>
              <w:spacing w:after="0" w:line="240" w:lineRule="auto"/>
              <w:jc w:val="right"/>
              <w:rPr>
                <w:rFonts w:eastAsia="Times New Roman"/>
              </w:rPr>
            </w:pPr>
            <w:r>
              <w:rPr>
                <w:rFonts w:eastAsia="Times New Roman"/>
              </w:rPr>
              <w:t>66%</w:t>
            </w:r>
          </w:p>
          <w:p w:rsidR="008A0434" w:rsidRPr="00620829" w:rsidRDefault="008A0434" w:rsidP="009B30E1">
            <w:pPr>
              <w:spacing w:after="0" w:line="240" w:lineRule="auto"/>
              <w:jc w:val="right"/>
              <w:rPr>
                <w:rFonts w:eastAsia="Times New Roman"/>
              </w:rPr>
            </w:pPr>
            <w:r>
              <w:rPr>
                <w:rFonts w:eastAsia="Times New Roman"/>
              </w:rPr>
              <w:t>(for 2016 and 2017 combined)</w:t>
            </w:r>
          </w:p>
        </w:tc>
      </w:tr>
      <w:tr w:rsidR="009B30E1" w:rsidRPr="00620829" w:rsidTr="003B6170">
        <w:trPr>
          <w:trHeight w:val="70"/>
        </w:trPr>
        <w:tc>
          <w:tcPr>
            <w:tcW w:w="1795" w:type="dxa"/>
            <w:vMerge/>
            <w:tcBorders>
              <w:top w:val="nil"/>
              <w:left w:val="single" w:sz="4" w:space="0" w:color="auto"/>
              <w:bottom w:val="single" w:sz="4" w:space="0" w:color="auto"/>
              <w:right w:val="single" w:sz="4" w:space="0" w:color="auto"/>
            </w:tcBorders>
            <w:vAlign w:val="center"/>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9B30E1" w:rsidRPr="00C85472" w:rsidRDefault="009B30E1" w:rsidP="009B30E1">
            <w:pPr>
              <w:spacing w:after="0" w:line="240" w:lineRule="auto"/>
            </w:pPr>
            <w:r w:rsidRPr="00C85472">
              <w:t xml:space="preserve">1.1.3 Net change from baseline in US$ value of </w:t>
            </w:r>
            <w:r w:rsidRPr="00C85472">
              <w:lastRenderedPageBreak/>
              <w:t xml:space="preserve">savings portfolio of UNCDF-supported FSPs leveraged by UNCDF </w:t>
            </w:r>
            <w:proofErr w:type="spellStart"/>
            <w:r w:rsidRPr="00C85472">
              <w:t>programme</w:t>
            </w:r>
            <w:proofErr w:type="spellEnd"/>
            <w:r w:rsidRPr="00C85472">
              <w:t xml:space="preserve"> contribution</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B30E1" w:rsidRDefault="009B30E1" w:rsidP="009B30E1">
            <w:pPr>
              <w:spacing w:after="0" w:line="240" w:lineRule="auto"/>
              <w:jc w:val="right"/>
            </w:pPr>
            <w:r>
              <w:lastRenderedPageBreak/>
              <w:t>10:1</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9B30E1" w:rsidRDefault="009B30E1" w:rsidP="009B30E1">
            <w:pPr>
              <w:spacing w:after="0" w:line="240" w:lineRule="auto"/>
              <w:jc w:val="right"/>
              <w:rPr>
                <w:rFonts w:eastAsia="Times New Roman"/>
              </w:rPr>
            </w:pPr>
            <w:r>
              <w:rPr>
                <w:rFonts w:eastAsia="Times New Roman"/>
              </w:rPr>
              <w:t>NA</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9B30E1" w:rsidRPr="00866FF9" w:rsidRDefault="009B30E1" w:rsidP="00866FF9">
            <w:pPr>
              <w:spacing w:after="0" w:line="240" w:lineRule="auto"/>
              <w:jc w:val="right"/>
              <w:rPr>
                <w:rFonts w:eastAsia="Times New Roman"/>
              </w:rPr>
            </w:pPr>
            <w:r w:rsidRPr="003C08EF">
              <w:rPr>
                <w:rFonts w:eastAsia="Times New Roman"/>
              </w:rPr>
              <w:t>2</w:t>
            </w:r>
            <w:r w:rsidR="00FD65C7" w:rsidRPr="003C08EF">
              <w:rPr>
                <w:rFonts w:eastAsia="Times New Roman"/>
              </w:rPr>
              <w:t>2</w:t>
            </w:r>
            <w:r w:rsidRPr="003C08EF">
              <w:rPr>
                <w:rFonts w:eastAsia="Times New Roman"/>
              </w:rPr>
              <w:t>:1</w:t>
            </w:r>
            <w:r w:rsidR="00E567A5" w:rsidRPr="003C08EF">
              <w:rPr>
                <w:rStyle w:val="FootnoteReference"/>
                <w:rFonts w:eastAsia="Times New Roman"/>
              </w:rPr>
              <w:footnoteReference w:id="4"/>
            </w: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FD65C7" w:rsidRPr="003C08EF" w:rsidRDefault="00FD65C7" w:rsidP="00666855">
            <w:pPr>
              <w:spacing w:after="0" w:line="240" w:lineRule="auto"/>
              <w:jc w:val="right"/>
              <w:rPr>
                <w:rFonts w:eastAsia="Times New Roman"/>
              </w:rPr>
            </w:pPr>
            <w:r w:rsidRPr="00666855">
              <w:rPr>
                <w:rFonts w:eastAsia="Times New Roman"/>
              </w:rPr>
              <w:t>27:1</w:t>
            </w:r>
            <w:r w:rsidR="00E567A5" w:rsidRPr="00666855">
              <w:rPr>
                <w:rFonts w:eastAsia="Times New Roman"/>
              </w:rPr>
              <w:t xml:space="preserve">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B30E1" w:rsidRPr="00866FF9" w:rsidRDefault="009B30E1" w:rsidP="009B30E1">
            <w:pPr>
              <w:spacing w:after="0" w:line="240" w:lineRule="auto"/>
              <w:jc w:val="right"/>
              <w:rPr>
                <w:rFonts w:eastAsia="Times New Roman"/>
              </w:rPr>
            </w:pPr>
            <w:r w:rsidRPr="00866FF9">
              <w:rPr>
                <w:rFonts w:eastAsia="Times New Roman"/>
              </w:rPr>
              <w:t>10:1</w:t>
            </w:r>
          </w:p>
        </w:tc>
        <w:tc>
          <w:tcPr>
            <w:tcW w:w="1820" w:type="dxa"/>
            <w:tcBorders>
              <w:top w:val="single" w:sz="4" w:space="0" w:color="auto"/>
              <w:left w:val="single" w:sz="4" w:space="0" w:color="auto"/>
              <w:bottom w:val="single" w:sz="4" w:space="0" w:color="auto"/>
              <w:right w:val="single" w:sz="4" w:space="0" w:color="auto"/>
            </w:tcBorders>
            <w:shd w:val="clear" w:color="auto" w:fill="E2EFD9"/>
          </w:tcPr>
          <w:p w:rsidR="009B30E1" w:rsidRDefault="00FD65C7" w:rsidP="009B30E1">
            <w:pPr>
              <w:spacing w:after="0" w:line="240" w:lineRule="auto"/>
              <w:jc w:val="right"/>
              <w:rPr>
                <w:rFonts w:eastAsia="Times New Roman"/>
              </w:rPr>
            </w:pPr>
            <w:r>
              <w:rPr>
                <w:rFonts w:eastAsia="Times New Roman"/>
              </w:rPr>
              <w:t>270%</w:t>
            </w:r>
          </w:p>
        </w:tc>
      </w:tr>
      <w:tr w:rsidR="009B30E1" w:rsidRPr="00620829" w:rsidTr="00666855">
        <w:trPr>
          <w:trHeight w:val="435"/>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2564" w:type="dxa"/>
            <w:gridSpan w:val="8"/>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rPr>
                <w:rFonts w:eastAsia="Times New Roman"/>
                <w:b/>
                <w:bCs/>
              </w:rPr>
            </w:pPr>
            <w:r w:rsidRPr="00620829">
              <w:rPr>
                <w:rFonts w:eastAsia="Times New Roman"/>
                <w:b/>
                <w:bCs/>
              </w:rPr>
              <w:t>Sustainability: Improvements in FSP profitability/sustainability. Improvements in portfolio quality</w:t>
            </w:r>
          </w:p>
        </w:tc>
      </w:tr>
      <w:tr w:rsidR="009B30E1" w:rsidRPr="00620829" w:rsidTr="003B6170">
        <w:trPr>
          <w:trHeight w:val="915"/>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Default="009B30E1" w:rsidP="009B30E1">
            <w:pPr>
              <w:spacing w:after="0" w:line="240" w:lineRule="auto"/>
              <w:rPr>
                <w:rFonts w:eastAsia="Times New Roman"/>
              </w:rPr>
            </w:pPr>
            <w:r w:rsidRPr="00620829">
              <w:rPr>
                <w:rFonts w:eastAsia="Times New Roman"/>
              </w:rPr>
              <w:t>1.1.</w:t>
            </w:r>
            <w:r>
              <w:rPr>
                <w:rFonts w:eastAsia="Times New Roman"/>
              </w:rPr>
              <w:t>4</w:t>
            </w:r>
            <w:r w:rsidRPr="00620829">
              <w:rPr>
                <w:rFonts w:eastAsia="Times New Roman"/>
              </w:rPr>
              <w:t xml:space="preserve"> Percentage of FSPs that have audited financial statements</w:t>
            </w:r>
          </w:p>
          <w:p w:rsidR="009B30E1" w:rsidRPr="00620829" w:rsidRDefault="009B30E1" w:rsidP="009B30E1">
            <w:pPr>
              <w:spacing w:after="0" w:line="240" w:lineRule="auto"/>
              <w:rPr>
                <w:rFonts w:eastAsia="Times New Roman"/>
              </w:rPr>
            </w:pP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81%</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90%</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99%</w:t>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81%</w:t>
            </w:r>
          </w:p>
        </w:tc>
        <w:tc>
          <w:tcPr>
            <w:tcW w:w="1619" w:type="dxa"/>
            <w:tcBorders>
              <w:top w:val="nil"/>
              <w:left w:val="nil"/>
              <w:bottom w:val="single" w:sz="4" w:space="0" w:color="auto"/>
              <w:right w:val="single" w:sz="4" w:space="0" w:color="auto"/>
            </w:tcBorders>
            <w:shd w:val="clear" w:color="auto" w:fill="FFFFFF"/>
          </w:tcPr>
          <w:p w:rsidR="00C50751" w:rsidRPr="003C08EF" w:rsidRDefault="00C50751" w:rsidP="00666855">
            <w:pPr>
              <w:spacing w:after="0" w:line="240" w:lineRule="auto"/>
              <w:jc w:val="right"/>
              <w:rPr>
                <w:rFonts w:eastAsia="Times New Roman"/>
              </w:rPr>
            </w:pPr>
            <w:r w:rsidRPr="00666855">
              <w:rPr>
                <w:rFonts w:eastAsia="Times New Roman"/>
              </w:rPr>
              <w:t>86%</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sidRPr="00620829">
              <w:rPr>
                <w:rFonts w:eastAsia="Times New Roman"/>
              </w:rPr>
              <w:t>90%</w:t>
            </w:r>
          </w:p>
        </w:tc>
        <w:tc>
          <w:tcPr>
            <w:tcW w:w="1820" w:type="dxa"/>
            <w:tcBorders>
              <w:top w:val="nil"/>
              <w:left w:val="nil"/>
              <w:bottom w:val="single" w:sz="4" w:space="0" w:color="auto"/>
              <w:right w:val="single" w:sz="4" w:space="0" w:color="auto"/>
            </w:tcBorders>
            <w:shd w:val="clear" w:color="auto" w:fill="E2EFD9"/>
          </w:tcPr>
          <w:p w:rsidR="009B30E1" w:rsidRPr="00620829" w:rsidRDefault="00C50751" w:rsidP="009B30E1">
            <w:pPr>
              <w:spacing w:after="0" w:line="240" w:lineRule="auto"/>
              <w:jc w:val="right"/>
              <w:rPr>
                <w:rFonts w:eastAsia="Times New Roman"/>
              </w:rPr>
            </w:pPr>
            <w:r>
              <w:rPr>
                <w:rFonts w:eastAsia="Times New Roman"/>
              </w:rPr>
              <w:t>96%</w:t>
            </w:r>
          </w:p>
        </w:tc>
      </w:tr>
      <w:tr w:rsidR="009B30E1" w:rsidRPr="00620829" w:rsidTr="003B6170">
        <w:trPr>
          <w:trHeight w:val="915"/>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Default="009B30E1" w:rsidP="009B30E1">
            <w:pPr>
              <w:spacing w:after="0" w:line="240" w:lineRule="auto"/>
              <w:rPr>
                <w:rFonts w:eastAsia="Times New Roman"/>
              </w:rPr>
            </w:pPr>
            <w:r w:rsidRPr="00620829">
              <w:rPr>
                <w:rFonts w:eastAsia="Times New Roman"/>
              </w:rPr>
              <w:t>1.1.</w:t>
            </w:r>
            <w:r>
              <w:rPr>
                <w:rFonts w:eastAsia="Times New Roman"/>
              </w:rPr>
              <w:t>5</w:t>
            </w:r>
            <w:r w:rsidRPr="00620829">
              <w:rPr>
                <w:rFonts w:eastAsia="Times New Roman"/>
              </w:rPr>
              <w:t xml:space="preserve"> Percentage of FSPs making progre</w:t>
            </w:r>
            <w:r>
              <w:rPr>
                <w:rFonts w:eastAsia="Times New Roman"/>
              </w:rPr>
              <w:t>ss toward profitability</w:t>
            </w:r>
          </w:p>
          <w:p w:rsidR="009B30E1" w:rsidRPr="00620829" w:rsidRDefault="009B30E1" w:rsidP="009B30E1">
            <w:pPr>
              <w:spacing w:after="0" w:line="240" w:lineRule="auto"/>
              <w:rPr>
                <w:rFonts w:eastAsia="Times New Roman"/>
              </w:rPr>
            </w:pP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73%</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75%</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76%</w:t>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65%</w:t>
            </w:r>
          </w:p>
        </w:tc>
        <w:tc>
          <w:tcPr>
            <w:tcW w:w="1619" w:type="dxa"/>
            <w:tcBorders>
              <w:top w:val="nil"/>
              <w:left w:val="nil"/>
              <w:bottom w:val="single" w:sz="4" w:space="0" w:color="auto"/>
              <w:right w:val="single" w:sz="4" w:space="0" w:color="auto"/>
            </w:tcBorders>
            <w:shd w:val="clear" w:color="auto" w:fill="FFFFFF"/>
          </w:tcPr>
          <w:p w:rsidR="00720E06" w:rsidRPr="00620829" w:rsidRDefault="00720E06" w:rsidP="00666855">
            <w:pPr>
              <w:spacing w:after="0" w:line="240" w:lineRule="auto"/>
              <w:jc w:val="right"/>
              <w:rPr>
                <w:rFonts w:eastAsia="Times New Roman"/>
              </w:rPr>
            </w:pPr>
            <w:r>
              <w:rPr>
                <w:rFonts w:eastAsia="Times New Roman"/>
              </w:rPr>
              <w:t>75</w:t>
            </w:r>
            <w:r w:rsidRPr="00720E06">
              <w:rPr>
                <w:rFonts w:eastAsia="Times New Roman"/>
              </w:rPr>
              <w:t>%</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sidRPr="00620829">
              <w:rPr>
                <w:rFonts w:eastAsia="Times New Roman"/>
              </w:rPr>
              <w:t>80%</w:t>
            </w:r>
          </w:p>
        </w:tc>
        <w:tc>
          <w:tcPr>
            <w:tcW w:w="1820" w:type="dxa"/>
            <w:tcBorders>
              <w:top w:val="nil"/>
              <w:left w:val="nil"/>
              <w:bottom w:val="single" w:sz="4" w:space="0" w:color="auto"/>
              <w:right w:val="single" w:sz="4" w:space="0" w:color="auto"/>
            </w:tcBorders>
            <w:shd w:val="clear" w:color="auto" w:fill="E2EFD9"/>
          </w:tcPr>
          <w:p w:rsidR="009B30E1" w:rsidRPr="00620829" w:rsidRDefault="00720E06" w:rsidP="009B30E1">
            <w:pPr>
              <w:spacing w:after="0" w:line="240" w:lineRule="auto"/>
              <w:jc w:val="right"/>
              <w:rPr>
                <w:rFonts w:eastAsia="Times New Roman"/>
              </w:rPr>
            </w:pPr>
            <w:r>
              <w:rPr>
                <w:rFonts w:eastAsia="Times New Roman"/>
              </w:rPr>
              <w:t>94%</w:t>
            </w:r>
          </w:p>
        </w:tc>
      </w:tr>
      <w:tr w:rsidR="002E72F7" w:rsidRPr="00620829" w:rsidTr="003B6170">
        <w:trPr>
          <w:trHeight w:val="665"/>
        </w:trPr>
        <w:tc>
          <w:tcPr>
            <w:tcW w:w="1795" w:type="dxa"/>
            <w:vMerge/>
            <w:tcBorders>
              <w:top w:val="single" w:sz="4" w:space="0" w:color="auto"/>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9B30E1" w:rsidRDefault="009B30E1" w:rsidP="009B30E1">
            <w:pPr>
              <w:spacing w:after="0" w:line="240" w:lineRule="auto"/>
              <w:rPr>
                <w:rFonts w:eastAsia="Times New Roman"/>
              </w:rPr>
            </w:pPr>
            <w:r w:rsidRPr="00620829">
              <w:rPr>
                <w:rFonts w:eastAsia="Times New Roman"/>
              </w:rPr>
              <w:t>1.1.</w:t>
            </w:r>
            <w:r>
              <w:rPr>
                <w:rFonts w:eastAsia="Times New Roman"/>
              </w:rPr>
              <w:t>6</w:t>
            </w:r>
            <w:r w:rsidRPr="00620829">
              <w:rPr>
                <w:rFonts w:eastAsia="Times New Roman"/>
              </w:rPr>
              <w:t xml:space="preserve"> Percentage of FSPs meeting portfolio quality targets (PAR 30 days)</w:t>
            </w:r>
          </w:p>
          <w:p w:rsidR="009B30E1" w:rsidRPr="00620829" w:rsidRDefault="009B30E1" w:rsidP="009B30E1">
            <w:pPr>
              <w:spacing w:after="0" w:line="240" w:lineRule="auto"/>
              <w:rPr>
                <w:rFonts w:eastAsia="Times New Roman"/>
              </w:rPr>
            </w:pPr>
          </w:p>
        </w:tc>
        <w:tc>
          <w:tcPr>
            <w:tcW w:w="1619"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55%</w:t>
            </w:r>
          </w:p>
        </w:tc>
        <w:tc>
          <w:tcPr>
            <w:tcW w:w="1105"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59%</w:t>
            </w:r>
          </w:p>
        </w:tc>
        <w:tc>
          <w:tcPr>
            <w:tcW w:w="116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62%</w:t>
            </w:r>
          </w:p>
        </w:tc>
        <w:tc>
          <w:tcPr>
            <w:tcW w:w="1781" w:type="dxa"/>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44%</w:t>
            </w:r>
          </w:p>
        </w:tc>
        <w:tc>
          <w:tcPr>
            <w:tcW w:w="1619" w:type="dxa"/>
            <w:tcBorders>
              <w:top w:val="single" w:sz="4" w:space="0" w:color="auto"/>
              <w:left w:val="nil"/>
              <w:bottom w:val="single" w:sz="4" w:space="0" w:color="auto"/>
              <w:right w:val="single" w:sz="4" w:space="0" w:color="auto"/>
            </w:tcBorders>
            <w:shd w:val="clear" w:color="auto" w:fill="FFFFFF"/>
          </w:tcPr>
          <w:p w:rsidR="009D506F" w:rsidRPr="003C08EF" w:rsidRDefault="009D506F" w:rsidP="00666855">
            <w:pPr>
              <w:spacing w:after="0" w:line="240" w:lineRule="auto"/>
              <w:jc w:val="right"/>
              <w:rPr>
                <w:rFonts w:eastAsia="Times New Roman"/>
              </w:rPr>
            </w:pPr>
            <w:r w:rsidRPr="00666855">
              <w:rPr>
                <w:rFonts w:eastAsia="Times New Roman"/>
              </w:rPr>
              <w:t>5</w:t>
            </w:r>
            <w:r w:rsidR="00F357AD">
              <w:rPr>
                <w:rFonts w:eastAsia="Times New Roman"/>
              </w:rPr>
              <w:t>9</w:t>
            </w:r>
            <w:r w:rsidRPr="00666855">
              <w:rPr>
                <w:rFonts w:eastAsia="Times New Roman"/>
              </w:rPr>
              <w:t>%</w:t>
            </w:r>
          </w:p>
        </w:tc>
        <w:tc>
          <w:tcPr>
            <w:tcW w:w="1846" w:type="dxa"/>
            <w:tcBorders>
              <w:top w:val="single" w:sz="4" w:space="0" w:color="auto"/>
              <w:left w:val="nil"/>
              <w:bottom w:val="single" w:sz="4" w:space="0" w:color="auto"/>
              <w:right w:val="single" w:sz="4" w:space="0" w:color="auto"/>
            </w:tcBorders>
            <w:shd w:val="clear" w:color="auto" w:fill="FFFFFF"/>
            <w:hideMark/>
          </w:tcPr>
          <w:p w:rsidR="009B30E1" w:rsidRPr="00866FF9" w:rsidRDefault="009B30E1" w:rsidP="009B30E1">
            <w:pPr>
              <w:spacing w:after="0" w:line="240" w:lineRule="auto"/>
              <w:jc w:val="right"/>
              <w:rPr>
                <w:rFonts w:eastAsia="Times New Roman"/>
              </w:rPr>
            </w:pPr>
            <w:r w:rsidRPr="00866FF9">
              <w:rPr>
                <w:rFonts w:eastAsia="Times New Roman"/>
              </w:rPr>
              <w:t>80%</w:t>
            </w:r>
          </w:p>
        </w:tc>
        <w:tc>
          <w:tcPr>
            <w:tcW w:w="1820" w:type="dxa"/>
            <w:tcBorders>
              <w:top w:val="single" w:sz="4" w:space="0" w:color="auto"/>
              <w:left w:val="nil"/>
              <w:bottom w:val="single" w:sz="4" w:space="0" w:color="auto"/>
              <w:right w:val="single" w:sz="4" w:space="0" w:color="auto"/>
            </w:tcBorders>
            <w:shd w:val="clear" w:color="auto" w:fill="FFF2CC"/>
          </w:tcPr>
          <w:p w:rsidR="009B30E1" w:rsidRPr="00620829" w:rsidRDefault="008A0434" w:rsidP="009B30E1">
            <w:pPr>
              <w:spacing w:after="0" w:line="240" w:lineRule="auto"/>
              <w:jc w:val="right"/>
              <w:rPr>
                <w:rFonts w:eastAsia="Times New Roman"/>
              </w:rPr>
            </w:pPr>
            <w:r>
              <w:rPr>
                <w:rFonts w:eastAsia="Times New Roman"/>
              </w:rPr>
              <w:t>74</w:t>
            </w:r>
            <w:r w:rsidR="009D506F">
              <w:rPr>
                <w:rFonts w:eastAsia="Times New Roman"/>
              </w:rPr>
              <w:t>%</w:t>
            </w:r>
          </w:p>
        </w:tc>
      </w:tr>
      <w:tr w:rsidR="009B30E1" w:rsidRPr="00620829" w:rsidTr="00666855">
        <w:trPr>
          <w:trHeight w:val="360"/>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2564" w:type="dxa"/>
            <w:gridSpan w:val="8"/>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rPr>
                <w:rFonts w:eastAsia="Times New Roman"/>
                <w:b/>
                <w:bCs/>
              </w:rPr>
            </w:pPr>
            <w:r w:rsidRPr="00620829">
              <w:rPr>
                <w:rFonts w:eastAsia="Times New Roman"/>
                <w:b/>
                <w:bCs/>
              </w:rPr>
              <w:t>Responsibly-provided services</w:t>
            </w:r>
          </w:p>
        </w:tc>
      </w:tr>
      <w:tr w:rsidR="009B30E1" w:rsidRPr="00620829" w:rsidTr="003B6170">
        <w:trPr>
          <w:trHeight w:val="1275"/>
        </w:trPr>
        <w:tc>
          <w:tcPr>
            <w:tcW w:w="1795" w:type="dxa"/>
            <w:vMerge/>
            <w:tcBorders>
              <w:top w:val="nil"/>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Default="009B30E1" w:rsidP="009B30E1">
            <w:pPr>
              <w:spacing w:after="0" w:line="240" w:lineRule="auto"/>
              <w:rPr>
                <w:rFonts w:eastAsia="Times New Roman"/>
              </w:rPr>
            </w:pPr>
            <w:r w:rsidRPr="00620829">
              <w:rPr>
                <w:rFonts w:eastAsia="Times New Roman"/>
              </w:rPr>
              <w:t>1.1.</w:t>
            </w:r>
            <w:r>
              <w:rPr>
                <w:rFonts w:eastAsia="Times New Roman"/>
              </w:rPr>
              <w:t>7</w:t>
            </w:r>
            <w:r w:rsidRPr="00620829">
              <w:rPr>
                <w:rFonts w:eastAsia="Times New Roman"/>
              </w:rPr>
              <w:t xml:space="preserve"> Percentage of FSPs that endorse SMART Campaign Client Protection Principles (CPPs) or equivalent</w:t>
            </w:r>
          </w:p>
          <w:p w:rsidR="009B30E1" w:rsidRPr="00620829" w:rsidRDefault="009B30E1" w:rsidP="009B30E1">
            <w:pPr>
              <w:spacing w:after="0" w:line="240" w:lineRule="auto"/>
              <w:rPr>
                <w:rFonts w:eastAsia="Times New Roman"/>
              </w:rPr>
            </w:pP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82%</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74%</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620829">
              <w:rPr>
                <w:rFonts w:eastAsia="Times New Roman"/>
              </w:rPr>
              <w:t>95%</w:t>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67%</w:t>
            </w:r>
          </w:p>
        </w:tc>
        <w:tc>
          <w:tcPr>
            <w:tcW w:w="1619" w:type="dxa"/>
            <w:tcBorders>
              <w:top w:val="nil"/>
              <w:left w:val="nil"/>
              <w:bottom w:val="single" w:sz="4" w:space="0" w:color="auto"/>
              <w:right w:val="single" w:sz="4" w:space="0" w:color="auto"/>
            </w:tcBorders>
            <w:shd w:val="clear" w:color="auto" w:fill="FFFFFF"/>
          </w:tcPr>
          <w:p w:rsidR="000B09AD" w:rsidRPr="009B30E1" w:rsidRDefault="000B09AD" w:rsidP="00666855">
            <w:pPr>
              <w:jc w:val="right"/>
              <w:rPr>
                <w:rFonts w:eastAsia="Times New Roman"/>
              </w:rPr>
            </w:pPr>
            <w:r>
              <w:rPr>
                <w:rFonts w:eastAsia="Times New Roman"/>
              </w:rPr>
              <w:t>71%</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90</w:t>
            </w:r>
            <w:r w:rsidRPr="00620829">
              <w:rPr>
                <w:rFonts w:eastAsia="Times New Roman"/>
              </w:rPr>
              <w:t>%</w:t>
            </w:r>
          </w:p>
        </w:tc>
        <w:tc>
          <w:tcPr>
            <w:tcW w:w="1820" w:type="dxa"/>
            <w:tcBorders>
              <w:top w:val="nil"/>
              <w:left w:val="nil"/>
              <w:bottom w:val="single" w:sz="4" w:space="0" w:color="auto"/>
              <w:right w:val="single" w:sz="4" w:space="0" w:color="auto"/>
            </w:tcBorders>
            <w:shd w:val="clear" w:color="auto" w:fill="E2EFD9"/>
          </w:tcPr>
          <w:p w:rsidR="009B30E1" w:rsidRPr="00620829" w:rsidRDefault="000B09AD" w:rsidP="009B30E1">
            <w:pPr>
              <w:spacing w:after="0" w:line="240" w:lineRule="auto"/>
              <w:jc w:val="right"/>
              <w:rPr>
                <w:rFonts w:eastAsia="Times New Roman"/>
              </w:rPr>
            </w:pPr>
            <w:r>
              <w:rPr>
                <w:rFonts w:eastAsia="Times New Roman"/>
              </w:rPr>
              <w:t>79%</w:t>
            </w:r>
          </w:p>
        </w:tc>
      </w:tr>
      <w:tr w:rsidR="009B30E1"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9B30E1" w:rsidRPr="00620829" w:rsidRDefault="009B30E1" w:rsidP="009B30E1">
            <w:pPr>
              <w:spacing w:after="0" w:line="240" w:lineRule="auto"/>
              <w:rPr>
                <w:rFonts w:eastAsia="Times New Roman"/>
                <w:b/>
                <w:bCs/>
                <w:u w:val="single"/>
              </w:rPr>
            </w:pPr>
            <w:r w:rsidRPr="00620829">
              <w:rPr>
                <w:rFonts w:eastAsia="Times New Roman"/>
                <w:b/>
                <w:bCs/>
                <w:u w:val="single"/>
              </w:rPr>
              <w:lastRenderedPageBreak/>
              <w:t xml:space="preserve">Local Development Finance </w:t>
            </w:r>
          </w:p>
        </w:tc>
      </w:tr>
      <w:tr w:rsidR="009B30E1" w:rsidRPr="00620829" w:rsidTr="00666855">
        <w:trPr>
          <w:trHeight w:val="260"/>
        </w:trPr>
        <w:tc>
          <w:tcPr>
            <w:tcW w:w="1795" w:type="dxa"/>
            <w:vMerge w:val="restart"/>
            <w:tcBorders>
              <w:top w:val="nil"/>
              <w:left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b/>
                <w:bCs/>
                <w:color w:val="000000"/>
              </w:rPr>
            </w:pPr>
            <w:r w:rsidRPr="00620829">
              <w:rPr>
                <w:rFonts w:eastAsia="Times New Roman"/>
                <w:b/>
                <w:bCs/>
                <w:color w:val="000000"/>
              </w:rPr>
              <w:t xml:space="preserve">Output 1.2                           </w:t>
            </w:r>
            <w:r w:rsidRPr="00620829">
              <w:rPr>
                <w:rFonts w:eastAsia="Times New Roman"/>
                <w:color w:val="000000"/>
              </w:rPr>
              <w:t xml:space="preserve">  Improved performance of sustainable, accountable local governments and improved performance of revenue-generating projects. Measured in terms of how UNCDF supports capacity to mobilize, allocate, invest and make accountable resources for effective local development. </w:t>
            </w:r>
          </w:p>
        </w:tc>
        <w:tc>
          <w:tcPr>
            <w:tcW w:w="12564" w:type="dxa"/>
            <w:gridSpan w:val="8"/>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rPr>
                <w:rFonts w:eastAsia="Times New Roman"/>
                <w:b/>
                <w:bCs/>
              </w:rPr>
            </w:pPr>
            <w:r w:rsidRPr="00620829">
              <w:rPr>
                <w:rFonts w:eastAsia="Times New Roman"/>
                <w:b/>
                <w:bCs/>
              </w:rPr>
              <w:t xml:space="preserve">Improved performance of sustainable, accountable local governments, and improved performance of revenue generating projects. Measured in terms of how UNCDF supports capacity to </w:t>
            </w:r>
            <w:r w:rsidRPr="00720CA6">
              <w:rPr>
                <w:rFonts w:eastAsia="Times New Roman"/>
                <w:b/>
                <w:bCs/>
                <w:u w:val="single"/>
              </w:rPr>
              <w:t>mobilize</w:t>
            </w:r>
            <w:r w:rsidRPr="00620829">
              <w:rPr>
                <w:rFonts w:eastAsia="Times New Roman"/>
                <w:b/>
                <w:bCs/>
              </w:rPr>
              <w:t xml:space="preserve"> resources for effective local development.  </w:t>
            </w:r>
          </w:p>
        </w:tc>
      </w:tr>
      <w:tr w:rsidR="009B30E1" w:rsidRPr="00620829" w:rsidTr="003B6170">
        <w:trPr>
          <w:trHeight w:val="1808"/>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0E4A79">
              <w:t>1.2.1 Total number of district level local governments supported</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1,077</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1,077</w:t>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854</w:t>
            </w:r>
          </w:p>
        </w:tc>
        <w:tc>
          <w:tcPr>
            <w:tcW w:w="1619" w:type="dxa"/>
            <w:tcBorders>
              <w:top w:val="nil"/>
              <w:left w:val="nil"/>
              <w:bottom w:val="single" w:sz="4" w:space="0" w:color="auto"/>
              <w:right w:val="single" w:sz="4" w:space="0" w:color="auto"/>
            </w:tcBorders>
            <w:shd w:val="clear" w:color="auto" w:fill="FFFFFF"/>
          </w:tcPr>
          <w:p w:rsidR="00A22E14" w:rsidRPr="003C08EF" w:rsidRDefault="00A22E14" w:rsidP="00666855">
            <w:pPr>
              <w:spacing w:after="0" w:line="240" w:lineRule="auto"/>
              <w:jc w:val="right"/>
              <w:rPr>
                <w:rFonts w:eastAsia="Times New Roman"/>
              </w:rPr>
            </w:pPr>
            <w:r w:rsidRPr="00666855">
              <w:rPr>
                <w:rFonts w:eastAsia="Times New Roman"/>
              </w:rPr>
              <w:t>833</w:t>
            </w:r>
          </w:p>
        </w:tc>
        <w:tc>
          <w:tcPr>
            <w:tcW w:w="1846" w:type="dxa"/>
            <w:tcBorders>
              <w:top w:val="nil"/>
              <w:left w:val="nil"/>
              <w:bottom w:val="single" w:sz="4" w:space="0" w:color="auto"/>
              <w:right w:val="single" w:sz="4" w:space="0" w:color="auto"/>
            </w:tcBorders>
            <w:shd w:val="clear" w:color="auto" w:fill="FFFFFF"/>
            <w:hideMark/>
          </w:tcPr>
          <w:p w:rsidR="009B30E1" w:rsidRPr="00B04246" w:rsidRDefault="009B30E1" w:rsidP="009B30E1">
            <w:pPr>
              <w:spacing w:after="0" w:line="240" w:lineRule="auto"/>
              <w:jc w:val="right"/>
              <w:rPr>
                <w:rFonts w:eastAsia="Times New Roman"/>
              </w:rPr>
            </w:pPr>
            <w:r w:rsidRPr="00B04246">
              <w:rPr>
                <w:rFonts w:eastAsia="Times New Roman"/>
              </w:rPr>
              <w:t>1,000</w:t>
            </w:r>
          </w:p>
        </w:tc>
        <w:tc>
          <w:tcPr>
            <w:tcW w:w="1820" w:type="dxa"/>
            <w:tcBorders>
              <w:top w:val="nil"/>
              <w:left w:val="nil"/>
              <w:bottom w:val="single" w:sz="4" w:space="0" w:color="auto"/>
              <w:right w:val="single" w:sz="4" w:space="0" w:color="auto"/>
            </w:tcBorders>
            <w:shd w:val="clear" w:color="auto" w:fill="E2EFD9"/>
          </w:tcPr>
          <w:p w:rsidR="009B30E1" w:rsidRPr="00B04246" w:rsidRDefault="00A22E14" w:rsidP="009B30E1">
            <w:pPr>
              <w:spacing w:after="0" w:line="240" w:lineRule="auto"/>
              <w:jc w:val="right"/>
              <w:rPr>
                <w:rFonts w:eastAsia="Times New Roman"/>
              </w:rPr>
            </w:pPr>
            <w:r>
              <w:rPr>
                <w:rFonts w:eastAsia="Times New Roman"/>
              </w:rPr>
              <w:t>83%</w:t>
            </w:r>
          </w:p>
        </w:tc>
      </w:tr>
      <w:tr w:rsidR="002E72F7" w:rsidRPr="00620829" w:rsidTr="003B6170">
        <w:trPr>
          <w:trHeight w:val="1365"/>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0E4A79">
              <w:t>1.2.2 Total volume of UNCDF investments made to local governments</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sidRPr="007C7597">
              <w:rPr>
                <w:rFonts w:eastAsia="Times New Roman"/>
              </w:rPr>
              <w:t>US$ 8,423,011</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US$ 10,200,874</w:t>
            </w:r>
          </w:p>
        </w:tc>
        <w:tc>
          <w:tcPr>
            <w:tcW w:w="1619" w:type="dxa"/>
            <w:tcBorders>
              <w:top w:val="nil"/>
              <w:left w:val="nil"/>
              <w:bottom w:val="single" w:sz="4" w:space="0" w:color="auto"/>
              <w:right w:val="single" w:sz="4" w:space="0" w:color="auto"/>
            </w:tcBorders>
            <w:shd w:val="clear" w:color="auto" w:fill="FFFFFF"/>
          </w:tcPr>
          <w:p w:rsidR="00D50AED" w:rsidRPr="00620829" w:rsidRDefault="00D50AED" w:rsidP="00666855">
            <w:pPr>
              <w:spacing w:after="0" w:line="240" w:lineRule="auto"/>
              <w:jc w:val="right"/>
              <w:rPr>
                <w:rFonts w:eastAsia="Times New Roman"/>
              </w:rPr>
            </w:pPr>
            <w:r>
              <w:rPr>
                <w:rFonts w:eastAsia="Times New Roman"/>
              </w:rPr>
              <w:t xml:space="preserve">US$ </w:t>
            </w:r>
            <w:r w:rsidRPr="00D50AED">
              <w:rPr>
                <w:rFonts w:eastAsia="Times New Roman"/>
              </w:rPr>
              <w:t>7</w:t>
            </w:r>
            <w:r w:rsidR="003C08EF">
              <w:rPr>
                <w:rFonts w:eastAsia="Times New Roman"/>
              </w:rPr>
              <w:t>,</w:t>
            </w:r>
            <w:r w:rsidRPr="00D50AED">
              <w:rPr>
                <w:rFonts w:eastAsia="Times New Roman"/>
              </w:rPr>
              <w:t>695</w:t>
            </w:r>
            <w:r w:rsidR="003C08EF">
              <w:rPr>
                <w:rFonts w:eastAsia="Times New Roman"/>
              </w:rPr>
              <w:t>,</w:t>
            </w:r>
            <w:r w:rsidRPr="00D50AED">
              <w:rPr>
                <w:rFonts w:eastAsia="Times New Roman"/>
              </w:rPr>
              <w:t>727</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t>US$ 15,000,000 (annual target)</w:t>
            </w:r>
          </w:p>
        </w:tc>
        <w:tc>
          <w:tcPr>
            <w:tcW w:w="1820" w:type="dxa"/>
            <w:tcBorders>
              <w:top w:val="nil"/>
              <w:left w:val="nil"/>
              <w:bottom w:val="single" w:sz="4" w:space="0" w:color="auto"/>
              <w:right w:val="single" w:sz="4" w:space="0" w:color="auto"/>
            </w:tcBorders>
            <w:shd w:val="clear" w:color="auto" w:fill="FFF2CC"/>
          </w:tcPr>
          <w:p w:rsidR="008A0434" w:rsidRDefault="00D50AED" w:rsidP="009B30E1">
            <w:pPr>
              <w:spacing w:after="0" w:line="240" w:lineRule="auto"/>
              <w:jc w:val="right"/>
              <w:rPr>
                <w:rFonts w:eastAsia="Times New Roman"/>
              </w:rPr>
            </w:pPr>
            <w:r>
              <w:rPr>
                <w:rFonts w:eastAsia="Times New Roman"/>
              </w:rPr>
              <w:t>60%</w:t>
            </w:r>
            <w:r w:rsidR="008A0434">
              <w:rPr>
                <w:rFonts w:eastAsia="Times New Roman"/>
              </w:rPr>
              <w:t xml:space="preserve"> </w:t>
            </w:r>
          </w:p>
          <w:p w:rsidR="009B30E1" w:rsidRPr="00620829" w:rsidRDefault="008A0434" w:rsidP="009B30E1">
            <w:pPr>
              <w:spacing w:after="0" w:line="240" w:lineRule="auto"/>
              <w:jc w:val="right"/>
              <w:rPr>
                <w:rFonts w:eastAsia="Times New Roman"/>
              </w:rPr>
            </w:pPr>
            <w:r>
              <w:rPr>
                <w:rFonts w:eastAsia="Times New Roman"/>
              </w:rPr>
              <w:t>(for 2016 and 2017 combined)</w:t>
            </w:r>
          </w:p>
        </w:tc>
      </w:tr>
      <w:tr w:rsidR="009B30E1" w:rsidRPr="00620829" w:rsidTr="003B6170">
        <w:trPr>
          <w:trHeight w:val="1385"/>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0E4A79">
              <w:t xml:space="preserve">1.2.3 Additional public and private investments leveraged by UNCDF </w:t>
            </w:r>
            <w:proofErr w:type="spellStart"/>
            <w:r w:rsidRPr="000E4A79">
              <w:t>programme</w:t>
            </w:r>
            <w:proofErr w:type="spellEnd"/>
            <w:r w:rsidRPr="000E4A79">
              <w:t xml:space="preserve"> contribution</w:t>
            </w:r>
            <w:r w:rsidR="003C08EF" w:rsidRPr="003C08EF">
              <w:rPr>
                <w:rStyle w:val="FootnoteReference"/>
                <w:rFonts w:eastAsia="Times New Roman"/>
              </w:rPr>
              <w:footnoteReference w:id="5"/>
            </w:r>
          </w:p>
        </w:tc>
        <w:tc>
          <w:tcPr>
            <w:tcW w:w="1619" w:type="dxa"/>
            <w:tcBorders>
              <w:top w:val="nil"/>
              <w:left w:val="nil"/>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10:1</w:t>
            </w:r>
          </w:p>
        </w:tc>
        <w:tc>
          <w:tcPr>
            <w:tcW w:w="1105" w:type="dxa"/>
            <w:tcBorders>
              <w:top w:val="nil"/>
              <w:left w:val="nil"/>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781" w:type="dxa"/>
            <w:tcBorders>
              <w:top w:val="nil"/>
              <w:left w:val="nil"/>
              <w:right w:val="single" w:sz="4" w:space="0" w:color="auto"/>
            </w:tcBorders>
            <w:shd w:val="clear" w:color="auto" w:fill="FFFFFF"/>
          </w:tcPr>
          <w:p w:rsidR="009B30E1" w:rsidRPr="00620829" w:rsidRDefault="00F357AD" w:rsidP="009B30E1">
            <w:pPr>
              <w:spacing w:after="0" w:line="240" w:lineRule="auto"/>
              <w:jc w:val="right"/>
              <w:rPr>
                <w:rFonts w:eastAsia="Times New Roman"/>
              </w:rPr>
            </w:pPr>
            <w:r>
              <w:rPr>
                <w:rFonts w:eastAsia="Times New Roman"/>
              </w:rPr>
              <w:t>12</w:t>
            </w:r>
            <w:r w:rsidR="009B30E1">
              <w:rPr>
                <w:rFonts w:eastAsia="Times New Roman"/>
              </w:rPr>
              <w:t>:1</w:t>
            </w:r>
          </w:p>
        </w:tc>
        <w:tc>
          <w:tcPr>
            <w:tcW w:w="1619" w:type="dxa"/>
            <w:tcBorders>
              <w:top w:val="nil"/>
              <w:left w:val="nil"/>
              <w:right w:val="single" w:sz="4" w:space="0" w:color="auto"/>
            </w:tcBorders>
            <w:shd w:val="clear" w:color="auto" w:fill="FFFFFF"/>
          </w:tcPr>
          <w:p w:rsidR="00C8623F" w:rsidRPr="00620829" w:rsidRDefault="00F357AD" w:rsidP="00666855">
            <w:pPr>
              <w:spacing w:after="0" w:line="240" w:lineRule="auto"/>
              <w:jc w:val="right"/>
              <w:rPr>
                <w:rFonts w:eastAsia="Times New Roman"/>
              </w:rPr>
            </w:pPr>
            <w:r>
              <w:rPr>
                <w:rFonts w:eastAsia="Times New Roman"/>
              </w:rPr>
              <w:t>18</w:t>
            </w:r>
            <w:r w:rsidR="00C8623F">
              <w:rPr>
                <w:rFonts w:eastAsia="Times New Roman"/>
              </w:rPr>
              <w:t>:1</w:t>
            </w:r>
          </w:p>
        </w:tc>
        <w:tc>
          <w:tcPr>
            <w:tcW w:w="1846" w:type="dxa"/>
            <w:tcBorders>
              <w:top w:val="nil"/>
              <w:left w:val="nil"/>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10:1</w:t>
            </w:r>
          </w:p>
        </w:tc>
        <w:tc>
          <w:tcPr>
            <w:tcW w:w="1820" w:type="dxa"/>
            <w:tcBorders>
              <w:top w:val="nil"/>
              <w:left w:val="nil"/>
              <w:right w:val="single" w:sz="4" w:space="0" w:color="auto"/>
            </w:tcBorders>
            <w:shd w:val="clear" w:color="auto" w:fill="E2EFD9"/>
          </w:tcPr>
          <w:p w:rsidR="009B30E1" w:rsidRPr="00620829" w:rsidRDefault="00C8623F" w:rsidP="009B30E1">
            <w:pPr>
              <w:spacing w:after="0" w:line="240" w:lineRule="auto"/>
              <w:jc w:val="right"/>
              <w:rPr>
                <w:rFonts w:eastAsia="Times New Roman"/>
              </w:rPr>
            </w:pPr>
            <w:r>
              <w:rPr>
                <w:rFonts w:eastAsia="Times New Roman"/>
              </w:rPr>
              <w:t>179%</w:t>
            </w:r>
          </w:p>
        </w:tc>
      </w:tr>
      <w:tr w:rsidR="009B30E1" w:rsidRPr="00620829" w:rsidTr="00666855">
        <w:trPr>
          <w:trHeight w:val="675"/>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2564" w:type="dxa"/>
            <w:gridSpan w:val="8"/>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rPr>
                <w:rFonts w:eastAsia="Times New Roman"/>
                <w:b/>
                <w:bCs/>
              </w:rPr>
            </w:pPr>
            <w:r w:rsidRPr="00620829">
              <w:rPr>
                <w:rFonts w:eastAsia="Times New Roman"/>
                <w:b/>
                <w:bCs/>
              </w:rPr>
              <w:t xml:space="preserve">Improved performance of sustainable, accountable local governments, and improved performance of revenue generating projects. Measured in terms of how UNCDF supports capacity to </w:t>
            </w:r>
            <w:r w:rsidRPr="00720CA6">
              <w:rPr>
                <w:rFonts w:eastAsia="Times New Roman"/>
                <w:b/>
                <w:bCs/>
                <w:u w:val="single"/>
              </w:rPr>
              <w:t>allocate</w:t>
            </w:r>
            <w:r w:rsidRPr="00620829">
              <w:rPr>
                <w:rFonts w:eastAsia="Times New Roman"/>
                <w:b/>
                <w:bCs/>
              </w:rPr>
              <w:t xml:space="preserve"> resources for effective local development.  </w:t>
            </w:r>
          </w:p>
        </w:tc>
      </w:tr>
      <w:tr w:rsidR="009B30E1" w:rsidRPr="00620829" w:rsidTr="003B6170">
        <w:trPr>
          <w:trHeight w:val="1380"/>
        </w:trPr>
        <w:tc>
          <w:tcPr>
            <w:tcW w:w="1795" w:type="dxa"/>
            <w:vMerge/>
            <w:tcBorders>
              <w:top w:val="single" w:sz="4" w:space="0" w:color="auto"/>
              <w:left w:val="single" w:sz="4" w:space="0" w:color="auto"/>
              <w:bottom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Pr="00620829" w:rsidRDefault="009B30E1" w:rsidP="009B30E1">
            <w:pPr>
              <w:pStyle w:val="TableParagraph"/>
              <w:spacing w:before="60" w:after="60"/>
              <w:ind w:right="240"/>
              <w:rPr>
                <w:rFonts w:eastAsia="Times New Roman"/>
              </w:rPr>
            </w:pPr>
            <w:r w:rsidRPr="002E027E">
              <w:t xml:space="preserve">1.2.4 Percentage of local governments supported by UNCDF that </w:t>
            </w:r>
            <w:r w:rsidRPr="002E027E">
              <w:lastRenderedPageBreak/>
              <w:t xml:space="preserve">report maintained or increased capacity on allocation of resources based on </w:t>
            </w:r>
            <w:r w:rsidRPr="00E3731A">
              <w:t xml:space="preserve">Public Expenditure and Financial Accountability </w:t>
            </w:r>
            <w:r>
              <w:t>(</w:t>
            </w:r>
            <w:r w:rsidRPr="002E027E">
              <w:t>PEFA</w:t>
            </w:r>
            <w:r>
              <w:t>)</w:t>
            </w:r>
            <w:r w:rsidRPr="002E027E">
              <w:t xml:space="preserve"> standards</w:t>
            </w:r>
            <w:r>
              <w:rPr>
                <w:rStyle w:val="FootnoteReference"/>
              </w:rPr>
              <w:footnoteReference w:id="6"/>
            </w:r>
          </w:p>
        </w:tc>
        <w:tc>
          <w:tcPr>
            <w:tcW w:w="1619"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lastRenderedPageBreak/>
              <w:t>0%</w:t>
            </w:r>
          </w:p>
        </w:tc>
        <w:tc>
          <w:tcPr>
            <w:tcW w:w="1105"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9B30E1" w:rsidRPr="00620829" w:rsidRDefault="009B30E1" w:rsidP="009B30E1">
            <w:pPr>
              <w:spacing w:after="0" w:line="240" w:lineRule="auto"/>
              <w:jc w:val="right"/>
              <w:rPr>
                <w:rFonts w:eastAsia="Times New Roman"/>
              </w:rPr>
            </w:pPr>
            <w:r>
              <w:rPr>
                <w:rFonts w:eastAsia="Times New Roman"/>
              </w:rPr>
              <w:t>88.7%</w:t>
            </w:r>
          </w:p>
        </w:tc>
        <w:tc>
          <w:tcPr>
            <w:tcW w:w="1781" w:type="dxa"/>
            <w:tcBorders>
              <w:top w:val="nil"/>
              <w:left w:val="nil"/>
              <w:bottom w:val="single" w:sz="4" w:space="0" w:color="auto"/>
              <w:right w:val="single" w:sz="4" w:space="0" w:color="auto"/>
            </w:tcBorders>
            <w:shd w:val="clear" w:color="auto" w:fill="FFFFFF"/>
          </w:tcPr>
          <w:p w:rsidR="009B30E1" w:rsidRDefault="009B30E1" w:rsidP="009B30E1">
            <w:pPr>
              <w:spacing w:after="0" w:line="240" w:lineRule="auto"/>
              <w:jc w:val="right"/>
              <w:rPr>
                <w:rFonts w:eastAsia="Times New Roman"/>
              </w:rPr>
            </w:pPr>
            <w:r>
              <w:rPr>
                <w:rFonts w:eastAsia="Times New Roman"/>
              </w:rPr>
              <w:t>100% of sample</w:t>
            </w:r>
          </w:p>
          <w:p w:rsidR="009B30E1" w:rsidRPr="00620829" w:rsidRDefault="009B30E1" w:rsidP="009B30E1">
            <w:pPr>
              <w:spacing w:after="0" w:line="240" w:lineRule="auto"/>
              <w:jc w:val="right"/>
              <w:rPr>
                <w:rFonts w:eastAsia="Times New Roman"/>
              </w:rPr>
            </w:pPr>
            <w:r>
              <w:rPr>
                <w:rFonts w:eastAsia="Times New Roman"/>
              </w:rPr>
              <w:t>(31% increase/ 69% maintained)</w:t>
            </w:r>
          </w:p>
        </w:tc>
        <w:tc>
          <w:tcPr>
            <w:tcW w:w="1619" w:type="dxa"/>
            <w:tcBorders>
              <w:top w:val="nil"/>
              <w:left w:val="nil"/>
              <w:bottom w:val="single" w:sz="4" w:space="0" w:color="auto"/>
              <w:right w:val="single" w:sz="4" w:space="0" w:color="auto"/>
            </w:tcBorders>
            <w:shd w:val="clear" w:color="auto" w:fill="FFFFFF"/>
          </w:tcPr>
          <w:p w:rsidR="00610C12" w:rsidRPr="00620829" w:rsidRDefault="00610C12" w:rsidP="00666855">
            <w:pPr>
              <w:spacing w:after="0" w:line="240" w:lineRule="auto"/>
              <w:jc w:val="right"/>
              <w:rPr>
                <w:rFonts w:eastAsia="Times New Roman"/>
              </w:rPr>
            </w:pPr>
            <w:r w:rsidRPr="00610C12">
              <w:rPr>
                <w:rFonts w:eastAsia="Times New Roman"/>
              </w:rPr>
              <w:t>100% of sample</w:t>
            </w:r>
          </w:p>
        </w:tc>
        <w:tc>
          <w:tcPr>
            <w:tcW w:w="1846" w:type="dxa"/>
            <w:tcBorders>
              <w:top w:val="nil"/>
              <w:left w:val="nil"/>
              <w:bottom w:val="single" w:sz="4" w:space="0" w:color="auto"/>
              <w:right w:val="single" w:sz="4" w:space="0" w:color="auto"/>
            </w:tcBorders>
            <w:shd w:val="clear" w:color="auto" w:fill="FFFFFF"/>
          </w:tcPr>
          <w:p w:rsidR="009B30E1" w:rsidRPr="00620829" w:rsidRDefault="009B30E1" w:rsidP="009B30E1">
            <w:pPr>
              <w:spacing w:after="0" w:line="240" w:lineRule="auto"/>
              <w:jc w:val="right"/>
              <w:rPr>
                <w:rFonts w:eastAsia="Times New Roman"/>
              </w:rPr>
            </w:pPr>
            <w:r>
              <w:rPr>
                <w:rFonts w:eastAsia="Times New Roman"/>
              </w:rPr>
              <w:t>75% of sample</w:t>
            </w:r>
          </w:p>
        </w:tc>
        <w:tc>
          <w:tcPr>
            <w:tcW w:w="1820" w:type="dxa"/>
            <w:tcBorders>
              <w:top w:val="nil"/>
              <w:left w:val="nil"/>
              <w:bottom w:val="single" w:sz="4" w:space="0" w:color="auto"/>
              <w:right w:val="single" w:sz="4" w:space="0" w:color="auto"/>
            </w:tcBorders>
            <w:shd w:val="clear" w:color="auto" w:fill="E2EFD9"/>
          </w:tcPr>
          <w:p w:rsidR="009B30E1" w:rsidRPr="00620829" w:rsidRDefault="00025888" w:rsidP="009B30E1">
            <w:pPr>
              <w:spacing w:after="0" w:line="240" w:lineRule="auto"/>
              <w:jc w:val="right"/>
              <w:rPr>
                <w:rFonts w:eastAsia="Times New Roman"/>
              </w:rPr>
            </w:pPr>
            <w:r>
              <w:rPr>
                <w:rFonts w:eastAsia="Times New Roman"/>
              </w:rPr>
              <w:t>133%</w:t>
            </w:r>
          </w:p>
        </w:tc>
      </w:tr>
      <w:tr w:rsidR="009B30E1" w:rsidRPr="00620829" w:rsidTr="003B6170">
        <w:trPr>
          <w:trHeight w:val="1637"/>
        </w:trPr>
        <w:tc>
          <w:tcPr>
            <w:tcW w:w="1795" w:type="dxa"/>
            <w:vMerge w:val="restart"/>
            <w:tcBorders>
              <w:top w:val="single" w:sz="4" w:space="0" w:color="auto"/>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ind w:left="271"/>
              <w:rPr>
                <w:rFonts w:eastAsia="Times New Roman"/>
              </w:rPr>
            </w:pPr>
            <w:r w:rsidRPr="00620829">
              <w:rPr>
                <w:rFonts w:eastAsia="Times New Roman"/>
              </w:rPr>
              <w:t xml:space="preserve"> </w:t>
            </w:r>
            <w:r w:rsidRPr="00620829">
              <w:rPr>
                <w:rFonts w:eastAsia="Times New Roman"/>
                <w:u w:val="single"/>
              </w:rPr>
              <w:t>PEFA performance indicator (PI)-8</w:t>
            </w:r>
            <w:r>
              <w:rPr>
                <w:rFonts w:eastAsia="Times New Roman"/>
                <w:u w:val="single"/>
              </w:rPr>
              <w:t>:</w:t>
            </w:r>
            <w:r w:rsidRPr="00620829">
              <w:rPr>
                <w:rFonts w:eastAsia="Times New Roman"/>
              </w:rPr>
              <w:t xml:space="preserve">  Transparency of inter-governmental fiscal relations at the sub-national level</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0%</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88.7%</w:t>
            </w:r>
          </w:p>
        </w:tc>
        <w:tc>
          <w:tcPr>
            <w:tcW w:w="1781" w:type="dxa"/>
            <w:tcBorders>
              <w:top w:val="nil"/>
              <w:left w:val="nil"/>
              <w:bottom w:val="single" w:sz="4" w:space="0" w:color="auto"/>
              <w:right w:val="single" w:sz="4" w:space="0" w:color="auto"/>
            </w:tcBorders>
            <w:shd w:val="clear" w:color="auto" w:fill="FFFFFF"/>
            <w:hideMark/>
          </w:tcPr>
          <w:p w:rsidR="009B30E1" w:rsidRDefault="009B30E1" w:rsidP="009B30E1">
            <w:pPr>
              <w:spacing w:after="0" w:line="240" w:lineRule="auto"/>
              <w:jc w:val="right"/>
              <w:rPr>
                <w:rFonts w:eastAsia="Times New Roman"/>
              </w:rPr>
            </w:pPr>
            <w:r>
              <w:rPr>
                <w:rFonts w:eastAsia="Times New Roman"/>
              </w:rPr>
              <w:t>100% of sample</w:t>
            </w:r>
          </w:p>
          <w:p w:rsidR="009B30E1" w:rsidRPr="00620829" w:rsidRDefault="009B30E1" w:rsidP="009B30E1">
            <w:pPr>
              <w:spacing w:after="0" w:line="240" w:lineRule="auto"/>
              <w:jc w:val="right"/>
              <w:rPr>
                <w:rFonts w:eastAsia="Times New Roman"/>
              </w:rPr>
            </w:pPr>
            <w:r>
              <w:rPr>
                <w:rFonts w:eastAsia="Times New Roman"/>
              </w:rPr>
              <w:t>(31% increase</w:t>
            </w:r>
            <w:r w:rsidR="00866FF9">
              <w:rPr>
                <w:rFonts w:eastAsia="Times New Roman"/>
              </w:rPr>
              <w:t xml:space="preserve">d; </w:t>
            </w:r>
            <w:r>
              <w:rPr>
                <w:rFonts w:eastAsia="Times New Roman"/>
              </w:rPr>
              <w:t>69% maintained)</w:t>
            </w:r>
          </w:p>
        </w:tc>
        <w:tc>
          <w:tcPr>
            <w:tcW w:w="1619" w:type="dxa"/>
            <w:tcBorders>
              <w:top w:val="nil"/>
              <w:left w:val="nil"/>
              <w:bottom w:val="single" w:sz="4" w:space="0" w:color="auto"/>
              <w:right w:val="single" w:sz="4" w:space="0" w:color="auto"/>
            </w:tcBorders>
            <w:shd w:val="clear" w:color="auto" w:fill="FFFFFF"/>
          </w:tcPr>
          <w:p w:rsidR="00866FF9" w:rsidRPr="00866FF9" w:rsidRDefault="00866FF9" w:rsidP="00866FF9">
            <w:pPr>
              <w:spacing w:after="0" w:line="240" w:lineRule="auto"/>
              <w:jc w:val="right"/>
              <w:rPr>
                <w:rFonts w:eastAsia="Times New Roman"/>
              </w:rPr>
            </w:pPr>
            <w:r>
              <w:rPr>
                <w:rFonts w:eastAsia="Times New Roman"/>
              </w:rPr>
              <w:t>100</w:t>
            </w:r>
            <w:r w:rsidRPr="00866FF9">
              <w:rPr>
                <w:rFonts w:eastAsia="Times New Roman"/>
              </w:rPr>
              <w:t>% of sample</w:t>
            </w:r>
          </w:p>
          <w:p w:rsidR="0086493D" w:rsidRPr="00620829" w:rsidRDefault="00866FF9" w:rsidP="00666855">
            <w:pPr>
              <w:spacing w:after="0" w:line="240" w:lineRule="auto"/>
              <w:jc w:val="right"/>
              <w:rPr>
                <w:rFonts w:eastAsia="Times New Roman"/>
              </w:rPr>
            </w:pPr>
            <w:r w:rsidRPr="00666855">
              <w:rPr>
                <w:rFonts w:eastAsia="Times New Roman"/>
              </w:rPr>
              <w:t xml:space="preserve">(33% increased; </w:t>
            </w:r>
            <w:r w:rsidR="0086493D" w:rsidRPr="00866FF9">
              <w:rPr>
                <w:rFonts w:eastAsia="Times New Roman"/>
              </w:rPr>
              <w:t>67% maintain</w:t>
            </w:r>
            <w:r w:rsidRPr="0094013E">
              <w:rPr>
                <w:rFonts w:eastAsia="Times New Roman"/>
              </w:rPr>
              <w:t>e</w:t>
            </w:r>
            <w:r>
              <w:rPr>
                <w:rFonts w:eastAsia="Times New Roman"/>
              </w:rPr>
              <w:t>d)</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75% of sample</w:t>
            </w:r>
          </w:p>
        </w:tc>
        <w:tc>
          <w:tcPr>
            <w:tcW w:w="1820" w:type="dxa"/>
            <w:tcBorders>
              <w:top w:val="nil"/>
              <w:left w:val="nil"/>
              <w:bottom w:val="single" w:sz="4" w:space="0" w:color="auto"/>
              <w:right w:val="single" w:sz="4" w:space="0" w:color="auto"/>
            </w:tcBorders>
            <w:shd w:val="clear" w:color="auto" w:fill="E2EFD9"/>
          </w:tcPr>
          <w:p w:rsidR="009B30E1" w:rsidRPr="00620829" w:rsidRDefault="00D87799" w:rsidP="009B30E1">
            <w:pPr>
              <w:spacing w:after="0" w:line="240" w:lineRule="auto"/>
              <w:jc w:val="right"/>
              <w:rPr>
                <w:rFonts w:eastAsia="Times New Roman"/>
              </w:rPr>
            </w:pPr>
            <w:r>
              <w:rPr>
                <w:rFonts w:eastAsia="Times New Roman"/>
              </w:rPr>
              <w:t>133%</w:t>
            </w:r>
          </w:p>
        </w:tc>
      </w:tr>
      <w:tr w:rsidR="009B30E1" w:rsidRPr="00620829" w:rsidTr="003B6170">
        <w:trPr>
          <w:trHeight w:val="1245"/>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ind w:left="271"/>
              <w:rPr>
                <w:rFonts w:eastAsia="Times New Roman"/>
              </w:rPr>
            </w:pPr>
            <w:r w:rsidRPr="00620829">
              <w:rPr>
                <w:rFonts w:eastAsia="Times New Roman"/>
                <w:u w:val="single"/>
              </w:rPr>
              <w:t>PEFA PI-12</w:t>
            </w:r>
            <w:r>
              <w:rPr>
                <w:rFonts w:eastAsia="Times New Roman"/>
                <w:u w:val="single"/>
              </w:rPr>
              <w:t>:</w:t>
            </w:r>
            <w:r w:rsidRPr="00620829">
              <w:rPr>
                <w:rFonts w:eastAsia="Times New Roman"/>
              </w:rPr>
              <w:t xml:space="preserve"> Multi-year perspective in fiscal planning, expenditure policy and budgeting</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0%</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88.7%</w:t>
            </w:r>
          </w:p>
        </w:tc>
        <w:tc>
          <w:tcPr>
            <w:tcW w:w="1781" w:type="dxa"/>
            <w:tcBorders>
              <w:top w:val="nil"/>
              <w:left w:val="nil"/>
              <w:bottom w:val="single" w:sz="4" w:space="0" w:color="auto"/>
              <w:right w:val="single" w:sz="4" w:space="0" w:color="auto"/>
            </w:tcBorders>
            <w:shd w:val="clear" w:color="auto" w:fill="FFFFFF"/>
            <w:hideMark/>
          </w:tcPr>
          <w:p w:rsidR="009B30E1" w:rsidRDefault="009B30E1" w:rsidP="009B30E1">
            <w:pPr>
              <w:spacing w:after="0" w:line="240" w:lineRule="auto"/>
              <w:jc w:val="right"/>
              <w:rPr>
                <w:rFonts w:eastAsia="Times New Roman"/>
              </w:rPr>
            </w:pPr>
            <w:r>
              <w:rPr>
                <w:rFonts w:eastAsia="Times New Roman"/>
              </w:rPr>
              <w:t>100% of sample</w:t>
            </w:r>
          </w:p>
          <w:p w:rsidR="009B30E1" w:rsidRPr="00620829" w:rsidRDefault="009B30E1" w:rsidP="009B30E1">
            <w:pPr>
              <w:spacing w:after="0" w:line="240" w:lineRule="auto"/>
              <w:jc w:val="right"/>
              <w:rPr>
                <w:rFonts w:eastAsia="Times New Roman"/>
              </w:rPr>
            </w:pPr>
            <w:r>
              <w:rPr>
                <w:rFonts w:eastAsia="Times New Roman"/>
              </w:rPr>
              <w:t>(31% increase</w:t>
            </w:r>
            <w:r w:rsidR="00866FF9">
              <w:rPr>
                <w:rFonts w:eastAsia="Times New Roman"/>
              </w:rPr>
              <w:t xml:space="preserve">d; </w:t>
            </w:r>
            <w:r>
              <w:rPr>
                <w:rFonts w:eastAsia="Times New Roman"/>
              </w:rPr>
              <w:t>69% maintained)</w:t>
            </w:r>
          </w:p>
        </w:tc>
        <w:tc>
          <w:tcPr>
            <w:tcW w:w="1619" w:type="dxa"/>
            <w:tcBorders>
              <w:top w:val="nil"/>
              <w:left w:val="nil"/>
              <w:bottom w:val="single" w:sz="4" w:space="0" w:color="auto"/>
              <w:right w:val="single" w:sz="4" w:space="0" w:color="auto"/>
            </w:tcBorders>
            <w:shd w:val="clear" w:color="auto" w:fill="FFFFFF"/>
          </w:tcPr>
          <w:p w:rsidR="00866FF9" w:rsidRDefault="00866FF9" w:rsidP="00666855">
            <w:pPr>
              <w:spacing w:after="0" w:line="240" w:lineRule="auto"/>
              <w:jc w:val="right"/>
              <w:rPr>
                <w:rFonts w:eastAsia="Times New Roman"/>
              </w:rPr>
            </w:pPr>
            <w:r>
              <w:rPr>
                <w:rFonts w:eastAsia="Times New Roman"/>
              </w:rPr>
              <w:t>100</w:t>
            </w:r>
            <w:r w:rsidRPr="00174E8D">
              <w:rPr>
                <w:rFonts w:eastAsia="Times New Roman"/>
              </w:rPr>
              <w:t>% of sample</w:t>
            </w:r>
          </w:p>
          <w:p w:rsidR="00866FF9" w:rsidRDefault="00866FF9" w:rsidP="00666855">
            <w:pPr>
              <w:spacing w:after="0" w:line="240" w:lineRule="auto"/>
              <w:jc w:val="right"/>
              <w:rPr>
                <w:rFonts w:eastAsia="Times New Roman"/>
              </w:rPr>
            </w:pPr>
            <w:r w:rsidRPr="009B30E1" w:rsidDel="00866FF9">
              <w:rPr>
                <w:rFonts w:eastAsia="Times New Roman"/>
                <w:color w:val="FF0000"/>
              </w:rPr>
              <w:t xml:space="preserve"> </w:t>
            </w:r>
            <w:r>
              <w:rPr>
                <w:rFonts w:eastAsia="Times New Roman"/>
              </w:rPr>
              <w:t xml:space="preserve">(46% increased; </w:t>
            </w:r>
          </w:p>
          <w:p w:rsidR="00D87799" w:rsidRPr="00620829" w:rsidRDefault="00D87799" w:rsidP="00666855">
            <w:pPr>
              <w:spacing w:after="0" w:line="240" w:lineRule="auto"/>
              <w:jc w:val="right"/>
              <w:rPr>
                <w:rFonts w:eastAsia="Times New Roman"/>
              </w:rPr>
            </w:pPr>
            <w:r w:rsidRPr="00D87799">
              <w:rPr>
                <w:rFonts w:eastAsia="Times New Roman"/>
              </w:rPr>
              <w:t>54% maintain</w:t>
            </w:r>
            <w:r w:rsidR="00866FF9">
              <w:rPr>
                <w:rFonts w:eastAsia="Times New Roman"/>
              </w:rPr>
              <w:t>ed)</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75% of sample</w:t>
            </w:r>
          </w:p>
        </w:tc>
        <w:tc>
          <w:tcPr>
            <w:tcW w:w="1820" w:type="dxa"/>
            <w:tcBorders>
              <w:top w:val="nil"/>
              <w:left w:val="nil"/>
              <w:bottom w:val="single" w:sz="4" w:space="0" w:color="auto"/>
              <w:right w:val="single" w:sz="4" w:space="0" w:color="auto"/>
            </w:tcBorders>
            <w:shd w:val="clear" w:color="auto" w:fill="E2EFD9"/>
          </w:tcPr>
          <w:p w:rsidR="009B30E1" w:rsidRPr="00620829" w:rsidRDefault="00D87799" w:rsidP="009B30E1">
            <w:pPr>
              <w:spacing w:after="0" w:line="240" w:lineRule="auto"/>
              <w:jc w:val="right"/>
              <w:rPr>
                <w:rFonts w:eastAsia="Times New Roman"/>
              </w:rPr>
            </w:pPr>
            <w:r>
              <w:rPr>
                <w:rFonts w:eastAsia="Times New Roman"/>
              </w:rPr>
              <w:t>133%</w:t>
            </w:r>
          </w:p>
        </w:tc>
      </w:tr>
      <w:tr w:rsidR="009B30E1" w:rsidRPr="00620829" w:rsidTr="003B6170">
        <w:trPr>
          <w:trHeight w:val="915"/>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ind w:left="271"/>
              <w:rPr>
                <w:rFonts w:eastAsia="Times New Roman"/>
              </w:rPr>
            </w:pPr>
            <w:r w:rsidRPr="00620829">
              <w:rPr>
                <w:rFonts w:eastAsia="Times New Roman"/>
                <w:u w:val="single"/>
              </w:rPr>
              <w:t>PEFA PI-19</w:t>
            </w:r>
            <w:r>
              <w:rPr>
                <w:rFonts w:eastAsia="Times New Roman"/>
                <w:u w:val="single"/>
              </w:rPr>
              <w:t>:</w:t>
            </w:r>
            <w:r w:rsidRPr="00620829">
              <w:rPr>
                <w:rFonts w:eastAsia="Times New Roman"/>
              </w:rPr>
              <w:t xml:space="preserve"> Competition, value for money and controls in public procurement</w:t>
            </w:r>
          </w:p>
        </w:tc>
        <w:tc>
          <w:tcPr>
            <w:tcW w:w="1619"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0%</w:t>
            </w:r>
          </w:p>
        </w:tc>
        <w:tc>
          <w:tcPr>
            <w:tcW w:w="1105"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88.7%</w:t>
            </w:r>
          </w:p>
        </w:tc>
        <w:tc>
          <w:tcPr>
            <w:tcW w:w="1781" w:type="dxa"/>
            <w:tcBorders>
              <w:top w:val="nil"/>
              <w:left w:val="nil"/>
              <w:bottom w:val="single" w:sz="4" w:space="0" w:color="auto"/>
              <w:right w:val="single" w:sz="4" w:space="0" w:color="auto"/>
            </w:tcBorders>
            <w:shd w:val="clear" w:color="auto" w:fill="FFFFFF"/>
            <w:hideMark/>
          </w:tcPr>
          <w:p w:rsidR="009B30E1" w:rsidRDefault="009B30E1" w:rsidP="009B30E1">
            <w:pPr>
              <w:spacing w:after="0" w:line="240" w:lineRule="auto"/>
              <w:jc w:val="right"/>
              <w:rPr>
                <w:rFonts w:eastAsia="Times New Roman"/>
              </w:rPr>
            </w:pPr>
            <w:r>
              <w:rPr>
                <w:rFonts w:eastAsia="Times New Roman"/>
              </w:rPr>
              <w:t>100% of sample</w:t>
            </w:r>
          </w:p>
          <w:p w:rsidR="009B30E1" w:rsidRPr="00620829" w:rsidRDefault="009B30E1" w:rsidP="009B30E1">
            <w:pPr>
              <w:spacing w:after="0" w:line="240" w:lineRule="auto"/>
              <w:jc w:val="right"/>
              <w:rPr>
                <w:rFonts w:eastAsia="Times New Roman"/>
              </w:rPr>
            </w:pPr>
            <w:r>
              <w:rPr>
                <w:rFonts w:eastAsia="Times New Roman"/>
              </w:rPr>
              <w:t>(31% increase</w:t>
            </w:r>
            <w:r w:rsidR="00866FF9">
              <w:rPr>
                <w:rFonts w:eastAsia="Times New Roman"/>
              </w:rPr>
              <w:t>d;</w:t>
            </w:r>
            <w:r>
              <w:rPr>
                <w:rFonts w:eastAsia="Times New Roman"/>
              </w:rPr>
              <w:t xml:space="preserve"> 69% maintained)</w:t>
            </w:r>
          </w:p>
        </w:tc>
        <w:tc>
          <w:tcPr>
            <w:tcW w:w="1619" w:type="dxa"/>
            <w:tcBorders>
              <w:top w:val="nil"/>
              <w:left w:val="nil"/>
              <w:bottom w:val="single" w:sz="4" w:space="0" w:color="auto"/>
              <w:right w:val="single" w:sz="4" w:space="0" w:color="auto"/>
            </w:tcBorders>
            <w:shd w:val="clear" w:color="auto" w:fill="FFFFFF"/>
          </w:tcPr>
          <w:p w:rsidR="00866FF9" w:rsidRDefault="00866FF9" w:rsidP="00866FF9">
            <w:pPr>
              <w:spacing w:after="0" w:line="240" w:lineRule="auto"/>
              <w:jc w:val="right"/>
              <w:rPr>
                <w:rFonts w:eastAsia="Times New Roman"/>
              </w:rPr>
            </w:pPr>
            <w:r>
              <w:rPr>
                <w:rFonts w:eastAsia="Times New Roman"/>
              </w:rPr>
              <w:t>100</w:t>
            </w:r>
            <w:r w:rsidRPr="00174E8D">
              <w:rPr>
                <w:rFonts w:eastAsia="Times New Roman"/>
              </w:rPr>
              <w:t>% of sample</w:t>
            </w:r>
          </w:p>
          <w:p w:rsidR="00D87799" w:rsidRPr="00620829" w:rsidRDefault="00866FF9" w:rsidP="00666855">
            <w:pPr>
              <w:spacing w:after="0" w:line="240" w:lineRule="auto"/>
              <w:jc w:val="right"/>
              <w:rPr>
                <w:rFonts w:eastAsia="Times New Roman"/>
              </w:rPr>
            </w:pPr>
            <w:r>
              <w:rPr>
                <w:rFonts w:eastAsia="Times New Roman"/>
              </w:rPr>
              <w:t xml:space="preserve">(41% increased; </w:t>
            </w:r>
            <w:r w:rsidR="00D87799" w:rsidRPr="00D87799">
              <w:rPr>
                <w:rFonts w:eastAsia="Times New Roman"/>
              </w:rPr>
              <w:t>59% maintain</w:t>
            </w:r>
            <w:r>
              <w:rPr>
                <w:rFonts w:eastAsia="Times New Roman"/>
              </w:rPr>
              <w:t>ed)</w:t>
            </w:r>
          </w:p>
        </w:tc>
        <w:tc>
          <w:tcPr>
            <w:tcW w:w="1846" w:type="dxa"/>
            <w:tcBorders>
              <w:top w:val="nil"/>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75% of sample</w:t>
            </w:r>
          </w:p>
        </w:tc>
        <w:tc>
          <w:tcPr>
            <w:tcW w:w="1820" w:type="dxa"/>
            <w:tcBorders>
              <w:top w:val="nil"/>
              <w:left w:val="nil"/>
              <w:bottom w:val="single" w:sz="4" w:space="0" w:color="auto"/>
              <w:right w:val="single" w:sz="4" w:space="0" w:color="auto"/>
            </w:tcBorders>
            <w:shd w:val="clear" w:color="auto" w:fill="E2EFD9"/>
          </w:tcPr>
          <w:p w:rsidR="009B30E1" w:rsidRPr="00620829" w:rsidRDefault="00D87799" w:rsidP="009B30E1">
            <w:pPr>
              <w:spacing w:after="0" w:line="240" w:lineRule="auto"/>
              <w:jc w:val="right"/>
              <w:rPr>
                <w:rFonts w:eastAsia="Times New Roman"/>
              </w:rPr>
            </w:pPr>
            <w:r>
              <w:rPr>
                <w:rFonts w:eastAsia="Times New Roman"/>
              </w:rPr>
              <w:t>133%</w:t>
            </w:r>
          </w:p>
        </w:tc>
      </w:tr>
      <w:tr w:rsidR="002E72F7" w:rsidRPr="00620829" w:rsidTr="003B6170">
        <w:trPr>
          <w:trHeight w:val="2780"/>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nil"/>
              <w:left w:val="nil"/>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415DC0">
              <w:t>1.2</w:t>
            </w:r>
            <w:r>
              <w:t xml:space="preserve">.5 Number </w:t>
            </w:r>
            <w:r w:rsidRPr="00415DC0">
              <w:t xml:space="preserve">of UNCDF-supported local investments in infrastructure completed, disaggregated by type of infrastructure </w:t>
            </w:r>
          </w:p>
        </w:tc>
        <w:tc>
          <w:tcPr>
            <w:tcW w:w="1619" w:type="dxa"/>
            <w:tcBorders>
              <w:top w:val="nil"/>
              <w:left w:val="nil"/>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1,500</w:t>
            </w:r>
            <w:r w:rsidRPr="00620829">
              <w:rPr>
                <w:rFonts w:eastAsia="Times New Roman"/>
              </w:rPr>
              <w:t xml:space="preserve">   </w:t>
            </w:r>
          </w:p>
        </w:tc>
        <w:tc>
          <w:tcPr>
            <w:tcW w:w="1105" w:type="dxa"/>
            <w:tcBorders>
              <w:top w:val="nil"/>
              <w:left w:val="nil"/>
              <w:right w:val="single" w:sz="4" w:space="0" w:color="auto"/>
            </w:tcBorders>
            <w:shd w:val="clear" w:color="auto" w:fill="auto"/>
            <w:hideMark/>
          </w:tcPr>
          <w:p w:rsidR="009B30E1" w:rsidRPr="00D035F8" w:rsidRDefault="009B30E1" w:rsidP="009B30E1">
            <w:pPr>
              <w:jc w:val="right"/>
            </w:pPr>
            <w:r w:rsidRPr="00D035F8">
              <w:t>1</w:t>
            </w:r>
            <w:r>
              <w:t>,</w:t>
            </w:r>
            <w:r w:rsidRPr="00D035F8">
              <w:t>747</w:t>
            </w:r>
          </w:p>
        </w:tc>
        <w:tc>
          <w:tcPr>
            <w:tcW w:w="1167" w:type="dxa"/>
            <w:tcBorders>
              <w:top w:val="nil"/>
              <w:left w:val="nil"/>
              <w:right w:val="single" w:sz="4" w:space="0" w:color="auto"/>
            </w:tcBorders>
            <w:shd w:val="clear" w:color="auto" w:fill="auto"/>
            <w:hideMark/>
          </w:tcPr>
          <w:p w:rsidR="009B30E1" w:rsidRDefault="009B30E1" w:rsidP="009B30E1">
            <w:pPr>
              <w:jc w:val="right"/>
            </w:pPr>
            <w:r w:rsidRPr="00D035F8">
              <w:t>1</w:t>
            </w:r>
            <w:r>
              <w:t>,</w:t>
            </w:r>
            <w:r w:rsidRPr="00D035F8">
              <w:t>549</w:t>
            </w:r>
          </w:p>
        </w:tc>
        <w:tc>
          <w:tcPr>
            <w:tcW w:w="1781" w:type="dxa"/>
            <w:tcBorders>
              <w:top w:val="nil"/>
              <w:left w:val="nil"/>
              <w:right w:val="single" w:sz="4" w:space="0" w:color="auto"/>
            </w:tcBorders>
            <w:shd w:val="clear" w:color="auto" w:fill="FFFFFF"/>
            <w:hideMark/>
          </w:tcPr>
          <w:p w:rsidR="009B30E1" w:rsidRDefault="009B30E1" w:rsidP="009B30E1">
            <w:pPr>
              <w:spacing w:after="0" w:line="240" w:lineRule="auto"/>
              <w:jc w:val="right"/>
              <w:rPr>
                <w:rFonts w:eastAsia="Times New Roman"/>
              </w:rPr>
            </w:pPr>
            <w:r>
              <w:rPr>
                <w:rFonts w:eastAsia="Times New Roman"/>
              </w:rPr>
              <w:t xml:space="preserve">967 </w:t>
            </w:r>
          </w:p>
          <w:p w:rsidR="009B30E1" w:rsidRPr="00620829" w:rsidRDefault="009B30E1" w:rsidP="009B30E1">
            <w:pPr>
              <w:spacing w:after="0" w:line="240" w:lineRule="auto"/>
              <w:jc w:val="right"/>
              <w:rPr>
                <w:rFonts w:eastAsia="Times New Roman"/>
              </w:rPr>
            </w:pPr>
            <w:r>
              <w:rPr>
                <w:rFonts w:eastAsia="Times New Roman"/>
              </w:rPr>
              <w:t>(Education 193; WASH  183; Health 104; Transport 75; Agriculture 56; Commercial 8; Others 307)</w:t>
            </w:r>
          </w:p>
        </w:tc>
        <w:tc>
          <w:tcPr>
            <w:tcW w:w="1619" w:type="dxa"/>
            <w:tcBorders>
              <w:top w:val="nil"/>
              <w:left w:val="nil"/>
              <w:right w:val="single" w:sz="4" w:space="0" w:color="auto"/>
            </w:tcBorders>
            <w:shd w:val="clear" w:color="auto" w:fill="FFFFFF"/>
            <w:hideMark/>
          </w:tcPr>
          <w:p w:rsidR="00866FF9" w:rsidRPr="00666855" w:rsidRDefault="004B79F1" w:rsidP="00666855">
            <w:pPr>
              <w:spacing w:after="0" w:line="240" w:lineRule="auto"/>
              <w:jc w:val="right"/>
              <w:rPr>
                <w:rFonts w:eastAsia="Times New Roman"/>
              </w:rPr>
            </w:pPr>
            <w:r w:rsidRPr="00666855">
              <w:rPr>
                <w:rFonts w:eastAsia="Times New Roman"/>
              </w:rPr>
              <w:t xml:space="preserve">410 </w:t>
            </w:r>
          </w:p>
          <w:p w:rsidR="004B79F1" w:rsidRPr="00866FF9" w:rsidRDefault="004B79F1" w:rsidP="00666855">
            <w:pPr>
              <w:spacing w:after="0" w:line="240" w:lineRule="auto"/>
              <w:jc w:val="right"/>
              <w:rPr>
                <w:rFonts w:eastAsia="Times New Roman"/>
              </w:rPr>
            </w:pPr>
            <w:r w:rsidRPr="00666855">
              <w:rPr>
                <w:rFonts w:eastAsia="Times New Roman"/>
              </w:rPr>
              <w:t>(</w:t>
            </w:r>
            <w:r w:rsidRPr="00866FF9">
              <w:rPr>
                <w:rFonts w:eastAsia="Times New Roman"/>
              </w:rPr>
              <w:t>Education 70; WASH  74; Health 53; Transport 74; Commercial 4; Others 131</w:t>
            </w:r>
            <w:r w:rsidRPr="00666855">
              <w:rPr>
                <w:rFonts w:eastAsia="Times New Roman"/>
              </w:rPr>
              <w:t>)</w:t>
            </w:r>
          </w:p>
        </w:tc>
        <w:tc>
          <w:tcPr>
            <w:tcW w:w="1846" w:type="dxa"/>
            <w:tcBorders>
              <w:top w:val="nil"/>
              <w:left w:val="nil"/>
              <w:right w:val="single" w:sz="4" w:space="0" w:color="auto"/>
            </w:tcBorders>
            <w:shd w:val="clear" w:color="auto" w:fill="FFFFFF"/>
            <w:hideMark/>
          </w:tcPr>
          <w:p w:rsidR="009B30E1" w:rsidRPr="0094013E" w:rsidRDefault="009B30E1" w:rsidP="009B30E1">
            <w:pPr>
              <w:spacing w:after="0" w:line="240" w:lineRule="auto"/>
              <w:jc w:val="right"/>
              <w:rPr>
                <w:rFonts w:eastAsia="Times New Roman"/>
              </w:rPr>
            </w:pPr>
            <w:r w:rsidRPr="0094013E">
              <w:t>6,350</w:t>
            </w:r>
          </w:p>
        </w:tc>
        <w:tc>
          <w:tcPr>
            <w:tcW w:w="1820" w:type="dxa"/>
            <w:tcBorders>
              <w:top w:val="nil"/>
              <w:left w:val="nil"/>
              <w:right w:val="single" w:sz="4" w:space="0" w:color="auto"/>
            </w:tcBorders>
            <w:shd w:val="clear" w:color="auto" w:fill="FFF2CC"/>
          </w:tcPr>
          <w:p w:rsidR="009B30E1" w:rsidRPr="00620829" w:rsidRDefault="004B79F1" w:rsidP="009B30E1">
            <w:pPr>
              <w:spacing w:after="0" w:line="240" w:lineRule="auto"/>
              <w:jc w:val="right"/>
              <w:rPr>
                <w:rFonts w:eastAsia="Times New Roman"/>
              </w:rPr>
            </w:pPr>
            <w:r>
              <w:rPr>
                <w:rFonts w:eastAsia="Times New Roman"/>
              </w:rPr>
              <w:t>74%</w:t>
            </w:r>
          </w:p>
        </w:tc>
      </w:tr>
      <w:tr w:rsidR="009B30E1" w:rsidRPr="00620829" w:rsidTr="00666855">
        <w:trPr>
          <w:trHeight w:val="710"/>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2564" w:type="dxa"/>
            <w:gridSpan w:val="8"/>
            <w:tcBorders>
              <w:top w:val="single" w:sz="4" w:space="0" w:color="auto"/>
              <w:left w:val="nil"/>
              <w:right w:val="single" w:sz="4" w:space="0" w:color="auto"/>
            </w:tcBorders>
            <w:shd w:val="clear" w:color="auto" w:fill="FFFFFF"/>
          </w:tcPr>
          <w:p w:rsidR="009B30E1" w:rsidRPr="00620829" w:rsidRDefault="009B30E1" w:rsidP="009B30E1">
            <w:pPr>
              <w:spacing w:after="0" w:line="240" w:lineRule="auto"/>
              <w:rPr>
                <w:rFonts w:eastAsia="Times New Roman"/>
                <w:b/>
                <w:bCs/>
              </w:rPr>
            </w:pPr>
            <w:r w:rsidRPr="00620829">
              <w:rPr>
                <w:rFonts w:eastAsia="Times New Roman"/>
                <w:b/>
                <w:bCs/>
              </w:rPr>
              <w:t xml:space="preserve">Improved performance of sustainable, accountable local governments, and improved performance of revenue generating projects. Measured in terms of how UNCDF supports capacity to make </w:t>
            </w:r>
            <w:r w:rsidRPr="00160BB7">
              <w:rPr>
                <w:rFonts w:eastAsia="Times New Roman"/>
                <w:b/>
                <w:bCs/>
                <w:u w:val="single"/>
              </w:rPr>
              <w:t>accountable</w:t>
            </w:r>
            <w:r w:rsidRPr="00620829">
              <w:rPr>
                <w:rFonts w:eastAsia="Times New Roman"/>
                <w:b/>
                <w:bCs/>
              </w:rPr>
              <w:t xml:space="preserve"> the resources that are invested in local development. </w:t>
            </w:r>
          </w:p>
        </w:tc>
      </w:tr>
      <w:tr w:rsidR="009B30E1" w:rsidRPr="00620829" w:rsidTr="003B6170">
        <w:trPr>
          <w:trHeight w:val="710"/>
        </w:trPr>
        <w:tc>
          <w:tcPr>
            <w:tcW w:w="1795" w:type="dxa"/>
            <w:vMerge/>
            <w:tcBorders>
              <w:left w:val="single" w:sz="4" w:space="0" w:color="auto"/>
              <w:right w:val="single" w:sz="4" w:space="0" w:color="auto"/>
            </w:tcBorders>
            <w:vAlign w:val="center"/>
            <w:hideMark/>
          </w:tcPr>
          <w:p w:rsidR="009B30E1" w:rsidRPr="00620829" w:rsidRDefault="009B30E1" w:rsidP="009B30E1">
            <w:pPr>
              <w:spacing w:after="0" w:line="240" w:lineRule="auto"/>
              <w:rPr>
                <w:rFonts w:eastAsia="Times New Roman"/>
                <w:b/>
                <w:bCs/>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rPr>
                <w:rFonts w:eastAsia="Times New Roman"/>
              </w:rPr>
            </w:pPr>
            <w:r w:rsidRPr="00B322EF">
              <w:rPr>
                <w:rFonts w:eastAsia="Times New Roman"/>
              </w:rPr>
              <w:t xml:space="preserve">1.2.6 Percentage of local governments supported by UNCDF that report maintained or increased capacity on accountability practices based </w:t>
            </w:r>
            <w:r w:rsidRPr="00B322EF">
              <w:rPr>
                <w:rFonts w:eastAsia="Times New Roman"/>
              </w:rPr>
              <w:lastRenderedPageBreak/>
              <w:t>on PEFA standards</w:t>
            </w:r>
            <w:r>
              <w:rPr>
                <w:rStyle w:val="FootnoteReference"/>
                <w:rFonts w:eastAsia="Times New Roman"/>
              </w:rPr>
              <w:footnoteReference w:id="7"/>
            </w:r>
          </w:p>
        </w:tc>
        <w:tc>
          <w:tcPr>
            <w:tcW w:w="1619"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lastRenderedPageBreak/>
              <w:t>0</w:t>
            </w:r>
          </w:p>
        </w:tc>
        <w:tc>
          <w:tcPr>
            <w:tcW w:w="1105"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NA</w:t>
            </w:r>
          </w:p>
        </w:tc>
        <w:tc>
          <w:tcPr>
            <w:tcW w:w="1167" w:type="dxa"/>
            <w:tcBorders>
              <w:top w:val="single" w:sz="4" w:space="0" w:color="auto"/>
              <w:left w:val="nil"/>
              <w:bottom w:val="single" w:sz="4" w:space="0" w:color="auto"/>
              <w:right w:val="single" w:sz="4" w:space="0" w:color="auto"/>
            </w:tcBorders>
            <w:shd w:val="clear" w:color="auto" w:fill="auto"/>
            <w:hideMark/>
          </w:tcPr>
          <w:p w:rsidR="009B30E1" w:rsidRPr="00620829" w:rsidRDefault="009B30E1" w:rsidP="009B30E1">
            <w:pPr>
              <w:spacing w:after="0" w:line="240" w:lineRule="auto"/>
              <w:jc w:val="right"/>
              <w:rPr>
                <w:rFonts w:eastAsia="Times New Roman"/>
              </w:rPr>
            </w:pPr>
            <w:r>
              <w:rPr>
                <w:rFonts w:eastAsia="Times New Roman"/>
              </w:rPr>
              <w:t>83.5%</w:t>
            </w:r>
          </w:p>
        </w:tc>
        <w:tc>
          <w:tcPr>
            <w:tcW w:w="1781" w:type="dxa"/>
            <w:tcBorders>
              <w:top w:val="single" w:sz="4" w:space="0" w:color="auto"/>
              <w:left w:val="nil"/>
              <w:bottom w:val="single" w:sz="4" w:space="0" w:color="auto"/>
              <w:right w:val="single" w:sz="4" w:space="0" w:color="auto"/>
            </w:tcBorders>
            <w:shd w:val="clear" w:color="auto" w:fill="FFFFFF"/>
          </w:tcPr>
          <w:p w:rsidR="009B30E1" w:rsidRDefault="009B30E1" w:rsidP="009B30E1">
            <w:pPr>
              <w:spacing w:after="0" w:line="240" w:lineRule="auto"/>
              <w:jc w:val="right"/>
              <w:rPr>
                <w:rFonts w:eastAsia="Times New Roman"/>
              </w:rPr>
            </w:pPr>
            <w:r>
              <w:rPr>
                <w:rFonts w:eastAsia="Times New Roman"/>
              </w:rPr>
              <w:t>100% of sample</w:t>
            </w:r>
          </w:p>
          <w:p w:rsidR="009B30E1" w:rsidRPr="00620829" w:rsidRDefault="009B30E1" w:rsidP="009B30E1">
            <w:pPr>
              <w:spacing w:after="0" w:line="240" w:lineRule="auto"/>
              <w:jc w:val="right"/>
              <w:rPr>
                <w:rFonts w:eastAsia="Times New Roman"/>
              </w:rPr>
            </w:pPr>
            <w:r>
              <w:rPr>
                <w:rFonts w:eastAsia="Times New Roman"/>
              </w:rPr>
              <w:t>(31% increase/ 69% maintained)</w:t>
            </w:r>
          </w:p>
        </w:tc>
        <w:tc>
          <w:tcPr>
            <w:tcW w:w="1619" w:type="dxa"/>
            <w:tcBorders>
              <w:top w:val="single" w:sz="4" w:space="0" w:color="auto"/>
              <w:left w:val="nil"/>
              <w:bottom w:val="single" w:sz="4" w:space="0" w:color="auto"/>
              <w:right w:val="single" w:sz="4" w:space="0" w:color="auto"/>
            </w:tcBorders>
            <w:shd w:val="clear" w:color="auto" w:fill="FFFFFF"/>
          </w:tcPr>
          <w:p w:rsidR="00DF5067" w:rsidRPr="00866FF9" w:rsidRDefault="00DF5067" w:rsidP="00DF5067">
            <w:pPr>
              <w:spacing w:after="0" w:line="240" w:lineRule="auto"/>
              <w:jc w:val="right"/>
              <w:rPr>
                <w:rFonts w:eastAsia="Times New Roman"/>
              </w:rPr>
            </w:pPr>
            <w:r w:rsidRPr="00866FF9">
              <w:rPr>
                <w:rFonts w:eastAsia="Times New Roman"/>
              </w:rPr>
              <w:t>100% of sample</w:t>
            </w:r>
          </w:p>
          <w:p w:rsidR="00DF5067" w:rsidRPr="0094013E" w:rsidRDefault="00DF5067" w:rsidP="009B30E1">
            <w:pPr>
              <w:spacing w:after="0" w:line="240" w:lineRule="auto"/>
              <w:jc w:val="center"/>
              <w:rPr>
                <w:rFonts w:eastAsia="Times New Roman"/>
              </w:rPr>
            </w:pPr>
          </w:p>
        </w:tc>
        <w:tc>
          <w:tcPr>
            <w:tcW w:w="1846" w:type="dxa"/>
            <w:tcBorders>
              <w:top w:val="single" w:sz="4" w:space="0" w:color="auto"/>
              <w:left w:val="nil"/>
              <w:bottom w:val="single" w:sz="4" w:space="0" w:color="auto"/>
              <w:right w:val="single" w:sz="4" w:space="0" w:color="auto"/>
            </w:tcBorders>
            <w:shd w:val="clear" w:color="auto" w:fill="FFFFFF"/>
            <w:hideMark/>
          </w:tcPr>
          <w:p w:rsidR="009B30E1" w:rsidRPr="00620829" w:rsidRDefault="009B30E1" w:rsidP="009B30E1">
            <w:pPr>
              <w:spacing w:after="0" w:line="240" w:lineRule="auto"/>
              <w:jc w:val="right"/>
              <w:rPr>
                <w:rFonts w:eastAsia="Times New Roman"/>
              </w:rPr>
            </w:pPr>
            <w:r>
              <w:rPr>
                <w:rFonts w:eastAsia="Times New Roman"/>
              </w:rPr>
              <w:t>75% of sample</w:t>
            </w:r>
          </w:p>
        </w:tc>
        <w:tc>
          <w:tcPr>
            <w:tcW w:w="1820" w:type="dxa"/>
            <w:tcBorders>
              <w:top w:val="single" w:sz="4" w:space="0" w:color="auto"/>
              <w:left w:val="nil"/>
              <w:bottom w:val="single" w:sz="4" w:space="0" w:color="auto"/>
              <w:right w:val="single" w:sz="4" w:space="0" w:color="auto"/>
            </w:tcBorders>
            <w:shd w:val="clear" w:color="auto" w:fill="E2EFD9"/>
          </w:tcPr>
          <w:p w:rsidR="009B30E1" w:rsidRPr="00620829" w:rsidRDefault="00DF5067" w:rsidP="009B30E1">
            <w:pPr>
              <w:spacing w:after="0" w:line="240" w:lineRule="auto"/>
              <w:jc w:val="right"/>
              <w:rPr>
                <w:rFonts w:eastAsia="Times New Roman"/>
              </w:rPr>
            </w:pPr>
            <w:r>
              <w:rPr>
                <w:rFonts w:eastAsia="Times New Roman"/>
              </w:rPr>
              <w:t>133%</w:t>
            </w:r>
          </w:p>
        </w:tc>
      </w:tr>
      <w:tr w:rsidR="0032346F" w:rsidRPr="00620829" w:rsidTr="003B6170">
        <w:trPr>
          <w:trHeight w:val="1890"/>
        </w:trPr>
        <w:tc>
          <w:tcPr>
            <w:tcW w:w="1795" w:type="dxa"/>
            <w:vMerge/>
            <w:tcBorders>
              <w:left w:val="single" w:sz="4" w:space="0" w:color="auto"/>
              <w:right w:val="single" w:sz="4" w:space="0" w:color="auto"/>
            </w:tcBorders>
            <w:vAlign w:val="center"/>
            <w:hideMark/>
          </w:tcPr>
          <w:p w:rsidR="0032346F" w:rsidRPr="00620829" w:rsidRDefault="0032346F" w:rsidP="0032346F">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ind w:left="286"/>
              <w:rPr>
                <w:rFonts w:eastAsia="Times New Roman"/>
              </w:rPr>
            </w:pPr>
            <w:r w:rsidRPr="00601C46">
              <w:rPr>
                <w:rFonts w:eastAsia="Times New Roman"/>
                <w:u w:val="single"/>
              </w:rPr>
              <w:t>PEFA PI-10</w:t>
            </w:r>
            <w:r>
              <w:rPr>
                <w:rFonts w:eastAsia="Times New Roman"/>
                <w:u w:val="single"/>
              </w:rPr>
              <w:t>:</w:t>
            </w:r>
            <w:r w:rsidRPr="00620829">
              <w:rPr>
                <w:rFonts w:eastAsia="Times New Roman"/>
              </w:rPr>
              <w:t xml:space="preserve"> Access to key fiscal information at the sub national level </w:t>
            </w:r>
            <w:r>
              <w:rPr>
                <w:rFonts w:eastAsia="Times New Roman"/>
              </w:rPr>
              <w:t xml:space="preserve">- </w:t>
            </w:r>
            <w:r w:rsidRPr="00620829">
              <w:rPr>
                <w:rFonts w:eastAsia="Times New Roman"/>
              </w:rPr>
              <w:t xml:space="preserve">refers to access of the </w:t>
            </w:r>
            <w:proofErr w:type="gramStart"/>
            <w:r w:rsidRPr="00620829">
              <w:rPr>
                <w:rFonts w:eastAsia="Times New Roman"/>
              </w:rPr>
              <w:t>general public</w:t>
            </w:r>
            <w:proofErr w:type="gramEnd"/>
            <w:r w:rsidRPr="00620829">
              <w:rPr>
                <w:rFonts w:eastAsia="Times New Roman"/>
              </w:rPr>
              <w:t xml:space="preserve"> at the location (‘local’ pub</w:t>
            </w:r>
            <w:r>
              <w:rPr>
                <w:rFonts w:eastAsia="Times New Roman"/>
              </w:rPr>
              <w:t>lic access) or at least the relev</w:t>
            </w:r>
            <w:r w:rsidRPr="00620829">
              <w:rPr>
                <w:rFonts w:eastAsia="Times New Roman"/>
              </w:rPr>
              <w:t>ant interest group</w:t>
            </w: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0</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83.5%</w:t>
            </w:r>
          </w:p>
        </w:tc>
        <w:tc>
          <w:tcPr>
            <w:tcW w:w="1781" w:type="dxa"/>
            <w:tcBorders>
              <w:top w:val="nil"/>
              <w:left w:val="nil"/>
              <w:bottom w:val="single" w:sz="4" w:space="0" w:color="auto"/>
              <w:right w:val="single" w:sz="4" w:space="0" w:color="auto"/>
            </w:tcBorders>
            <w:shd w:val="clear" w:color="auto" w:fill="FFFFFF"/>
            <w:hideMark/>
          </w:tcPr>
          <w:p w:rsidR="0032346F" w:rsidRDefault="0032346F" w:rsidP="0032346F">
            <w:pPr>
              <w:spacing w:after="0" w:line="240" w:lineRule="auto"/>
              <w:jc w:val="right"/>
              <w:rPr>
                <w:rFonts w:eastAsia="Times New Roman"/>
              </w:rPr>
            </w:pPr>
            <w:r>
              <w:rPr>
                <w:rFonts w:eastAsia="Times New Roman"/>
              </w:rPr>
              <w:t>100% of sample</w:t>
            </w:r>
          </w:p>
          <w:p w:rsidR="0032346F" w:rsidRPr="00620829" w:rsidRDefault="0032346F" w:rsidP="0032346F">
            <w:pPr>
              <w:spacing w:after="0" w:line="240" w:lineRule="auto"/>
              <w:jc w:val="right"/>
              <w:rPr>
                <w:rFonts w:eastAsia="Times New Roman"/>
              </w:rPr>
            </w:pPr>
            <w:r>
              <w:rPr>
                <w:rFonts w:eastAsia="Times New Roman"/>
              </w:rPr>
              <w:t>(31% increase</w:t>
            </w:r>
            <w:r w:rsidR="00866FF9">
              <w:rPr>
                <w:rFonts w:eastAsia="Times New Roman"/>
              </w:rPr>
              <w:t xml:space="preserve">d; </w:t>
            </w:r>
            <w:r>
              <w:rPr>
                <w:rFonts w:eastAsia="Times New Roman"/>
              </w:rPr>
              <w:t>69% maintained)</w:t>
            </w:r>
          </w:p>
        </w:tc>
        <w:tc>
          <w:tcPr>
            <w:tcW w:w="1619" w:type="dxa"/>
            <w:tcBorders>
              <w:top w:val="nil"/>
              <w:left w:val="nil"/>
              <w:bottom w:val="single" w:sz="4" w:space="0" w:color="auto"/>
              <w:right w:val="single" w:sz="4" w:space="0" w:color="auto"/>
            </w:tcBorders>
            <w:shd w:val="clear" w:color="auto" w:fill="FFFFFF"/>
          </w:tcPr>
          <w:p w:rsidR="00866FF9" w:rsidRPr="00866FF9" w:rsidRDefault="00866FF9" w:rsidP="00866FF9">
            <w:pPr>
              <w:spacing w:after="0" w:line="240" w:lineRule="auto"/>
              <w:jc w:val="right"/>
              <w:rPr>
                <w:rFonts w:eastAsia="Times New Roman"/>
              </w:rPr>
            </w:pPr>
            <w:r w:rsidRPr="00866FF9">
              <w:rPr>
                <w:rFonts w:eastAsia="Times New Roman"/>
              </w:rPr>
              <w:t>100% of sample</w:t>
            </w:r>
          </w:p>
          <w:p w:rsidR="0032346F" w:rsidRPr="00666855" w:rsidRDefault="00866FF9" w:rsidP="00666855">
            <w:pPr>
              <w:spacing w:after="0" w:line="240" w:lineRule="auto"/>
              <w:jc w:val="right"/>
              <w:rPr>
                <w:rFonts w:eastAsia="Times New Roman"/>
              </w:rPr>
            </w:pPr>
            <w:r w:rsidRPr="00666855">
              <w:rPr>
                <w:rFonts w:eastAsia="Times New Roman"/>
              </w:rPr>
              <w:t xml:space="preserve">(39% increased; </w:t>
            </w:r>
            <w:r w:rsidR="0032346F" w:rsidRPr="00866FF9">
              <w:rPr>
                <w:rFonts w:eastAsia="Times New Roman"/>
              </w:rPr>
              <w:t>61% maintain</w:t>
            </w:r>
            <w:r w:rsidRPr="0094013E">
              <w:rPr>
                <w:rFonts w:eastAsia="Times New Roman"/>
              </w:rPr>
              <w:t>ed)</w:t>
            </w:r>
          </w:p>
        </w:tc>
        <w:tc>
          <w:tcPr>
            <w:tcW w:w="1846"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rPr>
            </w:pPr>
            <w:r>
              <w:rPr>
                <w:rFonts w:eastAsia="Times New Roman"/>
              </w:rPr>
              <w:t>75% of sample</w:t>
            </w:r>
          </w:p>
        </w:tc>
        <w:tc>
          <w:tcPr>
            <w:tcW w:w="1820" w:type="dxa"/>
            <w:tcBorders>
              <w:top w:val="nil"/>
              <w:left w:val="nil"/>
              <w:bottom w:val="single" w:sz="4" w:space="0" w:color="auto"/>
              <w:right w:val="single" w:sz="4" w:space="0" w:color="auto"/>
            </w:tcBorders>
            <w:shd w:val="clear" w:color="auto" w:fill="E2EFD9"/>
          </w:tcPr>
          <w:p w:rsidR="0032346F" w:rsidRPr="00620829" w:rsidRDefault="0032346F" w:rsidP="0032346F">
            <w:pPr>
              <w:spacing w:after="0" w:line="240" w:lineRule="auto"/>
              <w:jc w:val="right"/>
              <w:rPr>
                <w:rFonts w:eastAsia="Times New Roman"/>
              </w:rPr>
            </w:pPr>
            <w:r>
              <w:rPr>
                <w:rFonts w:eastAsia="Times New Roman"/>
              </w:rPr>
              <w:t>133%</w:t>
            </w:r>
          </w:p>
        </w:tc>
      </w:tr>
      <w:tr w:rsidR="0032346F" w:rsidRPr="00620829" w:rsidTr="003B6170">
        <w:trPr>
          <w:trHeight w:val="1520"/>
        </w:trPr>
        <w:tc>
          <w:tcPr>
            <w:tcW w:w="1795" w:type="dxa"/>
            <w:vMerge/>
            <w:tcBorders>
              <w:left w:val="single" w:sz="4" w:space="0" w:color="auto"/>
              <w:right w:val="single" w:sz="4" w:space="0" w:color="auto"/>
            </w:tcBorders>
            <w:vAlign w:val="center"/>
            <w:hideMark/>
          </w:tcPr>
          <w:p w:rsidR="0032346F" w:rsidRPr="00620829" w:rsidRDefault="0032346F" w:rsidP="0032346F">
            <w:pPr>
              <w:spacing w:after="0" w:line="240" w:lineRule="auto"/>
              <w:rPr>
                <w:rFonts w:eastAsia="Times New Roman"/>
                <w:b/>
                <w:bCs/>
                <w:color w:val="000000"/>
              </w:rPr>
            </w:pPr>
          </w:p>
        </w:tc>
        <w:tc>
          <w:tcPr>
            <w:tcW w:w="1607" w:type="dxa"/>
            <w:tcBorders>
              <w:top w:val="nil"/>
              <w:left w:val="nil"/>
              <w:right w:val="single" w:sz="4" w:space="0" w:color="auto"/>
            </w:tcBorders>
            <w:shd w:val="clear" w:color="auto" w:fill="auto"/>
            <w:hideMark/>
          </w:tcPr>
          <w:p w:rsidR="0032346F" w:rsidRPr="00620829" w:rsidRDefault="0032346F" w:rsidP="0032346F">
            <w:pPr>
              <w:spacing w:after="0" w:line="240" w:lineRule="auto"/>
              <w:ind w:left="286"/>
              <w:rPr>
                <w:rFonts w:eastAsia="Times New Roman"/>
              </w:rPr>
            </w:pPr>
            <w:r w:rsidRPr="00601C46">
              <w:rPr>
                <w:rFonts w:eastAsia="Times New Roman"/>
                <w:u w:val="single"/>
              </w:rPr>
              <w:t>PEFA PI-11</w:t>
            </w:r>
            <w:r>
              <w:rPr>
                <w:rFonts w:eastAsia="Times New Roman"/>
                <w:u w:val="single"/>
              </w:rPr>
              <w:t>:</w:t>
            </w:r>
            <w:r w:rsidRPr="00620829">
              <w:rPr>
                <w:rFonts w:eastAsia="Times New Roman"/>
              </w:rPr>
              <w:t xml:space="preserve"> Orderliness and participation in the annual budget process</w:t>
            </w:r>
          </w:p>
        </w:tc>
        <w:tc>
          <w:tcPr>
            <w:tcW w:w="1619" w:type="dxa"/>
            <w:tcBorders>
              <w:top w:val="nil"/>
              <w:left w:val="nil"/>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0</w:t>
            </w:r>
          </w:p>
        </w:tc>
        <w:tc>
          <w:tcPr>
            <w:tcW w:w="1105" w:type="dxa"/>
            <w:tcBorders>
              <w:top w:val="nil"/>
              <w:left w:val="nil"/>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NA</w:t>
            </w:r>
          </w:p>
        </w:tc>
        <w:tc>
          <w:tcPr>
            <w:tcW w:w="1167" w:type="dxa"/>
            <w:tcBorders>
              <w:top w:val="nil"/>
              <w:left w:val="nil"/>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83.5%</w:t>
            </w:r>
          </w:p>
        </w:tc>
        <w:tc>
          <w:tcPr>
            <w:tcW w:w="1781" w:type="dxa"/>
            <w:tcBorders>
              <w:top w:val="nil"/>
              <w:left w:val="nil"/>
              <w:right w:val="single" w:sz="4" w:space="0" w:color="auto"/>
            </w:tcBorders>
            <w:shd w:val="clear" w:color="auto" w:fill="FFFFFF"/>
            <w:hideMark/>
          </w:tcPr>
          <w:p w:rsidR="0032346F" w:rsidRDefault="0032346F" w:rsidP="0032346F">
            <w:pPr>
              <w:spacing w:after="0" w:line="240" w:lineRule="auto"/>
              <w:jc w:val="right"/>
              <w:rPr>
                <w:rFonts w:eastAsia="Times New Roman"/>
              </w:rPr>
            </w:pPr>
            <w:r>
              <w:rPr>
                <w:rFonts w:eastAsia="Times New Roman"/>
              </w:rPr>
              <w:t>100% of sample</w:t>
            </w:r>
          </w:p>
          <w:p w:rsidR="0032346F" w:rsidRPr="00620829" w:rsidRDefault="0032346F" w:rsidP="0032346F">
            <w:pPr>
              <w:spacing w:after="0" w:line="240" w:lineRule="auto"/>
              <w:jc w:val="right"/>
              <w:rPr>
                <w:rFonts w:eastAsia="Times New Roman"/>
              </w:rPr>
            </w:pPr>
            <w:r>
              <w:rPr>
                <w:rFonts w:eastAsia="Times New Roman"/>
              </w:rPr>
              <w:t>(31% increase</w:t>
            </w:r>
            <w:r w:rsidR="00866FF9">
              <w:rPr>
                <w:rFonts w:eastAsia="Times New Roman"/>
              </w:rPr>
              <w:t>d;</w:t>
            </w:r>
            <w:r>
              <w:rPr>
                <w:rFonts w:eastAsia="Times New Roman"/>
              </w:rPr>
              <w:t xml:space="preserve"> 69% maintained)</w:t>
            </w:r>
          </w:p>
        </w:tc>
        <w:tc>
          <w:tcPr>
            <w:tcW w:w="1619" w:type="dxa"/>
            <w:tcBorders>
              <w:top w:val="nil"/>
              <w:left w:val="nil"/>
              <w:right w:val="single" w:sz="4" w:space="0" w:color="auto"/>
            </w:tcBorders>
            <w:shd w:val="clear" w:color="auto" w:fill="FFFFFF"/>
          </w:tcPr>
          <w:p w:rsidR="00866FF9" w:rsidRPr="00866FF9" w:rsidRDefault="00866FF9" w:rsidP="00866FF9">
            <w:pPr>
              <w:spacing w:after="0" w:line="240" w:lineRule="auto"/>
              <w:jc w:val="right"/>
              <w:rPr>
                <w:rFonts w:eastAsia="Times New Roman"/>
              </w:rPr>
            </w:pPr>
            <w:r w:rsidRPr="00866FF9">
              <w:rPr>
                <w:rFonts w:eastAsia="Times New Roman"/>
              </w:rPr>
              <w:t>100% of sample</w:t>
            </w:r>
          </w:p>
          <w:p w:rsidR="00115908" w:rsidRPr="00666855" w:rsidRDefault="00866FF9" w:rsidP="00666855">
            <w:pPr>
              <w:spacing w:after="0" w:line="240" w:lineRule="auto"/>
              <w:jc w:val="right"/>
              <w:rPr>
                <w:rFonts w:eastAsia="Times New Roman"/>
              </w:rPr>
            </w:pPr>
            <w:r w:rsidRPr="00866FF9">
              <w:rPr>
                <w:rFonts w:eastAsia="Times New Roman"/>
              </w:rPr>
              <w:t xml:space="preserve">(38% increased; </w:t>
            </w:r>
            <w:r w:rsidR="00115908" w:rsidRPr="0094013E">
              <w:rPr>
                <w:rFonts w:eastAsia="Times New Roman"/>
              </w:rPr>
              <w:t>62% maintain</w:t>
            </w:r>
            <w:r w:rsidRPr="00666855">
              <w:rPr>
                <w:rFonts w:eastAsia="Times New Roman"/>
              </w:rPr>
              <w:t>ed)</w:t>
            </w:r>
          </w:p>
        </w:tc>
        <w:tc>
          <w:tcPr>
            <w:tcW w:w="1846" w:type="dxa"/>
            <w:tcBorders>
              <w:top w:val="nil"/>
              <w:left w:val="nil"/>
              <w:right w:val="single" w:sz="4" w:space="0" w:color="auto"/>
            </w:tcBorders>
            <w:shd w:val="clear" w:color="auto" w:fill="FFFFFF"/>
            <w:hideMark/>
          </w:tcPr>
          <w:p w:rsidR="0032346F" w:rsidRPr="00620829" w:rsidRDefault="0032346F" w:rsidP="0032346F">
            <w:pPr>
              <w:spacing w:after="0" w:line="240" w:lineRule="auto"/>
              <w:jc w:val="right"/>
              <w:rPr>
                <w:rFonts w:eastAsia="Times New Roman"/>
              </w:rPr>
            </w:pPr>
            <w:r>
              <w:rPr>
                <w:rFonts w:eastAsia="Times New Roman"/>
              </w:rPr>
              <w:t>75% of sample</w:t>
            </w:r>
          </w:p>
        </w:tc>
        <w:tc>
          <w:tcPr>
            <w:tcW w:w="1820" w:type="dxa"/>
            <w:tcBorders>
              <w:top w:val="nil"/>
              <w:left w:val="nil"/>
              <w:right w:val="single" w:sz="4" w:space="0" w:color="auto"/>
            </w:tcBorders>
            <w:shd w:val="clear" w:color="auto" w:fill="E2EFD9"/>
          </w:tcPr>
          <w:p w:rsidR="0032346F" w:rsidRPr="00620829" w:rsidRDefault="00115908" w:rsidP="0032346F">
            <w:pPr>
              <w:spacing w:after="0" w:line="240" w:lineRule="auto"/>
              <w:jc w:val="right"/>
              <w:rPr>
                <w:rFonts w:eastAsia="Times New Roman"/>
              </w:rPr>
            </w:pPr>
            <w:r>
              <w:rPr>
                <w:rFonts w:eastAsia="Times New Roman"/>
              </w:rPr>
              <w:t>133%</w:t>
            </w:r>
          </w:p>
        </w:tc>
      </w:tr>
      <w:tr w:rsidR="0032346F" w:rsidRPr="00620829" w:rsidTr="00666855">
        <w:trPr>
          <w:trHeight w:val="480"/>
        </w:trPr>
        <w:tc>
          <w:tcPr>
            <w:tcW w:w="14359" w:type="dxa"/>
            <w:gridSpan w:val="9"/>
            <w:tcBorders>
              <w:top w:val="single" w:sz="4" w:space="0" w:color="auto"/>
              <w:left w:val="single" w:sz="4" w:space="0" w:color="auto"/>
              <w:bottom w:val="single" w:sz="4" w:space="0" w:color="auto"/>
              <w:right w:val="single" w:sz="4" w:space="0" w:color="auto"/>
            </w:tcBorders>
            <w:shd w:val="clear" w:color="000000" w:fill="8EA9DB"/>
            <w:hideMark/>
          </w:tcPr>
          <w:p w:rsidR="0032346F" w:rsidRPr="0093461C" w:rsidRDefault="0032346F" w:rsidP="0032346F">
            <w:pPr>
              <w:spacing w:after="0" w:line="240" w:lineRule="auto"/>
              <w:rPr>
                <w:rFonts w:eastAsia="Times New Roman"/>
                <w:b/>
                <w:bCs/>
              </w:rPr>
            </w:pPr>
            <w:r w:rsidRPr="0093461C">
              <w:rPr>
                <w:rFonts w:eastAsia="Times New Roman"/>
                <w:b/>
                <w:bCs/>
              </w:rPr>
              <w:t>Outcome 2:  Effective financing mechanisms established to increase resilience to economic and environmental shocks</w:t>
            </w:r>
          </w:p>
          <w:p w:rsidR="0032346F" w:rsidRPr="0093461C" w:rsidRDefault="0032346F" w:rsidP="0032346F">
            <w:pPr>
              <w:spacing w:after="0" w:line="240" w:lineRule="auto"/>
              <w:ind w:left="511"/>
              <w:rPr>
                <w:rFonts w:eastAsia="Times New Roman"/>
                <w:bCs/>
              </w:rPr>
            </w:pPr>
          </w:p>
          <w:p w:rsidR="0032346F" w:rsidRPr="0093461C" w:rsidRDefault="0032346F" w:rsidP="0032346F">
            <w:pPr>
              <w:spacing w:after="0" w:line="240" w:lineRule="auto"/>
              <w:ind w:left="511"/>
              <w:rPr>
                <w:rFonts w:eastAsia="Times New Roman"/>
                <w:b/>
                <w:bCs/>
              </w:rPr>
            </w:pPr>
          </w:p>
        </w:tc>
      </w:tr>
      <w:tr w:rsidR="0032346F" w:rsidRPr="00620829" w:rsidTr="00666855">
        <w:trPr>
          <w:trHeight w:val="1245"/>
        </w:trPr>
        <w:tc>
          <w:tcPr>
            <w:tcW w:w="3402"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Outcome Indicators</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 xml:space="preserve">Baseline </w:t>
            </w:r>
          </w:p>
          <w:p w:rsidR="0032346F" w:rsidRPr="00620829" w:rsidRDefault="0032346F" w:rsidP="0032346F">
            <w:pPr>
              <w:spacing w:after="0" w:line="240" w:lineRule="auto"/>
              <w:jc w:val="center"/>
              <w:rPr>
                <w:rFonts w:eastAsia="Times New Roman"/>
                <w:b/>
                <w:bCs/>
              </w:rPr>
            </w:pPr>
            <w:r>
              <w:rPr>
                <w:rFonts w:eastAsia="Times New Roman"/>
                <w:b/>
                <w:bCs/>
              </w:rPr>
              <w:t>(2013, if not otherwise specified)</w:t>
            </w:r>
          </w:p>
        </w:tc>
        <w:tc>
          <w:tcPr>
            <w:tcW w:w="1105"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2016</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2017</w:t>
            </w:r>
          </w:p>
        </w:tc>
        <w:tc>
          <w:tcPr>
            <w:tcW w:w="1846"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Cumulative targets</w:t>
            </w:r>
          </w:p>
        </w:tc>
        <w:tc>
          <w:tcPr>
            <w:tcW w:w="1820"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Implementation rate against cumulative target</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lastRenderedPageBreak/>
              <w:t>Inclusive Finance</w:t>
            </w:r>
          </w:p>
        </w:tc>
      </w:tr>
      <w:tr w:rsidR="0032346F" w:rsidRPr="00620829" w:rsidTr="003B6170">
        <w:trPr>
          <w:trHeight w:val="98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2346F" w:rsidRPr="00620829" w:rsidRDefault="0032346F" w:rsidP="0032346F">
            <w:pPr>
              <w:ind w:left="67"/>
              <w:rPr>
                <w:rFonts w:eastAsia="Times New Roman"/>
              </w:rPr>
            </w:pPr>
            <w:r>
              <w:t xml:space="preserve">2.a. Number of new financial products to improve client security, resilience against shocks </w:t>
            </w:r>
            <w:r w:rsidRPr="003237B6">
              <w:rPr>
                <w:u w:val="single"/>
              </w:rPr>
              <w:t>scaled up</w:t>
            </w:r>
            <w:r>
              <w:t xml:space="preserve"> by UNCDF supported FSPs </w:t>
            </w:r>
          </w:p>
        </w:tc>
        <w:tc>
          <w:tcPr>
            <w:tcW w:w="1619" w:type="dxa"/>
            <w:tcBorders>
              <w:top w:val="single" w:sz="4" w:space="0" w:color="auto"/>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0</w:t>
            </w:r>
            <w:r w:rsidRPr="00620829">
              <w:rPr>
                <w:rFonts w:eastAsia="Times New Roman"/>
              </w:rPr>
              <w:t xml:space="preserve"> </w:t>
            </w:r>
          </w:p>
        </w:tc>
        <w:tc>
          <w:tcPr>
            <w:tcW w:w="1105" w:type="dxa"/>
            <w:tcBorders>
              <w:top w:val="single" w:sz="4" w:space="0" w:color="auto"/>
              <w:left w:val="nil"/>
              <w:bottom w:val="single" w:sz="4" w:space="0" w:color="auto"/>
              <w:right w:val="single" w:sz="4" w:space="0" w:color="auto"/>
            </w:tcBorders>
            <w:shd w:val="clear" w:color="auto" w:fill="auto"/>
            <w:hideMark/>
          </w:tcPr>
          <w:p w:rsidR="0032346F" w:rsidRPr="001B2648" w:rsidRDefault="0032346F" w:rsidP="0032346F">
            <w:pPr>
              <w:spacing w:after="0" w:line="240" w:lineRule="auto"/>
              <w:jc w:val="right"/>
              <w:rPr>
                <w:rFonts w:eastAsia="Times New Roman"/>
              </w:rPr>
            </w:pPr>
            <w:r w:rsidRPr="001B2648">
              <w:rPr>
                <w:rFonts w:eastAsia="Times New Roman"/>
              </w:rPr>
              <w:t>24</w:t>
            </w:r>
          </w:p>
        </w:tc>
        <w:tc>
          <w:tcPr>
            <w:tcW w:w="1167" w:type="dxa"/>
            <w:tcBorders>
              <w:top w:val="single" w:sz="4" w:space="0" w:color="auto"/>
              <w:left w:val="nil"/>
              <w:bottom w:val="single" w:sz="4" w:space="0" w:color="auto"/>
              <w:right w:val="single" w:sz="4" w:space="0" w:color="auto"/>
            </w:tcBorders>
            <w:shd w:val="clear" w:color="auto" w:fill="auto"/>
          </w:tcPr>
          <w:p w:rsidR="0032346F" w:rsidRPr="001B2648" w:rsidRDefault="0032346F" w:rsidP="0032346F">
            <w:pPr>
              <w:spacing w:after="0" w:line="240" w:lineRule="auto"/>
              <w:jc w:val="right"/>
              <w:rPr>
                <w:rFonts w:eastAsia="Times New Roman"/>
              </w:rPr>
            </w:pPr>
            <w:r w:rsidRPr="001B2648">
              <w:rPr>
                <w:rFonts w:eastAsia="Times New Roman"/>
              </w:rPr>
              <w:t>28</w:t>
            </w:r>
          </w:p>
        </w:tc>
        <w:tc>
          <w:tcPr>
            <w:tcW w:w="1781" w:type="dxa"/>
            <w:tcBorders>
              <w:top w:val="single" w:sz="4" w:space="0" w:color="auto"/>
              <w:left w:val="nil"/>
              <w:bottom w:val="single" w:sz="4" w:space="0" w:color="auto"/>
              <w:right w:val="single" w:sz="4" w:space="0" w:color="auto"/>
            </w:tcBorders>
            <w:shd w:val="clear" w:color="auto" w:fill="FFFFFF"/>
          </w:tcPr>
          <w:p w:rsidR="0032346F" w:rsidRPr="001B2648" w:rsidRDefault="0032346F" w:rsidP="0032346F">
            <w:pPr>
              <w:spacing w:after="0" w:line="240" w:lineRule="auto"/>
              <w:jc w:val="right"/>
              <w:rPr>
                <w:rFonts w:eastAsia="Times New Roman"/>
              </w:rPr>
            </w:pPr>
            <w:r w:rsidRPr="001B2648">
              <w:rPr>
                <w:rFonts w:eastAsia="Times New Roman"/>
              </w:rPr>
              <w:t>30</w:t>
            </w:r>
          </w:p>
        </w:tc>
        <w:tc>
          <w:tcPr>
            <w:tcW w:w="1619" w:type="dxa"/>
            <w:tcBorders>
              <w:top w:val="single" w:sz="4" w:space="0" w:color="auto"/>
              <w:left w:val="nil"/>
              <w:bottom w:val="single" w:sz="4" w:space="0" w:color="auto"/>
              <w:right w:val="single" w:sz="4" w:space="0" w:color="auto"/>
            </w:tcBorders>
            <w:shd w:val="clear" w:color="auto" w:fill="FFFFFF"/>
          </w:tcPr>
          <w:p w:rsidR="009C2126" w:rsidRPr="00866FF9" w:rsidRDefault="009C2126" w:rsidP="00666855">
            <w:pPr>
              <w:spacing w:after="0" w:line="240" w:lineRule="auto"/>
              <w:jc w:val="right"/>
              <w:rPr>
                <w:rFonts w:eastAsia="Times New Roman"/>
              </w:rPr>
            </w:pPr>
            <w:r w:rsidRPr="00666855">
              <w:rPr>
                <w:rFonts w:eastAsia="Times New Roman"/>
              </w:rPr>
              <w:t>30</w:t>
            </w:r>
          </w:p>
        </w:tc>
        <w:tc>
          <w:tcPr>
            <w:tcW w:w="1846" w:type="dxa"/>
            <w:tcBorders>
              <w:top w:val="single" w:sz="4" w:space="0" w:color="auto"/>
              <w:left w:val="nil"/>
              <w:bottom w:val="single" w:sz="4" w:space="0" w:color="auto"/>
              <w:right w:val="single" w:sz="4" w:space="0" w:color="auto"/>
            </w:tcBorders>
            <w:shd w:val="clear" w:color="auto" w:fill="FFFFFF"/>
            <w:hideMark/>
          </w:tcPr>
          <w:p w:rsidR="0032346F" w:rsidRPr="0094013E" w:rsidRDefault="0032346F" w:rsidP="0032346F">
            <w:pPr>
              <w:spacing w:after="0" w:line="240" w:lineRule="auto"/>
              <w:jc w:val="right"/>
              <w:rPr>
                <w:rFonts w:eastAsia="Times New Roman"/>
              </w:rPr>
            </w:pPr>
            <w:r w:rsidRPr="0094013E">
              <w:rPr>
                <w:rFonts w:eastAsia="Times New Roman"/>
              </w:rPr>
              <w:t>155</w:t>
            </w:r>
          </w:p>
        </w:tc>
        <w:tc>
          <w:tcPr>
            <w:tcW w:w="1820" w:type="dxa"/>
            <w:tcBorders>
              <w:top w:val="single" w:sz="4" w:space="0" w:color="auto"/>
              <w:left w:val="nil"/>
              <w:bottom w:val="single" w:sz="4" w:space="0" w:color="auto"/>
              <w:right w:val="single" w:sz="4" w:space="0" w:color="auto"/>
            </w:tcBorders>
            <w:shd w:val="clear" w:color="auto" w:fill="FFF2CC"/>
            <w:hideMark/>
          </w:tcPr>
          <w:p w:rsidR="0032346F" w:rsidRPr="00620829" w:rsidRDefault="009C2126" w:rsidP="0032346F">
            <w:pPr>
              <w:spacing w:after="0" w:line="240" w:lineRule="auto"/>
              <w:jc w:val="right"/>
              <w:rPr>
                <w:rFonts w:eastAsia="Times New Roman"/>
              </w:rPr>
            </w:pPr>
            <w:r>
              <w:rPr>
                <w:rFonts w:eastAsia="Times New Roman"/>
              </w:rPr>
              <w:t>72%</w:t>
            </w:r>
          </w:p>
        </w:tc>
      </w:tr>
      <w:tr w:rsidR="0032346F" w:rsidRPr="00620829" w:rsidTr="003B6170">
        <w:trPr>
          <w:trHeight w:val="915"/>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2346F" w:rsidRPr="00620829" w:rsidRDefault="0032346F" w:rsidP="0032346F">
            <w:pPr>
              <w:spacing w:after="0" w:line="240" w:lineRule="auto"/>
              <w:rPr>
                <w:rFonts w:eastAsia="Times New Roman"/>
              </w:rPr>
            </w:pPr>
            <w:r>
              <w:t xml:space="preserve">2.b. Number of clients served by these new scaled </w:t>
            </w:r>
            <w:r w:rsidRPr="002A4919">
              <w:t xml:space="preserve">products </w:t>
            </w:r>
            <w:r w:rsidRPr="00A83AD8">
              <w:t>(disaggregated by sex)</w:t>
            </w:r>
          </w:p>
        </w:tc>
        <w:tc>
          <w:tcPr>
            <w:tcW w:w="1619" w:type="dxa"/>
            <w:tcBorders>
              <w:top w:val="nil"/>
              <w:left w:val="nil"/>
              <w:bottom w:val="single" w:sz="4" w:space="0" w:color="auto"/>
              <w:right w:val="single" w:sz="4" w:space="0" w:color="auto"/>
            </w:tcBorders>
            <w:shd w:val="clear" w:color="000000" w:fill="FFFFFF"/>
            <w:hideMark/>
          </w:tcPr>
          <w:p w:rsidR="0032346F" w:rsidRPr="00620829" w:rsidRDefault="0032346F" w:rsidP="0032346F">
            <w:pPr>
              <w:spacing w:after="0" w:line="240" w:lineRule="auto"/>
              <w:jc w:val="right"/>
              <w:rPr>
                <w:rFonts w:eastAsia="Times New Roman"/>
              </w:rPr>
            </w:pPr>
            <w:r>
              <w:rPr>
                <w:rFonts w:eastAsia="Times New Roman"/>
              </w:rPr>
              <w:t xml:space="preserve">                 0</w:t>
            </w:r>
            <w:r w:rsidRPr="00620829">
              <w:rPr>
                <w:rFonts w:eastAsia="Times New Roman"/>
              </w:rPr>
              <w:t xml:space="preserve">   </w:t>
            </w:r>
          </w:p>
        </w:tc>
        <w:tc>
          <w:tcPr>
            <w:tcW w:w="1105" w:type="dxa"/>
            <w:tcBorders>
              <w:top w:val="nil"/>
              <w:left w:val="nil"/>
              <w:bottom w:val="single" w:sz="4" w:space="0" w:color="auto"/>
              <w:right w:val="single" w:sz="4" w:space="0" w:color="auto"/>
            </w:tcBorders>
            <w:shd w:val="clear" w:color="000000" w:fill="FFFFFF"/>
            <w:hideMark/>
          </w:tcPr>
          <w:p w:rsidR="0032346F" w:rsidRPr="00620829" w:rsidRDefault="0032346F" w:rsidP="0032346F">
            <w:pPr>
              <w:spacing w:after="0" w:line="240" w:lineRule="auto"/>
              <w:rPr>
                <w:rFonts w:eastAsia="Times New Roman"/>
              </w:rPr>
            </w:pPr>
            <w:r w:rsidRPr="00620829">
              <w:rPr>
                <w:rFonts w:eastAsia="Times New Roman"/>
              </w:rPr>
              <w:t xml:space="preserve">1,031,167 </w:t>
            </w:r>
          </w:p>
        </w:tc>
        <w:tc>
          <w:tcPr>
            <w:tcW w:w="1167" w:type="dxa"/>
            <w:tcBorders>
              <w:top w:val="nil"/>
              <w:left w:val="nil"/>
              <w:bottom w:val="single" w:sz="4" w:space="0" w:color="auto"/>
              <w:right w:val="single" w:sz="4" w:space="0" w:color="auto"/>
            </w:tcBorders>
            <w:shd w:val="clear" w:color="000000" w:fill="FFFFFF"/>
            <w:hideMark/>
          </w:tcPr>
          <w:p w:rsidR="0032346F" w:rsidRPr="00620829" w:rsidRDefault="0032346F" w:rsidP="0032346F">
            <w:pPr>
              <w:spacing w:after="0" w:line="240" w:lineRule="auto"/>
              <w:jc w:val="center"/>
              <w:rPr>
                <w:rFonts w:eastAsia="Times New Roman"/>
              </w:rPr>
            </w:pPr>
            <w:r w:rsidRPr="00620829">
              <w:rPr>
                <w:rFonts w:eastAsia="Times New Roman"/>
              </w:rPr>
              <w:t xml:space="preserve"> 1,164,259 </w:t>
            </w:r>
          </w:p>
        </w:tc>
        <w:tc>
          <w:tcPr>
            <w:tcW w:w="1781" w:type="dxa"/>
            <w:tcBorders>
              <w:top w:val="nil"/>
              <w:left w:val="nil"/>
              <w:bottom w:val="single" w:sz="4" w:space="0" w:color="auto"/>
              <w:right w:val="single" w:sz="4" w:space="0" w:color="auto"/>
            </w:tcBorders>
            <w:shd w:val="clear" w:color="auto" w:fill="FFFFFF"/>
            <w:hideMark/>
          </w:tcPr>
          <w:p w:rsidR="0032346F" w:rsidRDefault="0032346F" w:rsidP="0032346F">
            <w:pPr>
              <w:spacing w:after="0" w:line="240" w:lineRule="auto"/>
              <w:jc w:val="right"/>
              <w:rPr>
                <w:rFonts w:eastAsia="Times New Roman"/>
              </w:rPr>
            </w:pPr>
            <w:r w:rsidRPr="001B2648">
              <w:rPr>
                <w:rFonts w:eastAsia="Times New Roman"/>
              </w:rPr>
              <w:t>4,765,982</w:t>
            </w:r>
            <w:r>
              <w:rPr>
                <w:rFonts w:eastAsia="Times New Roman"/>
              </w:rPr>
              <w:t xml:space="preserve"> </w:t>
            </w:r>
          </w:p>
          <w:p w:rsidR="0032346F" w:rsidRPr="00620829" w:rsidRDefault="0032346F" w:rsidP="0032346F">
            <w:pPr>
              <w:spacing w:after="0" w:line="240" w:lineRule="auto"/>
              <w:jc w:val="right"/>
              <w:rPr>
                <w:rFonts w:eastAsia="Times New Roman"/>
              </w:rPr>
            </w:pPr>
            <w:r>
              <w:rPr>
                <w:rFonts w:eastAsia="Times New Roman"/>
              </w:rPr>
              <w:t xml:space="preserve">(54% </w:t>
            </w:r>
            <w:proofErr w:type="gramStart"/>
            <w:r>
              <w:rPr>
                <w:rFonts w:eastAsia="Times New Roman"/>
              </w:rPr>
              <w:t>women)</w:t>
            </w:r>
            <w:r w:rsidRPr="001B2648">
              <w:rPr>
                <w:rFonts w:eastAsia="Times New Roman"/>
              </w:rPr>
              <w:t xml:space="preserve"> </w:t>
            </w:r>
            <w:r>
              <w:rPr>
                <w:rFonts w:eastAsia="Times New Roman"/>
              </w:rPr>
              <w:t xml:space="preserve">  </w:t>
            </w:r>
            <w:proofErr w:type="gramEnd"/>
            <w:r>
              <w:rPr>
                <w:rFonts w:eastAsia="Times New Roman"/>
              </w:rPr>
              <w:t xml:space="preserve">     </w:t>
            </w:r>
          </w:p>
        </w:tc>
        <w:tc>
          <w:tcPr>
            <w:tcW w:w="1619" w:type="dxa"/>
            <w:tcBorders>
              <w:top w:val="nil"/>
              <w:left w:val="nil"/>
              <w:bottom w:val="single" w:sz="4" w:space="0" w:color="auto"/>
              <w:right w:val="single" w:sz="4" w:space="0" w:color="auto"/>
            </w:tcBorders>
            <w:shd w:val="clear" w:color="auto" w:fill="FFFFFF"/>
          </w:tcPr>
          <w:p w:rsidR="00866FF9" w:rsidRDefault="003F0EBE" w:rsidP="00666855">
            <w:pPr>
              <w:spacing w:after="0" w:line="240" w:lineRule="auto"/>
              <w:jc w:val="right"/>
              <w:rPr>
                <w:rFonts w:eastAsia="Times New Roman"/>
              </w:rPr>
            </w:pPr>
            <w:r w:rsidRPr="00866FF9">
              <w:rPr>
                <w:rFonts w:eastAsia="Times New Roman"/>
              </w:rPr>
              <w:t>4,271,529</w:t>
            </w:r>
          </w:p>
          <w:p w:rsidR="003F0EBE" w:rsidRPr="0094013E" w:rsidRDefault="003F0EBE" w:rsidP="00666855">
            <w:pPr>
              <w:spacing w:after="0" w:line="240" w:lineRule="auto"/>
              <w:jc w:val="right"/>
              <w:rPr>
                <w:rFonts w:eastAsia="Times New Roman"/>
              </w:rPr>
            </w:pPr>
            <w:r w:rsidRPr="00866FF9">
              <w:rPr>
                <w:rFonts w:eastAsia="Times New Roman"/>
              </w:rPr>
              <w:t xml:space="preserve"> (</w:t>
            </w:r>
            <w:r w:rsidRPr="0094013E">
              <w:rPr>
                <w:rFonts w:eastAsia="Times New Roman"/>
              </w:rPr>
              <w:t>53% women)</w:t>
            </w:r>
          </w:p>
        </w:tc>
        <w:tc>
          <w:tcPr>
            <w:tcW w:w="1846" w:type="dxa"/>
            <w:tcBorders>
              <w:top w:val="nil"/>
              <w:left w:val="nil"/>
              <w:bottom w:val="single" w:sz="4" w:space="0" w:color="auto"/>
              <w:right w:val="single" w:sz="4" w:space="0" w:color="auto"/>
            </w:tcBorders>
            <w:shd w:val="clear" w:color="auto" w:fill="FFFFFF"/>
            <w:hideMark/>
          </w:tcPr>
          <w:p w:rsidR="0032346F" w:rsidRPr="00666855" w:rsidRDefault="0032346F" w:rsidP="0032346F">
            <w:pPr>
              <w:spacing w:after="0" w:line="240" w:lineRule="auto"/>
              <w:jc w:val="right"/>
              <w:rPr>
                <w:rFonts w:eastAsia="Times New Roman"/>
              </w:rPr>
            </w:pPr>
            <w:r w:rsidRPr="00666855">
              <w:rPr>
                <w:rFonts w:eastAsia="Times New Roman"/>
              </w:rPr>
              <w:t>6,400,000</w:t>
            </w:r>
          </w:p>
        </w:tc>
        <w:tc>
          <w:tcPr>
            <w:tcW w:w="1820" w:type="dxa"/>
            <w:tcBorders>
              <w:top w:val="nil"/>
              <w:left w:val="nil"/>
              <w:bottom w:val="single" w:sz="4" w:space="0" w:color="auto"/>
              <w:right w:val="single" w:sz="4" w:space="0" w:color="auto"/>
            </w:tcBorders>
            <w:shd w:val="clear" w:color="auto" w:fill="E2EFD9"/>
            <w:hideMark/>
          </w:tcPr>
          <w:p w:rsidR="0032346F" w:rsidRPr="00666855" w:rsidRDefault="003F0EBE" w:rsidP="0032346F">
            <w:pPr>
              <w:spacing w:after="0" w:line="240" w:lineRule="auto"/>
              <w:jc w:val="right"/>
              <w:rPr>
                <w:rFonts w:eastAsia="DengXian"/>
                <w:lang w:eastAsia="zh-CN"/>
              </w:rPr>
            </w:pPr>
            <w:r>
              <w:rPr>
                <w:rFonts w:eastAsia="Times New Roman"/>
              </w:rPr>
              <w:t>176%</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 xml:space="preserve">Local Development Finance </w:t>
            </w:r>
          </w:p>
        </w:tc>
      </w:tr>
      <w:tr w:rsidR="0032346F" w:rsidRPr="00620829" w:rsidTr="003B6170">
        <w:trPr>
          <w:trHeight w:val="135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2346F" w:rsidRPr="00620829" w:rsidRDefault="0032346F" w:rsidP="0032346F">
            <w:pPr>
              <w:spacing w:after="0" w:line="240" w:lineRule="auto"/>
              <w:rPr>
                <w:rFonts w:eastAsia="Times New Roman"/>
              </w:rPr>
            </w:pPr>
            <w:r w:rsidRPr="00725E30">
              <w:t>2.c</w:t>
            </w:r>
            <w:r>
              <w:t>.</w:t>
            </w:r>
            <w:r w:rsidRPr="009B5F8C">
              <w:t xml:space="preserve">  </w:t>
            </w:r>
            <w:r w:rsidRPr="00577815">
              <w:t>Volume of non-UNCDF funds channeled through financing systems developed with UNCDF support targeting vulnerability</w:t>
            </w:r>
            <w:r>
              <w:t>, exclusion,</w:t>
            </w:r>
            <w:r w:rsidRPr="00577815">
              <w:t xml:space="preserve"> and shocks, disaggregated by thematic areas</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32346F" w:rsidRPr="00A32361" w:rsidRDefault="0032346F" w:rsidP="0032346F">
            <w:pPr>
              <w:spacing w:after="0" w:line="240" w:lineRule="auto"/>
              <w:jc w:val="right"/>
              <w:rPr>
                <w:rFonts w:eastAsia="Times New Roman"/>
              </w:rPr>
            </w:pPr>
            <w:r w:rsidRPr="00A32361">
              <w:rPr>
                <w:rFonts w:eastAsia="Times New Roman"/>
              </w:rPr>
              <w:t>NA</w:t>
            </w:r>
          </w:p>
        </w:tc>
        <w:tc>
          <w:tcPr>
            <w:tcW w:w="1105" w:type="dxa"/>
            <w:tcBorders>
              <w:top w:val="single" w:sz="4" w:space="0" w:color="auto"/>
              <w:left w:val="single" w:sz="4" w:space="0" w:color="auto"/>
              <w:bottom w:val="single" w:sz="4" w:space="0" w:color="auto"/>
              <w:right w:val="single" w:sz="4" w:space="0" w:color="auto"/>
            </w:tcBorders>
            <w:shd w:val="clear" w:color="000000" w:fill="FFFFFF"/>
          </w:tcPr>
          <w:p w:rsidR="0032346F" w:rsidRPr="00A32361" w:rsidRDefault="0032346F" w:rsidP="0032346F">
            <w:pPr>
              <w:spacing w:after="0" w:line="240" w:lineRule="auto"/>
              <w:jc w:val="right"/>
              <w:rPr>
                <w:rFonts w:eastAsia="Times New Roman"/>
              </w:rPr>
            </w:pPr>
            <w:r w:rsidRPr="00A32361">
              <w:rPr>
                <w:rFonts w:eastAsia="Times New Roman"/>
              </w:rPr>
              <w:t>NA</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rsidR="0032346F" w:rsidRPr="00A32361" w:rsidRDefault="0032346F" w:rsidP="0032346F">
            <w:pPr>
              <w:spacing w:after="0" w:line="240" w:lineRule="auto"/>
              <w:jc w:val="right"/>
              <w:rPr>
                <w:rFonts w:eastAsia="Times New Roman"/>
              </w:rPr>
            </w:pPr>
            <w:r w:rsidRPr="00A32361">
              <w:rPr>
                <w:rFonts w:eastAsia="Times New Roman"/>
              </w:rPr>
              <w:t>NA</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32346F" w:rsidRPr="00A32361" w:rsidRDefault="0032346F" w:rsidP="0032346F">
            <w:pPr>
              <w:spacing w:after="0" w:line="240" w:lineRule="auto"/>
              <w:jc w:val="right"/>
              <w:rPr>
                <w:rFonts w:eastAsia="Times New Roman"/>
              </w:rPr>
            </w:pPr>
            <w:r w:rsidRPr="00A32361">
              <w:rPr>
                <w:rFonts w:eastAsia="Times New Roman"/>
              </w:rPr>
              <w:t>NA</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1E0178" w:rsidRPr="008A0434" w:rsidRDefault="00866FF9" w:rsidP="00666855">
            <w:pPr>
              <w:spacing w:after="0" w:line="240" w:lineRule="auto"/>
              <w:jc w:val="right"/>
              <w:rPr>
                <w:rFonts w:eastAsia="Times New Roman"/>
              </w:rPr>
            </w:pPr>
            <w:r w:rsidRPr="008A0434">
              <w:rPr>
                <w:rFonts w:eastAsia="Times New Roman"/>
              </w:rPr>
              <w:t xml:space="preserve">US$ </w:t>
            </w:r>
            <w:r w:rsidR="008A23C8" w:rsidRPr="008A0434">
              <w:rPr>
                <w:rFonts w:eastAsia="Times New Roman"/>
              </w:rPr>
              <w:t>24</w:t>
            </w:r>
            <w:r w:rsidR="00A21D04" w:rsidRPr="008A0434">
              <w:rPr>
                <w:rFonts w:eastAsia="Times New Roman"/>
              </w:rPr>
              <w:t xml:space="preserve"> million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32346F" w:rsidRPr="008A0434" w:rsidRDefault="00866FF9" w:rsidP="0032346F">
            <w:pPr>
              <w:spacing w:after="0" w:line="240" w:lineRule="auto"/>
              <w:jc w:val="center"/>
              <w:rPr>
                <w:rFonts w:eastAsia="Times New Roman"/>
              </w:rPr>
            </w:pPr>
            <w:r w:rsidRPr="008A0434">
              <w:rPr>
                <w:rFonts w:eastAsia="Times New Roman"/>
              </w:rPr>
              <w:t>US$ 18</w:t>
            </w:r>
            <w:r w:rsidR="00A21D04" w:rsidRPr="008A0434">
              <w:rPr>
                <w:rFonts w:eastAsia="Times New Roman"/>
              </w:rPr>
              <w:t xml:space="preserve"> million</w:t>
            </w:r>
          </w:p>
        </w:tc>
        <w:tc>
          <w:tcPr>
            <w:tcW w:w="1820" w:type="dxa"/>
            <w:tcBorders>
              <w:top w:val="single" w:sz="4" w:space="0" w:color="auto"/>
              <w:left w:val="single" w:sz="4" w:space="0" w:color="auto"/>
              <w:bottom w:val="single" w:sz="4" w:space="0" w:color="auto"/>
              <w:right w:val="single" w:sz="4" w:space="0" w:color="auto"/>
            </w:tcBorders>
            <w:shd w:val="clear" w:color="auto" w:fill="E2EFD9"/>
          </w:tcPr>
          <w:p w:rsidR="0032346F" w:rsidRPr="00A32361" w:rsidRDefault="008A0434" w:rsidP="0032346F">
            <w:pPr>
              <w:spacing w:after="0" w:line="240" w:lineRule="auto"/>
              <w:jc w:val="right"/>
              <w:rPr>
                <w:rFonts w:eastAsia="Times New Roman"/>
              </w:rPr>
            </w:pPr>
            <w:r>
              <w:rPr>
                <w:rFonts w:eastAsia="Times New Roman"/>
              </w:rPr>
              <w:t>133</w:t>
            </w:r>
            <w:r w:rsidR="00866FF9">
              <w:rPr>
                <w:rFonts w:eastAsia="Times New Roman"/>
              </w:rPr>
              <w:t>%</w:t>
            </w:r>
          </w:p>
        </w:tc>
      </w:tr>
      <w:tr w:rsidR="0032346F" w:rsidRPr="00620829" w:rsidTr="00666855">
        <w:trPr>
          <w:trHeight w:val="1205"/>
        </w:trPr>
        <w:tc>
          <w:tcPr>
            <w:tcW w:w="1795" w:type="dxa"/>
            <w:tcBorders>
              <w:top w:val="single" w:sz="4" w:space="0" w:color="auto"/>
              <w:left w:val="single" w:sz="4" w:space="0" w:color="auto"/>
              <w:bottom w:val="single" w:sz="4" w:space="0" w:color="auto"/>
              <w:right w:val="single" w:sz="4" w:space="0" w:color="auto"/>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Outputs</w:t>
            </w:r>
            <w:r>
              <w:rPr>
                <w:rFonts w:eastAsia="Times New Roman"/>
                <w:b/>
                <w:bCs/>
              </w:rPr>
              <w:t xml:space="preserve"> </w:t>
            </w:r>
          </w:p>
        </w:tc>
        <w:tc>
          <w:tcPr>
            <w:tcW w:w="1607" w:type="dxa"/>
            <w:tcBorders>
              <w:top w:val="single" w:sz="4" w:space="0" w:color="auto"/>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Output Indicators</w:t>
            </w:r>
            <w:r w:rsidRPr="00620829">
              <w:rPr>
                <w:rFonts w:eastAsia="Times New Roman"/>
              </w:rPr>
              <w:t xml:space="preserve"> </w:t>
            </w:r>
          </w:p>
        </w:tc>
        <w:tc>
          <w:tcPr>
            <w:tcW w:w="1619" w:type="dxa"/>
            <w:tcBorders>
              <w:top w:val="single" w:sz="4" w:space="0" w:color="auto"/>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 xml:space="preserve">Baseline </w:t>
            </w:r>
          </w:p>
          <w:p w:rsidR="0032346F" w:rsidRPr="00620829" w:rsidRDefault="0032346F" w:rsidP="0032346F">
            <w:pPr>
              <w:spacing w:after="0" w:line="240" w:lineRule="auto"/>
              <w:jc w:val="center"/>
              <w:rPr>
                <w:rFonts w:eastAsia="Times New Roman"/>
                <w:b/>
                <w:bCs/>
              </w:rPr>
            </w:pPr>
            <w:r>
              <w:rPr>
                <w:rFonts w:eastAsia="Times New Roman"/>
                <w:b/>
                <w:bCs/>
              </w:rPr>
              <w:t>(2013, if not otherwise specified)</w:t>
            </w:r>
          </w:p>
        </w:tc>
        <w:tc>
          <w:tcPr>
            <w:tcW w:w="1105" w:type="dxa"/>
            <w:tcBorders>
              <w:top w:val="single" w:sz="4" w:space="0" w:color="auto"/>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single" w:sz="4" w:space="0" w:color="auto"/>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single" w:sz="4" w:space="0" w:color="auto"/>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2016</w:t>
            </w:r>
          </w:p>
        </w:tc>
        <w:tc>
          <w:tcPr>
            <w:tcW w:w="1619" w:type="dxa"/>
            <w:tcBorders>
              <w:top w:val="single" w:sz="4" w:space="0" w:color="auto"/>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2017</w:t>
            </w:r>
          </w:p>
        </w:tc>
        <w:tc>
          <w:tcPr>
            <w:tcW w:w="1846" w:type="dxa"/>
            <w:tcBorders>
              <w:top w:val="single" w:sz="4" w:space="0" w:color="auto"/>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Cumulative targets</w:t>
            </w:r>
          </w:p>
        </w:tc>
        <w:tc>
          <w:tcPr>
            <w:tcW w:w="1820" w:type="dxa"/>
            <w:tcBorders>
              <w:top w:val="single" w:sz="4" w:space="0" w:color="auto"/>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Implementation rate against cumulative target</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Inclusive Finance</w:t>
            </w:r>
          </w:p>
        </w:tc>
      </w:tr>
      <w:tr w:rsidR="0032346F" w:rsidRPr="00620829" w:rsidTr="00C61CF3">
        <w:trPr>
          <w:trHeight w:val="2420"/>
        </w:trPr>
        <w:tc>
          <w:tcPr>
            <w:tcW w:w="1795" w:type="dxa"/>
            <w:tcBorders>
              <w:top w:val="single" w:sz="4" w:space="0" w:color="auto"/>
              <w:left w:val="single" w:sz="4" w:space="0" w:color="auto"/>
              <w:bottom w:val="single" w:sz="4" w:space="0" w:color="000000"/>
              <w:right w:val="single" w:sz="4" w:space="0" w:color="auto"/>
            </w:tcBorders>
            <w:shd w:val="clear" w:color="000000" w:fill="FFFFFF"/>
            <w:hideMark/>
          </w:tcPr>
          <w:p w:rsidR="0032346F" w:rsidRPr="00620829" w:rsidRDefault="0032346F" w:rsidP="0032346F">
            <w:pPr>
              <w:spacing w:after="0" w:line="240" w:lineRule="auto"/>
              <w:rPr>
                <w:rFonts w:eastAsia="Times New Roman"/>
                <w:color w:val="000000"/>
              </w:rPr>
            </w:pPr>
            <w:r w:rsidRPr="00620829">
              <w:rPr>
                <w:rFonts w:eastAsia="Times New Roman"/>
                <w:b/>
                <w:bCs/>
                <w:color w:val="000000"/>
              </w:rPr>
              <w:t>Output 2.1</w:t>
            </w:r>
            <w:r w:rsidRPr="00620829">
              <w:rPr>
                <w:rFonts w:eastAsia="Times New Roman"/>
                <w:color w:val="000000"/>
              </w:rPr>
              <w:t xml:space="preserve">                            Improved access to and usage of basic financial services as an effective way to reduce vulnerability and shocks  </w:t>
            </w:r>
          </w:p>
        </w:tc>
        <w:tc>
          <w:tcPr>
            <w:tcW w:w="1607" w:type="dxa"/>
            <w:tcBorders>
              <w:top w:val="single" w:sz="4" w:space="0" w:color="auto"/>
              <w:left w:val="nil"/>
              <w:right w:val="single" w:sz="4" w:space="0" w:color="auto"/>
            </w:tcBorders>
            <w:shd w:val="clear" w:color="auto" w:fill="auto"/>
            <w:hideMark/>
          </w:tcPr>
          <w:p w:rsidR="0032346F" w:rsidRPr="00620829" w:rsidRDefault="0032346F" w:rsidP="0032346F">
            <w:pPr>
              <w:spacing w:after="0" w:line="240" w:lineRule="auto"/>
              <w:rPr>
                <w:rFonts w:eastAsia="Times New Roman"/>
              </w:rPr>
            </w:pPr>
            <w:r>
              <w:t xml:space="preserve">2.1.1 </w:t>
            </w:r>
            <w:r w:rsidRPr="00D01E31">
              <w:t xml:space="preserve">Number of new or improved financial products </w:t>
            </w:r>
            <w:r w:rsidRPr="003237B6">
              <w:rPr>
                <w:u w:val="single"/>
              </w:rPr>
              <w:t>piloted</w:t>
            </w:r>
            <w:r w:rsidRPr="00D01E31">
              <w:t xml:space="preserve"> with support of UNCDF</w:t>
            </w:r>
          </w:p>
        </w:tc>
        <w:tc>
          <w:tcPr>
            <w:tcW w:w="1619" w:type="dxa"/>
            <w:tcBorders>
              <w:top w:val="single" w:sz="4" w:space="0" w:color="auto"/>
              <w:left w:val="nil"/>
              <w:right w:val="single" w:sz="4" w:space="0" w:color="auto"/>
            </w:tcBorders>
            <w:shd w:val="clear" w:color="000000" w:fill="FFFFFF"/>
            <w:hideMark/>
          </w:tcPr>
          <w:p w:rsidR="0032346F" w:rsidRPr="00620829" w:rsidRDefault="0032346F" w:rsidP="0032346F">
            <w:pPr>
              <w:spacing w:after="0" w:line="240" w:lineRule="auto"/>
              <w:jc w:val="right"/>
              <w:rPr>
                <w:rFonts w:eastAsia="Times New Roman"/>
              </w:rPr>
            </w:pPr>
            <w:r>
              <w:rPr>
                <w:rFonts w:eastAsia="Times New Roman"/>
              </w:rPr>
              <w:t xml:space="preserve">                 45</w:t>
            </w:r>
            <w:r w:rsidRPr="00620829">
              <w:rPr>
                <w:rFonts w:eastAsia="Times New Roman"/>
              </w:rPr>
              <w:t xml:space="preserve">   </w:t>
            </w:r>
          </w:p>
        </w:tc>
        <w:tc>
          <w:tcPr>
            <w:tcW w:w="1105" w:type="dxa"/>
            <w:tcBorders>
              <w:top w:val="single" w:sz="4" w:space="0" w:color="auto"/>
              <w:left w:val="nil"/>
              <w:right w:val="single" w:sz="4" w:space="0" w:color="auto"/>
            </w:tcBorders>
            <w:shd w:val="clear" w:color="000000" w:fill="FFFFFF"/>
            <w:hideMark/>
          </w:tcPr>
          <w:p w:rsidR="0032346F" w:rsidRPr="00620829" w:rsidRDefault="0032346F" w:rsidP="0032346F">
            <w:pPr>
              <w:spacing w:after="0" w:line="240" w:lineRule="auto"/>
              <w:jc w:val="right"/>
              <w:rPr>
                <w:rFonts w:eastAsia="Times New Roman"/>
              </w:rPr>
            </w:pPr>
            <w:r>
              <w:rPr>
                <w:rFonts w:eastAsia="Times New Roman"/>
              </w:rPr>
              <w:t>38</w:t>
            </w:r>
          </w:p>
        </w:tc>
        <w:tc>
          <w:tcPr>
            <w:tcW w:w="1167" w:type="dxa"/>
            <w:tcBorders>
              <w:top w:val="single" w:sz="4" w:space="0" w:color="auto"/>
              <w:left w:val="nil"/>
              <w:right w:val="single" w:sz="4" w:space="0" w:color="auto"/>
            </w:tcBorders>
            <w:shd w:val="clear" w:color="000000" w:fill="FFFFFF"/>
          </w:tcPr>
          <w:p w:rsidR="0032346F" w:rsidRPr="00620829" w:rsidRDefault="0032346F" w:rsidP="0032346F">
            <w:pPr>
              <w:spacing w:after="0" w:line="240" w:lineRule="auto"/>
              <w:jc w:val="right"/>
              <w:rPr>
                <w:rFonts w:eastAsia="Times New Roman"/>
              </w:rPr>
            </w:pPr>
            <w:r>
              <w:rPr>
                <w:rFonts w:eastAsia="Times New Roman"/>
              </w:rPr>
              <w:t>28</w:t>
            </w:r>
          </w:p>
        </w:tc>
        <w:tc>
          <w:tcPr>
            <w:tcW w:w="1781" w:type="dxa"/>
            <w:tcBorders>
              <w:top w:val="single" w:sz="4" w:space="0" w:color="auto"/>
              <w:left w:val="nil"/>
              <w:right w:val="single" w:sz="4" w:space="0" w:color="auto"/>
            </w:tcBorders>
            <w:shd w:val="clear" w:color="auto" w:fill="FFFFFF"/>
          </w:tcPr>
          <w:p w:rsidR="0032346F" w:rsidRPr="00620829" w:rsidRDefault="0032346F" w:rsidP="0032346F">
            <w:pPr>
              <w:spacing w:after="0" w:line="240" w:lineRule="auto"/>
              <w:jc w:val="right"/>
              <w:rPr>
                <w:rFonts w:eastAsia="Times New Roman"/>
              </w:rPr>
            </w:pPr>
            <w:r>
              <w:rPr>
                <w:rFonts w:eastAsia="Times New Roman"/>
              </w:rPr>
              <w:t>32</w:t>
            </w:r>
          </w:p>
        </w:tc>
        <w:tc>
          <w:tcPr>
            <w:tcW w:w="1619" w:type="dxa"/>
            <w:tcBorders>
              <w:top w:val="single" w:sz="4" w:space="0" w:color="auto"/>
              <w:left w:val="nil"/>
              <w:right w:val="single" w:sz="4" w:space="0" w:color="auto"/>
            </w:tcBorders>
            <w:shd w:val="clear" w:color="auto" w:fill="FFFFFF"/>
            <w:hideMark/>
          </w:tcPr>
          <w:p w:rsidR="00F71DEC" w:rsidRPr="0094013E" w:rsidRDefault="00F71DEC" w:rsidP="00666855">
            <w:pPr>
              <w:spacing w:after="0" w:line="240" w:lineRule="auto"/>
              <w:jc w:val="right"/>
              <w:rPr>
                <w:rFonts w:eastAsia="Times New Roman"/>
              </w:rPr>
            </w:pPr>
            <w:r w:rsidRPr="00666855">
              <w:rPr>
                <w:rFonts w:eastAsia="Times New Roman"/>
              </w:rPr>
              <w:t>63</w:t>
            </w:r>
          </w:p>
        </w:tc>
        <w:tc>
          <w:tcPr>
            <w:tcW w:w="1846" w:type="dxa"/>
            <w:tcBorders>
              <w:top w:val="single" w:sz="4" w:space="0" w:color="auto"/>
              <w:left w:val="nil"/>
              <w:right w:val="single" w:sz="4" w:space="0" w:color="auto"/>
            </w:tcBorders>
            <w:shd w:val="clear" w:color="auto" w:fill="FFFFFF"/>
            <w:hideMark/>
          </w:tcPr>
          <w:p w:rsidR="0032346F" w:rsidRPr="00666855" w:rsidRDefault="0032346F" w:rsidP="0032346F">
            <w:pPr>
              <w:spacing w:after="0" w:line="240" w:lineRule="auto"/>
              <w:jc w:val="right"/>
              <w:rPr>
                <w:rFonts w:eastAsia="Times New Roman"/>
              </w:rPr>
            </w:pPr>
            <w:r w:rsidRPr="00666855">
              <w:rPr>
                <w:rFonts w:eastAsia="Times New Roman"/>
              </w:rPr>
              <w:t>155</w:t>
            </w:r>
          </w:p>
        </w:tc>
        <w:tc>
          <w:tcPr>
            <w:tcW w:w="1820" w:type="dxa"/>
            <w:tcBorders>
              <w:top w:val="single" w:sz="4" w:space="0" w:color="auto"/>
              <w:left w:val="nil"/>
              <w:right w:val="single" w:sz="4" w:space="0" w:color="auto"/>
            </w:tcBorders>
            <w:shd w:val="clear" w:color="auto" w:fill="E2EFD9"/>
          </w:tcPr>
          <w:p w:rsidR="0032346F" w:rsidRPr="00620829" w:rsidRDefault="00F71DEC" w:rsidP="0032346F">
            <w:pPr>
              <w:spacing w:after="0" w:line="240" w:lineRule="auto"/>
              <w:jc w:val="right"/>
              <w:rPr>
                <w:rFonts w:eastAsia="Times New Roman"/>
              </w:rPr>
            </w:pPr>
            <w:r>
              <w:rPr>
                <w:rFonts w:eastAsia="Times New Roman"/>
              </w:rPr>
              <w:t>104</w:t>
            </w:r>
            <w:r w:rsidRPr="000C6A0D">
              <w:rPr>
                <w:rFonts w:ascii="DengXian" w:eastAsia="DengXian" w:hAnsi="DengXian" w:hint="eastAsia"/>
                <w:lang w:eastAsia="zh-CN"/>
              </w:rPr>
              <w:t>%</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 xml:space="preserve">Local Development Finance </w:t>
            </w:r>
          </w:p>
        </w:tc>
      </w:tr>
      <w:tr w:rsidR="002E72F7" w:rsidRPr="00620829" w:rsidTr="003B6170">
        <w:trPr>
          <w:trHeight w:val="1275"/>
        </w:trPr>
        <w:tc>
          <w:tcPr>
            <w:tcW w:w="1795" w:type="dxa"/>
            <w:vMerge w:val="restart"/>
            <w:tcBorders>
              <w:top w:val="nil"/>
              <w:left w:val="single" w:sz="4" w:space="0" w:color="auto"/>
              <w:bottom w:val="single" w:sz="4" w:space="0" w:color="000000"/>
              <w:right w:val="single" w:sz="4" w:space="0" w:color="auto"/>
            </w:tcBorders>
            <w:shd w:val="clear" w:color="000000" w:fill="FFFFFF"/>
            <w:hideMark/>
          </w:tcPr>
          <w:p w:rsidR="0032346F" w:rsidRPr="00620829" w:rsidRDefault="0032346F" w:rsidP="0032346F">
            <w:pPr>
              <w:spacing w:after="0" w:line="240" w:lineRule="auto"/>
              <w:rPr>
                <w:rFonts w:eastAsia="Times New Roman"/>
              </w:rPr>
            </w:pPr>
            <w:r>
              <w:rPr>
                <w:rFonts w:eastAsia="Times New Roman"/>
                <w:b/>
                <w:bCs/>
              </w:rPr>
              <w:lastRenderedPageBreak/>
              <w:t xml:space="preserve"> </w:t>
            </w:r>
            <w:r w:rsidRPr="00620829">
              <w:rPr>
                <w:rFonts w:eastAsia="Times New Roman"/>
                <w:b/>
                <w:bCs/>
              </w:rPr>
              <w:t>Ou</w:t>
            </w:r>
            <w:r>
              <w:rPr>
                <w:rFonts w:eastAsia="Times New Roman"/>
                <w:b/>
                <w:bCs/>
              </w:rPr>
              <w:t>tp</w:t>
            </w:r>
            <w:r w:rsidRPr="00620829">
              <w:rPr>
                <w:rFonts w:eastAsia="Times New Roman"/>
                <w:b/>
                <w:bCs/>
              </w:rPr>
              <w:t xml:space="preserve">ut 2.2  </w:t>
            </w:r>
            <w:r w:rsidRPr="00620829">
              <w:rPr>
                <w:rFonts w:eastAsia="Times New Roman"/>
              </w:rPr>
              <w:t xml:space="preserve">                           Improved access to and usage of public and private local investments as an effective way to reduce vulnerability and shocks</w:t>
            </w: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sidRPr="00415DC0">
              <w:t xml:space="preserve">2.2.1 </w:t>
            </w:r>
            <w:r w:rsidRPr="00577815">
              <w:t>Volume of funds channeled through new financing systems piloted by local governments with UNCDF support targeting vulnerability</w:t>
            </w:r>
            <w:r>
              <w:t>, exclusion,</w:t>
            </w:r>
            <w:r w:rsidRPr="00577815">
              <w:t xml:space="preserve"> and shocks disaggregated by types of thematic areas</w:t>
            </w:r>
          </w:p>
        </w:tc>
        <w:tc>
          <w:tcPr>
            <w:tcW w:w="1619" w:type="dxa"/>
            <w:tcBorders>
              <w:top w:val="nil"/>
              <w:left w:val="nil"/>
              <w:bottom w:val="single" w:sz="4" w:space="0" w:color="auto"/>
              <w:right w:val="single" w:sz="4" w:space="0" w:color="auto"/>
            </w:tcBorders>
            <w:shd w:val="clear" w:color="auto" w:fill="auto"/>
            <w:hideMark/>
          </w:tcPr>
          <w:p w:rsidR="0032346F" w:rsidRPr="00246C11" w:rsidRDefault="0032346F" w:rsidP="0032346F">
            <w:pPr>
              <w:spacing w:after="0" w:line="240" w:lineRule="auto"/>
              <w:jc w:val="right"/>
              <w:rPr>
                <w:rFonts w:eastAsia="Times New Roman"/>
              </w:rPr>
            </w:pPr>
            <w:r w:rsidRPr="00246C11">
              <w:rPr>
                <w:rFonts w:eastAsia="Times New Roman"/>
              </w:rPr>
              <w:t>US$ 1,562,471</w:t>
            </w:r>
          </w:p>
          <w:p w:rsidR="0032346F" w:rsidRPr="00620829" w:rsidRDefault="0032346F" w:rsidP="0032346F">
            <w:pPr>
              <w:spacing w:after="0" w:line="240" w:lineRule="auto"/>
              <w:jc w:val="right"/>
              <w:rPr>
                <w:rFonts w:eastAsia="Times New Roman"/>
              </w:rPr>
            </w:pP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rPr>
            </w:pPr>
            <w:r>
              <w:rPr>
                <w:rFonts w:eastAsia="Times New Roman"/>
              </w:rPr>
              <w:t>US$ 3,357,262</w:t>
            </w:r>
          </w:p>
        </w:tc>
        <w:tc>
          <w:tcPr>
            <w:tcW w:w="1619" w:type="dxa"/>
            <w:tcBorders>
              <w:top w:val="nil"/>
              <w:left w:val="nil"/>
              <w:bottom w:val="single" w:sz="4" w:space="0" w:color="auto"/>
              <w:right w:val="single" w:sz="4" w:space="0" w:color="auto"/>
            </w:tcBorders>
            <w:shd w:val="clear" w:color="auto" w:fill="FFFFFF"/>
          </w:tcPr>
          <w:p w:rsidR="00FC5AE4" w:rsidRPr="00620829" w:rsidRDefault="0094013E" w:rsidP="00666855">
            <w:pPr>
              <w:spacing w:after="0" w:line="240" w:lineRule="auto"/>
              <w:jc w:val="right"/>
              <w:rPr>
                <w:rFonts w:eastAsia="Times New Roman"/>
              </w:rPr>
            </w:pPr>
            <w:r w:rsidRPr="00246C11">
              <w:rPr>
                <w:rFonts w:eastAsia="Times New Roman"/>
              </w:rPr>
              <w:t>U</w:t>
            </w:r>
            <w:r w:rsidR="00FC5AE4" w:rsidRPr="000C6A0D">
              <w:rPr>
                <w:rFonts w:ascii="DengXian" w:eastAsia="DengXian" w:hAnsi="DengXian" w:hint="eastAsia"/>
                <w:lang w:eastAsia="zh-CN"/>
              </w:rPr>
              <w:t>S</w:t>
            </w:r>
            <w:r w:rsidR="00FC5AE4">
              <w:rPr>
                <w:rFonts w:eastAsia="Times New Roman"/>
              </w:rPr>
              <w:t xml:space="preserve">$ </w:t>
            </w:r>
            <w:r w:rsidR="00FC5AE4" w:rsidRPr="00FC5AE4">
              <w:rPr>
                <w:rFonts w:eastAsia="Times New Roman"/>
              </w:rPr>
              <w:t>2,690,293</w:t>
            </w:r>
          </w:p>
        </w:tc>
        <w:tc>
          <w:tcPr>
            <w:tcW w:w="1846" w:type="dxa"/>
            <w:tcBorders>
              <w:top w:val="nil"/>
              <w:left w:val="nil"/>
              <w:bottom w:val="single" w:sz="4" w:space="0" w:color="auto"/>
              <w:right w:val="single" w:sz="4" w:space="0" w:color="auto"/>
            </w:tcBorders>
            <w:shd w:val="clear" w:color="auto" w:fill="FFFFFF"/>
            <w:hideMark/>
          </w:tcPr>
          <w:p w:rsidR="0032346F" w:rsidRDefault="0032346F" w:rsidP="0032346F">
            <w:pPr>
              <w:spacing w:after="0" w:line="240" w:lineRule="auto"/>
              <w:jc w:val="right"/>
              <w:rPr>
                <w:rFonts w:eastAsia="Times New Roman"/>
              </w:rPr>
            </w:pPr>
            <w:r w:rsidRPr="00246C11">
              <w:rPr>
                <w:rFonts w:eastAsia="Times New Roman"/>
              </w:rPr>
              <w:t xml:space="preserve">US$ 4,500,000 </w:t>
            </w:r>
          </w:p>
          <w:p w:rsidR="008A0434" w:rsidRPr="00246C11" w:rsidRDefault="008A0434" w:rsidP="0032346F">
            <w:pPr>
              <w:spacing w:after="0" w:line="240" w:lineRule="auto"/>
              <w:jc w:val="right"/>
              <w:rPr>
                <w:rFonts w:eastAsia="Times New Roman"/>
              </w:rPr>
            </w:pPr>
            <w:r>
              <w:rPr>
                <w:rFonts w:eastAsia="Times New Roman"/>
              </w:rPr>
              <w:t>(annual)</w:t>
            </w:r>
          </w:p>
          <w:p w:rsidR="0032346F" w:rsidRPr="00620829" w:rsidRDefault="0032346F" w:rsidP="0032346F">
            <w:pPr>
              <w:spacing w:after="0" w:line="240" w:lineRule="auto"/>
              <w:jc w:val="right"/>
              <w:rPr>
                <w:rFonts w:eastAsia="Times New Roman"/>
              </w:rPr>
            </w:pPr>
          </w:p>
        </w:tc>
        <w:tc>
          <w:tcPr>
            <w:tcW w:w="1820" w:type="dxa"/>
            <w:tcBorders>
              <w:top w:val="nil"/>
              <w:left w:val="nil"/>
              <w:bottom w:val="single" w:sz="4" w:space="0" w:color="auto"/>
              <w:right w:val="single" w:sz="4" w:space="0" w:color="auto"/>
            </w:tcBorders>
            <w:shd w:val="clear" w:color="auto" w:fill="FFF2CC"/>
          </w:tcPr>
          <w:p w:rsidR="008A0434" w:rsidRDefault="00FC5AE4" w:rsidP="0032346F">
            <w:pPr>
              <w:spacing w:after="0" w:line="240" w:lineRule="auto"/>
              <w:jc w:val="right"/>
              <w:rPr>
                <w:rFonts w:eastAsia="Times New Roman"/>
              </w:rPr>
            </w:pPr>
            <w:r>
              <w:rPr>
                <w:rFonts w:eastAsia="Times New Roman"/>
              </w:rPr>
              <w:t>67%</w:t>
            </w:r>
            <w:r w:rsidR="008A0434">
              <w:rPr>
                <w:rFonts w:eastAsia="Times New Roman"/>
              </w:rPr>
              <w:t xml:space="preserve"> </w:t>
            </w:r>
          </w:p>
          <w:p w:rsidR="0032346F" w:rsidRPr="00620829" w:rsidRDefault="008A0434" w:rsidP="0032346F">
            <w:pPr>
              <w:spacing w:after="0" w:line="240" w:lineRule="auto"/>
              <w:jc w:val="right"/>
              <w:rPr>
                <w:rFonts w:eastAsia="Times New Roman"/>
              </w:rPr>
            </w:pPr>
            <w:r>
              <w:rPr>
                <w:rFonts w:eastAsia="Times New Roman"/>
              </w:rPr>
              <w:t>(for 2016 and 2017 combined)</w:t>
            </w:r>
          </w:p>
        </w:tc>
      </w:tr>
      <w:tr w:rsidR="0032346F" w:rsidRPr="00620829" w:rsidTr="003B6170">
        <w:trPr>
          <w:trHeight w:val="1808"/>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rPr>
            </w:pPr>
          </w:p>
        </w:tc>
        <w:tc>
          <w:tcPr>
            <w:tcW w:w="1607" w:type="dxa"/>
            <w:tcBorders>
              <w:top w:val="nil"/>
              <w:left w:val="nil"/>
              <w:right w:val="single" w:sz="4" w:space="0" w:color="auto"/>
            </w:tcBorders>
            <w:shd w:val="clear" w:color="auto" w:fill="auto"/>
            <w:hideMark/>
          </w:tcPr>
          <w:p w:rsidR="0032346F" w:rsidRPr="00620829" w:rsidRDefault="0032346F" w:rsidP="0032346F">
            <w:pPr>
              <w:spacing w:after="0" w:line="240" w:lineRule="auto"/>
              <w:rPr>
                <w:rFonts w:eastAsia="Times New Roman"/>
              </w:rPr>
            </w:pPr>
            <w:r>
              <w:t>2.2.2 Percentage of local governments having integrated the resilience dimension in their planning and budgeting processes</w:t>
            </w:r>
          </w:p>
        </w:tc>
        <w:tc>
          <w:tcPr>
            <w:tcW w:w="1619" w:type="dxa"/>
            <w:tcBorders>
              <w:top w:val="nil"/>
              <w:left w:val="nil"/>
              <w:right w:val="single" w:sz="4" w:space="0" w:color="auto"/>
            </w:tcBorders>
            <w:shd w:val="clear" w:color="auto" w:fill="auto"/>
            <w:hideMark/>
          </w:tcPr>
          <w:p w:rsidR="0032346F" w:rsidRPr="00620829" w:rsidRDefault="0032346F" w:rsidP="0032346F">
            <w:pPr>
              <w:spacing w:after="0" w:line="240" w:lineRule="auto"/>
              <w:rPr>
                <w:rFonts w:eastAsia="Times New Roman"/>
              </w:rPr>
            </w:pPr>
            <w:r>
              <w:rPr>
                <w:rFonts w:eastAsia="Times New Roman"/>
              </w:rPr>
              <w:t xml:space="preserve">                 NA</w:t>
            </w:r>
          </w:p>
        </w:tc>
        <w:tc>
          <w:tcPr>
            <w:tcW w:w="1105" w:type="dxa"/>
            <w:tcBorders>
              <w:top w:val="nil"/>
              <w:left w:val="nil"/>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NA</w:t>
            </w:r>
          </w:p>
        </w:tc>
        <w:tc>
          <w:tcPr>
            <w:tcW w:w="1167" w:type="dxa"/>
            <w:tcBorders>
              <w:top w:val="nil"/>
              <w:left w:val="nil"/>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sidRPr="00620829">
              <w:rPr>
                <w:rFonts w:eastAsia="Times New Roman"/>
              </w:rPr>
              <w:t>NA</w:t>
            </w:r>
          </w:p>
        </w:tc>
        <w:tc>
          <w:tcPr>
            <w:tcW w:w="1781" w:type="dxa"/>
            <w:tcBorders>
              <w:top w:val="nil"/>
              <w:left w:val="nil"/>
              <w:right w:val="single" w:sz="4" w:space="0" w:color="auto"/>
            </w:tcBorders>
            <w:shd w:val="clear" w:color="auto" w:fill="FFFFFF"/>
            <w:hideMark/>
          </w:tcPr>
          <w:p w:rsidR="0032346F" w:rsidRPr="00620829" w:rsidRDefault="0032346F" w:rsidP="0032346F">
            <w:pPr>
              <w:spacing w:after="0" w:line="240" w:lineRule="auto"/>
              <w:jc w:val="right"/>
              <w:rPr>
                <w:rFonts w:eastAsia="Times New Roman"/>
              </w:rPr>
            </w:pPr>
            <w:r>
              <w:rPr>
                <w:rFonts w:eastAsia="Times New Roman"/>
              </w:rPr>
              <w:t>68%</w:t>
            </w:r>
          </w:p>
        </w:tc>
        <w:tc>
          <w:tcPr>
            <w:tcW w:w="1619" w:type="dxa"/>
            <w:tcBorders>
              <w:top w:val="nil"/>
              <w:left w:val="nil"/>
              <w:right w:val="single" w:sz="4" w:space="0" w:color="auto"/>
            </w:tcBorders>
            <w:shd w:val="clear" w:color="auto" w:fill="FFFFFF"/>
            <w:hideMark/>
          </w:tcPr>
          <w:p w:rsidR="006A298B" w:rsidRPr="0094013E" w:rsidRDefault="0094013E" w:rsidP="00666855">
            <w:pPr>
              <w:tabs>
                <w:tab w:val="left" w:pos="570"/>
                <w:tab w:val="center" w:pos="703"/>
              </w:tabs>
              <w:spacing w:after="0" w:line="240" w:lineRule="auto"/>
              <w:jc w:val="right"/>
              <w:rPr>
                <w:rFonts w:eastAsia="Times New Roman"/>
              </w:rPr>
            </w:pPr>
            <w:r w:rsidRPr="00666855">
              <w:rPr>
                <w:rFonts w:eastAsia="Times New Roman"/>
              </w:rPr>
              <w:tab/>
            </w:r>
            <w:r w:rsidR="006A298B" w:rsidRPr="00666855">
              <w:rPr>
                <w:rFonts w:eastAsia="Times New Roman"/>
              </w:rPr>
              <w:t>79%</w:t>
            </w:r>
            <w:r w:rsidR="00F357AD">
              <w:rPr>
                <w:rFonts w:eastAsia="Times New Roman"/>
              </w:rPr>
              <w:t xml:space="preserve"> of targeted local governments</w:t>
            </w:r>
          </w:p>
        </w:tc>
        <w:tc>
          <w:tcPr>
            <w:tcW w:w="1846" w:type="dxa"/>
            <w:tcBorders>
              <w:top w:val="nil"/>
              <w:left w:val="nil"/>
              <w:right w:val="single" w:sz="4" w:space="0" w:color="auto"/>
            </w:tcBorders>
            <w:shd w:val="clear" w:color="auto" w:fill="FFFFFF"/>
            <w:hideMark/>
          </w:tcPr>
          <w:p w:rsidR="0032346F" w:rsidRPr="00620829" w:rsidRDefault="0032346F" w:rsidP="0032346F">
            <w:pPr>
              <w:spacing w:after="0" w:line="240" w:lineRule="auto"/>
              <w:jc w:val="right"/>
              <w:rPr>
                <w:rFonts w:eastAsia="Times New Roman"/>
              </w:rPr>
            </w:pPr>
            <w:r>
              <w:rPr>
                <w:rFonts w:eastAsia="Times New Roman"/>
              </w:rPr>
              <w:t xml:space="preserve">80% of </w:t>
            </w:r>
            <w:r w:rsidR="00F357AD">
              <w:rPr>
                <w:rFonts w:eastAsia="Times New Roman"/>
              </w:rPr>
              <w:t>targeted local governments</w:t>
            </w:r>
          </w:p>
        </w:tc>
        <w:tc>
          <w:tcPr>
            <w:tcW w:w="1820" w:type="dxa"/>
            <w:tcBorders>
              <w:top w:val="nil"/>
              <w:left w:val="nil"/>
              <w:right w:val="single" w:sz="4" w:space="0" w:color="auto"/>
            </w:tcBorders>
            <w:shd w:val="clear" w:color="auto" w:fill="E2EFD9"/>
          </w:tcPr>
          <w:p w:rsidR="0032346F" w:rsidRPr="00620829" w:rsidRDefault="009530B9" w:rsidP="0032346F">
            <w:pPr>
              <w:spacing w:after="0" w:line="240" w:lineRule="auto"/>
              <w:jc w:val="right"/>
              <w:rPr>
                <w:rFonts w:eastAsia="Times New Roman"/>
              </w:rPr>
            </w:pPr>
            <w:r>
              <w:rPr>
                <w:rFonts w:eastAsia="Times New Roman"/>
              </w:rPr>
              <w:t>99%</w:t>
            </w:r>
          </w:p>
        </w:tc>
      </w:tr>
      <w:tr w:rsidR="0032346F" w:rsidRPr="00620829" w:rsidTr="00666855">
        <w:trPr>
          <w:trHeight w:val="420"/>
        </w:trPr>
        <w:tc>
          <w:tcPr>
            <w:tcW w:w="14359" w:type="dxa"/>
            <w:gridSpan w:val="9"/>
            <w:tcBorders>
              <w:top w:val="single" w:sz="4" w:space="0" w:color="auto"/>
              <w:left w:val="single" w:sz="4" w:space="0" w:color="auto"/>
              <w:bottom w:val="single" w:sz="4" w:space="0" w:color="auto"/>
              <w:right w:val="single" w:sz="4" w:space="0" w:color="auto"/>
            </w:tcBorders>
            <w:shd w:val="clear" w:color="000000" w:fill="8EA9DB"/>
            <w:hideMark/>
          </w:tcPr>
          <w:p w:rsidR="0032346F" w:rsidRDefault="0032346F" w:rsidP="0032346F">
            <w:pPr>
              <w:spacing w:after="0" w:line="240" w:lineRule="auto"/>
              <w:rPr>
                <w:rFonts w:eastAsia="Times New Roman"/>
                <w:b/>
                <w:bCs/>
              </w:rPr>
            </w:pPr>
            <w:r w:rsidRPr="00620829">
              <w:rPr>
                <w:rFonts w:eastAsia="Times New Roman"/>
                <w:b/>
                <w:bCs/>
              </w:rPr>
              <w:t>Outcome 3:  Policy environments fostered that enable sustainable financing for development</w:t>
            </w:r>
          </w:p>
          <w:p w:rsidR="0032346F" w:rsidRDefault="0032346F" w:rsidP="0032346F">
            <w:pPr>
              <w:spacing w:after="0" w:line="240" w:lineRule="auto"/>
              <w:ind w:left="511"/>
              <w:rPr>
                <w:rFonts w:eastAsia="Times New Roman"/>
                <w:bCs/>
              </w:rPr>
            </w:pPr>
          </w:p>
          <w:p w:rsidR="0032346F" w:rsidRDefault="0032346F" w:rsidP="0032346F">
            <w:pPr>
              <w:spacing w:after="0" w:line="240" w:lineRule="auto"/>
              <w:ind w:left="511"/>
              <w:rPr>
                <w:rFonts w:eastAsia="Times New Roman"/>
                <w:b/>
                <w:bCs/>
              </w:rPr>
            </w:pPr>
          </w:p>
          <w:p w:rsidR="009D6F36" w:rsidRPr="0093461C" w:rsidRDefault="009D6F36" w:rsidP="0032346F">
            <w:pPr>
              <w:spacing w:after="0" w:line="240" w:lineRule="auto"/>
              <w:ind w:left="511"/>
              <w:rPr>
                <w:rFonts w:eastAsia="Times New Roman"/>
                <w:b/>
                <w:bCs/>
              </w:rPr>
            </w:pPr>
          </w:p>
        </w:tc>
      </w:tr>
      <w:tr w:rsidR="0032346F" w:rsidRPr="00620829" w:rsidTr="00666855">
        <w:trPr>
          <w:trHeight w:val="1635"/>
        </w:trPr>
        <w:tc>
          <w:tcPr>
            <w:tcW w:w="3402"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Outcome Indicators</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 xml:space="preserve">Baseline </w:t>
            </w:r>
          </w:p>
          <w:p w:rsidR="0032346F" w:rsidRPr="00620829" w:rsidRDefault="0032346F" w:rsidP="0032346F">
            <w:pPr>
              <w:spacing w:after="0" w:line="240" w:lineRule="auto"/>
              <w:jc w:val="center"/>
              <w:rPr>
                <w:rFonts w:eastAsia="Times New Roman"/>
                <w:b/>
                <w:bCs/>
              </w:rPr>
            </w:pPr>
            <w:r>
              <w:rPr>
                <w:rFonts w:eastAsia="Times New Roman"/>
                <w:b/>
                <w:bCs/>
              </w:rPr>
              <w:t>(2013, if not otherwise specified)</w:t>
            </w:r>
          </w:p>
        </w:tc>
        <w:tc>
          <w:tcPr>
            <w:tcW w:w="1105"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2016</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2017</w:t>
            </w:r>
          </w:p>
        </w:tc>
        <w:tc>
          <w:tcPr>
            <w:tcW w:w="1846"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Cumulative targets</w:t>
            </w:r>
          </w:p>
        </w:tc>
        <w:tc>
          <w:tcPr>
            <w:tcW w:w="1820"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Implementation rate against cumulative target</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lastRenderedPageBreak/>
              <w:t>Inclusive Finance</w:t>
            </w:r>
          </w:p>
        </w:tc>
      </w:tr>
      <w:tr w:rsidR="0032346F" w:rsidRPr="00620829" w:rsidTr="003B6170">
        <w:trPr>
          <w:trHeight w:val="125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2346F" w:rsidRPr="00620829" w:rsidRDefault="0032346F" w:rsidP="0032346F">
            <w:pPr>
              <w:spacing w:after="0" w:line="240" w:lineRule="auto"/>
              <w:rPr>
                <w:rFonts w:eastAsia="Times New Roman"/>
              </w:rPr>
            </w:pPr>
            <w:r w:rsidRPr="00493F12">
              <w:rPr>
                <w:rFonts w:eastAsia="Times New Roman"/>
              </w:rPr>
              <w:t xml:space="preserve">3.a Number of national inclusive finance road maps, action plans, national strategies or policy </w:t>
            </w:r>
            <w:proofErr w:type="spellStart"/>
            <w:r w:rsidRPr="00493F12">
              <w:rPr>
                <w:rFonts w:eastAsia="Times New Roman"/>
              </w:rPr>
              <w:t>change</w:t>
            </w:r>
            <w:r>
              <w:rPr>
                <w:rFonts w:eastAsia="Times New Roman"/>
              </w:rPr>
              <w:t>Num</w:t>
            </w:r>
            <w:r w:rsidRPr="00493F12">
              <w:rPr>
                <w:rFonts w:eastAsia="Times New Roman"/>
              </w:rPr>
              <w:t>s</w:t>
            </w:r>
            <w:proofErr w:type="spellEnd"/>
            <w:r w:rsidRPr="00493F12">
              <w:rPr>
                <w:rFonts w:eastAsia="Times New Roman"/>
              </w:rPr>
              <w:t xml:space="preserve"> adopted by host government</w:t>
            </w:r>
            <w:r>
              <w:rPr>
                <w:rFonts w:eastAsia="Times New Roman"/>
              </w:rPr>
              <w:t>.</w:t>
            </w: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0</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rPr>
            </w:pPr>
            <w:r>
              <w:rPr>
                <w:rFonts w:eastAsia="Times New Roman"/>
              </w:rPr>
              <w:t>5</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5</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rPr>
            </w:pPr>
            <w:r>
              <w:rPr>
                <w:rFonts w:eastAsia="Times New Roman"/>
              </w:rPr>
              <w:t>10</w:t>
            </w:r>
          </w:p>
        </w:tc>
        <w:tc>
          <w:tcPr>
            <w:tcW w:w="1619" w:type="dxa"/>
            <w:tcBorders>
              <w:top w:val="nil"/>
              <w:left w:val="nil"/>
              <w:bottom w:val="single" w:sz="4" w:space="0" w:color="auto"/>
              <w:right w:val="single" w:sz="4" w:space="0" w:color="auto"/>
            </w:tcBorders>
            <w:shd w:val="clear" w:color="auto" w:fill="FFFFFF"/>
          </w:tcPr>
          <w:p w:rsidR="00C01035" w:rsidRPr="0094013E" w:rsidRDefault="00C01035" w:rsidP="00666855">
            <w:pPr>
              <w:spacing w:after="0" w:line="240" w:lineRule="auto"/>
              <w:jc w:val="right"/>
              <w:rPr>
                <w:rFonts w:eastAsia="Times New Roman"/>
              </w:rPr>
            </w:pPr>
            <w:r w:rsidRPr="00666855">
              <w:rPr>
                <w:rFonts w:eastAsia="Times New Roman"/>
              </w:rPr>
              <w:t>9</w:t>
            </w:r>
          </w:p>
        </w:tc>
        <w:tc>
          <w:tcPr>
            <w:tcW w:w="1846"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color w:val="000000"/>
              </w:rPr>
            </w:pPr>
            <w:r>
              <w:rPr>
                <w:rFonts w:eastAsia="Times New Roman"/>
              </w:rPr>
              <w:t>20</w:t>
            </w:r>
          </w:p>
        </w:tc>
        <w:tc>
          <w:tcPr>
            <w:tcW w:w="1820" w:type="dxa"/>
            <w:tcBorders>
              <w:top w:val="nil"/>
              <w:left w:val="nil"/>
              <w:bottom w:val="single" w:sz="4" w:space="0" w:color="auto"/>
              <w:right w:val="single" w:sz="4" w:space="0" w:color="auto"/>
            </w:tcBorders>
            <w:shd w:val="clear" w:color="auto" w:fill="E2EFD9"/>
          </w:tcPr>
          <w:p w:rsidR="0032346F" w:rsidRPr="00620829" w:rsidRDefault="00C02F6C" w:rsidP="0032346F">
            <w:pPr>
              <w:spacing w:after="0" w:line="240" w:lineRule="auto"/>
              <w:jc w:val="right"/>
              <w:rPr>
                <w:rFonts w:eastAsia="Times New Roman"/>
                <w:color w:val="000000"/>
              </w:rPr>
            </w:pPr>
            <w:r>
              <w:rPr>
                <w:rFonts w:eastAsia="Times New Roman"/>
                <w:color w:val="000000"/>
              </w:rPr>
              <w:t>145%</w:t>
            </w:r>
          </w:p>
        </w:tc>
      </w:tr>
      <w:tr w:rsidR="0032346F" w:rsidRPr="00620829" w:rsidTr="003B6170">
        <w:trPr>
          <w:trHeight w:val="152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32346F" w:rsidRPr="00620829" w:rsidRDefault="0032346F" w:rsidP="0032346F">
            <w:pPr>
              <w:spacing w:after="0" w:line="240" w:lineRule="auto"/>
              <w:ind w:left="240"/>
              <w:rPr>
                <w:rFonts w:eastAsia="Times New Roman"/>
              </w:rPr>
            </w:pPr>
            <w:r w:rsidRPr="003237B6">
              <w:rPr>
                <w:u w:val="single"/>
              </w:rPr>
              <w:t xml:space="preserve">Sub indicator 3.a.1 </w:t>
            </w:r>
            <w:r w:rsidRPr="00026534">
              <w:t>Percentage of national inclusive finance road maps, action plans, national strategies adopted by host government that address</w:t>
            </w:r>
            <w:r w:rsidRPr="003237B6">
              <w:rPr>
                <w:color w:val="FF0000"/>
              </w:rPr>
              <w:t xml:space="preserve"> </w:t>
            </w:r>
            <w:r w:rsidRPr="00A83AD8">
              <w:t>gender issues (%)</w:t>
            </w:r>
          </w:p>
        </w:tc>
        <w:tc>
          <w:tcPr>
            <w:tcW w:w="1619"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NA</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32346F" w:rsidRPr="00620829" w:rsidRDefault="00721DAB" w:rsidP="0032346F">
            <w:pPr>
              <w:spacing w:after="0" w:line="240" w:lineRule="auto"/>
              <w:jc w:val="right"/>
              <w:rPr>
                <w:rFonts w:eastAsia="Times New Roman"/>
              </w:rPr>
            </w:pPr>
            <w:r>
              <w:rPr>
                <w:rFonts w:eastAsia="Times New Roman"/>
              </w:rPr>
              <w:t>71%</w:t>
            </w:r>
          </w:p>
        </w:tc>
        <w:tc>
          <w:tcPr>
            <w:tcW w:w="1619" w:type="dxa"/>
            <w:tcBorders>
              <w:top w:val="nil"/>
              <w:left w:val="nil"/>
              <w:bottom w:val="single" w:sz="4" w:space="0" w:color="auto"/>
              <w:right w:val="single" w:sz="4" w:space="0" w:color="auto"/>
            </w:tcBorders>
            <w:shd w:val="clear" w:color="auto" w:fill="FFFFFF"/>
          </w:tcPr>
          <w:p w:rsidR="003A6610" w:rsidRPr="0094013E" w:rsidRDefault="003A6610" w:rsidP="00666855">
            <w:pPr>
              <w:spacing w:after="0" w:line="240" w:lineRule="auto"/>
              <w:jc w:val="right"/>
              <w:rPr>
                <w:rFonts w:eastAsia="Times New Roman"/>
              </w:rPr>
            </w:pPr>
            <w:r w:rsidRPr="00666855">
              <w:rPr>
                <w:rFonts w:eastAsia="Times New Roman"/>
              </w:rPr>
              <w:t>82%</w:t>
            </w:r>
          </w:p>
        </w:tc>
        <w:tc>
          <w:tcPr>
            <w:tcW w:w="1846"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rPr>
            </w:pPr>
            <w:r>
              <w:rPr>
                <w:rFonts w:eastAsia="Times New Roman"/>
              </w:rPr>
              <w:t>100%</w:t>
            </w:r>
          </w:p>
        </w:tc>
        <w:tc>
          <w:tcPr>
            <w:tcW w:w="1820" w:type="dxa"/>
            <w:tcBorders>
              <w:top w:val="nil"/>
              <w:left w:val="nil"/>
              <w:bottom w:val="single" w:sz="4" w:space="0" w:color="auto"/>
              <w:right w:val="single" w:sz="4" w:space="0" w:color="auto"/>
            </w:tcBorders>
            <w:shd w:val="clear" w:color="auto" w:fill="E2EFD9"/>
          </w:tcPr>
          <w:p w:rsidR="0032346F" w:rsidRPr="00620829" w:rsidRDefault="00753726" w:rsidP="0032346F">
            <w:pPr>
              <w:spacing w:after="0" w:line="240" w:lineRule="auto"/>
              <w:jc w:val="right"/>
              <w:rPr>
                <w:rFonts w:eastAsia="Times New Roman"/>
                <w:color w:val="000000"/>
              </w:rPr>
            </w:pPr>
            <w:r>
              <w:rPr>
                <w:rFonts w:eastAsia="Times New Roman"/>
                <w:color w:val="000000"/>
              </w:rPr>
              <w:t>82%</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 xml:space="preserve">Local Development Finance </w:t>
            </w:r>
          </w:p>
        </w:tc>
      </w:tr>
      <w:tr w:rsidR="0032346F" w:rsidRPr="00620829" w:rsidTr="003B6170">
        <w:trPr>
          <w:trHeight w:val="135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2346F" w:rsidRPr="00620829" w:rsidRDefault="0032346F" w:rsidP="0032346F">
            <w:pPr>
              <w:spacing w:after="0" w:line="240" w:lineRule="auto"/>
              <w:rPr>
                <w:rFonts w:eastAsia="Times New Roman"/>
              </w:rPr>
            </w:pPr>
            <w:r w:rsidRPr="00493F12">
              <w:rPr>
                <w:rFonts w:eastAsia="Times New Roman"/>
              </w:rPr>
              <w:t>3. b. Number of national strategies, action plans, policy or regulatory changes for local development finance adopted by host government</w:t>
            </w: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Pr>
                <w:rFonts w:eastAsia="Times New Roman"/>
              </w:rPr>
              <w:t xml:space="preserve">                 2</w:t>
            </w:r>
            <w:r w:rsidRPr="00620829">
              <w:rPr>
                <w:rFonts w:eastAsia="Times New Roman"/>
              </w:rPr>
              <w:t xml:space="preserve">   </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16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sidRPr="00620829">
              <w:rPr>
                <w:rFonts w:eastAsia="Times New Roman"/>
                <w:color w:val="000000"/>
              </w:rPr>
              <w:t>NA</w:t>
            </w:r>
          </w:p>
        </w:tc>
        <w:tc>
          <w:tcPr>
            <w:tcW w:w="1781" w:type="dxa"/>
            <w:tcBorders>
              <w:top w:val="nil"/>
              <w:left w:val="nil"/>
              <w:bottom w:val="single" w:sz="4" w:space="0" w:color="auto"/>
              <w:right w:val="single" w:sz="4" w:space="0" w:color="auto"/>
            </w:tcBorders>
            <w:shd w:val="clear" w:color="auto" w:fill="FFFFFF"/>
            <w:hideMark/>
          </w:tcPr>
          <w:p w:rsidR="0032346F" w:rsidRPr="00666855" w:rsidRDefault="0032346F" w:rsidP="0032346F">
            <w:pPr>
              <w:tabs>
                <w:tab w:val="center" w:pos="734"/>
                <w:tab w:val="right" w:pos="1469"/>
              </w:tabs>
              <w:spacing w:after="0" w:line="240" w:lineRule="auto"/>
              <w:jc w:val="right"/>
              <w:rPr>
                <w:rFonts w:eastAsia="Times New Roman"/>
              </w:rPr>
            </w:pPr>
            <w:r w:rsidRPr="00666855">
              <w:rPr>
                <w:rFonts w:eastAsia="Times New Roman"/>
              </w:rPr>
              <w:t>16</w:t>
            </w:r>
          </w:p>
          <w:p w:rsidR="0032346F" w:rsidRPr="00666855" w:rsidRDefault="0032346F" w:rsidP="0032346F">
            <w:pPr>
              <w:tabs>
                <w:tab w:val="center" w:pos="734"/>
                <w:tab w:val="right" w:pos="1469"/>
              </w:tabs>
              <w:spacing w:after="0" w:line="240" w:lineRule="auto"/>
              <w:jc w:val="right"/>
              <w:rPr>
                <w:rFonts w:eastAsia="Times New Roman"/>
              </w:rPr>
            </w:pPr>
            <w:r w:rsidRPr="00666855">
              <w:rPr>
                <w:rFonts w:eastAsia="Times New Roman"/>
              </w:rPr>
              <w:t>(</w:t>
            </w:r>
            <w:r w:rsidR="0094013E" w:rsidRPr="00666855">
              <w:rPr>
                <w:rFonts w:eastAsia="Times New Roman"/>
              </w:rPr>
              <w:t>2014-2016</w:t>
            </w:r>
            <w:r w:rsidRPr="00666855">
              <w:rPr>
                <w:rFonts w:eastAsia="Times New Roman"/>
              </w:rPr>
              <w:t>)</w:t>
            </w:r>
          </w:p>
        </w:tc>
        <w:tc>
          <w:tcPr>
            <w:tcW w:w="1619" w:type="dxa"/>
            <w:tcBorders>
              <w:top w:val="nil"/>
              <w:left w:val="nil"/>
              <w:bottom w:val="single" w:sz="4" w:space="0" w:color="auto"/>
              <w:right w:val="single" w:sz="4" w:space="0" w:color="auto"/>
            </w:tcBorders>
            <w:shd w:val="clear" w:color="auto" w:fill="FFFFFF"/>
          </w:tcPr>
          <w:p w:rsidR="00FB5394" w:rsidRPr="00666855" w:rsidRDefault="0094013E" w:rsidP="00666855">
            <w:pPr>
              <w:tabs>
                <w:tab w:val="left" w:pos="570"/>
                <w:tab w:val="center" w:pos="703"/>
                <w:tab w:val="center" w:pos="734"/>
                <w:tab w:val="right" w:pos="1469"/>
              </w:tabs>
              <w:spacing w:after="0" w:line="240" w:lineRule="auto"/>
              <w:jc w:val="right"/>
              <w:rPr>
                <w:rFonts w:eastAsia="Times New Roman"/>
              </w:rPr>
            </w:pPr>
            <w:r w:rsidRPr="00666855">
              <w:rPr>
                <w:rFonts w:eastAsia="Times New Roman"/>
              </w:rPr>
              <w:tab/>
            </w:r>
            <w:r w:rsidR="00FB5394" w:rsidRPr="00666855">
              <w:rPr>
                <w:rFonts w:eastAsia="Times New Roman"/>
              </w:rPr>
              <w:t>14</w:t>
            </w:r>
          </w:p>
        </w:tc>
        <w:tc>
          <w:tcPr>
            <w:tcW w:w="1846" w:type="dxa"/>
            <w:tcBorders>
              <w:top w:val="nil"/>
              <w:left w:val="nil"/>
              <w:bottom w:val="single" w:sz="4" w:space="0" w:color="auto"/>
              <w:right w:val="single" w:sz="4" w:space="0" w:color="auto"/>
            </w:tcBorders>
            <w:shd w:val="clear" w:color="auto" w:fill="FFFFFF"/>
            <w:hideMark/>
          </w:tcPr>
          <w:p w:rsidR="0032346F" w:rsidRPr="00666855" w:rsidRDefault="0032346F" w:rsidP="0032346F">
            <w:pPr>
              <w:spacing w:after="0" w:line="240" w:lineRule="auto"/>
              <w:jc w:val="right"/>
              <w:rPr>
                <w:rFonts w:eastAsia="Times New Roman"/>
              </w:rPr>
            </w:pPr>
            <w:r w:rsidRPr="00666855">
              <w:rPr>
                <w:rFonts w:eastAsia="Times New Roman"/>
              </w:rPr>
              <w:t>10</w:t>
            </w:r>
          </w:p>
        </w:tc>
        <w:tc>
          <w:tcPr>
            <w:tcW w:w="1820" w:type="dxa"/>
            <w:tcBorders>
              <w:top w:val="nil"/>
              <w:left w:val="nil"/>
              <w:bottom w:val="single" w:sz="4" w:space="0" w:color="auto"/>
              <w:right w:val="single" w:sz="4" w:space="0" w:color="auto"/>
            </w:tcBorders>
            <w:shd w:val="clear" w:color="auto" w:fill="E2EFD9"/>
          </w:tcPr>
          <w:p w:rsidR="0032346F" w:rsidRPr="00666855" w:rsidRDefault="00C345B6" w:rsidP="0032346F">
            <w:pPr>
              <w:spacing w:after="0" w:line="240" w:lineRule="auto"/>
              <w:jc w:val="right"/>
              <w:rPr>
                <w:rFonts w:eastAsia="Times New Roman"/>
              </w:rPr>
            </w:pPr>
            <w:r w:rsidRPr="00666855">
              <w:rPr>
                <w:rFonts w:eastAsia="Times New Roman"/>
              </w:rPr>
              <w:t>300%</w:t>
            </w:r>
          </w:p>
        </w:tc>
      </w:tr>
      <w:tr w:rsidR="0032346F" w:rsidRPr="00620829" w:rsidTr="003B6170">
        <w:trPr>
          <w:trHeight w:val="179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tcPr>
          <w:p w:rsidR="0032346F" w:rsidRPr="00620829" w:rsidRDefault="0032346F" w:rsidP="0032346F">
            <w:pPr>
              <w:pStyle w:val="TableParagraph"/>
              <w:spacing w:before="60" w:after="60"/>
              <w:ind w:left="420" w:right="214"/>
              <w:rPr>
                <w:rFonts w:eastAsia="Times New Roman"/>
              </w:rPr>
            </w:pPr>
            <w:r w:rsidRPr="003237B6">
              <w:rPr>
                <w:u w:val="single"/>
              </w:rPr>
              <w:t xml:space="preserve">Sub indicator 3.b.1 </w:t>
            </w:r>
            <w:r w:rsidRPr="00026534">
              <w:t xml:space="preserve">Percentage of national strategies, action plans, policy or regulatory changes for local development finance adopted by host government that address </w:t>
            </w:r>
            <w:r w:rsidRPr="00A83AD8">
              <w:t>gender issues (%)</w:t>
            </w:r>
          </w:p>
        </w:tc>
        <w:tc>
          <w:tcPr>
            <w:tcW w:w="1619"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rPr>
            </w:pPr>
            <w:r>
              <w:rPr>
                <w:rFonts w:eastAsia="Times New Roman"/>
              </w:rPr>
              <w:t>NA</w:t>
            </w:r>
          </w:p>
        </w:tc>
        <w:tc>
          <w:tcPr>
            <w:tcW w:w="1105"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rPr>
              <w:t>NA</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rPr>
              <w:t>NA</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rPr>
              <w:t>NA</w:t>
            </w:r>
          </w:p>
        </w:tc>
        <w:tc>
          <w:tcPr>
            <w:tcW w:w="1619" w:type="dxa"/>
            <w:tcBorders>
              <w:top w:val="nil"/>
              <w:left w:val="nil"/>
              <w:bottom w:val="single" w:sz="4" w:space="0" w:color="auto"/>
              <w:right w:val="single" w:sz="4" w:space="0" w:color="auto"/>
            </w:tcBorders>
            <w:shd w:val="clear" w:color="auto" w:fill="FFFFFF"/>
          </w:tcPr>
          <w:p w:rsidR="00F263CD" w:rsidRPr="00666855" w:rsidRDefault="00F263CD" w:rsidP="00666855">
            <w:pPr>
              <w:spacing w:after="0" w:line="240" w:lineRule="auto"/>
              <w:jc w:val="right"/>
              <w:rPr>
                <w:rFonts w:eastAsia="Times New Roman"/>
              </w:rPr>
            </w:pPr>
            <w:r w:rsidRPr="00666855">
              <w:rPr>
                <w:rFonts w:eastAsia="Times New Roman"/>
              </w:rPr>
              <w:t>43%</w:t>
            </w:r>
          </w:p>
        </w:tc>
        <w:tc>
          <w:tcPr>
            <w:tcW w:w="1846" w:type="dxa"/>
            <w:tcBorders>
              <w:top w:val="nil"/>
              <w:left w:val="nil"/>
              <w:bottom w:val="single" w:sz="4" w:space="0" w:color="auto"/>
              <w:right w:val="single" w:sz="4" w:space="0" w:color="auto"/>
            </w:tcBorders>
            <w:shd w:val="clear" w:color="auto" w:fill="FFFFFF"/>
          </w:tcPr>
          <w:p w:rsidR="0032346F" w:rsidRPr="00666855" w:rsidRDefault="00F263CD" w:rsidP="0032346F">
            <w:pPr>
              <w:spacing w:after="0" w:line="240" w:lineRule="auto"/>
              <w:jc w:val="right"/>
              <w:rPr>
                <w:rFonts w:eastAsia="Times New Roman"/>
                <w:color w:val="000000"/>
              </w:rPr>
            </w:pPr>
            <w:r w:rsidRPr="0094013E">
              <w:rPr>
                <w:rFonts w:eastAsia="Times New Roman"/>
              </w:rPr>
              <w:t>50%</w:t>
            </w:r>
          </w:p>
        </w:tc>
        <w:tc>
          <w:tcPr>
            <w:tcW w:w="1820" w:type="dxa"/>
            <w:tcBorders>
              <w:top w:val="nil"/>
              <w:left w:val="nil"/>
              <w:bottom w:val="single" w:sz="4" w:space="0" w:color="auto"/>
              <w:right w:val="single" w:sz="4" w:space="0" w:color="auto"/>
            </w:tcBorders>
            <w:shd w:val="clear" w:color="auto" w:fill="E2EFD9"/>
          </w:tcPr>
          <w:p w:rsidR="0032346F" w:rsidRPr="00620829" w:rsidRDefault="00F263CD" w:rsidP="0032346F">
            <w:pPr>
              <w:spacing w:after="0" w:line="240" w:lineRule="auto"/>
              <w:jc w:val="right"/>
              <w:rPr>
                <w:rFonts w:eastAsia="Times New Roman"/>
                <w:color w:val="000000"/>
              </w:rPr>
            </w:pPr>
            <w:r>
              <w:rPr>
                <w:rFonts w:eastAsia="Times New Roman"/>
                <w:color w:val="000000"/>
              </w:rPr>
              <w:t>86%</w:t>
            </w:r>
          </w:p>
        </w:tc>
      </w:tr>
      <w:tr w:rsidR="0032346F" w:rsidRPr="00620829" w:rsidTr="00666855">
        <w:trPr>
          <w:trHeight w:val="1232"/>
        </w:trPr>
        <w:tc>
          <w:tcPr>
            <w:tcW w:w="1795" w:type="dxa"/>
            <w:tcBorders>
              <w:top w:val="nil"/>
              <w:left w:val="single" w:sz="4" w:space="0" w:color="auto"/>
              <w:bottom w:val="single" w:sz="4" w:space="0" w:color="auto"/>
              <w:right w:val="single" w:sz="4" w:space="0" w:color="auto"/>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Outputs</w:t>
            </w:r>
          </w:p>
        </w:tc>
        <w:tc>
          <w:tcPr>
            <w:tcW w:w="1607"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rPr>
                <w:rFonts w:eastAsia="Times New Roman"/>
                <w:b/>
                <w:bCs/>
              </w:rPr>
            </w:pPr>
            <w:r w:rsidRPr="00620829">
              <w:rPr>
                <w:rFonts w:eastAsia="Times New Roman"/>
                <w:b/>
                <w:bCs/>
              </w:rPr>
              <w:t>Output Indicators</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 xml:space="preserve">Baseline </w:t>
            </w:r>
          </w:p>
          <w:p w:rsidR="0032346F" w:rsidRPr="00620829" w:rsidRDefault="0032346F" w:rsidP="0032346F">
            <w:pPr>
              <w:spacing w:after="0" w:line="240" w:lineRule="auto"/>
              <w:jc w:val="center"/>
              <w:rPr>
                <w:rFonts w:eastAsia="Times New Roman"/>
                <w:b/>
                <w:bCs/>
              </w:rPr>
            </w:pPr>
            <w:r>
              <w:rPr>
                <w:rFonts w:eastAsia="Times New Roman"/>
                <w:b/>
                <w:bCs/>
              </w:rPr>
              <w:t>(2013, if not otherwise specified)</w:t>
            </w:r>
          </w:p>
        </w:tc>
        <w:tc>
          <w:tcPr>
            <w:tcW w:w="1105"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167"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781"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2016</w:t>
            </w:r>
          </w:p>
        </w:tc>
        <w:tc>
          <w:tcPr>
            <w:tcW w:w="1619" w:type="dxa"/>
            <w:tcBorders>
              <w:top w:val="nil"/>
              <w:left w:val="nil"/>
              <w:bottom w:val="single" w:sz="4" w:space="0" w:color="auto"/>
              <w:right w:val="single" w:sz="4" w:space="0" w:color="auto"/>
            </w:tcBorders>
            <w:shd w:val="clear" w:color="000000" w:fill="D9D9D9"/>
            <w:hideMark/>
          </w:tcPr>
          <w:p w:rsidR="0032346F" w:rsidRDefault="0032346F" w:rsidP="0032346F">
            <w:pPr>
              <w:spacing w:after="0" w:line="240" w:lineRule="auto"/>
              <w:jc w:val="center"/>
              <w:rPr>
                <w:rFonts w:eastAsia="Times New Roman"/>
                <w:b/>
                <w:bCs/>
              </w:rPr>
            </w:pPr>
            <w:r w:rsidRPr="00620829">
              <w:rPr>
                <w:rFonts w:eastAsia="Times New Roman"/>
                <w:b/>
                <w:bCs/>
              </w:rPr>
              <w:t>Actual</w:t>
            </w:r>
          </w:p>
          <w:p w:rsidR="0032346F" w:rsidRPr="00620829" w:rsidRDefault="0032346F" w:rsidP="0032346F">
            <w:pPr>
              <w:spacing w:after="0" w:line="240" w:lineRule="auto"/>
              <w:jc w:val="center"/>
              <w:rPr>
                <w:rFonts w:eastAsia="Times New Roman"/>
                <w:b/>
                <w:bCs/>
              </w:rPr>
            </w:pPr>
            <w:r>
              <w:rPr>
                <w:rFonts w:eastAsia="Times New Roman"/>
                <w:b/>
                <w:bCs/>
              </w:rPr>
              <w:t>2017</w:t>
            </w:r>
          </w:p>
        </w:tc>
        <w:tc>
          <w:tcPr>
            <w:tcW w:w="1846"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Cumulative targets</w:t>
            </w:r>
          </w:p>
        </w:tc>
        <w:tc>
          <w:tcPr>
            <w:tcW w:w="1820" w:type="dxa"/>
            <w:tcBorders>
              <w:top w:val="nil"/>
              <w:left w:val="nil"/>
              <w:bottom w:val="single" w:sz="4" w:space="0" w:color="auto"/>
              <w:right w:val="single" w:sz="4" w:space="0" w:color="auto"/>
            </w:tcBorders>
            <w:shd w:val="clear" w:color="000000" w:fill="D9D9D9"/>
            <w:hideMark/>
          </w:tcPr>
          <w:p w:rsidR="0032346F" w:rsidRPr="00620829" w:rsidRDefault="0032346F" w:rsidP="0032346F">
            <w:pPr>
              <w:spacing w:after="0" w:line="240" w:lineRule="auto"/>
              <w:jc w:val="center"/>
              <w:rPr>
                <w:rFonts w:eastAsia="Times New Roman"/>
                <w:b/>
                <w:bCs/>
              </w:rPr>
            </w:pPr>
            <w:r w:rsidRPr="00620829">
              <w:rPr>
                <w:rFonts w:eastAsia="Times New Roman"/>
                <w:b/>
                <w:bCs/>
              </w:rPr>
              <w:t>Implementation rate against cumulative target</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Inclusive Finance</w:t>
            </w:r>
          </w:p>
        </w:tc>
      </w:tr>
      <w:tr w:rsidR="0032346F" w:rsidRPr="00620829" w:rsidTr="003B6170">
        <w:trPr>
          <w:trHeight w:val="915"/>
        </w:trPr>
        <w:tc>
          <w:tcPr>
            <w:tcW w:w="1795" w:type="dxa"/>
            <w:vMerge w:val="restart"/>
            <w:tcBorders>
              <w:top w:val="nil"/>
              <w:left w:val="single" w:sz="4" w:space="0" w:color="auto"/>
              <w:bottom w:val="single" w:sz="4" w:space="0" w:color="000000"/>
              <w:right w:val="single" w:sz="4" w:space="0" w:color="auto"/>
            </w:tcBorders>
            <w:shd w:val="clear" w:color="000000" w:fill="FFFFFF"/>
            <w:hideMark/>
          </w:tcPr>
          <w:p w:rsidR="0032346F" w:rsidRDefault="0032346F" w:rsidP="0032346F">
            <w:pPr>
              <w:spacing w:after="0" w:line="240" w:lineRule="auto"/>
              <w:rPr>
                <w:rFonts w:eastAsia="Times New Roman"/>
                <w:color w:val="000000"/>
              </w:rPr>
            </w:pPr>
            <w:r w:rsidRPr="00620829">
              <w:rPr>
                <w:rFonts w:eastAsia="Times New Roman"/>
                <w:b/>
                <w:bCs/>
                <w:color w:val="000000"/>
              </w:rPr>
              <w:lastRenderedPageBreak/>
              <w:t xml:space="preserve">Output 3.1     </w:t>
            </w:r>
            <w:r w:rsidRPr="00620829">
              <w:rPr>
                <w:rFonts w:eastAsia="Times New Roman"/>
                <w:color w:val="000000"/>
              </w:rPr>
              <w:t xml:space="preserve">                     UNCDF- funded diagnostic </w:t>
            </w:r>
          </w:p>
          <w:p w:rsidR="0032346F" w:rsidRPr="00620829" w:rsidRDefault="0094013E" w:rsidP="0032346F">
            <w:pPr>
              <w:spacing w:after="0" w:line="240" w:lineRule="auto"/>
              <w:rPr>
                <w:rFonts w:eastAsia="Times New Roman"/>
                <w:color w:val="000000"/>
              </w:rPr>
            </w:pPr>
            <w:r>
              <w:rPr>
                <w:rFonts w:eastAsia="Times New Roman"/>
                <w:color w:val="000000"/>
              </w:rPr>
              <w:t>t</w:t>
            </w:r>
            <w:r w:rsidRPr="00620829">
              <w:rPr>
                <w:rFonts w:eastAsia="Times New Roman"/>
                <w:color w:val="000000"/>
              </w:rPr>
              <w:t>ools</w:t>
            </w:r>
            <w:r>
              <w:rPr>
                <w:rFonts w:eastAsia="Times New Roman"/>
                <w:color w:val="000000"/>
              </w:rPr>
              <w:t xml:space="preserve"> &amp; </w:t>
            </w:r>
            <w:r w:rsidR="0032346F" w:rsidRPr="00620829">
              <w:rPr>
                <w:rFonts w:eastAsia="Times New Roman"/>
                <w:color w:val="000000"/>
              </w:rPr>
              <w:t xml:space="preserve">advocacy </w:t>
            </w:r>
            <w:r w:rsidR="0011255E" w:rsidRPr="00620829">
              <w:rPr>
                <w:rFonts w:eastAsia="Times New Roman"/>
                <w:color w:val="000000"/>
              </w:rPr>
              <w:t>initiatives</w:t>
            </w:r>
            <w:r w:rsidR="0032346F" w:rsidRPr="00620829">
              <w:rPr>
                <w:rFonts w:eastAsia="Times New Roman"/>
                <w:color w:val="000000"/>
              </w:rPr>
              <w:t xml:space="preserve"> provide a key contribution to shaping national governments’ agendas on financial inclusion </w:t>
            </w: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sidRPr="00620829">
              <w:rPr>
                <w:rFonts w:eastAsia="Times New Roman"/>
              </w:rPr>
              <w:t xml:space="preserve">3.1.1 Number of diagnostics </w:t>
            </w:r>
            <w:r>
              <w:rPr>
                <w:rFonts w:eastAsia="Times New Roman"/>
              </w:rPr>
              <w:t xml:space="preserve">on financial inclusion </w:t>
            </w:r>
            <w:r w:rsidRPr="00620829">
              <w:rPr>
                <w:rFonts w:eastAsia="Times New Roman"/>
              </w:rPr>
              <w:t>completed (public goods)</w:t>
            </w: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0</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9</w:t>
            </w:r>
          </w:p>
        </w:tc>
        <w:tc>
          <w:tcPr>
            <w:tcW w:w="116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24</w:t>
            </w:r>
          </w:p>
        </w:tc>
        <w:tc>
          <w:tcPr>
            <w:tcW w:w="1781"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33</w:t>
            </w:r>
          </w:p>
        </w:tc>
        <w:tc>
          <w:tcPr>
            <w:tcW w:w="1619" w:type="dxa"/>
            <w:tcBorders>
              <w:top w:val="nil"/>
              <w:left w:val="nil"/>
              <w:bottom w:val="single" w:sz="4" w:space="0" w:color="auto"/>
              <w:right w:val="single" w:sz="4" w:space="0" w:color="auto"/>
            </w:tcBorders>
            <w:shd w:val="clear" w:color="auto" w:fill="FFFFFF"/>
          </w:tcPr>
          <w:p w:rsidR="00E76D1F" w:rsidRPr="00666855" w:rsidRDefault="00E76D1F" w:rsidP="00666855">
            <w:pPr>
              <w:spacing w:after="0" w:line="240" w:lineRule="auto"/>
              <w:jc w:val="right"/>
              <w:rPr>
                <w:rFonts w:eastAsia="Times New Roman"/>
              </w:rPr>
            </w:pPr>
            <w:r w:rsidRPr="00666855">
              <w:rPr>
                <w:rFonts w:eastAsia="Times New Roman"/>
              </w:rPr>
              <w:t>30</w:t>
            </w:r>
          </w:p>
        </w:tc>
        <w:tc>
          <w:tcPr>
            <w:tcW w:w="1846"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35</w:t>
            </w:r>
          </w:p>
        </w:tc>
        <w:tc>
          <w:tcPr>
            <w:tcW w:w="1820" w:type="dxa"/>
            <w:tcBorders>
              <w:top w:val="nil"/>
              <w:left w:val="nil"/>
              <w:bottom w:val="single" w:sz="4" w:space="0" w:color="auto"/>
              <w:right w:val="single" w:sz="4" w:space="0" w:color="auto"/>
            </w:tcBorders>
            <w:shd w:val="clear" w:color="auto" w:fill="E2EFD9"/>
          </w:tcPr>
          <w:p w:rsidR="0032346F" w:rsidRPr="00620829" w:rsidRDefault="00E76D1F" w:rsidP="0032346F">
            <w:pPr>
              <w:spacing w:after="0" w:line="240" w:lineRule="auto"/>
              <w:jc w:val="right"/>
              <w:rPr>
                <w:rFonts w:eastAsia="Times New Roman"/>
                <w:color w:val="000000"/>
              </w:rPr>
            </w:pPr>
            <w:r>
              <w:rPr>
                <w:rFonts w:eastAsia="Times New Roman"/>
                <w:color w:val="000000"/>
              </w:rPr>
              <w:t>274%</w:t>
            </w:r>
          </w:p>
        </w:tc>
      </w:tr>
      <w:tr w:rsidR="0032346F" w:rsidRPr="00620829" w:rsidTr="003B6170">
        <w:trPr>
          <w:trHeight w:val="915"/>
        </w:trPr>
        <w:tc>
          <w:tcPr>
            <w:tcW w:w="1795" w:type="dxa"/>
            <w:vMerge/>
            <w:tcBorders>
              <w:top w:val="nil"/>
              <w:left w:val="single" w:sz="4" w:space="0" w:color="auto"/>
              <w:bottom w:val="single" w:sz="4" w:space="0" w:color="000000"/>
              <w:right w:val="single" w:sz="4" w:space="0" w:color="auto"/>
            </w:tcBorders>
            <w:shd w:val="clear" w:color="000000" w:fill="FFFFFF"/>
          </w:tcPr>
          <w:p w:rsidR="0032346F" w:rsidRPr="00620829" w:rsidRDefault="0032346F" w:rsidP="0032346F">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ind w:left="151"/>
              <w:rPr>
                <w:rFonts w:eastAsia="Times New Roman"/>
              </w:rPr>
            </w:pPr>
            <w:r w:rsidRPr="00240AA5">
              <w:rPr>
                <w:rFonts w:eastAsia="Times New Roman"/>
                <w:u w:val="single"/>
              </w:rPr>
              <w:t>Sub-indicator 3.1.1.a</w:t>
            </w:r>
            <w:r w:rsidRPr="00240AA5">
              <w:rPr>
                <w:rFonts w:eastAsia="Times New Roman"/>
              </w:rPr>
              <w:t xml:space="preserve"> Percentage of diagnostics completed that use sex-disaggregated data</w:t>
            </w:r>
          </w:p>
          <w:p w:rsidR="0032346F" w:rsidRPr="00620829" w:rsidRDefault="0032346F" w:rsidP="0032346F">
            <w:pPr>
              <w:spacing w:after="0" w:line="240" w:lineRule="auto"/>
              <w:ind w:left="151"/>
              <w:rPr>
                <w:rFonts w:eastAsia="Times New Roman"/>
              </w:rPr>
            </w:pPr>
          </w:p>
        </w:tc>
        <w:tc>
          <w:tcPr>
            <w:tcW w:w="1619"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NA</w:t>
            </w:r>
          </w:p>
        </w:tc>
        <w:tc>
          <w:tcPr>
            <w:tcW w:w="1105"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100%</w:t>
            </w:r>
          </w:p>
        </w:tc>
        <w:tc>
          <w:tcPr>
            <w:tcW w:w="1167"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71%</w:t>
            </w:r>
          </w:p>
        </w:tc>
        <w:tc>
          <w:tcPr>
            <w:tcW w:w="1781"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color w:val="000000"/>
              </w:rPr>
            </w:pPr>
            <w:r>
              <w:rPr>
                <w:rFonts w:eastAsia="Times New Roman"/>
                <w:color w:val="000000"/>
              </w:rPr>
              <w:t>79%</w:t>
            </w:r>
          </w:p>
        </w:tc>
        <w:tc>
          <w:tcPr>
            <w:tcW w:w="1619" w:type="dxa"/>
            <w:tcBorders>
              <w:top w:val="nil"/>
              <w:left w:val="nil"/>
              <w:bottom w:val="single" w:sz="4" w:space="0" w:color="auto"/>
              <w:right w:val="single" w:sz="4" w:space="0" w:color="auto"/>
            </w:tcBorders>
            <w:shd w:val="clear" w:color="auto" w:fill="FFFFFF"/>
          </w:tcPr>
          <w:p w:rsidR="00AA22EA" w:rsidRPr="00666855" w:rsidRDefault="00AA22EA" w:rsidP="00666855">
            <w:pPr>
              <w:spacing w:after="0" w:line="240" w:lineRule="auto"/>
              <w:jc w:val="right"/>
              <w:rPr>
                <w:rFonts w:eastAsia="Times New Roman"/>
              </w:rPr>
            </w:pPr>
            <w:r w:rsidRPr="00666855">
              <w:rPr>
                <w:rFonts w:eastAsia="Times New Roman"/>
              </w:rPr>
              <w:t>77%</w:t>
            </w:r>
          </w:p>
        </w:tc>
        <w:tc>
          <w:tcPr>
            <w:tcW w:w="1846"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color w:val="000000"/>
              </w:rPr>
            </w:pPr>
            <w:r>
              <w:rPr>
                <w:rFonts w:eastAsia="Times New Roman"/>
                <w:color w:val="000000"/>
              </w:rPr>
              <w:t>50%</w:t>
            </w:r>
          </w:p>
        </w:tc>
        <w:tc>
          <w:tcPr>
            <w:tcW w:w="1820" w:type="dxa"/>
            <w:tcBorders>
              <w:top w:val="nil"/>
              <w:left w:val="nil"/>
              <w:bottom w:val="single" w:sz="4" w:space="0" w:color="auto"/>
              <w:right w:val="single" w:sz="4" w:space="0" w:color="auto"/>
            </w:tcBorders>
            <w:shd w:val="clear" w:color="auto" w:fill="E2EFD9"/>
          </w:tcPr>
          <w:p w:rsidR="0032346F" w:rsidRPr="00620829" w:rsidRDefault="00AA22EA" w:rsidP="0032346F">
            <w:pPr>
              <w:spacing w:after="0" w:line="240" w:lineRule="auto"/>
              <w:jc w:val="right"/>
              <w:rPr>
                <w:rFonts w:eastAsia="Times New Roman"/>
                <w:color w:val="000000"/>
              </w:rPr>
            </w:pPr>
            <w:r>
              <w:rPr>
                <w:rFonts w:eastAsia="Times New Roman"/>
                <w:color w:val="000000"/>
              </w:rPr>
              <w:t>15</w:t>
            </w:r>
            <w:r w:rsidR="006B2F09">
              <w:rPr>
                <w:rFonts w:eastAsia="Times New Roman"/>
                <w:color w:val="000000"/>
              </w:rPr>
              <w:t>4</w:t>
            </w:r>
            <w:r>
              <w:rPr>
                <w:rFonts w:eastAsia="Times New Roman"/>
                <w:color w:val="000000"/>
              </w:rPr>
              <w:t>%</w:t>
            </w:r>
          </w:p>
        </w:tc>
      </w:tr>
      <w:tr w:rsidR="0032346F" w:rsidRPr="00620829" w:rsidTr="003B6170">
        <w:trPr>
          <w:trHeight w:val="1245"/>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32346F" w:rsidRDefault="0032346F" w:rsidP="0032346F">
            <w:pPr>
              <w:spacing w:after="0" w:line="240" w:lineRule="auto"/>
              <w:rPr>
                <w:rFonts w:eastAsia="Times New Roman"/>
              </w:rPr>
            </w:pPr>
            <w:r w:rsidRPr="00620829">
              <w:rPr>
                <w:rFonts w:eastAsia="Times New Roman"/>
              </w:rPr>
              <w:t>3.1.</w:t>
            </w:r>
            <w:r>
              <w:rPr>
                <w:rFonts w:eastAsia="Times New Roman"/>
              </w:rPr>
              <w:t>2</w:t>
            </w:r>
            <w:r w:rsidRPr="00620829">
              <w:rPr>
                <w:rFonts w:eastAsia="Times New Roman"/>
              </w:rPr>
              <w:t xml:space="preserve"> Number of commitments to Better than Cash Alliance (BTCA) to transition cash to electronic payments</w:t>
            </w:r>
          </w:p>
          <w:p w:rsidR="0032346F" w:rsidRPr="00620829" w:rsidRDefault="0032346F" w:rsidP="0032346F">
            <w:pPr>
              <w:spacing w:after="0" w:line="240" w:lineRule="auto"/>
              <w:rPr>
                <w:rFonts w:eastAsia="Times New Roman"/>
              </w:rPr>
            </w:pPr>
          </w:p>
        </w:tc>
        <w:tc>
          <w:tcPr>
            <w:tcW w:w="1619" w:type="dxa"/>
            <w:tcBorders>
              <w:top w:val="single" w:sz="4" w:space="0" w:color="auto"/>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sidRPr="00620829">
              <w:rPr>
                <w:rFonts w:eastAsia="Times New Roman"/>
                <w:color w:val="000000"/>
              </w:rPr>
              <w:t>4</w:t>
            </w:r>
          </w:p>
        </w:tc>
        <w:tc>
          <w:tcPr>
            <w:tcW w:w="1105" w:type="dxa"/>
            <w:tcBorders>
              <w:top w:val="single" w:sz="4" w:space="0" w:color="auto"/>
              <w:left w:val="nil"/>
              <w:bottom w:val="single" w:sz="4" w:space="0" w:color="auto"/>
              <w:right w:val="single" w:sz="4" w:space="0" w:color="auto"/>
            </w:tcBorders>
            <w:shd w:val="clear" w:color="auto" w:fill="auto"/>
            <w:hideMark/>
          </w:tcPr>
          <w:p w:rsidR="0032346F" w:rsidRPr="00620829" w:rsidRDefault="0032346F" w:rsidP="0032346F">
            <w:pPr>
              <w:tabs>
                <w:tab w:val="center" w:pos="478"/>
                <w:tab w:val="right" w:pos="957"/>
              </w:tabs>
              <w:spacing w:after="0" w:line="240" w:lineRule="auto"/>
              <w:jc w:val="right"/>
              <w:rPr>
                <w:rFonts w:eastAsia="Times New Roman"/>
                <w:color w:val="000000"/>
              </w:rPr>
            </w:pPr>
            <w:r>
              <w:rPr>
                <w:rFonts w:eastAsia="Times New Roman"/>
                <w:color w:val="000000"/>
              </w:rPr>
              <w:t>35</w:t>
            </w:r>
          </w:p>
        </w:tc>
        <w:tc>
          <w:tcPr>
            <w:tcW w:w="1167" w:type="dxa"/>
            <w:tcBorders>
              <w:top w:val="single" w:sz="4" w:space="0" w:color="auto"/>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42</w:t>
            </w:r>
          </w:p>
        </w:tc>
        <w:tc>
          <w:tcPr>
            <w:tcW w:w="1781" w:type="dxa"/>
            <w:tcBorders>
              <w:top w:val="single" w:sz="4" w:space="0" w:color="auto"/>
              <w:left w:val="nil"/>
              <w:bottom w:val="single" w:sz="4" w:space="0" w:color="auto"/>
              <w:right w:val="single" w:sz="4" w:space="0" w:color="auto"/>
            </w:tcBorders>
            <w:shd w:val="clear" w:color="auto" w:fill="FFFFFF"/>
            <w:hideMark/>
          </w:tcPr>
          <w:p w:rsidR="0032346F" w:rsidRDefault="0032346F" w:rsidP="0032346F">
            <w:pPr>
              <w:spacing w:after="0" w:line="240" w:lineRule="auto"/>
              <w:jc w:val="right"/>
              <w:rPr>
                <w:rFonts w:eastAsia="Times New Roman"/>
                <w:color w:val="000000"/>
              </w:rPr>
            </w:pPr>
            <w:r>
              <w:rPr>
                <w:rFonts w:eastAsia="Times New Roman"/>
                <w:color w:val="000000"/>
              </w:rPr>
              <w:t xml:space="preserve">55 </w:t>
            </w:r>
          </w:p>
          <w:p w:rsidR="0032346F" w:rsidRPr="00620829" w:rsidRDefault="0032346F" w:rsidP="0032346F">
            <w:pPr>
              <w:spacing w:after="0" w:line="240" w:lineRule="auto"/>
              <w:jc w:val="right"/>
              <w:rPr>
                <w:rFonts w:eastAsia="Times New Roman"/>
                <w:color w:val="000000"/>
              </w:rPr>
            </w:pPr>
          </w:p>
        </w:tc>
        <w:tc>
          <w:tcPr>
            <w:tcW w:w="1619" w:type="dxa"/>
            <w:tcBorders>
              <w:top w:val="single" w:sz="4" w:space="0" w:color="auto"/>
              <w:left w:val="nil"/>
              <w:bottom w:val="single" w:sz="4" w:space="0" w:color="auto"/>
              <w:right w:val="single" w:sz="4" w:space="0" w:color="auto"/>
            </w:tcBorders>
            <w:shd w:val="clear" w:color="auto" w:fill="FFFFFF"/>
          </w:tcPr>
          <w:p w:rsidR="00E53115" w:rsidRPr="00666855" w:rsidRDefault="00E53115" w:rsidP="00666855">
            <w:pPr>
              <w:spacing w:after="0" w:line="240" w:lineRule="auto"/>
              <w:jc w:val="right"/>
              <w:rPr>
                <w:rFonts w:eastAsia="Times New Roman"/>
              </w:rPr>
            </w:pPr>
            <w:r w:rsidRPr="00666855">
              <w:rPr>
                <w:rFonts w:eastAsia="Times New Roman"/>
              </w:rPr>
              <w:t>62</w:t>
            </w:r>
          </w:p>
        </w:tc>
        <w:tc>
          <w:tcPr>
            <w:tcW w:w="1846" w:type="dxa"/>
            <w:tcBorders>
              <w:top w:val="single" w:sz="4" w:space="0" w:color="auto"/>
              <w:left w:val="nil"/>
              <w:bottom w:val="single" w:sz="4" w:space="0" w:color="auto"/>
              <w:right w:val="single" w:sz="4" w:space="0" w:color="auto"/>
            </w:tcBorders>
            <w:shd w:val="clear" w:color="auto" w:fill="FFFFFF"/>
            <w:hideMark/>
          </w:tcPr>
          <w:p w:rsidR="0032346F" w:rsidRPr="00666855" w:rsidRDefault="0032346F" w:rsidP="0032346F">
            <w:pPr>
              <w:spacing w:after="0" w:line="240" w:lineRule="auto"/>
              <w:jc w:val="right"/>
              <w:rPr>
                <w:rFonts w:eastAsia="Times New Roman"/>
              </w:rPr>
            </w:pPr>
            <w:r w:rsidRPr="00666855">
              <w:rPr>
                <w:rFonts w:eastAsia="Times New Roman"/>
              </w:rPr>
              <w:t>35</w:t>
            </w:r>
          </w:p>
        </w:tc>
        <w:tc>
          <w:tcPr>
            <w:tcW w:w="1820" w:type="dxa"/>
            <w:tcBorders>
              <w:top w:val="single" w:sz="4" w:space="0" w:color="auto"/>
              <w:left w:val="nil"/>
              <w:bottom w:val="single" w:sz="4" w:space="0" w:color="auto"/>
              <w:right w:val="single" w:sz="4" w:space="0" w:color="auto"/>
            </w:tcBorders>
            <w:shd w:val="clear" w:color="auto" w:fill="E2EFD9"/>
          </w:tcPr>
          <w:p w:rsidR="0032346F" w:rsidRPr="00620829" w:rsidRDefault="00E53115" w:rsidP="0032346F">
            <w:pPr>
              <w:spacing w:after="0" w:line="240" w:lineRule="auto"/>
              <w:jc w:val="right"/>
              <w:rPr>
                <w:rFonts w:eastAsia="Times New Roman"/>
                <w:color w:val="000000"/>
              </w:rPr>
            </w:pPr>
            <w:r>
              <w:rPr>
                <w:rFonts w:eastAsia="Times New Roman"/>
                <w:color w:val="000000"/>
              </w:rPr>
              <w:t>177%</w:t>
            </w:r>
          </w:p>
        </w:tc>
      </w:tr>
      <w:tr w:rsidR="0032346F" w:rsidRPr="00620829" w:rsidTr="003B6170">
        <w:trPr>
          <w:trHeight w:val="1215"/>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Default="0032346F" w:rsidP="0032346F">
            <w:pPr>
              <w:spacing w:after="0" w:line="240" w:lineRule="auto"/>
            </w:pPr>
            <w:r>
              <w:t>3.1.3 Number of capacity building activities completed to strengthen the capacity of financial sector regulators and supervisors, especially to safeguard poor people’s savings</w:t>
            </w:r>
          </w:p>
          <w:p w:rsidR="0032346F" w:rsidRPr="00620829" w:rsidRDefault="0032346F" w:rsidP="0032346F">
            <w:pPr>
              <w:spacing w:after="0" w:line="240" w:lineRule="auto"/>
              <w:rPr>
                <w:rFonts w:eastAsia="Times New Roman"/>
              </w:rPr>
            </w:pP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lastRenderedPageBreak/>
              <w:t>15</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sidRPr="00620829">
              <w:rPr>
                <w:rFonts w:eastAsia="Times New Roman"/>
                <w:color w:val="000000"/>
              </w:rPr>
              <w:t>3</w:t>
            </w:r>
            <w:r>
              <w:rPr>
                <w:rFonts w:eastAsia="Times New Roman"/>
                <w:color w:val="000000"/>
              </w:rPr>
              <w:t>8</w:t>
            </w:r>
          </w:p>
        </w:tc>
        <w:tc>
          <w:tcPr>
            <w:tcW w:w="116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3</w:t>
            </w:r>
            <w:r w:rsidRPr="00620829">
              <w:rPr>
                <w:rFonts w:eastAsia="Times New Roman"/>
                <w:color w:val="000000"/>
              </w:rPr>
              <w:t>2</w:t>
            </w:r>
          </w:p>
        </w:tc>
        <w:tc>
          <w:tcPr>
            <w:tcW w:w="1781"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43</w:t>
            </w:r>
          </w:p>
        </w:tc>
        <w:tc>
          <w:tcPr>
            <w:tcW w:w="1619" w:type="dxa"/>
            <w:tcBorders>
              <w:top w:val="nil"/>
              <w:left w:val="nil"/>
              <w:bottom w:val="single" w:sz="4" w:space="0" w:color="auto"/>
              <w:right w:val="single" w:sz="4" w:space="0" w:color="auto"/>
            </w:tcBorders>
            <w:shd w:val="clear" w:color="auto" w:fill="FFFFFF"/>
          </w:tcPr>
          <w:p w:rsidR="00314A76" w:rsidRPr="00666855" w:rsidRDefault="00314A76" w:rsidP="00666855">
            <w:pPr>
              <w:spacing w:after="0" w:line="240" w:lineRule="auto"/>
              <w:jc w:val="right"/>
              <w:rPr>
                <w:rFonts w:eastAsia="Times New Roman"/>
              </w:rPr>
            </w:pPr>
            <w:r w:rsidRPr="00666855">
              <w:rPr>
                <w:rFonts w:eastAsia="Times New Roman"/>
              </w:rPr>
              <w:t>143</w:t>
            </w:r>
          </w:p>
        </w:tc>
        <w:tc>
          <w:tcPr>
            <w:tcW w:w="1846" w:type="dxa"/>
            <w:tcBorders>
              <w:top w:val="nil"/>
              <w:left w:val="nil"/>
              <w:bottom w:val="single" w:sz="4" w:space="0" w:color="auto"/>
              <w:right w:val="single" w:sz="4" w:space="0" w:color="auto"/>
            </w:tcBorders>
            <w:shd w:val="clear" w:color="auto" w:fill="FFFFFF"/>
            <w:hideMark/>
          </w:tcPr>
          <w:p w:rsidR="0032346F" w:rsidRPr="00666855" w:rsidRDefault="0032346F" w:rsidP="0032346F">
            <w:pPr>
              <w:spacing w:after="0" w:line="240" w:lineRule="auto"/>
              <w:jc w:val="right"/>
              <w:rPr>
                <w:rFonts w:eastAsia="Times New Roman"/>
              </w:rPr>
            </w:pPr>
            <w:r w:rsidRPr="00666855">
              <w:rPr>
                <w:rFonts w:eastAsia="Times New Roman"/>
              </w:rPr>
              <w:t>115</w:t>
            </w:r>
          </w:p>
        </w:tc>
        <w:tc>
          <w:tcPr>
            <w:tcW w:w="1820" w:type="dxa"/>
            <w:tcBorders>
              <w:top w:val="nil"/>
              <w:left w:val="nil"/>
              <w:bottom w:val="single" w:sz="4" w:space="0" w:color="auto"/>
              <w:right w:val="single" w:sz="4" w:space="0" w:color="auto"/>
            </w:tcBorders>
            <w:shd w:val="clear" w:color="auto" w:fill="E2EFD9"/>
          </w:tcPr>
          <w:p w:rsidR="0032346F" w:rsidRPr="00620829" w:rsidRDefault="00314A76" w:rsidP="0032346F">
            <w:pPr>
              <w:spacing w:after="0" w:line="240" w:lineRule="auto"/>
              <w:jc w:val="right"/>
              <w:rPr>
                <w:rFonts w:eastAsia="Times New Roman"/>
                <w:color w:val="000000"/>
              </w:rPr>
            </w:pPr>
            <w:r>
              <w:rPr>
                <w:rFonts w:eastAsia="Times New Roman"/>
                <w:color w:val="000000"/>
              </w:rPr>
              <w:t>223%</w:t>
            </w:r>
          </w:p>
        </w:tc>
      </w:tr>
      <w:tr w:rsidR="0032346F" w:rsidRPr="00620829" w:rsidTr="003B6170">
        <w:trPr>
          <w:trHeight w:val="1790"/>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C962BC" w:rsidRDefault="0032346F" w:rsidP="0032346F">
            <w:pPr>
              <w:spacing w:after="0" w:line="240" w:lineRule="auto"/>
            </w:pPr>
            <w:r w:rsidRPr="00C962BC">
              <w:t xml:space="preserve">3.1.4 Number of knowledge products (publications: case studies, data sets, toolkits) that document UNCDF’s learning from </w:t>
            </w:r>
            <w:proofErr w:type="spellStart"/>
            <w:r w:rsidRPr="00C962BC">
              <w:t>programmes</w:t>
            </w:r>
            <w:proofErr w:type="spellEnd"/>
          </w:p>
          <w:p w:rsidR="0032346F" w:rsidRPr="00C962BC" w:rsidRDefault="0032346F" w:rsidP="0032346F">
            <w:pPr>
              <w:spacing w:after="0" w:line="240" w:lineRule="auto"/>
              <w:rPr>
                <w:rFonts w:eastAsia="Times New Roman"/>
              </w:rPr>
            </w:pPr>
          </w:p>
        </w:tc>
        <w:tc>
          <w:tcPr>
            <w:tcW w:w="1619" w:type="dxa"/>
            <w:tcBorders>
              <w:top w:val="nil"/>
              <w:left w:val="nil"/>
              <w:bottom w:val="single" w:sz="4" w:space="0" w:color="auto"/>
              <w:right w:val="single" w:sz="4" w:space="0" w:color="auto"/>
            </w:tcBorders>
            <w:shd w:val="clear" w:color="auto" w:fill="auto"/>
          </w:tcPr>
          <w:p w:rsidR="0032346F" w:rsidRPr="00C962BC" w:rsidRDefault="0032346F" w:rsidP="0032346F">
            <w:pPr>
              <w:spacing w:after="0" w:line="240" w:lineRule="auto"/>
              <w:jc w:val="right"/>
              <w:rPr>
                <w:rFonts w:eastAsia="Times New Roman"/>
              </w:rPr>
            </w:pPr>
            <w:r w:rsidRPr="00C962BC">
              <w:rPr>
                <w:rFonts w:eastAsia="Times New Roman"/>
              </w:rPr>
              <w:t>19</w:t>
            </w:r>
          </w:p>
        </w:tc>
        <w:tc>
          <w:tcPr>
            <w:tcW w:w="1105" w:type="dxa"/>
            <w:tcBorders>
              <w:top w:val="nil"/>
              <w:left w:val="nil"/>
              <w:bottom w:val="single" w:sz="4" w:space="0" w:color="auto"/>
              <w:right w:val="single" w:sz="4" w:space="0" w:color="auto"/>
            </w:tcBorders>
            <w:shd w:val="clear" w:color="auto" w:fill="auto"/>
          </w:tcPr>
          <w:p w:rsidR="0032346F" w:rsidRPr="00C962BC" w:rsidRDefault="0032346F" w:rsidP="0032346F">
            <w:pPr>
              <w:spacing w:after="0" w:line="240" w:lineRule="auto"/>
              <w:jc w:val="right"/>
              <w:rPr>
                <w:rFonts w:eastAsia="Times New Roman"/>
              </w:rPr>
            </w:pPr>
            <w:r w:rsidRPr="00C962BC">
              <w:rPr>
                <w:rFonts w:eastAsia="Times New Roman"/>
              </w:rPr>
              <w:t>56</w:t>
            </w:r>
          </w:p>
        </w:tc>
        <w:tc>
          <w:tcPr>
            <w:tcW w:w="1167" w:type="dxa"/>
            <w:tcBorders>
              <w:top w:val="nil"/>
              <w:left w:val="nil"/>
              <w:bottom w:val="single" w:sz="4" w:space="0" w:color="auto"/>
              <w:right w:val="single" w:sz="4" w:space="0" w:color="auto"/>
            </w:tcBorders>
            <w:shd w:val="clear" w:color="auto" w:fill="auto"/>
          </w:tcPr>
          <w:p w:rsidR="0032346F" w:rsidRPr="00C962BC" w:rsidRDefault="0032346F" w:rsidP="0032346F">
            <w:pPr>
              <w:spacing w:after="0" w:line="240" w:lineRule="auto"/>
              <w:jc w:val="right"/>
              <w:rPr>
                <w:rFonts w:eastAsia="Times New Roman"/>
              </w:rPr>
            </w:pPr>
            <w:r w:rsidRPr="00C962BC">
              <w:rPr>
                <w:rFonts w:eastAsia="Times New Roman"/>
              </w:rPr>
              <w:t>83</w:t>
            </w:r>
          </w:p>
        </w:tc>
        <w:tc>
          <w:tcPr>
            <w:tcW w:w="1781" w:type="dxa"/>
            <w:tcBorders>
              <w:top w:val="nil"/>
              <w:left w:val="nil"/>
              <w:bottom w:val="single" w:sz="4" w:space="0" w:color="auto"/>
              <w:right w:val="single" w:sz="4" w:space="0" w:color="auto"/>
            </w:tcBorders>
            <w:shd w:val="clear" w:color="auto" w:fill="FFFFFF"/>
          </w:tcPr>
          <w:p w:rsidR="0032346F" w:rsidRPr="00C962BC" w:rsidRDefault="0032346F" w:rsidP="0032346F">
            <w:pPr>
              <w:spacing w:after="0" w:line="240" w:lineRule="auto"/>
              <w:jc w:val="right"/>
              <w:rPr>
                <w:rFonts w:eastAsia="Times New Roman"/>
              </w:rPr>
            </w:pPr>
            <w:r w:rsidRPr="00C962BC">
              <w:rPr>
                <w:rFonts w:eastAsia="Times New Roman"/>
              </w:rPr>
              <w:t>103</w:t>
            </w:r>
          </w:p>
        </w:tc>
        <w:tc>
          <w:tcPr>
            <w:tcW w:w="1619" w:type="dxa"/>
            <w:tcBorders>
              <w:top w:val="nil"/>
              <w:left w:val="nil"/>
              <w:bottom w:val="single" w:sz="4" w:space="0" w:color="auto"/>
              <w:right w:val="single" w:sz="4" w:space="0" w:color="auto"/>
            </w:tcBorders>
            <w:shd w:val="clear" w:color="auto" w:fill="FFFFFF"/>
          </w:tcPr>
          <w:p w:rsidR="00642633" w:rsidRPr="0094013E" w:rsidRDefault="00642633" w:rsidP="00666855">
            <w:pPr>
              <w:spacing w:after="0" w:line="240" w:lineRule="auto"/>
              <w:jc w:val="right"/>
              <w:rPr>
                <w:rFonts w:eastAsia="Times New Roman"/>
              </w:rPr>
            </w:pPr>
            <w:r w:rsidRPr="00666855">
              <w:rPr>
                <w:rFonts w:eastAsia="Times New Roman"/>
              </w:rPr>
              <w:t>121</w:t>
            </w:r>
          </w:p>
        </w:tc>
        <w:tc>
          <w:tcPr>
            <w:tcW w:w="1846"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rPr>
            </w:pPr>
            <w:r w:rsidRPr="00666855">
              <w:rPr>
                <w:rFonts w:eastAsia="Times New Roman"/>
              </w:rPr>
              <w:t>130</w:t>
            </w:r>
          </w:p>
          <w:p w:rsidR="006B2F09" w:rsidRPr="00666855" w:rsidRDefault="006B2F09" w:rsidP="0032346F">
            <w:pPr>
              <w:spacing w:after="0" w:line="240" w:lineRule="auto"/>
              <w:jc w:val="right"/>
              <w:rPr>
                <w:rFonts w:eastAsia="Times New Roman"/>
              </w:rPr>
            </w:pPr>
            <w:r>
              <w:rPr>
                <w:rFonts w:eastAsia="Times New Roman"/>
              </w:rPr>
              <w:t>(annual)</w:t>
            </w:r>
          </w:p>
        </w:tc>
        <w:tc>
          <w:tcPr>
            <w:tcW w:w="1820" w:type="dxa"/>
            <w:tcBorders>
              <w:top w:val="nil"/>
              <w:left w:val="nil"/>
              <w:bottom w:val="single" w:sz="4" w:space="0" w:color="auto"/>
              <w:right w:val="single" w:sz="4" w:space="0" w:color="auto"/>
            </w:tcBorders>
            <w:shd w:val="clear" w:color="auto" w:fill="E2EFD9"/>
          </w:tcPr>
          <w:p w:rsidR="0032346F" w:rsidRPr="00C962BC" w:rsidRDefault="00642633" w:rsidP="0032346F">
            <w:pPr>
              <w:spacing w:after="0" w:line="240" w:lineRule="auto"/>
              <w:jc w:val="right"/>
              <w:rPr>
                <w:rFonts w:eastAsia="Times New Roman"/>
              </w:rPr>
            </w:pPr>
            <w:r>
              <w:rPr>
                <w:rFonts w:eastAsia="Times New Roman"/>
              </w:rPr>
              <w:t>93%</w:t>
            </w:r>
          </w:p>
        </w:tc>
      </w:tr>
      <w:tr w:rsidR="002E72F7" w:rsidRPr="00620829" w:rsidTr="003B6170">
        <w:trPr>
          <w:trHeight w:val="953"/>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ind w:left="151"/>
              <w:rPr>
                <w:rFonts w:eastAsia="Times New Roman"/>
              </w:rPr>
            </w:pPr>
            <w:r w:rsidRPr="003237B6">
              <w:rPr>
                <w:u w:val="single"/>
              </w:rPr>
              <w:t>Sub-indicator 3.1.4.a</w:t>
            </w:r>
            <w:r w:rsidRPr="00415DC0">
              <w:t xml:space="preserve"> </w:t>
            </w:r>
            <w:r w:rsidRPr="00026534">
              <w:t xml:space="preserve">Percentage of these knowledge products that incorporate </w:t>
            </w:r>
            <w:r w:rsidRPr="00A83AD8">
              <w:t>gender issues</w:t>
            </w:r>
          </w:p>
        </w:tc>
        <w:tc>
          <w:tcPr>
            <w:tcW w:w="1619"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38%</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24%</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color w:val="000000"/>
              </w:rPr>
              <w:t>44%</w:t>
            </w:r>
          </w:p>
        </w:tc>
        <w:tc>
          <w:tcPr>
            <w:tcW w:w="1619" w:type="dxa"/>
            <w:tcBorders>
              <w:top w:val="nil"/>
              <w:left w:val="nil"/>
              <w:bottom w:val="single" w:sz="4" w:space="0" w:color="auto"/>
              <w:right w:val="single" w:sz="4" w:space="0" w:color="auto"/>
            </w:tcBorders>
            <w:shd w:val="clear" w:color="auto" w:fill="FFFFFF"/>
          </w:tcPr>
          <w:p w:rsidR="0010155E" w:rsidRPr="00666855" w:rsidRDefault="0010155E" w:rsidP="00666855">
            <w:pPr>
              <w:spacing w:after="0" w:line="240" w:lineRule="auto"/>
              <w:jc w:val="right"/>
              <w:rPr>
                <w:rFonts w:eastAsia="Times New Roman"/>
              </w:rPr>
            </w:pPr>
            <w:r w:rsidRPr="00666855">
              <w:rPr>
                <w:rFonts w:eastAsia="Times New Roman"/>
              </w:rPr>
              <w:t>28%</w:t>
            </w:r>
          </w:p>
        </w:tc>
        <w:tc>
          <w:tcPr>
            <w:tcW w:w="1846" w:type="dxa"/>
            <w:tcBorders>
              <w:top w:val="nil"/>
              <w:left w:val="nil"/>
              <w:bottom w:val="single" w:sz="4" w:space="0" w:color="auto"/>
              <w:right w:val="single" w:sz="4" w:space="0" w:color="auto"/>
            </w:tcBorders>
            <w:shd w:val="clear" w:color="auto" w:fill="FFFFFF"/>
          </w:tcPr>
          <w:p w:rsidR="0032346F" w:rsidRPr="00666855" w:rsidRDefault="0032346F" w:rsidP="0032346F">
            <w:pPr>
              <w:spacing w:after="0" w:line="240" w:lineRule="auto"/>
              <w:jc w:val="right"/>
              <w:rPr>
                <w:rFonts w:eastAsia="Times New Roman"/>
              </w:rPr>
            </w:pPr>
            <w:r w:rsidRPr="00666855">
              <w:rPr>
                <w:rFonts w:eastAsia="Times New Roman"/>
              </w:rPr>
              <w:t>50%</w:t>
            </w:r>
          </w:p>
        </w:tc>
        <w:tc>
          <w:tcPr>
            <w:tcW w:w="1820" w:type="dxa"/>
            <w:tcBorders>
              <w:top w:val="nil"/>
              <w:left w:val="nil"/>
              <w:bottom w:val="single" w:sz="4" w:space="0" w:color="auto"/>
              <w:right w:val="single" w:sz="4" w:space="0" w:color="auto"/>
            </w:tcBorders>
            <w:shd w:val="clear" w:color="auto" w:fill="FFF2CC"/>
          </w:tcPr>
          <w:p w:rsidR="0032346F" w:rsidRPr="00620829" w:rsidRDefault="0010155E" w:rsidP="0032346F">
            <w:pPr>
              <w:spacing w:after="0" w:line="240" w:lineRule="auto"/>
              <w:jc w:val="right"/>
              <w:rPr>
                <w:rFonts w:eastAsia="Times New Roman"/>
                <w:color w:val="000000"/>
              </w:rPr>
            </w:pPr>
            <w:r>
              <w:rPr>
                <w:rFonts w:eastAsia="Times New Roman"/>
                <w:color w:val="000000"/>
              </w:rPr>
              <w:t>56%</w:t>
            </w:r>
          </w:p>
        </w:tc>
      </w:tr>
      <w:tr w:rsidR="0032346F" w:rsidRPr="00620829" w:rsidTr="00666855">
        <w:trPr>
          <w:trHeight w:val="435"/>
        </w:trPr>
        <w:tc>
          <w:tcPr>
            <w:tcW w:w="14359"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32346F" w:rsidRPr="00620829" w:rsidRDefault="0032346F" w:rsidP="0032346F">
            <w:pPr>
              <w:spacing w:after="0" w:line="240" w:lineRule="auto"/>
              <w:rPr>
                <w:rFonts w:eastAsia="Times New Roman"/>
                <w:b/>
                <w:bCs/>
                <w:u w:val="single"/>
              </w:rPr>
            </w:pPr>
            <w:r w:rsidRPr="00620829">
              <w:rPr>
                <w:rFonts w:eastAsia="Times New Roman"/>
                <w:b/>
                <w:bCs/>
                <w:u w:val="single"/>
              </w:rPr>
              <w:t xml:space="preserve">Local Development Finance </w:t>
            </w:r>
          </w:p>
        </w:tc>
      </w:tr>
      <w:tr w:rsidR="0032346F" w:rsidRPr="00620829" w:rsidTr="003B6170">
        <w:trPr>
          <w:trHeight w:val="915"/>
        </w:trPr>
        <w:tc>
          <w:tcPr>
            <w:tcW w:w="1795" w:type="dxa"/>
            <w:vMerge w:val="restart"/>
            <w:tcBorders>
              <w:top w:val="nil"/>
              <w:left w:val="single" w:sz="4" w:space="0" w:color="auto"/>
              <w:bottom w:val="single" w:sz="4" w:space="0" w:color="000000"/>
              <w:right w:val="single" w:sz="4" w:space="0" w:color="auto"/>
            </w:tcBorders>
            <w:shd w:val="clear" w:color="000000" w:fill="FFFFFF"/>
            <w:hideMark/>
          </w:tcPr>
          <w:p w:rsidR="0032346F" w:rsidRPr="00620829" w:rsidRDefault="0032346F" w:rsidP="0032346F">
            <w:pPr>
              <w:spacing w:after="0" w:line="240" w:lineRule="auto"/>
              <w:rPr>
                <w:rFonts w:eastAsia="Times New Roman"/>
                <w:color w:val="000000"/>
              </w:rPr>
            </w:pPr>
            <w:r w:rsidRPr="00620829">
              <w:rPr>
                <w:rFonts w:eastAsia="Times New Roman"/>
                <w:b/>
                <w:bCs/>
                <w:color w:val="000000"/>
              </w:rPr>
              <w:t>Output 3.2</w:t>
            </w:r>
            <w:r w:rsidRPr="00620829">
              <w:rPr>
                <w:rFonts w:eastAsia="Times New Roman"/>
                <w:color w:val="000000"/>
              </w:rPr>
              <w:t xml:space="preserve">                         UNCDF-funded diagnostic tools/advocacy initiative provide a key contribution to shaping national governments’ </w:t>
            </w:r>
            <w:r w:rsidRPr="00620829">
              <w:rPr>
                <w:rFonts w:eastAsia="Times New Roman"/>
                <w:color w:val="000000"/>
              </w:rPr>
              <w:lastRenderedPageBreak/>
              <w:t>agendas in local development finance</w:t>
            </w: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sidRPr="00620829">
              <w:rPr>
                <w:rFonts w:eastAsia="Times New Roman"/>
              </w:rPr>
              <w:lastRenderedPageBreak/>
              <w:t>3.2.1 Number of local development diagnostics completed</w:t>
            </w:r>
          </w:p>
        </w:tc>
        <w:tc>
          <w:tcPr>
            <w:tcW w:w="1619"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sidRPr="00620829">
              <w:rPr>
                <w:rFonts w:eastAsia="Times New Roman"/>
                <w:color w:val="000000"/>
              </w:rPr>
              <w:t>2</w:t>
            </w:r>
          </w:p>
        </w:tc>
        <w:tc>
          <w:tcPr>
            <w:tcW w:w="1105"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63</w:t>
            </w:r>
          </w:p>
        </w:tc>
        <w:tc>
          <w:tcPr>
            <w:tcW w:w="116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31</w:t>
            </w:r>
          </w:p>
        </w:tc>
        <w:tc>
          <w:tcPr>
            <w:tcW w:w="1781" w:type="dxa"/>
            <w:tcBorders>
              <w:top w:val="nil"/>
              <w:left w:val="nil"/>
              <w:bottom w:val="single" w:sz="4" w:space="0" w:color="auto"/>
              <w:right w:val="single" w:sz="4" w:space="0" w:color="auto"/>
            </w:tcBorders>
            <w:shd w:val="clear" w:color="auto" w:fill="FFFFFF"/>
            <w:hideMark/>
          </w:tcPr>
          <w:p w:rsidR="0032346F" w:rsidRPr="00620829" w:rsidRDefault="0032346F" w:rsidP="0032346F">
            <w:pPr>
              <w:spacing w:after="0" w:line="240" w:lineRule="auto"/>
              <w:jc w:val="right"/>
              <w:rPr>
                <w:rFonts w:eastAsia="Times New Roman"/>
                <w:color w:val="000000"/>
              </w:rPr>
            </w:pPr>
            <w:r>
              <w:rPr>
                <w:rFonts w:eastAsia="Times New Roman"/>
                <w:color w:val="000000"/>
              </w:rPr>
              <w:t>39</w:t>
            </w:r>
          </w:p>
        </w:tc>
        <w:tc>
          <w:tcPr>
            <w:tcW w:w="1619" w:type="dxa"/>
            <w:tcBorders>
              <w:top w:val="nil"/>
              <w:left w:val="nil"/>
              <w:bottom w:val="single" w:sz="4" w:space="0" w:color="auto"/>
              <w:right w:val="single" w:sz="4" w:space="0" w:color="auto"/>
            </w:tcBorders>
            <w:shd w:val="clear" w:color="auto" w:fill="FFFFFF"/>
          </w:tcPr>
          <w:p w:rsidR="00317C98" w:rsidRPr="00666855" w:rsidRDefault="00317C98" w:rsidP="00666855">
            <w:pPr>
              <w:spacing w:after="0" w:line="240" w:lineRule="auto"/>
              <w:jc w:val="right"/>
              <w:rPr>
                <w:rFonts w:eastAsia="Times New Roman"/>
              </w:rPr>
            </w:pPr>
            <w:r w:rsidRPr="00666855">
              <w:rPr>
                <w:rFonts w:eastAsia="Times New Roman"/>
              </w:rPr>
              <w:t>38</w:t>
            </w:r>
          </w:p>
        </w:tc>
        <w:tc>
          <w:tcPr>
            <w:tcW w:w="1846" w:type="dxa"/>
            <w:tcBorders>
              <w:top w:val="nil"/>
              <w:left w:val="nil"/>
              <w:bottom w:val="single" w:sz="4" w:space="0" w:color="auto"/>
              <w:right w:val="single" w:sz="4" w:space="0" w:color="auto"/>
            </w:tcBorders>
            <w:shd w:val="clear" w:color="auto" w:fill="FFFFFF"/>
            <w:hideMark/>
          </w:tcPr>
          <w:p w:rsidR="0032346F" w:rsidRPr="0094013E" w:rsidRDefault="0032346F" w:rsidP="0032346F">
            <w:pPr>
              <w:spacing w:after="0" w:line="240" w:lineRule="auto"/>
              <w:jc w:val="right"/>
              <w:rPr>
                <w:rFonts w:eastAsia="Times New Roman"/>
              </w:rPr>
            </w:pPr>
            <w:r w:rsidRPr="00666855">
              <w:rPr>
                <w:rFonts w:eastAsia="Times New Roman"/>
              </w:rPr>
              <w:t>150</w:t>
            </w:r>
          </w:p>
        </w:tc>
        <w:tc>
          <w:tcPr>
            <w:tcW w:w="1820" w:type="dxa"/>
            <w:tcBorders>
              <w:top w:val="nil"/>
              <w:left w:val="nil"/>
              <w:bottom w:val="single" w:sz="4" w:space="0" w:color="auto"/>
              <w:right w:val="single" w:sz="4" w:space="0" w:color="auto"/>
            </w:tcBorders>
            <w:shd w:val="clear" w:color="auto" w:fill="E2EFD9"/>
          </w:tcPr>
          <w:p w:rsidR="0032346F" w:rsidRPr="00620829" w:rsidRDefault="00A86EF3" w:rsidP="0032346F">
            <w:pPr>
              <w:spacing w:after="0" w:line="240" w:lineRule="auto"/>
              <w:jc w:val="right"/>
              <w:rPr>
                <w:rFonts w:eastAsia="Times New Roman"/>
              </w:rPr>
            </w:pPr>
            <w:r>
              <w:rPr>
                <w:rFonts w:eastAsia="Times New Roman"/>
              </w:rPr>
              <w:t>114%</w:t>
            </w:r>
          </w:p>
        </w:tc>
      </w:tr>
      <w:tr w:rsidR="002E72F7" w:rsidRPr="00620829" w:rsidTr="003B6170">
        <w:trPr>
          <w:trHeight w:val="915"/>
        </w:trPr>
        <w:tc>
          <w:tcPr>
            <w:tcW w:w="1795" w:type="dxa"/>
            <w:vMerge/>
            <w:tcBorders>
              <w:top w:val="nil"/>
              <w:left w:val="single" w:sz="4" w:space="0" w:color="auto"/>
              <w:bottom w:val="single" w:sz="4" w:space="0" w:color="000000"/>
              <w:right w:val="single" w:sz="4" w:space="0" w:color="auto"/>
            </w:tcBorders>
            <w:shd w:val="clear" w:color="000000" w:fill="FFFFFF"/>
          </w:tcPr>
          <w:p w:rsidR="0032346F" w:rsidRPr="00620829" w:rsidRDefault="0032346F" w:rsidP="0032346F">
            <w:pPr>
              <w:spacing w:after="0" w:line="240" w:lineRule="auto"/>
              <w:rPr>
                <w:rFonts w:eastAsia="Times New Roman"/>
                <w:b/>
                <w:bCs/>
                <w:color w:val="000000"/>
              </w:rPr>
            </w:pPr>
          </w:p>
        </w:tc>
        <w:tc>
          <w:tcPr>
            <w:tcW w:w="160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ind w:left="151"/>
              <w:rPr>
                <w:rFonts w:eastAsia="Times New Roman"/>
              </w:rPr>
            </w:pPr>
            <w:r w:rsidRPr="003237B6">
              <w:rPr>
                <w:u w:val="single"/>
              </w:rPr>
              <w:t>Sub-indicator 3.2.1</w:t>
            </w:r>
            <w:r>
              <w:rPr>
                <w:u w:val="single"/>
              </w:rPr>
              <w:t>.</w:t>
            </w:r>
            <w:r w:rsidRPr="003237B6">
              <w:rPr>
                <w:u w:val="single"/>
              </w:rPr>
              <w:t>a</w:t>
            </w:r>
            <w:r>
              <w:t xml:space="preserve"> Percentage of diagnostics </w:t>
            </w:r>
            <w:r>
              <w:lastRenderedPageBreak/>
              <w:t xml:space="preserve">completed that use </w:t>
            </w:r>
            <w:r w:rsidRPr="00A83AD8">
              <w:t>sex-disaggregated data (%)</w:t>
            </w:r>
          </w:p>
        </w:tc>
        <w:tc>
          <w:tcPr>
            <w:tcW w:w="1619"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lastRenderedPageBreak/>
              <w:t>NA</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167"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NA</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color w:val="000000"/>
              </w:rPr>
              <w:t>23%</w:t>
            </w:r>
          </w:p>
        </w:tc>
        <w:tc>
          <w:tcPr>
            <w:tcW w:w="1619" w:type="dxa"/>
            <w:tcBorders>
              <w:top w:val="nil"/>
              <w:left w:val="nil"/>
              <w:bottom w:val="single" w:sz="4" w:space="0" w:color="auto"/>
              <w:right w:val="single" w:sz="4" w:space="0" w:color="auto"/>
            </w:tcBorders>
            <w:shd w:val="clear" w:color="auto" w:fill="FFFFFF"/>
          </w:tcPr>
          <w:p w:rsidR="006072D1" w:rsidRPr="00666855" w:rsidRDefault="006072D1" w:rsidP="00666855">
            <w:pPr>
              <w:spacing w:after="0" w:line="240" w:lineRule="auto"/>
              <w:jc w:val="right"/>
              <w:rPr>
                <w:rFonts w:eastAsia="Times New Roman"/>
              </w:rPr>
            </w:pPr>
            <w:r w:rsidRPr="00666855">
              <w:rPr>
                <w:rFonts w:eastAsia="Times New Roman"/>
              </w:rPr>
              <w:t>29</w:t>
            </w:r>
            <w:r w:rsidR="00FD699B" w:rsidRPr="00666855">
              <w:rPr>
                <w:rFonts w:eastAsia="Times New Roman"/>
              </w:rPr>
              <w:t>%</w:t>
            </w:r>
          </w:p>
        </w:tc>
        <w:tc>
          <w:tcPr>
            <w:tcW w:w="1846" w:type="dxa"/>
            <w:tcBorders>
              <w:top w:val="nil"/>
              <w:left w:val="nil"/>
              <w:bottom w:val="single" w:sz="4" w:space="0" w:color="auto"/>
              <w:right w:val="single" w:sz="4" w:space="0" w:color="auto"/>
            </w:tcBorders>
            <w:shd w:val="clear" w:color="auto" w:fill="FFFFFF"/>
          </w:tcPr>
          <w:p w:rsidR="0032346F" w:rsidRPr="00666855" w:rsidRDefault="0032346F" w:rsidP="0032346F">
            <w:pPr>
              <w:spacing w:after="0" w:line="240" w:lineRule="auto"/>
              <w:jc w:val="right"/>
              <w:rPr>
                <w:rFonts w:eastAsia="Times New Roman"/>
              </w:rPr>
            </w:pPr>
            <w:r w:rsidRPr="00666855">
              <w:rPr>
                <w:rFonts w:eastAsia="Times New Roman"/>
              </w:rPr>
              <w:t>50%</w:t>
            </w:r>
          </w:p>
        </w:tc>
        <w:tc>
          <w:tcPr>
            <w:tcW w:w="1820" w:type="dxa"/>
            <w:tcBorders>
              <w:top w:val="nil"/>
              <w:left w:val="nil"/>
              <w:bottom w:val="single" w:sz="4" w:space="0" w:color="auto"/>
              <w:right w:val="single" w:sz="4" w:space="0" w:color="auto"/>
            </w:tcBorders>
            <w:shd w:val="clear" w:color="auto" w:fill="FFF2CC"/>
          </w:tcPr>
          <w:p w:rsidR="0032346F" w:rsidRPr="00620829" w:rsidRDefault="006072D1" w:rsidP="0032346F">
            <w:pPr>
              <w:spacing w:after="0" w:line="240" w:lineRule="auto"/>
              <w:jc w:val="right"/>
              <w:rPr>
                <w:rFonts w:eastAsia="Times New Roman"/>
              </w:rPr>
            </w:pPr>
            <w:r>
              <w:rPr>
                <w:rFonts w:eastAsia="Times New Roman"/>
              </w:rPr>
              <w:t>58</w:t>
            </w:r>
            <w:r w:rsidR="00FD699B">
              <w:rPr>
                <w:rFonts w:eastAsia="Times New Roman"/>
                <w:color w:val="000000"/>
              </w:rPr>
              <w:t>%</w:t>
            </w:r>
          </w:p>
        </w:tc>
      </w:tr>
      <w:tr w:rsidR="0032346F" w:rsidRPr="00620829" w:rsidTr="003B6170">
        <w:trPr>
          <w:trHeight w:val="915"/>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sidRPr="002252C6">
              <w:t>3.2.2 Number of LDF national strategies, action plans, or policy/regulatory changes developed with UNCDF support</w:t>
            </w:r>
          </w:p>
        </w:tc>
        <w:tc>
          <w:tcPr>
            <w:tcW w:w="1619"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27</w:t>
            </w:r>
          </w:p>
          <w:p w:rsidR="0032346F" w:rsidRPr="00620829" w:rsidRDefault="0032346F" w:rsidP="0032346F">
            <w:pPr>
              <w:spacing w:after="0" w:line="240" w:lineRule="auto"/>
              <w:jc w:val="right"/>
              <w:rPr>
                <w:rFonts w:eastAsia="Times New Roman"/>
                <w:color w:val="000000"/>
              </w:rPr>
            </w:pPr>
            <w:r>
              <w:rPr>
                <w:rFonts w:eastAsia="Times New Roman"/>
                <w:color w:val="000000"/>
              </w:rPr>
              <w:t xml:space="preserve"> (2014)</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27</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34</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color w:val="000000"/>
              </w:rPr>
              <w:t>67</w:t>
            </w:r>
          </w:p>
        </w:tc>
        <w:tc>
          <w:tcPr>
            <w:tcW w:w="1619" w:type="dxa"/>
            <w:tcBorders>
              <w:top w:val="nil"/>
              <w:left w:val="nil"/>
              <w:bottom w:val="single" w:sz="4" w:space="0" w:color="auto"/>
              <w:right w:val="single" w:sz="4" w:space="0" w:color="auto"/>
            </w:tcBorders>
            <w:shd w:val="clear" w:color="auto" w:fill="FFFFFF"/>
          </w:tcPr>
          <w:p w:rsidR="009F7607" w:rsidRPr="00666855" w:rsidRDefault="009F7607" w:rsidP="00666855">
            <w:pPr>
              <w:spacing w:after="0" w:line="240" w:lineRule="auto"/>
              <w:jc w:val="right"/>
              <w:rPr>
                <w:rFonts w:eastAsia="Times New Roman"/>
              </w:rPr>
            </w:pPr>
            <w:r w:rsidRPr="00666855">
              <w:rPr>
                <w:rFonts w:eastAsia="Times New Roman"/>
              </w:rPr>
              <w:t>75</w:t>
            </w:r>
          </w:p>
        </w:tc>
        <w:tc>
          <w:tcPr>
            <w:tcW w:w="1846"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rPr>
            </w:pPr>
            <w:r w:rsidRPr="0094013E">
              <w:rPr>
                <w:rFonts w:eastAsia="Times New Roman"/>
              </w:rPr>
              <w:t>80</w:t>
            </w:r>
          </w:p>
          <w:p w:rsidR="006B2F09" w:rsidRPr="0094013E" w:rsidRDefault="006B2F09" w:rsidP="0032346F">
            <w:pPr>
              <w:spacing w:after="0" w:line="240" w:lineRule="auto"/>
              <w:jc w:val="right"/>
              <w:rPr>
                <w:rFonts w:eastAsia="Times New Roman"/>
              </w:rPr>
            </w:pPr>
            <w:r>
              <w:rPr>
                <w:rFonts w:eastAsia="Times New Roman"/>
              </w:rPr>
              <w:t>(annual)</w:t>
            </w:r>
          </w:p>
        </w:tc>
        <w:tc>
          <w:tcPr>
            <w:tcW w:w="1820" w:type="dxa"/>
            <w:tcBorders>
              <w:top w:val="nil"/>
              <w:left w:val="nil"/>
              <w:bottom w:val="single" w:sz="4" w:space="0" w:color="auto"/>
              <w:right w:val="single" w:sz="4" w:space="0" w:color="auto"/>
            </w:tcBorders>
            <w:shd w:val="clear" w:color="auto" w:fill="E2EFD9"/>
          </w:tcPr>
          <w:p w:rsidR="0032346F" w:rsidRPr="00620829" w:rsidRDefault="009F7607" w:rsidP="0032346F">
            <w:pPr>
              <w:spacing w:after="0" w:line="240" w:lineRule="auto"/>
              <w:jc w:val="right"/>
              <w:rPr>
                <w:rFonts w:eastAsia="Times New Roman"/>
              </w:rPr>
            </w:pPr>
            <w:r>
              <w:rPr>
                <w:rFonts w:eastAsia="Times New Roman"/>
              </w:rPr>
              <w:t>94</w:t>
            </w:r>
            <w:r w:rsidR="00FD699B">
              <w:rPr>
                <w:rFonts w:eastAsia="Times New Roman"/>
                <w:color w:val="000000"/>
              </w:rPr>
              <w:t>%</w:t>
            </w:r>
          </w:p>
        </w:tc>
      </w:tr>
      <w:tr w:rsidR="0032346F" w:rsidRPr="00620829" w:rsidTr="003B6170">
        <w:trPr>
          <w:trHeight w:val="1560"/>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single" w:sz="4" w:space="0" w:color="auto"/>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rPr>
                <w:rFonts w:eastAsia="Times New Roman"/>
              </w:rPr>
            </w:pPr>
            <w:r w:rsidRPr="00415DC0">
              <w:t>3.2.3</w:t>
            </w:r>
            <w:r w:rsidRPr="003237B6">
              <w:rPr>
                <w:b/>
                <w:color w:val="FF0000"/>
              </w:rPr>
              <w:t xml:space="preserve"> </w:t>
            </w:r>
            <w:r w:rsidRPr="00415DC0">
              <w:t xml:space="preserve">Number of </w:t>
            </w:r>
            <w:r>
              <w:t xml:space="preserve">people </w:t>
            </w:r>
            <w:r w:rsidRPr="00353293">
              <w:t>trained</w:t>
            </w:r>
            <w:r w:rsidRPr="00A83AD8">
              <w:t xml:space="preserve"> (disaggregated by sex) </w:t>
            </w:r>
            <w:r w:rsidRPr="00415DC0">
              <w:t>to strengthen capacities of national and local actors (training, advocacy, peer to peer learning)</w:t>
            </w:r>
          </w:p>
        </w:tc>
        <w:tc>
          <w:tcPr>
            <w:tcW w:w="1619" w:type="dxa"/>
            <w:tcBorders>
              <w:top w:val="single" w:sz="4" w:space="0" w:color="auto"/>
              <w:left w:val="nil"/>
              <w:bottom w:val="single" w:sz="4" w:space="0" w:color="auto"/>
              <w:right w:val="single" w:sz="4" w:space="0" w:color="auto"/>
            </w:tcBorders>
            <w:shd w:val="clear" w:color="auto" w:fill="auto"/>
          </w:tcPr>
          <w:p w:rsidR="0032346F" w:rsidRDefault="0032346F" w:rsidP="0032346F">
            <w:pPr>
              <w:spacing w:after="0" w:line="240" w:lineRule="auto"/>
              <w:jc w:val="right"/>
            </w:pPr>
            <w:r>
              <w:t>6,488</w:t>
            </w:r>
          </w:p>
          <w:p w:rsidR="0032346F" w:rsidRPr="00620829" w:rsidRDefault="0032346F" w:rsidP="0032346F">
            <w:pPr>
              <w:spacing w:after="0" w:line="240" w:lineRule="auto"/>
              <w:jc w:val="right"/>
              <w:rPr>
                <w:rFonts w:eastAsia="Times New Roman"/>
                <w:color w:val="000000"/>
              </w:rPr>
            </w:pPr>
            <w:r>
              <w:rPr>
                <w:rFonts w:eastAsia="Times New Roman"/>
                <w:color w:val="000000"/>
              </w:rPr>
              <w:t>(2014)</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t>6,488</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781"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color w:val="000000"/>
              </w:rPr>
            </w:pPr>
            <w:r>
              <w:rPr>
                <w:rFonts w:eastAsia="Times New Roman"/>
                <w:color w:val="000000"/>
              </w:rPr>
              <w:t xml:space="preserve">45,741 </w:t>
            </w:r>
          </w:p>
          <w:p w:rsidR="0032346F" w:rsidRPr="00620829" w:rsidRDefault="0032346F" w:rsidP="0032346F">
            <w:pPr>
              <w:spacing w:after="0" w:line="240" w:lineRule="auto"/>
              <w:jc w:val="right"/>
              <w:rPr>
                <w:rFonts w:eastAsia="Times New Roman"/>
                <w:color w:val="000000"/>
              </w:rPr>
            </w:pPr>
            <w:r>
              <w:rPr>
                <w:rFonts w:eastAsia="Times New Roman"/>
                <w:color w:val="000000"/>
              </w:rPr>
              <w:t>(26% women)</w:t>
            </w:r>
          </w:p>
        </w:tc>
        <w:tc>
          <w:tcPr>
            <w:tcW w:w="1619" w:type="dxa"/>
            <w:tcBorders>
              <w:top w:val="nil"/>
              <w:left w:val="nil"/>
              <w:bottom w:val="single" w:sz="4" w:space="0" w:color="auto"/>
              <w:right w:val="single" w:sz="4" w:space="0" w:color="auto"/>
            </w:tcBorders>
            <w:shd w:val="clear" w:color="auto" w:fill="FFFFFF"/>
          </w:tcPr>
          <w:p w:rsidR="00AC60BF" w:rsidRDefault="00AC60BF" w:rsidP="00AC60BF">
            <w:pPr>
              <w:spacing w:after="0" w:line="240" w:lineRule="auto"/>
              <w:jc w:val="right"/>
              <w:rPr>
                <w:rFonts w:eastAsia="Times New Roman"/>
                <w:color w:val="000000"/>
              </w:rPr>
            </w:pPr>
            <w:r>
              <w:rPr>
                <w:rFonts w:eastAsia="Times New Roman"/>
                <w:color w:val="000000"/>
              </w:rPr>
              <w:t xml:space="preserve">21,064 </w:t>
            </w:r>
          </w:p>
          <w:p w:rsidR="00AC60BF" w:rsidRPr="00620829" w:rsidRDefault="00AC60BF" w:rsidP="00666855">
            <w:pPr>
              <w:spacing w:after="0" w:line="240" w:lineRule="auto"/>
              <w:jc w:val="right"/>
              <w:rPr>
                <w:rFonts w:eastAsia="Times New Roman"/>
                <w:color w:val="000000"/>
              </w:rPr>
            </w:pPr>
            <w:r>
              <w:rPr>
                <w:rFonts w:eastAsia="Times New Roman"/>
                <w:color w:val="000000"/>
              </w:rPr>
              <w:t>(54% women)</w:t>
            </w:r>
          </w:p>
        </w:tc>
        <w:tc>
          <w:tcPr>
            <w:tcW w:w="1846" w:type="dxa"/>
            <w:tcBorders>
              <w:top w:val="nil"/>
              <w:left w:val="nil"/>
              <w:bottom w:val="single" w:sz="4" w:space="0" w:color="auto"/>
              <w:right w:val="single" w:sz="4" w:space="0" w:color="auto"/>
            </w:tcBorders>
            <w:shd w:val="clear" w:color="auto" w:fill="FFFFFF"/>
          </w:tcPr>
          <w:p w:rsidR="0032346F" w:rsidRDefault="0032346F" w:rsidP="0032346F">
            <w:pPr>
              <w:spacing w:after="0" w:line="240" w:lineRule="auto"/>
              <w:jc w:val="right"/>
              <w:rPr>
                <w:rFonts w:eastAsia="Times New Roman"/>
                <w:color w:val="000000"/>
              </w:rPr>
            </w:pPr>
            <w:r>
              <w:rPr>
                <w:rFonts w:eastAsia="Times New Roman"/>
                <w:color w:val="000000"/>
              </w:rPr>
              <w:t>25,000</w:t>
            </w:r>
          </w:p>
          <w:p w:rsidR="006B2F09" w:rsidRPr="00620829" w:rsidRDefault="006B2F09" w:rsidP="0032346F">
            <w:pPr>
              <w:spacing w:after="0" w:line="240" w:lineRule="auto"/>
              <w:jc w:val="right"/>
              <w:rPr>
                <w:rFonts w:eastAsia="Times New Roman"/>
                <w:color w:val="000000"/>
              </w:rPr>
            </w:pPr>
            <w:r>
              <w:rPr>
                <w:rFonts w:eastAsia="Times New Roman"/>
                <w:color w:val="000000"/>
              </w:rPr>
              <w:t>(annual)</w:t>
            </w:r>
          </w:p>
        </w:tc>
        <w:tc>
          <w:tcPr>
            <w:tcW w:w="1820" w:type="dxa"/>
            <w:tcBorders>
              <w:top w:val="nil"/>
              <w:left w:val="nil"/>
              <w:bottom w:val="single" w:sz="4" w:space="0" w:color="auto"/>
              <w:right w:val="single" w:sz="4" w:space="0" w:color="auto"/>
            </w:tcBorders>
            <w:shd w:val="clear" w:color="auto" w:fill="E2EFD9"/>
          </w:tcPr>
          <w:p w:rsidR="0032346F" w:rsidRPr="00620829" w:rsidRDefault="00AC60BF" w:rsidP="0032346F">
            <w:pPr>
              <w:spacing w:after="0" w:line="240" w:lineRule="auto"/>
              <w:jc w:val="right"/>
              <w:rPr>
                <w:rFonts w:eastAsia="Times New Roman"/>
                <w:color w:val="000000"/>
              </w:rPr>
            </w:pPr>
            <w:r>
              <w:rPr>
                <w:rFonts w:eastAsia="Times New Roman"/>
                <w:color w:val="000000"/>
              </w:rPr>
              <w:t>84</w:t>
            </w:r>
            <w:r w:rsidR="00FD699B">
              <w:rPr>
                <w:rFonts w:eastAsia="Times New Roman"/>
                <w:color w:val="000000"/>
              </w:rPr>
              <w:t>%</w:t>
            </w:r>
          </w:p>
        </w:tc>
      </w:tr>
      <w:tr w:rsidR="002E72F7" w:rsidRPr="00620829" w:rsidTr="003B6170">
        <w:trPr>
          <w:trHeight w:val="1560"/>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5474B9" w:rsidRDefault="0032346F" w:rsidP="0032346F">
            <w:pPr>
              <w:spacing w:after="0" w:line="240" w:lineRule="auto"/>
              <w:rPr>
                <w:rFonts w:eastAsia="Calibri"/>
              </w:rPr>
            </w:pPr>
            <w:r w:rsidRPr="00415DC0">
              <w:t>3.2.4 Number of LDF knowledge products published</w:t>
            </w:r>
            <w:r>
              <w:t xml:space="preserve"> (guidance notes, manuals, handbooks, brochure)</w:t>
            </w:r>
          </w:p>
        </w:tc>
        <w:tc>
          <w:tcPr>
            <w:tcW w:w="1619" w:type="dxa"/>
            <w:tcBorders>
              <w:top w:val="nil"/>
              <w:left w:val="nil"/>
              <w:bottom w:val="single" w:sz="4" w:space="0" w:color="auto"/>
              <w:right w:val="single" w:sz="4" w:space="0" w:color="auto"/>
            </w:tcBorders>
            <w:shd w:val="clear" w:color="auto" w:fill="auto"/>
          </w:tcPr>
          <w:p w:rsidR="0032346F" w:rsidRDefault="0032346F" w:rsidP="0032346F">
            <w:pPr>
              <w:spacing w:after="0" w:line="240" w:lineRule="auto"/>
              <w:jc w:val="right"/>
              <w:rPr>
                <w:rFonts w:eastAsia="Times New Roman"/>
                <w:color w:val="000000"/>
              </w:rPr>
            </w:pPr>
            <w:r>
              <w:rPr>
                <w:rFonts w:eastAsia="Times New Roman"/>
                <w:color w:val="000000"/>
              </w:rPr>
              <w:t>32</w:t>
            </w:r>
          </w:p>
          <w:p w:rsidR="0032346F" w:rsidRPr="00620829" w:rsidRDefault="0032346F" w:rsidP="0032346F">
            <w:pPr>
              <w:spacing w:after="0" w:line="240" w:lineRule="auto"/>
              <w:jc w:val="right"/>
              <w:rPr>
                <w:rFonts w:eastAsia="Times New Roman"/>
                <w:color w:val="000000"/>
              </w:rPr>
            </w:pPr>
            <w:r>
              <w:rPr>
                <w:rFonts w:eastAsia="Times New Roman"/>
                <w:color w:val="000000"/>
              </w:rPr>
              <w:t>(2014)</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32</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60</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color w:val="000000"/>
              </w:rPr>
              <w:t>12</w:t>
            </w:r>
          </w:p>
        </w:tc>
        <w:tc>
          <w:tcPr>
            <w:tcW w:w="1619" w:type="dxa"/>
            <w:tcBorders>
              <w:top w:val="nil"/>
              <w:left w:val="nil"/>
              <w:bottom w:val="single" w:sz="4" w:space="0" w:color="auto"/>
              <w:right w:val="single" w:sz="4" w:space="0" w:color="auto"/>
            </w:tcBorders>
            <w:shd w:val="clear" w:color="auto" w:fill="FFFFFF"/>
          </w:tcPr>
          <w:p w:rsidR="00491DB3" w:rsidRPr="00666855" w:rsidRDefault="00491DB3" w:rsidP="00666855">
            <w:pPr>
              <w:spacing w:after="0" w:line="240" w:lineRule="auto"/>
              <w:jc w:val="right"/>
              <w:rPr>
                <w:rFonts w:eastAsia="Times New Roman"/>
              </w:rPr>
            </w:pPr>
            <w:r w:rsidRPr="00666855">
              <w:rPr>
                <w:rFonts w:eastAsia="Times New Roman"/>
              </w:rPr>
              <w:t>25</w:t>
            </w:r>
          </w:p>
        </w:tc>
        <w:tc>
          <w:tcPr>
            <w:tcW w:w="1846"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rPr>
            </w:pPr>
            <w:r>
              <w:rPr>
                <w:rFonts w:eastAsia="Times New Roman"/>
              </w:rPr>
              <w:t>180</w:t>
            </w:r>
          </w:p>
        </w:tc>
        <w:tc>
          <w:tcPr>
            <w:tcW w:w="1820" w:type="dxa"/>
            <w:tcBorders>
              <w:top w:val="nil"/>
              <w:left w:val="nil"/>
              <w:bottom w:val="single" w:sz="4" w:space="0" w:color="auto"/>
              <w:right w:val="single" w:sz="4" w:space="0" w:color="auto"/>
            </w:tcBorders>
            <w:shd w:val="clear" w:color="auto" w:fill="FFF2CC"/>
          </w:tcPr>
          <w:p w:rsidR="0032346F" w:rsidRPr="00620829" w:rsidRDefault="00491DB3" w:rsidP="0032346F">
            <w:pPr>
              <w:spacing w:after="0" w:line="240" w:lineRule="auto"/>
              <w:jc w:val="right"/>
              <w:rPr>
                <w:rFonts w:eastAsia="Times New Roman"/>
              </w:rPr>
            </w:pPr>
            <w:r>
              <w:rPr>
                <w:rFonts w:eastAsia="Times New Roman"/>
              </w:rPr>
              <w:t>72</w:t>
            </w:r>
            <w:r w:rsidR="00FD699B">
              <w:rPr>
                <w:rFonts w:eastAsia="Times New Roman"/>
                <w:color w:val="000000"/>
              </w:rPr>
              <w:t>%</w:t>
            </w:r>
          </w:p>
        </w:tc>
      </w:tr>
      <w:tr w:rsidR="0032346F" w:rsidRPr="00620829" w:rsidTr="003B6170">
        <w:trPr>
          <w:trHeight w:val="915"/>
        </w:trPr>
        <w:tc>
          <w:tcPr>
            <w:tcW w:w="1795" w:type="dxa"/>
            <w:vMerge/>
            <w:tcBorders>
              <w:top w:val="nil"/>
              <w:left w:val="single" w:sz="4" w:space="0" w:color="auto"/>
              <w:bottom w:val="single" w:sz="4" w:space="0" w:color="000000"/>
              <w:right w:val="single" w:sz="4" w:space="0" w:color="auto"/>
            </w:tcBorders>
            <w:vAlign w:val="center"/>
            <w:hideMark/>
          </w:tcPr>
          <w:p w:rsidR="0032346F" w:rsidRPr="00620829" w:rsidRDefault="0032346F" w:rsidP="0032346F">
            <w:pPr>
              <w:spacing w:after="0" w:line="240" w:lineRule="auto"/>
              <w:rPr>
                <w:rFonts w:eastAsia="Times New Roman"/>
                <w:color w:val="000000"/>
              </w:rPr>
            </w:pPr>
          </w:p>
        </w:tc>
        <w:tc>
          <w:tcPr>
            <w:tcW w:w="1607" w:type="dxa"/>
            <w:tcBorders>
              <w:top w:val="nil"/>
              <w:left w:val="nil"/>
              <w:bottom w:val="single" w:sz="4" w:space="0" w:color="auto"/>
              <w:right w:val="single" w:sz="4" w:space="0" w:color="auto"/>
            </w:tcBorders>
            <w:shd w:val="clear" w:color="auto" w:fill="auto"/>
            <w:hideMark/>
          </w:tcPr>
          <w:p w:rsidR="0032346F" w:rsidRPr="00620829" w:rsidRDefault="0032346F" w:rsidP="0032346F">
            <w:pPr>
              <w:spacing w:after="0" w:line="240" w:lineRule="auto"/>
              <w:ind w:left="61"/>
              <w:rPr>
                <w:rFonts w:eastAsia="Times New Roman"/>
              </w:rPr>
            </w:pPr>
            <w:r w:rsidRPr="003237B6">
              <w:rPr>
                <w:u w:val="single"/>
              </w:rPr>
              <w:t>Sub-indicator 3.2.4 a</w:t>
            </w:r>
            <w:r>
              <w:t xml:space="preserve"> Percentage of these knowledge </w:t>
            </w:r>
            <w:r>
              <w:lastRenderedPageBreak/>
              <w:t xml:space="preserve">products that incorporate </w:t>
            </w:r>
            <w:r w:rsidRPr="00A83AD8">
              <w:t>gender issues</w:t>
            </w:r>
          </w:p>
        </w:tc>
        <w:tc>
          <w:tcPr>
            <w:tcW w:w="1619"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lastRenderedPageBreak/>
              <w:t>NA</w:t>
            </w:r>
          </w:p>
        </w:tc>
        <w:tc>
          <w:tcPr>
            <w:tcW w:w="1105"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167" w:type="dxa"/>
            <w:tcBorders>
              <w:top w:val="nil"/>
              <w:left w:val="nil"/>
              <w:bottom w:val="single" w:sz="4" w:space="0" w:color="auto"/>
              <w:right w:val="single" w:sz="4" w:space="0" w:color="auto"/>
            </w:tcBorders>
            <w:shd w:val="clear" w:color="auto" w:fill="auto"/>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781" w:type="dxa"/>
            <w:tcBorders>
              <w:top w:val="nil"/>
              <w:left w:val="nil"/>
              <w:bottom w:val="single" w:sz="4" w:space="0" w:color="auto"/>
              <w:right w:val="single" w:sz="4" w:space="0" w:color="auto"/>
            </w:tcBorders>
            <w:shd w:val="clear" w:color="auto" w:fill="FFFFFF"/>
          </w:tcPr>
          <w:p w:rsidR="0032346F" w:rsidRPr="00620829" w:rsidRDefault="0032346F" w:rsidP="0032346F">
            <w:pPr>
              <w:spacing w:after="0" w:line="240" w:lineRule="auto"/>
              <w:jc w:val="right"/>
              <w:rPr>
                <w:rFonts w:eastAsia="Times New Roman"/>
                <w:color w:val="000000"/>
              </w:rPr>
            </w:pPr>
            <w:r>
              <w:rPr>
                <w:rFonts w:eastAsia="Times New Roman"/>
                <w:color w:val="000000"/>
              </w:rPr>
              <w:t>NA</w:t>
            </w:r>
          </w:p>
        </w:tc>
        <w:tc>
          <w:tcPr>
            <w:tcW w:w="1619" w:type="dxa"/>
            <w:tcBorders>
              <w:top w:val="nil"/>
              <w:left w:val="nil"/>
              <w:bottom w:val="single" w:sz="4" w:space="0" w:color="auto"/>
              <w:right w:val="single" w:sz="4" w:space="0" w:color="auto"/>
            </w:tcBorders>
            <w:shd w:val="clear" w:color="auto" w:fill="FFFFFF"/>
          </w:tcPr>
          <w:p w:rsidR="00D0063A" w:rsidRPr="00666855" w:rsidRDefault="00D0063A" w:rsidP="00666855">
            <w:pPr>
              <w:spacing w:after="0" w:line="240" w:lineRule="auto"/>
              <w:jc w:val="right"/>
              <w:rPr>
                <w:rFonts w:eastAsia="Times New Roman"/>
              </w:rPr>
            </w:pPr>
            <w:r w:rsidRPr="00666855">
              <w:rPr>
                <w:rFonts w:eastAsia="Times New Roman"/>
              </w:rPr>
              <w:t>48</w:t>
            </w:r>
            <w:r w:rsidR="00FD699B" w:rsidRPr="00666855">
              <w:rPr>
                <w:rFonts w:eastAsia="Times New Roman"/>
              </w:rPr>
              <w:t>%</w:t>
            </w:r>
          </w:p>
        </w:tc>
        <w:tc>
          <w:tcPr>
            <w:tcW w:w="1846" w:type="dxa"/>
            <w:tcBorders>
              <w:top w:val="nil"/>
              <w:left w:val="nil"/>
              <w:bottom w:val="single" w:sz="4" w:space="0" w:color="auto"/>
              <w:right w:val="single" w:sz="4" w:space="0" w:color="auto"/>
            </w:tcBorders>
            <w:shd w:val="clear" w:color="auto" w:fill="FFFFFF"/>
          </w:tcPr>
          <w:p w:rsidR="0032346F" w:rsidRPr="00620829" w:rsidRDefault="00D0063A" w:rsidP="00666855">
            <w:pPr>
              <w:spacing w:after="0" w:line="240" w:lineRule="auto"/>
              <w:jc w:val="right"/>
              <w:rPr>
                <w:rFonts w:eastAsia="Times New Roman"/>
              </w:rPr>
            </w:pPr>
            <w:r>
              <w:rPr>
                <w:rFonts w:eastAsia="Times New Roman"/>
              </w:rPr>
              <w:t>50</w:t>
            </w:r>
            <w:r w:rsidR="00FD699B">
              <w:rPr>
                <w:rFonts w:eastAsia="Times New Roman"/>
                <w:color w:val="000000"/>
              </w:rPr>
              <w:t>%</w:t>
            </w:r>
          </w:p>
        </w:tc>
        <w:tc>
          <w:tcPr>
            <w:tcW w:w="1820" w:type="dxa"/>
            <w:tcBorders>
              <w:top w:val="nil"/>
              <w:left w:val="nil"/>
              <w:bottom w:val="single" w:sz="4" w:space="0" w:color="auto"/>
              <w:right w:val="single" w:sz="4" w:space="0" w:color="auto"/>
            </w:tcBorders>
            <w:shd w:val="clear" w:color="auto" w:fill="E2EFD9"/>
          </w:tcPr>
          <w:p w:rsidR="0032346F" w:rsidRPr="00620829" w:rsidRDefault="00D0063A" w:rsidP="0032346F">
            <w:pPr>
              <w:spacing w:after="0" w:line="240" w:lineRule="auto"/>
              <w:jc w:val="right"/>
              <w:rPr>
                <w:rFonts w:eastAsia="Times New Roman"/>
              </w:rPr>
            </w:pPr>
            <w:r>
              <w:rPr>
                <w:rFonts w:eastAsia="Times New Roman"/>
              </w:rPr>
              <w:t>96</w:t>
            </w:r>
            <w:r w:rsidR="00FD699B">
              <w:rPr>
                <w:rFonts w:eastAsia="Times New Roman"/>
                <w:color w:val="000000"/>
              </w:rPr>
              <w:t>%</w:t>
            </w:r>
          </w:p>
        </w:tc>
      </w:tr>
    </w:tbl>
    <w:p w:rsidR="00C64B75" w:rsidRDefault="00C64B75" w:rsidP="00C64B75">
      <w:pPr>
        <w:spacing w:after="0"/>
        <w:rPr>
          <w:b/>
        </w:rPr>
      </w:pPr>
    </w:p>
    <w:p w:rsidR="00C64B75" w:rsidRDefault="00C64B75" w:rsidP="00C64B75">
      <w:pPr>
        <w:spacing w:after="0"/>
        <w:rPr>
          <w:b/>
        </w:rPr>
      </w:pPr>
    </w:p>
    <w:p w:rsidR="000521A0" w:rsidRDefault="000521A0" w:rsidP="00363BC7">
      <w:pPr>
        <w:spacing w:after="0"/>
        <w:outlineLvl w:val="0"/>
        <w:rPr>
          <w:b/>
        </w:rPr>
      </w:pPr>
      <w:r w:rsidRPr="000521A0">
        <w:rPr>
          <w:b/>
        </w:rPr>
        <w:t>Part B - Institutional Effectiveness</w:t>
      </w:r>
    </w:p>
    <w:tbl>
      <w:tblPr>
        <w:tblW w:w="14508" w:type="dxa"/>
        <w:tblLayout w:type="fixed"/>
        <w:tblLook w:val="04A0" w:firstRow="1" w:lastRow="0" w:firstColumn="1" w:lastColumn="0" w:noHBand="0" w:noVBand="1"/>
      </w:tblPr>
      <w:tblGrid>
        <w:gridCol w:w="1948"/>
        <w:gridCol w:w="2835"/>
        <w:gridCol w:w="1265"/>
        <w:gridCol w:w="1440"/>
        <w:gridCol w:w="1260"/>
        <w:gridCol w:w="1260"/>
        <w:gridCol w:w="1350"/>
        <w:gridCol w:w="1392"/>
        <w:gridCol w:w="1758"/>
      </w:tblGrid>
      <w:tr w:rsidR="00C206C9" w:rsidRPr="00C27294" w:rsidTr="006B4435">
        <w:trPr>
          <w:trHeight w:val="930"/>
        </w:trPr>
        <w:tc>
          <w:tcPr>
            <w:tcW w:w="14508" w:type="dxa"/>
            <w:gridSpan w:val="9"/>
            <w:tcBorders>
              <w:top w:val="single" w:sz="4" w:space="0" w:color="auto"/>
              <w:left w:val="single" w:sz="4" w:space="0" w:color="auto"/>
              <w:bottom w:val="single" w:sz="4" w:space="0" w:color="auto"/>
              <w:right w:val="single" w:sz="4" w:space="0" w:color="auto"/>
            </w:tcBorders>
            <w:shd w:val="clear" w:color="000000" w:fill="8EA9DB"/>
            <w:hideMark/>
          </w:tcPr>
          <w:p w:rsidR="00C206C9" w:rsidRDefault="00C206C9" w:rsidP="00C206C9">
            <w:pPr>
              <w:spacing w:after="0" w:line="240" w:lineRule="auto"/>
              <w:rPr>
                <w:rFonts w:eastAsia="Times New Roman"/>
                <w:b/>
                <w:bCs/>
                <w:color w:val="000000"/>
              </w:rPr>
            </w:pPr>
            <w:r w:rsidRPr="00C206C9">
              <w:rPr>
                <w:rFonts w:eastAsia="Times New Roman"/>
                <w:b/>
                <w:bCs/>
                <w:color w:val="000000"/>
              </w:rPr>
              <w:t>Institutional Effectiveness:  UNCDF is a more effective and efficient organization, with improved systems and bus</w:t>
            </w:r>
            <w:r w:rsidR="00493F12">
              <w:rPr>
                <w:rFonts w:eastAsia="Times New Roman"/>
                <w:b/>
                <w:bCs/>
                <w:color w:val="000000"/>
              </w:rPr>
              <w:t xml:space="preserve">iness practices and processes, </w:t>
            </w:r>
            <w:r w:rsidRPr="00C206C9">
              <w:rPr>
                <w:rFonts w:eastAsia="Times New Roman"/>
                <w:b/>
                <w:bCs/>
                <w:color w:val="000000"/>
              </w:rPr>
              <w:t>well-managed resources and engaged personnel</w:t>
            </w:r>
          </w:p>
          <w:p w:rsidR="00C656D7" w:rsidRDefault="00C656D7" w:rsidP="00C206C9">
            <w:pPr>
              <w:spacing w:after="0" w:line="240" w:lineRule="auto"/>
              <w:rPr>
                <w:rFonts w:eastAsia="Times New Roman"/>
                <w:b/>
                <w:bCs/>
                <w:color w:val="000000"/>
              </w:rPr>
            </w:pPr>
          </w:p>
          <w:p w:rsidR="00C656D7" w:rsidRDefault="00C656D7" w:rsidP="00C206C9">
            <w:pPr>
              <w:spacing w:after="0" w:line="240" w:lineRule="auto"/>
              <w:rPr>
                <w:rFonts w:eastAsia="Times New Roman"/>
                <w:b/>
                <w:bCs/>
                <w:color w:val="000000"/>
              </w:rPr>
            </w:pPr>
          </w:p>
          <w:p w:rsidR="00C656D7" w:rsidRPr="00C206C9" w:rsidRDefault="00C656D7" w:rsidP="00C206C9">
            <w:pPr>
              <w:spacing w:after="0" w:line="240" w:lineRule="auto"/>
              <w:rPr>
                <w:rFonts w:eastAsia="Times New Roman"/>
                <w:b/>
                <w:bCs/>
                <w:color w:val="000000"/>
              </w:rPr>
            </w:pPr>
          </w:p>
        </w:tc>
      </w:tr>
      <w:tr w:rsidR="009063F7" w:rsidRPr="00C27294" w:rsidTr="00666855">
        <w:trPr>
          <w:trHeight w:val="1260"/>
        </w:trPr>
        <w:tc>
          <w:tcPr>
            <w:tcW w:w="1948" w:type="dxa"/>
            <w:tcBorders>
              <w:top w:val="nil"/>
              <w:left w:val="single" w:sz="4" w:space="0" w:color="auto"/>
              <w:bottom w:val="single" w:sz="4" w:space="0" w:color="auto"/>
              <w:right w:val="single" w:sz="4" w:space="0" w:color="auto"/>
            </w:tcBorders>
            <w:shd w:val="clear" w:color="000000" w:fill="D9D9D9"/>
            <w:hideMark/>
          </w:tcPr>
          <w:p w:rsidR="009063F7" w:rsidRPr="00C206C9" w:rsidRDefault="009063F7" w:rsidP="009063F7">
            <w:pPr>
              <w:spacing w:after="0" w:line="240" w:lineRule="auto"/>
              <w:rPr>
                <w:rFonts w:eastAsia="Times New Roman"/>
                <w:b/>
                <w:bCs/>
              </w:rPr>
            </w:pPr>
            <w:r w:rsidRPr="00C206C9">
              <w:rPr>
                <w:rFonts w:eastAsia="Times New Roman"/>
                <w:b/>
                <w:bCs/>
              </w:rPr>
              <w:t>Result Statements</w:t>
            </w:r>
          </w:p>
        </w:tc>
        <w:tc>
          <w:tcPr>
            <w:tcW w:w="2835" w:type="dxa"/>
            <w:tcBorders>
              <w:top w:val="nil"/>
              <w:left w:val="nil"/>
              <w:bottom w:val="single" w:sz="4" w:space="0" w:color="auto"/>
              <w:right w:val="single" w:sz="4" w:space="0" w:color="auto"/>
            </w:tcBorders>
            <w:shd w:val="clear" w:color="000000" w:fill="D9D9D9"/>
            <w:hideMark/>
          </w:tcPr>
          <w:p w:rsidR="009063F7" w:rsidRPr="00C206C9" w:rsidRDefault="009063F7" w:rsidP="009063F7">
            <w:pPr>
              <w:spacing w:after="0" w:line="240" w:lineRule="auto"/>
              <w:rPr>
                <w:rFonts w:eastAsia="Times New Roman"/>
                <w:b/>
                <w:bCs/>
              </w:rPr>
            </w:pPr>
            <w:r w:rsidRPr="00C206C9">
              <w:rPr>
                <w:rFonts w:eastAsia="Times New Roman"/>
                <w:b/>
                <w:bCs/>
              </w:rPr>
              <w:t>Indicators</w:t>
            </w:r>
          </w:p>
        </w:tc>
        <w:tc>
          <w:tcPr>
            <w:tcW w:w="1265" w:type="dxa"/>
            <w:tcBorders>
              <w:top w:val="nil"/>
              <w:left w:val="nil"/>
              <w:bottom w:val="single" w:sz="4" w:space="0" w:color="auto"/>
              <w:right w:val="single" w:sz="4" w:space="0" w:color="auto"/>
            </w:tcBorders>
            <w:shd w:val="clear" w:color="000000" w:fill="D9D9D9"/>
            <w:hideMark/>
          </w:tcPr>
          <w:p w:rsidR="009063F7" w:rsidRDefault="009063F7" w:rsidP="009063F7">
            <w:pPr>
              <w:spacing w:after="0" w:line="240" w:lineRule="auto"/>
              <w:jc w:val="center"/>
              <w:rPr>
                <w:rFonts w:eastAsia="Times New Roman"/>
                <w:b/>
                <w:bCs/>
              </w:rPr>
            </w:pPr>
            <w:r w:rsidRPr="00620829">
              <w:rPr>
                <w:rFonts w:eastAsia="Times New Roman"/>
                <w:b/>
                <w:bCs/>
              </w:rPr>
              <w:t xml:space="preserve">Baseline </w:t>
            </w:r>
          </w:p>
          <w:p w:rsidR="009063F7" w:rsidRPr="00620829" w:rsidRDefault="009063F7" w:rsidP="009063F7">
            <w:pPr>
              <w:spacing w:after="0" w:line="240" w:lineRule="auto"/>
              <w:jc w:val="center"/>
              <w:rPr>
                <w:rFonts w:eastAsia="Times New Roman"/>
                <w:b/>
                <w:bCs/>
              </w:rPr>
            </w:pPr>
            <w:r>
              <w:rPr>
                <w:rFonts w:eastAsia="Times New Roman"/>
                <w:b/>
                <w:bCs/>
              </w:rPr>
              <w:t>(2013, if not otherwise specified)</w:t>
            </w:r>
          </w:p>
        </w:tc>
        <w:tc>
          <w:tcPr>
            <w:tcW w:w="1440" w:type="dxa"/>
            <w:tcBorders>
              <w:top w:val="nil"/>
              <w:left w:val="nil"/>
              <w:bottom w:val="single" w:sz="4" w:space="0" w:color="auto"/>
              <w:right w:val="single" w:sz="4" w:space="0" w:color="auto"/>
            </w:tcBorders>
            <w:shd w:val="clear" w:color="000000" w:fill="D9D9D9"/>
            <w:hideMark/>
          </w:tcPr>
          <w:p w:rsidR="009063F7" w:rsidRPr="00620829" w:rsidRDefault="009063F7" w:rsidP="009063F7">
            <w:pPr>
              <w:spacing w:after="0" w:line="240" w:lineRule="auto"/>
              <w:jc w:val="center"/>
              <w:rPr>
                <w:rFonts w:eastAsia="Times New Roman"/>
                <w:b/>
                <w:bCs/>
              </w:rPr>
            </w:pPr>
            <w:proofErr w:type="gramStart"/>
            <w:r w:rsidRPr="00620829">
              <w:rPr>
                <w:rFonts w:eastAsia="Times New Roman"/>
                <w:b/>
                <w:bCs/>
              </w:rPr>
              <w:t>Actual  2014</w:t>
            </w:r>
            <w:proofErr w:type="gramEnd"/>
          </w:p>
        </w:tc>
        <w:tc>
          <w:tcPr>
            <w:tcW w:w="1260" w:type="dxa"/>
            <w:tcBorders>
              <w:top w:val="nil"/>
              <w:left w:val="nil"/>
              <w:bottom w:val="single" w:sz="4" w:space="0" w:color="auto"/>
              <w:right w:val="single" w:sz="4" w:space="0" w:color="auto"/>
            </w:tcBorders>
            <w:shd w:val="clear" w:color="000000" w:fill="D9D9D9"/>
            <w:hideMark/>
          </w:tcPr>
          <w:p w:rsidR="009063F7" w:rsidRPr="00620829" w:rsidRDefault="009063F7" w:rsidP="009063F7">
            <w:pPr>
              <w:spacing w:after="0" w:line="240" w:lineRule="auto"/>
              <w:jc w:val="center"/>
              <w:rPr>
                <w:rFonts w:eastAsia="Times New Roman"/>
                <w:b/>
                <w:bCs/>
              </w:rPr>
            </w:pPr>
            <w:proofErr w:type="gramStart"/>
            <w:r w:rsidRPr="00620829">
              <w:rPr>
                <w:rFonts w:eastAsia="Times New Roman"/>
                <w:b/>
                <w:bCs/>
              </w:rPr>
              <w:t>Actual  2015</w:t>
            </w:r>
            <w:proofErr w:type="gramEnd"/>
          </w:p>
        </w:tc>
        <w:tc>
          <w:tcPr>
            <w:tcW w:w="1260" w:type="dxa"/>
            <w:tcBorders>
              <w:top w:val="nil"/>
              <w:left w:val="nil"/>
              <w:bottom w:val="single" w:sz="4" w:space="0" w:color="auto"/>
              <w:right w:val="single" w:sz="4" w:space="0" w:color="auto"/>
            </w:tcBorders>
            <w:shd w:val="clear" w:color="000000" w:fill="D9D9D9"/>
            <w:hideMark/>
          </w:tcPr>
          <w:p w:rsidR="009063F7" w:rsidRDefault="009063F7" w:rsidP="009063F7">
            <w:pPr>
              <w:spacing w:after="0" w:line="240" w:lineRule="auto"/>
              <w:jc w:val="center"/>
              <w:rPr>
                <w:rFonts w:eastAsia="Times New Roman"/>
                <w:b/>
                <w:bCs/>
              </w:rPr>
            </w:pPr>
            <w:r w:rsidRPr="00620829">
              <w:rPr>
                <w:rFonts w:eastAsia="Times New Roman"/>
                <w:b/>
                <w:bCs/>
              </w:rPr>
              <w:t>Actual</w:t>
            </w:r>
          </w:p>
          <w:p w:rsidR="009063F7" w:rsidRPr="00620829" w:rsidRDefault="009063F7" w:rsidP="009063F7">
            <w:pPr>
              <w:spacing w:after="0" w:line="240" w:lineRule="auto"/>
              <w:jc w:val="center"/>
              <w:rPr>
                <w:rFonts w:eastAsia="Times New Roman"/>
                <w:b/>
                <w:bCs/>
              </w:rPr>
            </w:pPr>
            <w:r>
              <w:rPr>
                <w:rFonts w:eastAsia="Times New Roman"/>
                <w:b/>
                <w:bCs/>
              </w:rPr>
              <w:t>2016</w:t>
            </w:r>
          </w:p>
        </w:tc>
        <w:tc>
          <w:tcPr>
            <w:tcW w:w="1350" w:type="dxa"/>
            <w:tcBorders>
              <w:top w:val="nil"/>
              <w:left w:val="nil"/>
              <w:bottom w:val="single" w:sz="4" w:space="0" w:color="auto"/>
              <w:right w:val="single" w:sz="4" w:space="0" w:color="auto"/>
            </w:tcBorders>
            <w:shd w:val="clear" w:color="000000" w:fill="D9D9D9"/>
            <w:hideMark/>
          </w:tcPr>
          <w:p w:rsidR="009063F7" w:rsidRDefault="009063F7" w:rsidP="009063F7">
            <w:pPr>
              <w:spacing w:after="0" w:line="240" w:lineRule="auto"/>
              <w:jc w:val="center"/>
              <w:rPr>
                <w:rFonts w:eastAsia="Times New Roman"/>
                <w:b/>
                <w:bCs/>
              </w:rPr>
            </w:pPr>
            <w:r w:rsidRPr="00620829">
              <w:rPr>
                <w:rFonts w:eastAsia="Times New Roman"/>
                <w:b/>
                <w:bCs/>
              </w:rPr>
              <w:t>Actual</w:t>
            </w:r>
          </w:p>
          <w:p w:rsidR="009063F7" w:rsidRPr="00620829" w:rsidRDefault="009063F7" w:rsidP="009063F7">
            <w:pPr>
              <w:spacing w:after="0" w:line="240" w:lineRule="auto"/>
              <w:jc w:val="center"/>
              <w:rPr>
                <w:rFonts w:eastAsia="Times New Roman"/>
                <w:b/>
                <w:bCs/>
              </w:rPr>
            </w:pPr>
            <w:r>
              <w:rPr>
                <w:rFonts w:eastAsia="Times New Roman"/>
                <w:b/>
                <w:bCs/>
              </w:rPr>
              <w:t>2017</w:t>
            </w:r>
          </w:p>
        </w:tc>
        <w:tc>
          <w:tcPr>
            <w:tcW w:w="1392" w:type="dxa"/>
            <w:tcBorders>
              <w:top w:val="nil"/>
              <w:left w:val="nil"/>
              <w:bottom w:val="single" w:sz="4" w:space="0" w:color="auto"/>
              <w:right w:val="single" w:sz="4" w:space="0" w:color="auto"/>
            </w:tcBorders>
            <w:shd w:val="clear" w:color="000000" w:fill="D9D9D9"/>
            <w:hideMark/>
          </w:tcPr>
          <w:p w:rsidR="009063F7" w:rsidRPr="00C206C9" w:rsidRDefault="009063F7" w:rsidP="009063F7">
            <w:pPr>
              <w:spacing w:after="0" w:line="240" w:lineRule="auto"/>
              <w:jc w:val="center"/>
              <w:rPr>
                <w:rFonts w:eastAsia="Times New Roman"/>
                <w:b/>
                <w:bCs/>
              </w:rPr>
            </w:pPr>
            <w:r w:rsidRPr="00C206C9">
              <w:rPr>
                <w:rFonts w:eastAsia="Times New Roman"/>
                <w:b/>
                <w:bCs/>
              </w:rPr>
              <w:t>Cumulative targets</w:t>
            </w:r>
          </w:p>
        </w:tc>
        <w:tc>
          <w:tcPr>
            <w:tcW w:w="1758" w:type="dxa"/>
            <w:tcBorders>
              <w:top w:val="nil"/>
              <w:left w:val="nil"/>
              <w:bottom w:val="single" w:sz="4" w:space="0" w:color="auto"/>
              <w:right w:val="single" w:sz="4" w:space="0" w:color="auto"/>
            </w:tcBorders>
            <w:shd w:val="clear" w:color="000000" w:fill="D9D9D9"/>
            <w:hideMark/>
          </w:tcPr>
          <w:p w:rsidR="009063F7" w:rsidRPr="00C206C9" w:rsidRDefault="009063F7" w:rsidP="009063F7">
            <w:pPr>
              <w:spacing w:after="0" w:line="240" w:lineRule="auto"/>
              <w:jc w:val="center"/>
              <w:rPr>
                <w:rFonts w:eastAsia="Times New Roman"/>
                <w:b/>
                <w:bCs/>
              </w:rPr>
            </w:pPr>
            <w:r w:rsidRPr="00C206C9">
              <w:rPr>
                <w:rFonts w:eastAsia="Times New Roman"/>
                <w:b/>
                <w:bCs/>
              </w:rPr>
              <w:t>Implementation rate against cumulative target</w:t>
            </w:r>
          </w:p>
        </w:tc>
      </w:tr>
      <w:tr w:rsidR="009063F7" w:rsidRPr="00C27294" w:rsidTr="006B4435">
        <w:trPr>
          <w:trHeight w:val="300"/>
        </w:trPr>
        <w:tc>
          <w:tcPr>
            <w:tcW w:w="1948" w:type="dxa"/>
            <w:vMerge w:val="restart"/>
            <w:tcBorders>
              <w:top w:val="nil"/>
              <w:left w:val="single" w:sz="4" w:space="0" w:color="auto"/>
              <w:bottom w:val="single" w:sz="4" w:space="0" w:color="000000"/>
              <w:right w:val="single" w:sz="4" w:space="0" w:color="auto"/>
            </w:tcBorders>
            <w:shd w:val="clear" w:color="000000" w:fill="FFFFFF"/>
            <w:hideMark/>
          </w:tcPr>
          <w:p w:rsidR="009063F7" w:rsidRPr="00C206C9" w:rsidRDefault="009063F7" w:rsidP="009063F7">
            <w:pPr>
              <w:spacing w:after="0" w:line="240" w:lineRule="auto"/>
              <w:rPr>
                <w:rFonts w:eastAsia="Times New Roman"/>
                <w:color w:val="000000"/>
              </w:rPr>
            </w:pPr>
            <w:r w:rsidRPr="00C206C9">
              <w:rPr>
                <w:rFonts w:eastAsia="Times New Roman"/>
                <w:b/>
                <w:bCs/>
                <w:color w:val="000000"/>
              </w:rPr>
              <w:t xml:space="preserve">Output 1.1 </w:t>
            </w:r>
            <w:r w:rsidRPr="00C206C9">
              <w:rPr>
                <w:rFonts w:eastAsia="Times New Roman"/>
                <w:color w:val="000000"/>
              </w:rPr>
              <w:t>Improved quality of programming and accountability for results</w:t>
            </w:r>
          </w:p>
        </w:tc>
        <w:tc>
          <w:tcPr>
            <w:tcW w:w="12560" w:type="dxa"/>
            <w:gridSpan w:val="8"/>
            <w:tcBorders>
              <w:top w:val="single" w:sz="4" w:space="0" w:color="auto"/>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b/>
                <w:bCs/>
              </w:rPr>
            </w:pPr>
            <w:r w:rsidRPr="00C206C9">
              <w:rPr>
                <w:rFonts w:eastAsia="Times New Roman"/>
                <w:b/>
                <w:bCs/>
              </w:rPr>
              <w:t>Quality of Programming</w:t>
            </w:r>
          </w:p>
        </w:tc>
      </w:tr>
      <w:tr w:rsidR="009063F7" w:rsidRPr="00C27294" w:rsidTr="003B6170">
        <w:trPr>
          <w:trHeight w:val="9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 xml:space="preserve">1.1.1 Percentage of </w:t>
            </w:r>
            <w:proofErr w:type="spellStart"/>
            <w:r w:rsidRPr="00C206C9">
              <w:rPr>
                <w:rFonts w:eastAsia="Times New Roman"/>
              </w:rPr>
              <w:t>programme</w:t>
            </w:r>
            <w:proofErr w:type="spellEnd"/>
            <w:r w:rsidRPr="00C206C9">
              <w:rPr>
                <w:rFonts w:eastAsia="Times New Roman"/>
              </w:rPr>
              <w:t xml:space="preserve"> outcomes that are reported as on-track or achieved</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NA</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70%</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75%</w:t>
            </w:r>
          </w:p>
        </w:tc>
        <w:tc>
          <w:tcPr>
            <w:tcW w:w="1260" w:type="dxa"/>
            <w:tcBorders>
              <w:top w:val="nil"/>
              <w:left w:val="nil"/>
              <w:bottom w:val="single" w:sz="4" w:space="0" w:color="auto"/>
              <w:right w:val="single" w:sz="4" w:space="0" w:color="auto"/>
            </w:tcBorders>
            <w:shd w:val="clear" w:color="auto" w:fill="FFFFFF"/>
            <w:hideMark/>
          </w:tcPr>
          <w:p w:rsidR="009063F7" w:rsidRPr="00F515D5" w:rsidRDefault="009063F7" w:rsidP="009063F7">
            <w:pPr>
              <w:spacing w:after="0" w:line="240" w:lineRule="auto"/>
              <w:jc w:val="right"/>
              <w:rPr>
                <w:rFonts w:eastAsia="Times New Roman"/>
              </w:rPr>
            </w:pPr>
            <w:r w:rsidRPr="00F515D5">
              <w:rPr>
                <w:rFonts w:eastAsia="Times New Roman"/>
              </w:rPr>
              <w:t>75%</w:t>
            </w:r>
          </w:p>
        </w:tc>
        <w:tc>
          <w:tcPr>
            <w:tcW w:w="1350" w:type="dxa"/>
            <w:tcBorders>
              <w:top w:val="nil"/>
              <w:left w:val="nil"/>
              <w:bottom w:val="single" w:sz="4" w:space="0" w:color="auto"/>
              <w:right w:val="single" w:sz="4" w:space="0" w:color="auto"/>
            </w:tcBorders>
            <w:shd w:val="clear" w:color="auto" w:fill="FFFFFF"/>
            <w:hideMark/>
          </w:tcPr>
          <w:p w:rsidR="00FD699B" w:rsidRPr="00666855" w:rsidRDefault="004910A5" w:rsidP="00666855">
            <w:pPr>
              <w:spacing w:after="0" w:line="240" w:lineRule="auto"/>
              <w:jc w:val="right"/>
              <w:rPr>
                <w:rFonts w:eastAsia="Times New Roman"/>
              </w:rPr>
            </w:pPr>
            <w:r>
              <w:rPr>
                <w:rFonts w:eastAsia="Times New Roman"/>
              </w:rPr>
              <w:t>81</w:t>
            </w:r>
            <w:r w:rsidR="00FD699B" w:rsidRPr="00666855">
              <w:rPr>
                <w:rFonts w:eastAsia="Times New Roman"/>
              </w:rPr>
              <w:t>%</w:t>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90%</w:t>
            </w:r>
          </w:p>
        </w:tc>
        <w:tc>
          <w:tcPr>
            <w:tcW w:w="1758" w:type="dxa"/>
            <w:tcBorders>
              <w:top w:val="nil"/>
              <w:left w:val="nil"/>
              <w:bottom w:val="single" w:sz="4" w:space="0" w:color="auto"/>
              <w:right w:val="single" w:sz="4" w:space="0" w:color="auto"/>
            </w:tcBorders>
            <w:shd w:val="clear" w:color="auto" w:fill="E2EFD9"/>
          </w:tcPr>
          <w:p w:rsidR="009063F7" w:rsidRPr="00C206C9" w:rsidRDefault="00FD699B" w:rsidP="009063F7">
            <w:pPr>
              <w:spacing w:after="0" w:line="240" w:lineRule="auto"/>
              <w:jc w:val="right"/>
              <w:rPr>
                <w:rFonts w:eastAsia="Times New Roman"/>
                <w:color w:val="000000"/>
              </w:rPr>
            </w:pPr>
            <w:r>
              <w:rPr>
                <w:rFonts w:eastAsia="Times New Roman"/>
                <w:color w:val="000000"/>
              </w:rPr>
              <w:t>9</w:t>
            </w:r>
            <w:r w:rsidR="004910A5">
              <w:rPr>
                <w:rFonts w:eastAsia="Times New Roman"/>
                <w:color w:val="000000"/>
              </w:rPr>
              <w:t>0</w:t>
            </w:r>
            <w:r>
              <w:rPr>
                <w:rFonts w:eastAsia="Times New Roman"/>
                <w:color w:val="000000"/>
              </w:rPr>
              <w:t>%</w:t>
            </w:r>
          </w:p>
        </w:tc>
      </w:tr>
      <w:tr w:rsidR="009063F7" w:rsidRPr="00C27294" w:rsidTr="00E257F3">
        <w:trPr>
          <w:trHeight w:val="300"/>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12560" w:type="dxa"/>
            <w:gridSpan w:val="8"/>
            <w:tcBorders>
              <w:top w:val="single" w:sz="4" w:space="0" w:color="auto"/>
              <w:left w:val="nil"/>
              <w:bottom w:val="single" w:sz="4" w:space="0" w:color="auto"/>
              <w:right w:val="single" w:sz="4" w:space="0" w:color="auto"/>
            </w:tcBorders>
            <w:shd w:val="clear" w:color="auto" w:fill="FFFFFF"/>
            <w:hideMark/>
          </w:tcPr>
          <w:p w:rsidR="009063F7" w:rsidRPr="0094013E" w:rsidRDefault="009063F7" w:rsidP="009063F7">
            <w:pPr>
              <w:spacing w:after="0" w:line="240" w:lineRule="auto"/>
              <w:rPr>
                <w:rFonts w:eastAsia="Times New Roman"/>
                <w:b/>
                <w:bCs/>
              </w:rPr>
            </w:pPr>
            <w:r w:rsidRPr="0094013E">
              <w:rPr>
                <w:rFonts w:eastAsia="Times New Roman"/>
                <w:b/>
                <w:bCs/>
              </w:rPr>
              <w:t>Evaluation and Accountability</w:t>
            </w:r>
          </w:p>
        </w:tc>
      </w:tr>
      <w:tr w:rsidR="009063F7" w:rsidRPr="00C27294" w:rsidTr="003B6170">
        <w:trPr>
          <w:trHeight w:val="9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 xml:space="preserve">1.1.2 Annual number of results-based evaluations (project, </w:t>
            </w:r>
            <w:proofErr w:type="spellStart"/>
            <w:r w:rsidRPr="00C206C9">
              <w:rPr>
                <w:rFonts w:eastAsia="Times New Roman"/>
              </w:rPr>
              <w:t>programme</w:t>
            </w:r>
            <w:proofErr w:type="spellEnd"/>
            <w:r w:rsidRPr="00C206C9">
              <w:rPr>
                <w:rFonts w:eastAsia="Times New Roman"/>
              </w:rPr>
              <w:t xml:space="preserve"> and thematic)</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3</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2</w:t>
            </w:r>
          </w:p>
        </w:tc>
        <w:tc>
          <w:tcPr>
            <w:tcW w:w="1260"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Pr>
                <w:rFonts w:eastAsia="Times New Roman"/>
                <w:color w:val="000000"/>
              </w:rPr>
              <w:t>2</w:t>
            </w:r>
          </w:p>
        </w:tc>
        <w:tc>
          <w:tcPr>
            <w:tcW w:w="1350" w:type="dxa"/>
            <w:tcBorders>
              <w:top w:val="nil"/>
              <w:left w:val="nil"/>
              <w:bottom w:val="single" w:sz="4" w:space="0" w:color="auto"/>
              <w:right w:val="single" w:sz="4" w:space="0" w:color="auto"/>
            </w:tcBorders>
            <w:shd w:val="clear" w:color="auto" w:fill="FFFFFF"/>
          </w:tcPr>
          <w:p w:rsidR="00D26AAE" w:rsidRPr="00666855" w:rsidRDefault="00D26AAE" w:rsidP="00666855">
            <w:pPr>
              <w:spacing w:after="0" w:line="240" w:lineRule="auto"/>
              <w:jc w:val="right"/>
              <w:rPr>
                <w:rFonts w:eastAsia="Times New Roman"/>
              </w:rPr>
            </w:pPr>
            <w:r w:rsidRPr="00666855">
              <w:rPr>
                <w:rFonts w:eastAsia="Times New Roman"/>
              </w:rPr>
              <w:t>3</w:t>
            </w:r>
          </w:p>
        </w:tc>
        <w:tc>
          <w:tcPr>
            <w:tcW w:w="1392" w:type="dxa"/>
            <w:tcBorders>
              <w:top w:val="nil"/>
              <w:left w:val="nil"/>
              <w:bottom w:val="single" w:sz="4" w:space="0" w:color="auto"/>
              <w:right w:val="single" w:sz="4" w:space="0" w:color="auto"/>
            </w:tcBorders>
            <w:shd w:val="clear" w:color="auto" w:fill="FFFFFF"/>
            <w:hideMark/>
          </w:tcPr>
          <w:p w:rsidR="009063F7" w:rsidRPr="00666855" w:rsidRDefault="00D26AAE" w:rsidP="009063F7">
            <w:pPr>
              <w:spacing w:after="0" w:line="240" w:lineRule="auto"/>
              <w:jc w:val="right"/>
              <w:rPr>
                <w:rFonts w:eastAsia="Times New Roman"/>
                <w:color w:val="000000"/>
                <w:highlight w:val="yellow"/>
              </w:rPr>
            </w:pPr>
            <w:r w:rsidRPr="0094013E">
              <w:rPr>
                <w:rFonts w:eastAsia="Times New Roman"/>
                <w:color w:val="000000"/>
              </w:rPr>
              <w:t>13</w:t>
            </w:r>
            <w:r w:rsidR="0094013E">
              <w:rPr>
                <w:rStyle w:val="FootnoteReference"/>
              </w:rPr>
              <w:footnoteReference w:id="8"/>
            </w:r>
          </w:p>
        </w:tc>
        <w:tc>
          <w:tcPr>
            <w:tcW w:w="1758" w:type="dxa"/>
            <w:tcBorders>
              <w:top w:val="nil"/>
              <w:left w:val="nil"/>
              <w:bottom w:val="single" w:sz="4" w:space="0" w:color="auto"/>
              <w:right w:val="single" w:sz="4" w:space="0" w:color="auto"/>
            </w:tcBorders>
            <w:shd w:val="clear" w:color="auto" w:fill="E2EFD9"/>
          </w:tcPr>
          <w:p w:rsidR="009063F7" w:rsidRPr="00C206C9" w:rsidRDefault="0095533D" w:rsidP="009063F7">
            <w:pPr>
              <w:spacing w:after="0" w:line="240" w:lineRule="auto"/>
              <w:jc w:val="right"/>
              <w:rPr>
                <w:rFonts w:eastAsia="Times New Roman"/>
                <w:color w:val="000000"/>
              </w:rPr>
            </w:pPr>
            <w:r>
              <w:rPr>
                <w:rFonts w:eastAsia="Times New Roman"/>
                <w:color w:val="000000"/>
              </w:rPr>
              <w:t>85</w:t>
            </w:r>
            <w:r w:rsidR="00D26AAE">
              <w:rPr>
                <w:rFonts w:eastAsia="Times New Roman"/>
                <w:color w:val="000000"/>
              </w:rPr>
              <w:t>%</w:t>
            </w:r>
          </w:p>
        </w:tc>
      </w:tr>
      <w:tr w:rsidR="009063F7" w:rsidRPr="00C27294" w:rsidTr="003B6170">
        <w:trPr>
          <w:trHeight w:val="9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1.1.3 Implementation rate of agreed actions in evaluation management responses</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70%</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85.40%</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79%</w:t>
            </w:r>
          </w:p>
        </w:tc>
        <w:tc>
          <w:tcPr>
            <w:tcW w:w="1260"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Pr>
                <w:rFonts w:eastAsia="Times New Roman"/>
                <w:color w:val="000000"/>
              </w:rPr>
              <w:t>80%</w:t>
            </w:r>
          </w:p>
        </w:tc>
        <w:tc>
          <w:tcPr>
            <w:tcW w:w="1350" w:type="dxa"/>
            <w:tcBorders>
              <w:top w:val="nil"/>
              <w:left w:val="nil"/>
              <w:bottom w:val="single" w:sz="4" w:space="0" w:color="auto"/>
              <w:right w:val="single" w:sz="4" w:space="0" w:color="auto"/>
            </w:tcBorders>
            <w:shd w:val="clear" w:color="auto" w:fill="FFFFFF"/>
          </w:tcPr>
          <w:p w:rsidR="008C17E1" w:rsidRPr="00666855" w:rsidRDefault="008C17E1" w:rsidP="00666855">
            <w:pPr>
              <w:spacing w:after="0" w:line="240" w:lineRule="auto"/>
              <w:jc w:val="right"/>
              <w:rPr>
                <w:rFonts w:eastAsia="Times New Roman"/>
              </w:rPr>
            </w:pPr>
            <w:r w:rsidRPr="00666855">
              <w:rPr>
                <w:rFonts w:eastAsia="Times New Roman"/>
              </w:rPr>
              <w:t>81%</w:t>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80%</w:t>
            </w:r>
          </w:p>
        </w:tc>
        <w:tc>
          <w:tcPr>
            <w:tcW w:w="1758" w:type="dxa"/>
            <w:tcBorders>
              <w:top w:val="nil"/>
              <w:left w:val="nil"/>
              <w:bottom w:val="single" w:sz="4" w:space="0" w:color="auto"/>
              <w:right w:val="single" w:sz="4" w:space="0" w:color="auto"/>
            </w:tcBorders>
            <w:shd w:val="clear" w:color="auto" w:fill="E2EFD9"/>
          </w:tcPr>
          <w:p w:rsidR="009063F7" w:rsidRPr="00C206C9" w:rsidRDefault="008C17E1" w:rsidP="009063F7">
            <w:pPr>
              <w:spacing w:after="0" w:line="240" w:lineRule="auto"/>
              <w:jc w:val="right"/>
              <w:rPr>
                <w:rFonts w:eastAsia="Times New Roman"/>
                <w:color w:val="000000"/>
              </w:rPr>
            </w:pPr>
            <w:r>
              <w:rPr>
                <w:rFonts w:eastAsia="Times New Roman"/>
                <w:color w:val="000000"/>
              </w:rPr>
              <w:t>101%</w:t>
            </w:r>
          </w:p>
        </w:tc>
      </w:tr>
      <w:tr w:rsidR="009063F7" w:rsidRPr="00C27294" w:rsidTr="00E257F3">
        <w:trPr>
          <w:trHeight w:val="300"/>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12560" w:type="dxa"/>
            <w:gridSpan w:val="8"/>
            <w:tcBorders>
              <w:top w:val="single" w:sz="4" w:space="0" w:color="auto"/>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rPr>
                <w:rFonts w:eastAsia="Times New Roman"/>
                <w:b/>
                <w:bCs/>
              </w:rPr>
            </w:pPr>
            <w:r w:rsidRPr="00C206C9">
              <w:rPr>
                <w:rFonts w:eastAsia="Times New Roman"/>
                <w:b/>
                <w:bCs/>
              </w:rPr>
              <w:t>Audits</w:t>
            </w:r>
          </w:p>
        </w:tc>
      </w:tr>
      <w:tr w:rsidR="009063F7" w:rsidRPr="00C27294" w:rsidTr="00DD4B57">
        <w:trPr>
          <w:trHeight w:val="9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 xml:space="preserve">1.1.4 Percentage of UNCDF’s </w:t>
            </w:r>
            <w:proofErr w:type="spellStart"/>
            <w:r w:rsidRPr="00C206C9">
              <w:rPr>
                <w:rFonts w:eastAsia="Times New Roman"/>
              </w:rPr>
              <w:t>programme</w:t>
            </w:r>
            <w:proofErr w:type="spellEnd"/>
            <w:r w:rsidRPr="00C206C9">
              <w:rPr>
                <w:rFonts w:eastAsia="Times New Roman"/>
              </w:rPr>
              <w:t xml:space="preserve"> covered by Office and Audit Investigation (OAI)’s audit annually</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40%</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42%</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25%</w:t>
            </w:r>
          </w:p>
        </w:tc>
        <w:tc>
          <w:tcPr>
            <w:tcW w:w="1260" w:type="dxa"/>
            <w:tcBorders>
              <w:top w:val="nil"/>
              <w:left w:val="nil"/>
              <w:bottom w:val="single" w:sz="4" w:space="0" w:color="auto"/>
              <w:right w:val="single" w:sz="4" w:space="0" w:color="auto"/>
            </w:tcBorders>
            <w:shd w:val="clear" w:color="auto" w:fill="FFFFFF"/>
            <w:hideMark/>
          </w:tcPr>
          <w:p w:rsidR="009063F7" w:rsidRPr="00BA6706" w:rsidRDefault="009063F7" w:rsidP="009063F7">
            <w:pPr>
              <w:spacing w:after="0" w:line="240" w:lineRule="auto"/>
              <w:jc w:val="right"/>
              <w:rPr>
                <w:rFonts w:eastAsia="Times New Roman"/>
              </w:rPr>
            </w:pPr>
            <w:r w:rsidRPr="00BA6706">
              <w:rPr>
                <w:rFonts w:eastAsia="Times New Roman"/>
              </w:rPr>
              <w:t>46%</w:t>
            </w:r>
          </w:p>
        </w:tc>
        <w:tc>
          <w:tcPr>
            <w:tcW w:w="1350" w:type="dxa"/>
            <w:tcBorders>
              <w:top w:val="nil"/>
              <w:left w:val="nil"/>
              <w:bottom w:val="single" w:sz="4" w:space="0" w:color="auto"/>
              <w:right w:val="single" w:sz="4" w:space="0" w:color="auto"/>
            </w:tcBorders>
            <w:shd w:val="clear" w:color="auto" w:fill="auto"/>
          </w:tcPr>
          <w:p w:rsidR="009063F7" w:rsidRPr="00EE598B" w:rsidRDefault="00EE598B" w:rsidP="004910A5">
            <w:pPr>
              <w:spacing w:after="0" w:line="240" w:lineRule="auto"/>
              <w:jc w:val="right"/>
              <w:rPr>
                <w:rFonts w:eastAsia="Times New Roman"/>
              </w:rPr>
            </w:pPr>
            <w:r w:rsidRPr="00EE598B">
              <w:rPr>
                <w:rFonts w:eastAsia="Times New Roman"/>
              </w:rPr>
              <w:t>35%</w:t>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40%</w:t>
            </w:r>
          </w:p>
        </w:tc>
        <w:tc>
          <w:tcPr>
            <w:tcW w:w="1758" w:type="dxa"/>
            <w:tcBorders>
              <w:top w:val="nil"/>
              <w:left w:val="nil"/>
              <w:bottom w:val="single" w:sz="4" w:space="0" w:color="auto"/>
              <w:right w:val="single" w:sz="4" w:space="0" w:color="auto"/>
            </w:tcBorders>
            <w:shd w:val="clear" w:color="auto" w:fill="E2EFD9"/>
          </w:tcPr>
          <w:p w:rsidR="009063F7" w:rsidRPr="00EE598B" w:rsidRDefault="00EE598B" w:rsidP="009063F7">
            <w:pPr>
              <w:spacing w:after="0" w:line="240" w:lineRule="auto"/>
              <w:jc w:val="right"/>
              <w:rPr>
                <w:rFonts w:eastAsia="Times New Roman"/>
              </w:rPr>
            </w:pPr>
            <w:r w:rsidRPr="00EE598B">
              <w:rPr>
                <w:rFonts w:eastAsia="Times New Roman"/>
              </w:rPr>
              <w:t>88%</w:t>
            </w:r>
          </w:p>
        </w:tc>
      </w:tr>
      <w:tr w:rsidR="009063F7" w:rsidRPr="00C27294" w:rsidTr="003B6170">
        <w:trPr>
          <w:trHeight w:val="737"/>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1.1.5 Percentage of audits that are unqualified</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100%</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100%</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100%</w:t>
            </w:r>
          </w:p>
        </w:tc>
        <w:tc>
          <w:tcPr>
            <w:tcW w:w="1260" w:type="dxa"/>
            <w:tcBorders>
              <w:top w:val="nil"/>
              <w:left w:val="nil"/>
              <w:bottom w:val="single" w:sz="4" w:space="0" w:color="auto"/>
              <w:right w:val="single" w:sz="4" w:space="0" w:color="auto"/>
            </w:tcBorders>
            <w:shd w:val="clear" w:color="auto" w:fill="FFFFFF"/>
            <w:hideMark/>
          </w:tcPr>
          <w:p w:rsidR="009063F7" w:rsidRPr="00BA6706" w:rsidRDefault="009063F7" w:rsidP="009063F7">
            <w:pPr>
              <w:spacing w:after="0" w:line="240" w:lineRule="auto"/>
              <w:jc w:val="right"/>
              <w:rPr>
                <w:rFonts w:eastAsia="Times New Roman"/>
              </w:rPr>
            </w:pPr>
            <w:r w:rsidRPr="00BA6706">
              <w:rPr>
                <w:rFonts w:eastAsia="Times New Roman"/>
              </w:rPr>
              <w:t>100%</w:t>
            </w:r>
          </w:p>
        </w:tc>
        <w:tc>
          <w:tcPr>
            <w:tcW w:w="1350" w:type="dxa"/>
            <w:tcBorders>
              <w:top w:val="nil"/>
              <w:left w:val="nil"/>
              <w:bottom w:val="single" w:sz="4" w:space="0" w:color="auto"/>
              <w:right w:val="single" w:sz="4" w:space="0" w:color="auto"/>
            </w:tcBorders>
            <w:shd w:val="clear" w:color="auto" w:fill="FFFFFF"/>
          </w:tcPr>
          <w:p w:rsidR="00E4735F" w:rsidRPr="0094013E" w:rsidRDefault="00E4735F" w:rsidP="00666855">
            <w:pPr>
              <w:spacing w:after="0" w:line="240" w:lineRule="auto"/>
              <w:jc w:val="right"/>
              <w:rPr>
                <w:rFonts w:eastAsia="Times New Roman"/>
              </w:rPr>
            </w:pPr>
            <w:r w:rsidRPr="0094013E">
              <w:rPr>
                <w:rFonts w:eastAsia="Times New Roman"/>
              </w:rPr>
              <w:t>100%</w:t>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100%</w:t>
            </w:r>
          </w:p>
        </w:tc>
        <w:tc>
          <w:tcPr>
            <w:tcW w:w="1758" w:type="dxa"/>
            <w:tcBorders>
              <w:top w:val="nil"/>
              <w:left w:val="nil"/>
              <w:bottom w:val="single" w:sz="4" w:space="0" w:color="auto"/>
              <w:right w:val="single" w:sz="4" w:space="0" w:color="auto"/>
            </w:tcBorders>
            <w:shd w:val="clear" w:color="auto" w:fill="E2EFD9"/>
          </w:tcPr>
          <w:p w:rsidR="009063F7" w:rsidRPr="00C206C9" w:rsidRDefault="00E4735F" w:rsidP="009063F7">
            <w:pPr>
              <w:spacing w:after="0" w:line="240" w:lineRule="auto"/>
              <w:jc w:val="right"/>
              <w:rPr>
                <w:rFonts w:eastAsia="Times New Roman"/>
                <w:color w:val="000000"/>
              </w:rPr>
            </w:pPr>
            <w:r w:rsidRPr="00BA6706">
              <w:rPr>
                <w:rFonts w:eastAsia="Times New Roman"/>
              </w:rPr>
              <w:t>100%</w:t>
            </w:r>
          </w:p>
        </w:tc>
      </w:tr>
      <w:tr w:rsidR="009063F7" w:rsidRPr="00C27294" w:rsidTr="006428FD">
        <w:trPr>
          <w:trHeight w:val="9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1.1.6 Implementation rate of agreed-upon audit recommendations</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85%</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56%</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56%</w:t>
            </w:r>
          </w:p>
        </w:tc>
        <w:tc>
          <w:tcPr>
            <w:tcW w:w="1260" w:type="dxa"/>
            <w:tcBorders>
              <w:top w:val="nil"/>
              <w:left w:val="nil"/>
              <w:bottom w:val="single" w:sz="4" w:space="0" w:color="auto"/>
              <w:right w:val="single" w:sz="4" w:space="0" w:color="auto"/>
            </w:tcBorders>
            <w:shd w:val="clear" w:color="auto" w:fill="FFFFFF"/>
            <w:hideMark/>
          </w:tcPr>
          <w:p w:rsidR="009063F7" w:rsidRPr="00BA6706" w:rsidRDefault="009063F7" w:rsidP="009063F7">
            <w:pPr>
              <w:spacing w:after="0" w:line="240" w:lineRule="auto"/>
              <w:jc w:val="right"/>
              <w:rPr>
                <w:rFonts w:eastAsia="Times New Roman"/>
              </w:rPr>
            </w:pPr>
            <w:r w:rsidRPr="00BA6706">
              <w:rPr>
                <w:rFonts w:eastAsia="Times New Roman"/>
              </w:rPr>
              <w:t>85%</w:t>
            </w:r>
          </w:p>
        </w:tc>
        <w:tc>
          <w:tcPr>
            <w:tcW w:w="1350" w:type="dxa"/>
            <w:tcBorders>
              <w:top w:val="nil"/>
              <w:left w:val="nil"/>
              <w:bottom w:val="single" w:sz="4" w:space="0" w:color="auto"/>
              <w:right w:val="single" w:sz="4" w:space="0" w:color="auto"/>
            </w:tcBorders>
            <w:shd w:val="clear" w:color="auto" w:fill="FFFFFF"/>
          </w:tcPr>
          <w:p w:rsidR="00E4735F" w:rsidRPr="0094013E" w:rsidRDefault="006428FD" w:rsidP="00666855">
            <w:pPr>
              <w:spacing w:after="0" w:line="240" w:lineRule="auto"/>
              <w:jc w:val="right"/>
              <w:rPr>
                <w:rFonts w:eastAsia="Times New Roman"/>
              </w:rPr>
            </w:pPr>
            <w:r>
              <w:rPr>
                <w:rFonts w:eastAsia="Times New Roman"/>
              </w:rPr>
              <w:t>80</w:t>
            </w:r>
            <w:r w:rsidR="00E4735F" w:rsidRPr="00666855">
              <w:rPr>
                <w:rFonts w:eastAsia="Times New Roman"/>
              </w:rPr>
              <w:t>%</w:t>
            </w:r>
            <w:r>
              <w:rPr>
                <w:rStyle w:val="FootnoteReference"/>
                <w:rFonts w:eastAsia="Times New Roman"/>
              </w:rPr>
              <w:footnoteReference w:id="9"/>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100%</w:t>
            </w:r>
          </w:p>
        </w:tc>
        <w:tc>
          <w:tcPr>
            <w:tcW w:w="1758" w:type="dxa"/>
            <w:tcBorders>
              <w:top w:val="nil"/>
              <w:left w:val="nil"/>
              <w:bottom w:val="single" w:sz="4" w:space="0" w:color="auto"/>
              <w:right w:val="single" w:sz="4" w:space="0" w:color="auto"/>
            </w:tcBorders>
            <w:shd w:val="clear" w:color="auto" w:fill="E2EFD9" w:themeFill="accent6" w:themeFillTint="33"/>
          </w:tcPr>
          <w:p w:rsidR="009063F7" w:rsidRPr="00C206C9" w:rsidRDefault="006428FD" w:rsidP="009063F7">
            <w:pPr>
              <w:spacing w:after="0" w:line="240" w:lineRule="auto"/>
              <w:jc w:val="right"/>
              <w:rPr>
                <w:rFonts w:eastAsia="Times New Roman"/>
                <w:color w:val="000000"/>
              </w:rPr>
            </w:pPr>
            <w:r>
              <w:rPr>
                <w:rFonts w:eastAsia="Times New Roman"/>
                <w:color w:val="000000"/>
              </w:rPr>
              <w:t>80</w:t>
            </w:r>
            <w:r w:rsidR="00E4735F">
              <w:rPr>
                <w:rFonts w:eastAsia="Times New Roman"/>
                <w:color w:val="000000"/>
              </w:rPr>
              <w:t>%</w:t>
            </w:r>
          </w:p>
        </w:tc>
      </w:tr>
      <w:tr w:rsidR="009063F7" w:rsidRPr="00C27294" w:rsidTr="00E257F3">
        <w:trPr>
          <w:trHeight w:val="300"/>
        </w:trPr>
        <w:tc>
          <w:tcPr>
            <w:tcW w:w="1948" w:type="dxa"/>
            <w:vMerge/>
            <w:tcBorders>
              <w:top w:val="single" w:sz="4" w:space="0" w:color="auto"/>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12560" w:type="dxa"/>
            <w:gridSpan w:val="8"/>
            <w:tcBorders>
              <w:top w:val="single" w:sz="4" w:space="0" w:color="auto"/>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rPr>
                <w:rFonts w:eastAsia="Times New Roman"/>
                <w:b/>
                <w:bCs/>
              </w:rPr>
            </w:pPr>
            <w:r w:rsidRPr="00C206C9">
              <w:rPr>
                <w:rFonts w:eastAsia="Times New Roman"/>
                <w:b/>
                <w:bCs/>
              </w:rPr>
              <w:t>Gender Mainstreaming</w:t>
            </w:r>
          </w:p>
        </w:tc>
      </w:tr>
      <w:tr w:rsidR="009063F7" w:rsidRPr="00C27294" w:rsidTr="00243623">
        <w:trPr>
          <w:trHeight w:val="1815"/>
        </w:trPr>
        <w:tc>
          <w:tcPr>
            <w:tcW w:w="1948" w:type="dxa"/>
            <w:vMerge/>
            <w:tcBorders>
              <w:top w:val="nil"/>
              <w:left w:val="single" w:sz="4" w:space="0" w:color="auto"/>
              <w:bottom w:val="single" w:sz="4" w:space="0" w:color="000000"/>
              <w:right w:val="single" w:sz="4" w:space="0" w:color="auto"/>
            </w:tcBorders>
            <w:vAlign w:val="center"/>
            <w:hideMark/>
          </w:tcPr>
          <w:p w:rsidR="009063F7" w:rsidRPr="00C206C9" w:rsidRDefault="009063F7" w:rsidP="009063F7">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rPr>
            </w:pPr>
            <w:r w:rsidRPr="00C206C9">
              <w:rPr>
                <w:rFonts w:eastAsia="Times New Roman"/>
              </w:rPr>
              <w:t>1.1.7 Percentage compliance by UNCDF in at least ‘meeting’ UN System-Wide Action Plan gender reporting requirements across the 15 performance categories</w:t>
            </w:r>
          </w:p>
        </w:tc>
        <w:tc>
          <w:tcPr>
            <w:tcW w:w="1265"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46%</w:t>
            </w:r>
          </w:p>
        </w:tc>
        <w:tc>
          <w:tcPr>
            <w:tcW w:w="144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40%</w:t>
            </w:r>
          </w:p>
        </w:tc>
        <w:tc>
          <w:tcPr>
            <w:tcW w:w="1260" w:type="dxa"/>
            <w:tcBorders>
              <w:top w:val="nil"/>
              <w:left w:val="nil"/>
              <w:bottom w:val="single" w:sz="4" w:space="0" w:color="auto"/>
              <w:right w:val="single" w:sz="4" w:space="0" w:color="auto"/>
            </w:tcBorders>
            <w:shd w:val="clear" w:color="auto" w:fill="auto"/>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53%</w:t>
            </w:r>
          </w:p>
        </w:tc>
        <w:tc>
          <w:tcPr>
            <w:tcW w:w="1260"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Pr>
                <w:rFonts w:eastAsia="Times New Roman"/>
                <w:color w:val="000000"/>
              </w:rPr>
              <w:t>73%</w:t>
            </w:r>
          </w:p>
        </w:tc>
        <w:tc>
          <w:tcPr>
            <w:tcW w:w="1350" w:type="dxa"/>
            <w:tcBorders>
              <w:top w:val="nil"/>
              <w:left w:val="nil"/>
              <w:bottom w:val="single" w:sz="4" w:space="0" w:color="auto"/>
              <w:right w:val="single" w:sz="4" w:space="0" w:color="auto"/>
            </w:tcBorders>
            <w:shd w:val="clear" w:color="auto" w:fill="auto"/>
            <w:hideMark/>
          </w:tcPr>
          <w:p w:rsidR="009063F7" w:rsidRPr="008B75E0" w:rsidRDefault="00813BB9" w:rsidP="004910A5">
            <w:pPr>
              <w:spacing w:after="0" w:line="240" w:lineRule="auto"/>
              <w:jc w:val="right"/>
              <w:rPr>
                <w:rFonts w:eastAsia="Times New Roman"/>
              </w:rPr>
            </w:pPr>
            <w:r w:rsidRPr="008B75E0">
              <w:rPr>
                <w:rFonts w:eastAsia="Times New Roman"/>
              </w:rPr>
              <w:t>80%</w:t>
            </w:r>
          </w:p>
        </w:tc>
        <w:tc>
          <w:tcPr>
            <w:tcW w:w="1392" w:type="dxa"/>
            <w:tcBorders>
              <w:top w:val="nil"/>
              <w:left w:val="nil"/>
              <w:bottom w:val="single" w:sz="4" w:space="0" w:color="auto"/>
              <w:right w:val="single" w:sz="4" w:space="0" w:color="auto"/>
            </w:tcBorders>
            <w:shd w:val="clear" w:color="auto" w:fill="FFFFFF"/>
            <w:hideMark/>
          </w:tcPr>
          <w:p w:rsidR="009063F7" w:rsidRPr="00C206C9" w:rsidRDefault="009063F7" w:rsidP="009063F7">
            <w:pPr>
              <w:spacing w:after="0" w:line="240" w:lineRule="auto"/>
              <w:jc w:val="right"/>
              <w:rPr>
                <w:rFonts w:eastAsia="Times New Roman"/>
                <w:color w:val="000000"/>
              </w:rPr>
            </w:pPr>
            <w:r w:rsidRPr="00C206C9">
              <w:rPr>
                <w:rFonts w:eastAsia="Times New Roman"/>
                <w:color w:val="000000"/>
              </w:rPr>
              <w:t>87%</w:t>
            </w:r>
          </w:p>
        </w:tc>
        <w:tc>
          <w:tcPr>
            <w:tcW w:w="1758" w:type="dxa"/>
            <w:tcBorders>
              <w:top w:val="nil"/>
              <w:left w:val="nil"/>
              <w:bottom w:val="single" w:sz="4" w:space="0" w:color="auto"/>
              <w:right w:val="single" w:sz="4" w:space="0" w:color="auto"/>
            </w:tcBorders>
            <w:shd w:val="clear" w:color="auto" w:fill="E2EFD9"/>
            <w:hideMark/>
          </w:tcPr>
          <w:p w:rsidR="009063F7" w:rsidRPr="00C206C9" w:rsidRDefault="008B75E0" w:rsidP="009063F7">
            <w:pPr>
              <w:spacing w:after="0" w:line="240" w:lineRule="auto"/>
              <w:jc w:val="right"/>
              <w:rPr>
                <w:rFonts w:eastAsia="Times New Roman"/>
                <w:color w:val="000000"/>
              </w:rPr>
            </w:pPr>
            <w:r>
              <w:rPr>
                <w:rFonts w:eastAsia="Times New Roman"/>
                <w:color w:val="000000"/>
              </w:rPr>
              <w:t>92%</w:t>
            </w:r>
          </w:p>
        </w:tc>
      </w:tr>
      <w:tr w:rsidR="009063F7" w:rsidRPr="00C27294" w:rsidTr="00E257F3">
        <w:trPr>
          <w:trHeight w:val="405"/>
        </w:trPr>
        <w:tc>
          <w:tcPr>
            <w:tcW w:w="1948" w:type="dxa"/>
            <w:vMerge w:val="restart"/>
            <w:tcBorders>
              <w:top w:val="nil"/>
              <w:left w:val="single" w:sz="4" w:space="0" w:color="auto"/>
              <w:right w:val="single" w:sz="4" w:space="0" w:color="auto"/>
            </w:tcBorders>
            <w:shd w:val="clear" w:color="auto" w:fill="auto"/>
            <w:hideMark/>
          </w:tcPr>
          <w:p w:rsidR="009063F7" w:rsidRPr="00C206C9" w:rsidRDefault="009063F7" w:rsidP="009063F7">
            <w:pPr>
              <w:spacing w:after="0" w:line="240" w:lineRule="auto"/>
              <w:rPr>
                <w:rFonts w:eastAsia="Times New Roman"/>
                <w:b/>
                <w:bCs/>
                <w:color w:val="000000"/>
              </w:rPr>
            </w:pPr>
            <w:r w:rsidRPr="00C206C9">
              <w:rPr>
                <w:rFonts w:eastAsia="Times New Roman"/>
                <w:b/>
                <w:bCs/>
                <w:color w:val="000000"/>
              </w:rPr>
              <w:t xml:space="preserve">Output </w:t>
            </w:r>
            <w:proofErr w:type="gramStart"/>
            <w:r w:rsidRPr="00C206C9">
              <w:rPr>
                <w:rFonts w:eastAsia="Times New Roman"/>
                <w:b/>
                <w:bCs/>
                <w:color w:val="000000"/>
              </w:rPr>
              <w:t xml:space="preserve">1.2  </w:t>
            </w:r>
            <w:r w:rsidRPr="00C206C9">
              <w:rPr>
                <w:rFonts w:eastAsia="Times New Roman"/>
                <w:color w:val="000000"/>
              </w:rPr>
              <w:t>Structure</w:t>
            </w:r>
            <w:proofErr w:type="gramEnd"/>
            <w:r w:rsidRPr="00C206C9">
              <w:rPr>
                <w:rFonts w:eastAsia="Times New Roman"/>
                <w:color w:val="000000"/>
              </w:rPr>
              <w:t xml:space="preserve"> of financial resources maximized</w:t>
            </w:r>
          </w:p>
        </w:tc>
        <w:tc>
          <w:tcPr>
            <w:tcW w:w="12560" w:type="dxa"/>
            <w:gridSpan w:val="8"/>
            <w:tcBorders>
              <w:top w:val="single" w:sz="4" w:space="0" w:color="auto"/>
              <w:left w:val="nil"/>
              <w:bottom w:val="single" w:sz="4" w:space="0" w:color="auto"/>
              <w:right w:val="single" w:sz="4" w:space="0" w:color="auto"/>
            </w:tcBorders>
            <w:shd w:val="clear" w:color="auto" w:fill="FFFFFF"/>
            <w:hideMark/>
          </w:tcPr>
          <w:p w:rsidR="009063F7" w:rsidRPr="005C4F36" w:rsidRDefault="009063F7" w:rsidP="009063F7">
            <w:pPr>
              <w:spacing w:after="0" w:line="240" w:lineRule="auto"/>
              <w:rPr>
                <w:rFonts w:eastAsiaTheme="minorEastAsia"/>
                <w:b/>
                <w:bCs/>
                <w:lang w:eastAsia="ko-KR"/>
              </w:rPr>
            </w:pPr>
            <w:r w:rsidRPr="00C206C9">
              <w:rPr>
                <w:rFonts w:eastAsia="Times New Roman"/>
                <w:b/>
                <w:bCs/>
              </w:rPr>
              <w:t xml:space="preserve">Total Resources Mobilized </w:t>
            </w:r>
          </w:p>
        </w:tc>
      </w:tr>
      <w:tr w:rsidR="009063F7" w:rsidRPr="00C27294" w:rsidTr="003B6170">
        <w:trPr>
          <w:trHeight w:val="915"/>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1.2.1 Levels of core+</w:t>
            </w:r>
            <w:r w:rsidR="00FD21AE">
              <w:rPr>
                <w:rStyle w:val="FootnoteReference"/>
                <w:rFonts w:eastAsia="Times New Roman"/>
              </w:rPr>
              <w:footnoteReference w:id="10"/>
            </w:r>
          </w:p>
        </w:tc>
        <w:tc>
          <w:tcPr>
            <w:tcW w:w="126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16</w:t>
            </w:r>
            <w:r w:rsidR="00DB0BBB">
              <w:rPr>
                <w:rFonts w:eastAsia="Times New Roman"/>
              </w:rPr>
              <w:t xml:space="preserve"> million</w:t>
            </w:r>
          </w:p>
        </w:tc>
        <w:tc>
          <w:tcPr>
            <w:tcW w:w="1440" w:type="dxa"/>
            <w:tcBorders>
              <w:top w:val="nil"/>
              <w:left w:val="nil"/>
              <w:bottom w:val="single" w:sz="4" w:space="0" w:color="auto"/>
              <w:right w:val="single" w:sz="4" w:space="0" w:color="auto"/>
            </w:tcBorders>
            <w:shd w:val="clear" w:color="auto" w:fill="auto"/>
            <w:hideMark/>
          </w:tcPr>
          <w:p w:rsidR="002A4A62" w:rsidRDefault="00DB0BBB" w:rsidP="00A96AD9">
            <w:pPr>
              <w:spacing w:after="0" w:line="240" w:lineRule="auto"/>
              <w:jc w:val="right"/>
              <w:rPr>
                <w:rFonts w:eastAsia="Times New Roman"/>
              </w:rPr>
            </w:pPr>
            <w:r>
              <w:rPr>
                <w:rFonts w:eastAsia="Times New Roman"/>
              </w:rPr>
              <w:t>14 million</w:t>
            </w:r>
            <w:r w:rsidR="002A4A62">
              <w:rPr>
                <w:rFonts w:eastAsia="Times New Roman"/>
              </w:rPr>
              <w:t xml:space="preserve"> </w:t>
            </w:r>
          </w:p>
          <w:p w:rsidR="009063F7" w:rsidRPr="00A96AD9" w:rsidRDefault="002A4A62" w:rsidP="00A96AD9">
            <w:pPr>
              <w:spacing w:after="0" w:line="240" w:lineRule="auto"/>
              <w:jc w:val="right"/>
              <w:rPr>
                <w:rFonts w:eastAsia="Times New Roman"/>
                <w:i/>
                <w:sz w:val="18"/>
                <w:szCs w:val="18"/>
              </w:rPr>
            </w:pPr>
            <w:r w:rsidRPr="00A96AD9">
              <w:rPr>
                <w:rFonts w:eastAsia="Times New Roman"/>
                <w:i/>
                <w:sz w:val="18"/>
                <w:szCs w:val="18"/>
              </w:rPr>
              <w:t>(Total w</w:t>
            </w:r>
            <w:r w:rsidR="00A96AD9" w:rsidRPr="00A96AD9">
              <w:rPr>
                <w:rFonts w:eastAsia="Times New Roman"/>
                <w:i/>
                <w:sz w:val="18"/>
                <w:szCs w:val="18"/>
              </w:rPr>
              <w:t>ith</w:t>
            </w:r>
            <w:r w:rsidRPr="00A96AD9">
              <w:rPr>
                <w:rFonts w:eastAsia="Times New Roman"/>
                <w:i/>
                <w:sz w:val="18"/>
                <w:szCs w:val="18"/>
              </w:rPr>
              <w:t xml:space="preserve"> UN</w:t>
            </w:r>
            <w:r w:rsidR="00A96AD9" w:rsidRPr="00A96AD9">
              <w:rPr>
                <w:rFonts w:eastAsia="Times New Roman"/>
                <w:i/>
                <w:sz w:val="18"/>
                <w:szCs w:val="18"/>
              </w:rPr>
              <w:t xml:space="preserve">DP: </w:t>
            </w:r>
            <w:r w:rsidR="00AB3CEC">
              <w:rPr>
                <w:rFonts w:eastAsia="Times New Roman"/>
                <w:i/>
                <w:sz w:val="18"/>
                <w:szCs w:val="18"/>
              </w:rPr>
              <w:t>19</w:t>
            </w:r>
            <w:r w:rsidR="00A96AD9" w:rsidRPr="00A96AD9">
              <w:rPr>
                <w:rFonts w:eastAsia="Times New Roman"/>
                <w:i/>
                <w:sz w:val="18"/>
                <w:szCs w:val="18"/>
              </w:rPr>
              <w:t>m)</w:t>
            </w:r>
            <w:r w:rsidR="00A96AD9">
              <w:rPr>
                <w:rStyle w:val="FootnoteReference"/>
                <w:rFonts w:eastAsia="Times New Roman"/>
                <w:i/>
                <w:sz w:val="18"/>
                <w:szCs w:val="18"/>
              </w:rPr>
              <w:footnoteReference w:id="11"/>
            </w:r>
            <w:r w:rsidR="009063F7" w:rsidRPr="00A96AD9">
              <w:rPr>
                <w:rFonts w:eastAsia="Times New Roman"/>
                <w:i/>
                <w:sz w:val="18"/>
                <w:szCs w:val="18"/>
              </w:rPr>
              <w:t xml:space="preserve"> </w:t>
            </w:r>
          </w:p>
        </w:tc>
        <w:tc>
          <w:tcPr>
            <w:tcW w:w="1260" w:type="dxa"/>
            <w:tcBorders>
              <w:top w:val="nil"/>
              <w:left w:val="nil"/>
              <w:bottom w:val="single" w:sz="4" w:space="0" w:color="auto"/>
              <w:right w:val="single" w:sz="4" w:space="0" w:color="auto"/>
            </w:tcBorders>
            <w:shd w:val="clear" w:color="auto" w:fill="auto"/>
            <w:hideMark/>
          </w:tcPr>
          <w:p w:rsidR="00A96AD9" w:rsidRDefault="00DB0BBB" w:rsidP="00A96AD9">
            <w:pPr>
              <w:spacing w:after="0" w:line="240" w:lineRule="auto"/>
              <w:jc w:val="right"/>
              <w:rPr>
                <w:rFonts w:eastAsia="Times New Roman"/>
              </w:rPr>
            </w:pPr>
            <w:r>
              <w:rPr>
                <w:rFonts w:eastAsia="Times New Roman"/>
              </w:rPr>
              <w:t>12 million</w:t>
            </w:r>
          </w:p>
          <w:p w:rsidR="009063F7" w:rsidRPr="00AC5424" w:rsidRDefault="00A96AD9" w:rsidP="00A96AD9">
            <w:pPr>
              <w:spacing w:after="0" w:line="240" w:lineRule="auto"/>
              <w:jc w:val="right"/>
              <w:rPr>
                <w:rFonts w:eastAsia="Times New Roman"/>
              </w:rPr>
            </w:pPr>
            <w:r w:rsidRPr="00A96AD9">
              <w:rPr>
                <w:rFonts w:eastAsia="Times New Roman"/>
                <w:i/>
                <w:sz w:val="18"/>
                <w:szCs w:val="18"/>
              </w:rPr>
              <w:t xml:space="preserve">(Total with UNDP: </w:t>
            </w:r>
            <w:r>
              <w:rPr>
                <w:rFonts w:eastAsia="Times New Roman"/>
                <w:i/>
                <w:sz w:val="18"/>
                <w:szCs w:val="18"/>
              </w:rPr>
              <w:t>1</w:t>
            </w:r>
            <w:r w:rsidR="00AB3CEC">
              <w:rPr>
                <w:rFonts w:eastAsia="Times New Roman"/>
                <w:i/>
                <w:sz w:val="18"/>
                <w:szCs w:val="18"/>
              </w:rPr>
              <w:t>6</w:t>
            </w:r>
            <w:r w:rsidRPr="00A96AD9">
              <w:rPr>
                <w:rFonts w:eastAsia="Times New Roman"/>
                <w:i/>
                <w:sz w:val="18"/>
                <w:szCs w:val="18"/>
              </w:rPr>
              <w:t xml:space="preserve">m) </w:t>
            </w:r>
            <w:r w:rsidR="009063F7" w:rsidRPr="00AC5424">
              <w:rPr>
                <w:rFonts w:eastAsia="Times New Roman"/>
              </w:rPr>
              <w:t xml:space="preserve"> </w:t>
            </w:r>
          </w:p>
        </w:tc>
        <w:tc>
          <w:tcPr>
            <w:tcW w:w="1260" w:type="dxa"/>
            <w:tcBorders>
              <w:top w:val="nil"/>
              <w:left w:val="nil"/>
              <w:bottom w:val="single" w:sz="4" w:space="0" w:color="auto"/>
              <w:right w:val="single" w:sz="4" w:space="0" w:color="auto"/>
            </w:tcBorders>
            <w:shd w:val="clear" w:color="auto" w:fill="FFFFFF"/>
            <w:hideMark/>
          </w:tcPr>
          <w:p w:rsidR="009063F7" w:rsidRDefault="009063F7" w:rsidP="00A96AD9">
            <w:pPr>
              <w:spacing w:after="0" w:line="240" w:lineRule="auto"/>
              <w:jc w:val="right"/>
              <w:rPr>
                <w:rFonts w:eastAsia="Times New Roman"/>
              </w:rPr>
            </w:pPr>
            <w:r w:rsidRPr="00AC5424">
              <w:rPr>
                <w:rFonts w:eastAsia="Times New Roman"/>
              </w:rPr>
              <w:t xml:space="preserve">   </w:t>
            </w:r>
            <w:r w:rsidR="0089422B">
              <w:rPr>
                <w:rFonts w:eastAsia="Times New Roman"/>
              </w:rPr>
              <w:t>9</w:t>
            </w:r>
            <w:r w:rsidR="00DB0BBB">
              <w:rPr>
                <w:rFonts w:eastAsia="Times New Roman"/>
              </w:rPr>
              <w:t xml:space="preserve"> million</w:t>
            </w:r>
          </w:p>
          <w:p w:rsidR="00A96AD9" w:rsidRPr="00AC5424" w:rsidRDefault="00A96AD9" w:rsidP="00A96AD9">
            <w:pPr>
              <w:spacing w:after="0" w:line="240" w:lineRule="auto"/>
              <w:jc w:val="right"/>
              <w:rPr>
                <w:rFonts w:eastAsia="Times New Roman"/>
              </w:rPr>
            </w:pPr>
            <w:r w:rsidRPr="00A96AD9">
              <w:rPr>
                <w:rFonts w:eastAsia="Times New Roman"/>
                <w:i/>
                <w:sz w:val="18"/>
                <w:szCs w:val="18"/>
              </w:rPr>
              <w:t xml:space="preserve">(Total with UNDP: </w:t>
            </w:r>
            <w:r>
              <w:rPr>
                <w:rFonts w:eastAsia="Times New Roman"/>
                <w:i/>
                <w:sz w:val="18"/>
                <w:szCs w:val="18"/>
              </w:rPr>
              <w:t>1</w:t>
            </w:r>
            <w:r w:rsidR="00AB3CEC">
              <w:rPr>
                <w:rFonts w:eastAsia="Times New Roman"/>
                <w:i/>
                <w:sz w:val="18"/>
                <w:szCs w:val="18"/>
              </w:rPr>
              <w:t>3</w:t>
            </w:r>
            <w:r w:rsidRPr="00A96AD9">
              <w:rPr>
                <w:rFonts w:eastAsia="Times New Roman"/>
                <w:i/>
                <w:sz w:val="18"/>
                <w:szCs w:val="18"/>
              </w:rPr>
              <w:t xml:space="preserve">m) </w:t>
            </w:r>
            <w:r w:rsidRPr="00AC5424">
              <w:rPr>
                <w:rFonts w:eastAsia="Times New Roman"/>
              </w:rPr>
              <w:t xml:space="preserve"> </w:t>
            </w:r>
          </w:p>
        </w:tc>
        <w:tc>
          <w:tcPr>
            <w:tcW w:w="1350" w:type="dxa"/>
            <w:tcBorders>
              <w:top w:val="nil"/>
              <w:left w:val="nil"/>
              <w:bottom w:val="single" w:sz="4" w:space="0" w:color="auto"/>
              <w:right w:val="single" w:sz="4" w:space="0" w:color="auto"/>
            </w:tcBorders>
            <w:shd w:val="clear" w:color="auto" w:fill="FFFFFF"/>
          </w:tcPr>
          <w:p w:rsidR="00744316" w:rsidRDefault="0089422B" w:rsidP="00A96AD9">
            <w:pPr>
              <w:spacing w:after="0" w:line="240" w:lineRule="auto"/>
              <w:jc w:val="right"/>
              <w:rPr>
                <w:rFonts w:eastAsia="Times New Roman"/>
              </w:rPr>
            </w:pPr>
            <w:r>
              <w:rPr>
                <w:rFonts w:eastAsia="Times New Roman"/>
              </w:rPr>
              <w:t>10</w:t>
            </w:r>
            <w:r w:rsidR="00DB0BBB">
              <w:rPr>
                <w:rFonts w:eastAsia="Times New Roman"/>
              </w:rPr>
              <w:t xml:space="preserve"> million</w:t>
            </w:r>
          </w:p>
          <w:p w:rsidR="00A96AD9" w:rsidRPr="00AC5424" w:rsidRDefault="00A96AD9" w:rsidP="00A96AD9">
            <w:pPr>
              <w:spacing w:after="0" w:line="240" w:lineRule="auto"/>
              <w:jc w:val="right"/>
              <w:rPr>
                <w:rFonts w:eastAsia="Times New Roman"/>
              </w:rPr>
            </w:pPr>
            <w:r w:rsidRPr="00A96AD9">
              <w:rPr>
                <w:rFonts w:eastAsia="Times New Roman"/>
                <w:i/>
                <w:sz w:val="18"/>
                <w:szCs w:val="18"/>
              </w:rPr>
              <w:t xml:space="preserve">(Total with UNDP: </w:t>
            </w:r>
            <w:r w:rsidR="00AB3CEC">
              <w:rPr>
                <w:rFonts w:eastAsia="Times New Roman"/>
                <w:i/>
                <w:sz w:val="18"/>
                <w:szCs w:val="18"/>
              </w:rPr>
              <w:t>13</w:t>
            </w:r>
            <w:r w:rsidRPr="00A96AD9">
              <w:rPr>
                <w:rFonts w:eastAsia="Times New Roman"/>
                <w:i/>
                <w:sz w:val="18"/>
                <w:szCs w:val="18"/>
              </w:rPr>
              <w:t xml:space="preserve">m) </w:t>
            </w:r>
            <w:r w:rsidRPr="00AC5424">
              <w:rPr>
                <w:rFonts w:eastAsia="Times New Roman"/>
              </w:rPr>
              <w:t xml:space="preserve"> </w:t>
            </w:r>
          </w:p>
        </w:tc>
        <w:tc>
          <w:tcPr>
            <w:tcW w:w="1392" w:type="dxa"/>
            <w:tcBorders>
              <w:top w:val="nil"/>
              <w:left w:val="nil"/>
              <w:bottom w:val="single" w:sz="4" w:space="0" w:color="auto"/>
              <w:right w:val="single" w:sz="4" w:space="0" w:color="auto"/>
            </w:tcBorders>
            <w:shd w:val="clear" w:color="auto" w:fill="FFFFFF"/>
            <w:hideMark/>
          </w:tcPr>
          <w:p w:rsidR="009063F7" w:rsidRPr="00AC5424" w:rsidRDefault="00DB0BBB" w:rsidP="009063F7">
            <w:pPr>
              <w:spacing w:after="0" w:line="240" w:lineRule="auto"/>
              <w:jc w:val="right"/>
              <w:rPr>
                <w:rFonts w:eastAsia="Times New Roman"/>
              </w:rPr>
            </w:pPr>
            <w:r>
              <w:rPr>
                <w:rFonts w:eastAsia="Times New Roman"/>
              </w:rPr>
              <w:t>86 million</w:t>
            </w:r>
          </w:p>
        </w:tc>
        <w:tc>
          <w:tcPr>
            <w:tcW w:w="1758" w:type="dxa"/>
            <w:tcBorders>
              <w:top w:val="nil"/>
              <w:left w:val="nil"/>
              <w:bottom w:val="single" w:sz="4" w:space="0" w:color="auto"/>
              <w:right w:val="single" w:sz="4" w:space="0" w:color="auto"/>
            </w:tcBorders>
            <w:shd w:val="clear" w:color="auto" w:fill="FFF2CC"/>
          </w:tcPr>
          <w:p w:rsidR="009063F7" w:rsidRPr="00666855" w:rsidRDefault="00A96AD9" w:rsidP="009063F7">
            <w:pPr>
              <w:spacing w:after="0" w:line="240" w:lineRule="auto"/>
              <w:jc w:val="right"/>
              <w:rPr>
                <w:rFonts w:eastAsia="DengXian"/>
                <w:lang w:eastAsia="zh-CN"/>
              </w:rPr>
            </w:pPr>
            <w:r>
              <w:rPr>
                <w:rFonts w:eastAsia="Times New Roman"/>
              </w:rPr>
              <w:t>71</w:t>
            </w:r>
            <w:r w:rsidR="00095BB2">
              <w:rPr>
                <w:rFonts w:eastAsia="Times New Roman"/>
              </w:rPr>
              <w:t>%</w:t>
            </w:r>
            <w:r w:rsidR="00DB0BBB">
              <w:rPr>
                <w:rFonts w:eastAsia="Times New Roman"/>
              </w:rPr>
              <w:t xml:space="preserve"> (including UNDP BSB &amp; </w:t>
            </w:r>
            <w:proofErr w:type="spellStart"/>
            <w:r w:rsidR="00DB0BBB">
              <w:rPr>
                <w:rFonts w:eastAsia="Times New Roman"/>
              </w:rPr>
              <w:t>programme</w:t>
            </w:r>
            <w:proofErr w:type="spellEnd"/>
            <w:r w:rsidR="00DB0BBB">
              <w:rPr>
                <w:rFonts w:eastAsia="Times New Roman"/>
              </w:rPr>
              <w:t>)</w:t>
            </w:r>
          </w:p>
        </w:tc>
      </w:tr>
      <w:tr w:rsidR="009063F7" w:rsidRPr="00C27294" w:rsidTr="003B6170">
        <w:trPr>
          <w:trHeight w:val="915"/>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1.2.2 Levels of non-core</w:t>
            </w:r>
            <w:r w:rsidR="00FD21AE">
              <w:rPr>
                <w:rStyle w:val="FootnoteReference"/>
                <w:rFonts w:eastAsia="Times New Roman"/>
              </w:rPr>
              <w:footnoteReference w:id="12"/>
            </w:r>
            <w:r w:rsidR="00FD21AE" w:rsidRPr="00AC5424">
              <w:rPr>
                <w:rFonts w:eastAsia="Times New Roman"/>
              </w:rPr>
              <w:t xml:space="preserve"> </w:t>
            </w:r>
            <w:r w:rsidRPr="00AC5424">
              <w:rPr>
                <w:rFonts w:eastAsia="Times New Roman"/>
              </w:rPr>
              <w:t>(from development partners)</w:t>
            </w:r>
          </w:p>
        </w:tc>
        <w:tc>
          <w:tcPr>
            <w:tcW w:w="126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35</w:t>
            </w:r>
            <w:r w:rsidR="00DB0BBB">
              <w:rPr>
                <w:rFonts w:eastAsia="Times New Roman"/>
              </w:rPr>
              <w:t xml:space="preserve"> million</w:t>
            </w:r>
          </w:p>
        </w:tc>
        <w:tc>
          <w:tcPr>
            <w:tcW w:w="1440" w:type="dxa"/>
            <w:tcBorders>
              <w:top w:val="nil"/>
              <w:left w:val="nil"/>
              <w:bottom w:val="single" w:sz="4" w:space="0" w:color="auto"/>
              <w:right w:val="single" w:sz="4" w:space="0" w:color="auto"/>
            </w:tcBorders>
            <w:shd w:val="clear" w:color="auto" w:fill="auto"/>
            <w:hideMark/>
          </w:tcPr>
          <w:p w:rsidR="009063F7" w:rsidRPr="00AC5424" w:rsidRDefault="0050182F" w:rsidP="00DB0BBB">
            <w:pPr>
              <w:spacing w:after="0" w:line="240" w:lineRule="auto"/>
              <w:jc w:val="right"/>
              <w:rPr>
                <w:rFonts w:eastAsia="Times New Roman"/>
              </w:rPr>
            </w:pPr>
            <w:r>
              <w:rPr>
                <w:rFonts w:eastAsia="Times New Roman"/>
              </w:rPr>
              <w:t>5</w:t>
            </w:r>
            <w:r w:rsidR="00AB3CEC">
              <w:rPr>
                <w:rFonts w:eastAsia="Times New Roman"/>
              </w:rPr>
              <w:t>4</w:t>
            </w:r>
            <w:r w:rsidR="00DB0BBB">
              <w:rPr>
                <w:rFonts w:eastAsia="Times New Roman"/>
              </w:rPr>
              <w:t>m</w:t>
            </w:r>
          </w:p>
        </w:tc>
        <w:tc>
          <w:tcPr>
            <w:tcW w:w="1260" w:type="dxa"/>
            <w:tcBorders>
              <w:top w:val="nil"/>
              <w:left w:val="nil"/>
              <w:bottom w:val="single" w:sz="4" w:space="0" w:color="auto"/>
              <w:right w:val="single" w:sz="4" w:space="0" w:color="auto"/>
            </w:tcBorders>
            <w:shd w:val="clear" w:color="auto" w:fill="auto"/>
            <w:hideMark/>
          </w:tcPr>
          <w:p w:rsidR="009063F7" w:rsidRPr="00AC5424" w:rsidRDefault="0050182F" w:rsidP="00DB0BBB">
            <w:pPr>
              <w:spacing w:after="0" w:line="240" w:lineRule="auto"/>
              <w:jc w:val="right"/>
              <w:rPr>
                <w:rFonts w:eastAsia="Times New Roman"/>
              </w:rPr>
            </w:pPr>
            <w:r>
              <w:rPr>
                <w:rFonts w:eastAsia="Times New Roman"/>
              </w:rPr>
              <w:t>36m</w:t>
            </w:r>
          </w:p>
        </w:tc>
        <w:tc>
          <w:tcPr>
            <w:tcW w:w="1260" w:type="dxa"/>
            <w:tcBorders>
              <w:top w:val="nil"/>
              <w:left w:val="nil"/>
              <w:bottom w:val="single" w:sz="4" w:space="0" w:color="auto"/>
              <w:right w:val="single" w:sz="4" w:space="0" w:color="auto"/>
            </w:tcBorders>
            <w:shd w:val="clear" w:color="auto" w:fill="FFFFFF"/>
            <w:hideMark/>
          </w:tcPr>
          <w:p w:rsidR="009063F7" w:rsidRPr="00AC5424" w:rsidRDefault="00FA253B" w:rsidP="00DB0BBB">
            <w:pPr>
              <w:spacing w:after="0" w:line="240" w:lineRule="auto"/>
              <w:jc w:val="right"/>
              <w:rPr>
                <w:rFonts w:eastAsia="Times New Roman"/>
              </w:rPr>
            </w:pPr>
            <w:r>
              <w:rPr>
                <w:rFonts w:eastAsia="Times New Roman"/>
              </w:rPr>
              <w:t>2</w:t>
            </w:r>
            <w:r w:rsidR="0050182F">
              <w:rPr>
                <w:rFonts w:eastAsia="Times New Roman"/>
              </w:rPr>
              <w:t>3</w:t>
            </w:r>
            <w:r w:rsidR="00DB0BBB">
              <w:rPr>
                <w:rFonts w:eastAsia="Times New Roman"/>
              </w:rPr>
              <w:t>m</w:t>
            </w:r>
          </w:p>
        </w:tc>
        <w:tc>
          <w:tcPr>
            <w:tcW w:w="1350" w:type="dxa"/>
            <w:tcBorders>
              <w:top w:val="nil"/>
              <w:left w:val="nil"/>
              <w:bottom w:val="single" w:sz="4" w:space="0" w:color="auto"/>
              <w:right w:val="single" w:sz="4" w:space="0" w:color="auto"/>
            </w:tcBorders>
            <w:shd w:val="clear" w:color="auto" w:fill="FFFFFF"/>
          </w:tcPr>
          <w:p w:rsidR="000879C4" w:rsidRPr="00D6349A" w:rsidRDefault="00B875FF" w:rsidP="00DB0BBB">
            <w:pPr>
              <w:spacing w:after="0" w:line="240" w:lineRule="auto"/>
              <w:jc w:val="right"/>
              <w:rPr>
                <w:rFonts w:eastAsia="Times New Roman"/>
                <w:highlight w:val="yellow"/>
              </w:rPr>
            </w:pPr>
            <w:r w:rsidRPr="0050182F">
              <w:rPr>
                <w:rFonts w:eastAsia="Times New Roman"/>
              </w:rPr>
              <w:t>3</w:t>
            </w:r>
            <w:r w:rsidR="0050182F" w:rsidRPr="0050182F">
              <w:rPr>
                <w:rFonts w:eastAsia="Times New Roman"/>
              </w:rPr>
              <w:t>4</w:t>
            </w:r>
            <w:r w:rsidR="00DB0BBB" w:rsidRPr="0050182F">
              <w:rPr>
                <w:rFonts w:eastAsia="Times New Roman"/>
              </w:rPr>
              <w:t>m</w:t>
            </w:r>
          </w:p>
        </w:tc>
        <w:tc>
          <w:tcPr>
            <w:tcW w:w="1392" w:type="dxa"/>
            <w:tcBorders>
              <w:top w:val="nil"/>
              <w:left w:val="nil"/>
              <w:bottom w:val="single" w:sz="4" w:space="0" w:color="auto"/>
              <w:right w:val="single" w:sz="4" w:space="0" w:color="auto"/>
            </w:tcBorders>
            <w:shd w:val="clear" w:color="auto" w:fill="FFFFFF"/>
            <w:hideMark/>
          </w:tcPr>
          <w:p w:rsidR="009063F7" w:rsidRPr="00AC5424" w:rsidRDefault="009063F7" w:rsidP="00DB0BBB">
            <w:pPr>
              <w:spacing w:after="0" w:line="240" w:lineRule="auto"/>
              <w:jc w:val="right"/>
              <w:rPr>
                <w:rFonts w:eastAsia="Times New Roman"/>
              </w:rPr>
            </w:pPr>
            <w:r w:rsidRPr="00AC5424">
              <w:rPr>
                <w:rFonts w:eastAsia="Times New Roman"/>
              </w:rPr>
              <w:t>280</w:t>
            </w:r>
            <w:r w:rsidR="00DB0BBB">
              <w:rPr>
                <w:rFonts w:eastAsia="Times New Roman"/>
              </w:rPr>
              <w:t xml:space="preserve"> million</w:t>
            </w:r>
          </w:p>
        </w:tc>
        <w:tc>
          <w:tcPr>
            <w:tcW w:w="1758" w:type="dxa"/>
            <w:tcBorders>
              <w:top w:val="nil"/>
              <w:left w:val="nil"/>
              <w:bottom w:val="single" w:sz="4" w:space="0" w:color="auto"/>
              <w:right w:val="single" w:sz="4" w:space="0" w:color="auto"/>
            </w:tcBorders>
            <w:shd w:val="clear" w:color="auto" w:fill="FFF2CC"/>
          </w:tcPr>
          <w:p w:rsidR="000879C4" w:rsidRPr="00AC5424" w:rsidRDefault="000879C4" w:rsidP="000879C4">
            <w:pPr>
              <w:spacing w:after="0" w:line="240" w:lineRule="auto"/>
              <w:jc w:val="right"/>
              <w:rPr>
                <w:rFonts w:eastAsia="Times New Roman"/>
              </w:rPr>
            </w:pPr>
            <w:r>
              <w:rPr>
                <w:rFonts w:eastAsia="Times New Roman"/>
              </w:rPr>
              <w:t>5</w:t>
            </w:r>
            <w:r w:rsidR="00FA253B">
              <w:rPr>
                <w:rFonts w:eastAsia="Times New Roman"/>
              </w:rPr>
              <w:t>3</w:t>
            </w:r>
            <w:r>
              <w:rPr>
                <w:rFonts w:eastAsia="Times New Roman"/>
              </w:rPr>
              <w:t>%</w:t>
            </w:r>
          </w:p>
        </w:tc>
      </w:tr>
      <w:tr w:rsidR="009063F7" w:rsidRPr="00C27294" w:rsidTr="003B6170">
        <w:trPr>
          <w:trHeight w:val="915"/>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1.2.3 Levels of non-core</w:t>
            </w:r>
            <w:r w:rsidR="00FD21AE">
              <w:rPr>
                <w:rStyle w:val="FootnoteReference"/>
                <w:rFonts w:eastAsia="Times New Roman"/>
              </w:rPr>
              <w:footnoteReference w:id="13"/>
            </w:r>
            <w:r w:rsidRPr="00AC5424">
              <w:rPr>
                <w:rFonts w:eastAsia="Times New Roman"/>
              </w:rPr>
              <w:t xml:space="preserve"> (from private and non-governmental sources)</w:t>
            </w:r>
          </w:p>
        </w:tc>
        <w:tc>
          <w:tcPr>
            <w:tcW w:w="126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13</w:t>
            </w:r>
            <w:r w:rsidR="00DB0BBB">
              <w:rPr>
                <w:rFonts w:eastAsia="Times New Roman"/>
              </w:rPr>
              <w:t xml:space="preserve"> million</w:t>
            </w:r>
          </w:p>
        </w:tc>
        <w:tc>
          <w:tcPr>
            <w:tcW w:w="1440" w:type="dxa"/>
            <w:tcBorders>
              <w:top w:val="nil"/>
              <w:left w:val="nil"/>
              <w:bottom w:val="single" w:sz="4" w:space="0" w:color="auto"/>
              <w:right w:val="single" w:sz="4" w:space="0" w:color="auto"/>
            </w:tcBorders>
            <w:shd w:val="clear" w:color="auto" w:fill="auto"/>
            <w:hideMark/>
          </w:tcPr>
          <w:p w:rsidR="009063F7" w:rsidRPr="00AC5424" w:rsidRDefault="0050182F" w:rsidP="00DB0BBB">
            <w:pPr>
              <w:spacing w:after="0" w:line="240" w:lineRule="auto"/>
              <w:jc w:val="right"/>
              <w:rPr>
                <w:rFonts w:eastAsia="Times New Roman"/>
              </w:rPr>
            </w:pPr>
            <w:r>
              <w:rPr>
                <w:rFonts w:eastAsia="Times New Roman"/>
              </w:rPr>
              <w:t>20</w:t>
            </w:r>
            <w:r w:rsidR="00DB0BBB">
              <w:rPr>
                <w:rFonts w:eastAsia="Times New Roman"/>
              </w:rPr>
              <w:t xml:space="preserve"> m</w:t>
            </w:r>
          </w:p>
        </w:tc>
        <w:tc>
          <w:tcPr>
            <w:tcW w:w="1260" w:type="dxa"/>
            <w:tcBorders>
              <w:top w:val="nil"/>
              <w:left w:val="nil"/>
              <w:bottom w:val="single" w:sz="4" w:space="0" w:color="auto"/>
              <w:right w:val="single" w:sz="4" w:space="0" w:color="auto"/>
            </w:tcBorders>
            <w:shd w:val="clear" w:color="auto" w:fill="auto"/>
            <w:hideMark/>
          </w:tcPr>
          <w:p w:rsidR="009063F7" w:rsidRPr="00AC5424" w:rsidRDefault="00FA253B" w:rsidP="00DB0BBB">
            <w:pPr>
              <w:spacing w:after="0" w:line="240" w:lineRule="auto"/>
              <w:jc w:val="right"/>
              <w:rPr>
                <w:rFonts w:eastAsia="Times New Roman"/>
              </w:rPr>
            </w:pPr>
            <w:r>
              <w:rPr>
                <w:rFonts w:eastAsia="Times New Roman"/>
              </w:rPr>
              <w:t>10</w:t>
            </w:r>
            <w:r w:rsidR="00DB0BBB">
              <w:rPr>
                <w:rFonts w:eastAsia="Times New Roman"/>
              </w:rPr>
              <w:t>m</w:t>
            </w:r>
          </w:p>
        </w:tc>
        <w:tc>
          <w:tcPr>
            <w:tcW w:w="1260" w:type="dxa"/>
            <w:tcBorders>
              <w:top w:val="nil"/>
              <w:left w:val="nil"/>
              <w:bottom w:val="single" w:sz="4" w:space="0" w:color="auto"/>
              <w:right w:val="single" w:sz="4" w:space="0" w:color="auto"/>
            </w:tcBorders>
            <w:shd w:val="clear" w:color="auto" w:fill="FFFFFF"/>
            <w:hideMark/>
          </w:tcPr>
          <w:p w:rsidR="009063F7" w:rsidRPr="0050182F" w:rsidRDefault="0050182F" w:rsidP="00DB0BBB">
            <w:pPr>
              <w:spacing w:after="0" w:line="240" w:lineRule="auto"/>
              <w:jc w:val="right"/>
              <w:rPr>
                <w:rFonts w:eastAsia="Times New Roman"/>
              </w:rPr>
            </w:pPr>
            <w:r w:rsidRPr="0050182F">
              <w:rPr>
                <w:rFonts w:eastAsia="Times New Roman"/>
              </w:rPr>
              <w:t>20</w:t>
            </w:r>
            <w:r w:rsidR="00DB0BBB" w:rsidRPr="0050182F">
              <w:rPr>
                <w:rFonts w:eastAsia="Times New Roman"/>
              </w:rPr>
              <w:t>m</w:t>
            </w:r>
          </w:p>
        </w:tc>
        <w:tc>
          <w:tcPr>
            <w:tcW w:w="1350" w:type="dxa"/>
            <w:tcBorders>
              <w:top w:val="nil"/>
              <w:left w:val="nil"/>
              <w:bottom w:val="single" w:sz="4" w:space="0" w:color="auto"/>
              <w:right w:val="single" w:sz="4" w:space="0" w:color="auto"/>
            </w:tcBorders>
            <w:shd w:val="clear" w:color="auto" w:fill="FFFFFF"/>
          </w:tcPr>
          <w:p w:rsidR="00C05E71" w:rsidRPr="0050182F" w:rsidRDefault="0050182F" w:rsidP="00DB0BBB">
            <w:pPr>
              <w:spacing w:after="0" w:line="240" w:lineRule="auto"/>
              <w:jc w:val="right"/>
              <w:rPr>
                <w:rFonts w:eastAsia="Times New Roman"/>
              </w:rPr>
            </w:pPr>
            <w:r w:rsidRPr="0050182F">
              <w:rPr>
                <w:rFonts w:eastAsia="Times New Roman"/>
              </w:rPr>
              <w:t>13</w:t>
            </w:r>
            <w:r w:rsidR="00DB0BBB" w:rsidRPr="0050182F">
              <w:rPr>
                <w:rFonts w:eastAsia="Times New Roman"/>
              </w:rPr>
              <w:t>m</w:t>
            </w:r>
          </w:p>
        </w:tc>
        <w:tc>
          <w:tcPr>
            <w:tcW w:w="1392" w:type="dxa"/>
            <w:tcBorders>
              <w:top w:val="nil"/>
              <w:left w:val="nil"/>
              <w:bottom w:val="single" w:sz="4" w:space="0" w:color="auto"/>
              <w:right w:val="single" w:sz="4" w:space="0" w:color="auto"/>
            </w:tcBorders>
            <w:shd w:val="clear" w:color="auto" w:fill="FFFFFF"/>
            <w:hideMark/>
          </w:tcPr>
          <w:p w:rsidR="009063F7" w:rsidRPr="0050182F" w:rsidRDefault="00DB0BBB" w:rsidP="00DB0BBB">
            <w:pPr>
              <w:spacing w:after="0" w:line="240" w:lineRule="auto"/>
              <w:jc w:val="right"/>
              <w:rPr>
                <w:rFonts w:eastAsia="Times New Roman"/>
              </w:rPr>
            </w:pPr>
            <w:r w:rsidRPr="0050182F">
              <w:rPr>
                <w:rFonts w:eastAsia="Times New Roman"/>
              </w:rPr>
              <w:t xml:space="preserve">   20 million</w:t>
            </w:r>
          </w:p>
        </w:tc>
        <w:tc>
          <w:tcPr>
            <w:tcW w:w="1758" w:type="dxa"/>
            <w:tcBorders>
              <w:top w:val="nil"/>
              <w:left w:val="nil"/>
              <w:bottom w:val="single" w:sz="4" w:space="0" w:color="auto"/>
              <w:right w:val="single" w:sz="4" w:space="0" w:color="auto"/>
            </w:tcBorders>
            <w:shd w:val="clear" w:color="auto" w:fill="E2EFD9"/>
          </w:tcPr>
          <w:p w:rsidR="009063F7" w:rsidRPr="00666855" w:rsidRDefault="00AA62FB" w:rsidP="009063F7">
            <w:pPr>
              <w:spacing w:after="0" w:line="240" w:lineRule="auto"/>
              <w:jc w:val="right"/>
              <w:rPr>
                <w:rFonts w:eastAsia="DengXian"/>
                <w:lang w:eastAsia="zh-CN"/>
              </w:rPr>
            </w:pPr>
            <w:r>
              <w:rPr>
                <w:rFonts w:eastAsia="Times New Roman"/>
              </w:rPr>
              <w:t>31</w:t>
            </w:r>
            <w:r w:rsidR="0050182F">
              <w:rPr>
                <w:rFonts w:eastAsia="Times New Roman"/>
              </w:rPr>
              <w:t>5</w:t>
            </w:r>
            <w:r>
              <w:rPr>
                <w:rFonts w:eastAsia="Times New Roman"/>
              </w:rPr>
              <w:t>%</w:t>
            </w:r>
          </w:p>
        </w:tc>
      </w:tr>
      <w:tr w:rsidR="009063F7" w:rsidRPr="00C27294" w:rsidTr="003B6170">
        <w:trPr>
          <w:trHeight w:val="915"/>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1.2.4 Percentage of delivery against approved budget</w:t>
            </w:r>
          </w:p>
        </w:tc>
        <w:tc>
          <w:tcPr>
            <w:tcW w:w="126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85%</w:t>
            </w:r>
          </w:p>
        </w:tc>
        <w:tc>
          <w:tcPr>
            <w:tcW w:w="1440"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76%</w:t>
            </w:r>
          </w:p>
        </w:tc>
        <w:tc>
          <w:tcPr>
            <w:tcW w:w="1260"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75%</w:t>
            </w:r>
          </w:p>
        </w:tc>
        <w:tc>
          <w:tcPr>
            <w:tcW w:w="1260" w:type="dxa"/>
            <w:tcBorders>
              <w:top w:val="nil"/>
              <w:left w:val="nil"/>
              <w:bottom w:val="single" w:sz="4" w:space="0" w:color="auto"/>
              <w:right w:val="single" w:sz="4" w:space="0" w:color="auto"/>
            </w:tcBorders>
            <w:shd w:val="clear" w:color="auto" w:fill="FFFFFF"/>
            <w:hideMark/>
          </w:tcPr>
          <w:p w:rsidR="009063F7" w:rsidRPr="0050182F" w:rsidRDefault="00132B5F" w:rsidP="009063F7">
            <w:pPr>
              <w:spacing w:after="0" w:line="240" w:lineRule="auto"/>
              <w:jc w:val="right"/>
              <w:rPr>
                <w:rFonts w:eastAsia="Times New Roman"/>
              </w:rPr>
            </w:pPr>
            <w:r w:rsidRPr="0050182F">
              <w:rPr>
                <w:rFonts w:eastAsia="Times New Roman"/>
              </w:rPr>
              <w:t>84%</w:t>
            </w:r>
          </w:p>
        </w:tc>
        <w:tc>
          <w:tcPr>
            <w:tcW w:w="1350" w:type="dxa"/>
            <w:tcBorders>
              <w:top w:val="nil"/>
              <w:left w:val="nil"/>
              <w:bottom w:val="single" w:sz="4" w:space="0" w:color="auto"/>
              <w:right w:val="single" w:sz="4" w:space="0" w:color="auto"/>
            </w:tcBorders>
            <w:shd w:val="clear" w:color="auto" w:fill="FFFFFF"/>
          </w:tcPr>
          <w:p w:rsidR="00132B5F" w:rsidRPr="0050182F" w:rsidRDefault="00B875FF" w:rsidP="00666855">
            <w:pPr>
              <w:spacing w:after="0" w:line="240" w:lineRule="auto"/>
              <w:jc w:val="right"/>
              <w:rPr>
                <w:rFonts w:eastAsia="Times New Roman"/>
              </w:rPr>
            </w:pPr>
            <w:r w:rsidRPr="0050182F">
              <w:rPr>
                <w:rFonts w:eastAsia="Times New Roman"/>
              </w:rPr>
              <w:t>80</w:t>
            </w:r>
            <w:r w:rsidR="00132B5F" w:rsidRPr="0050182F">
              <w:rPr>
                <w:rFonts w:eastAsia="Times New Roman"/>
              </w:rPr>
              <w:t>%</w:t>
            </w:r>
          </w:p>
        </w:tc>
        <w:tc>
          <w:tcPr>
            <w:tcW w:w="1392" w:type="dxa"/>
            <w:tcBorders>
              <w:top w:val="nil"/>
              <w:left w:val="nil"/>
              <w:bottom w:val="single" w:sz="4" w:space="0" w:color="auto"/>
              <w:right w:val="single" w:sz="4" w:space="0" w:color="auto"/>
            </w:tcBorders>
            <w:shd w:val="clear" w:color="auto" w:fill="FFFFFF"/>
            <w:hideMark/>
          </w:tcPr>
          <w:p w:rsidR="009063F7" w:rsidRPr="0050182F" w:rsidRDefault="009063F7" w:rsidP="009063F7">
            <w:pPr>
              <w:spacing w:after="0" w:line="240" w:lineRule="auto"/>
              <w:jc w:val="right"/>
              <w:rPr>
                <w:rFonts w:eastAsia="Times New Roman"/>
              </w:rPr>
            </w:pPr>
            <w:r w:rsidRPr="0050182F">
              <w:rPr>
                <w:rFonts w:eastAsia="Times New Roman"/>
              </w:rPr>
              <w:t>90%</w:t>
            </w:r>
          </w:p>
        </w:tc>
        <w:tc>
          <w:tcPr>
            <w:tcW w:w="1758" w:type="dxa"/>
            <w:tcBorders>
              <w:top w:val="nil"/>
              <w:left w:val="nil"/>
              <w:bottom w:val="single" w:sz="4" w:space="0" w:color="auto"/>
              <w:right w:val="single" w:sz="4" w:space="0" w:color="auto"/>
            </w:tcBorders>
            <w:shd w:val="clear" w:color="auto" w:fill="E2EFD9"/>
          </w:tcPr>
          <w:p w:rsidR="009063F7" w:rsidRPr="00AC5424" w:rsidRDefault="00132B5F" w:rsidP="009063F7">
            <w:pPr>
              <w:spacing w:after="0" w:line="240" w:lineRule="auto"/>
              <w:jc w:val="right"/>
              <w:rPr>
                <w:rFonts w:eastAsia="Times New Roman"/>
              </w:rPr>
            </w:pPr>
            <w:r>
              <w:rPr>
                <w:rFonts w:eastAsia="Times New Roman"/>
              </w:rPr>
              <w:t>91%</w:t>
            </w:r>
          </w:p>
        </w:tc>
      </w:tr>
      <w:tr w:rsidR="009063F7" w:rsidRPr="00C27294" w:rsidTr="003B6170">
        <w:trPr>
          <w:trHeight w:val="1020"/>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rPr>
                <w:rFonts w:eastAsia="Times New Roman"/>
              </w:rPr>
            </w:pPr>
            <w:r w:rsidRPr="00AC5424">
              <w:rPr>
                <w:rFonts w:eastAsia="Times New Roman"/>
              </w:rPr>
              <w:t xml:space="preserve">1.2.5 Optimal </w:t>
            </w:r>
            <w:proofErr w:type="spellStart"/>
            <w:r w:rsidRPr="00AC5424">
              <w:rPr>
                <w:rFonts w:eastAsia="Times New Roman"/>
              </w:rPr>
              <w:t>mobilisation</w:t>
            </w:r>
            <w:proofErr w:type="spellEnd"/>
            <w:r w:rsidRPr="00AC5424">
              <w:rPr>
                <w:rFonts w:eastAsia="Times New Roman"/>
              </w:rPr>
              <w:t xml:space="preserve"> ratio of non-core resources by core funds for </w:t>
            </w:r>
            <w:proofErr w:type="spellStart"/>
            <w:r w:rsidRPr="00AC5424">
              <w:rPr>
                <w:rFonts w:eastAsia="Times New Roman"/>
              </w:rPr>
              <w:t>programmes</w:t>
            </w:r>
            <w:proofErr w:type="spellEnd"/>
            <w:r w:rsidRPr="00AC5424">
              <w:rPr>
                <w:rFonts w:eastAsia="Times New Roman"/>
              </w:rPr>
              <w:t>/projects</w:t>
            </w:r>
          </w:p>
        </w:tc>
        <w:tc>
          <w:tcPr>
            <w:tcW w:w="1265"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3:1</w:t>
            </w:r>
          </w:p>
        </w:tc>
        <w:tc>
          <w:tcPr>
            <w:tcW w:w="1440"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5:1</w:t>
            </w:r>
          </w:p>
        </w:tc>
        <w:tc>
          <w:tcPr>
            <w:tcW w:w="1260" w:type="dxa"/>
            <w:tcBorders>
              <w:top w:val="nil"/>
              <w:left w:val="nil"/>
              <w:bottom w:val="single" w:sz="4" w:space="0" w:color="auto"/>
              <w:right w:val="single" w:sz="4" w:space="0" w:color="auto"/>
            </w:tcBorders>
            <w:shd w:val="clear" w:color="auto" w:fill="auto"/>
            <w:hideMark/>
          </w:tcPr>
          <w:p w:rsidR="009063F7" w:rsidRPr="00AC5424" w:rsidRDefault="009063F7" w:rsidP="009063F7">
            <w:pPr>
              <w:spacing w:after="0" w:line="240" w:lineRule="auto"/>
              <w:jc w:val="right"/>
              <w:rPr>
                <w:rFonts w:eastAsia="Times New Roman"/>
              </w:rPr>
            </w:pPr>
            <w:r w:rsidRPr="00AC5424">
              <w:rPr>
                <w:rFonts w:eastAsia="Times New Roman"/>
              </w:rPr>
              <w:t>4:1</w:t>
            </w:r>
          </w:p>
        </w:tc>
        <w:tc>
          <w:tcPr>
            <w:tcW w:w="1260" w:type="dxa"/>
            <w:tcBorders>
              <w:top w:val="nil"/>
              <w:left w:val="nil"/>
              <w:bottom w:val="single" w:sz="4" w:space="0" w:color="auto"/>
              <w:right w:val="single" w:sz="4" w:space="0" w:color="auto"/>
            </w:tcBorders>
            <w:shd w:val="clear" w:color="auto" w:fill="FFFFFF"/>
            <w:hideMark/>
          </w:tcPr>
          <w:p w:rsidR="009063F7" w:rsidRPr="00AC5424" w:rsidRDefault="009063F7" w:rsidP="009063F7">
            <w:pPr>
              <w:spacing w:after="0" w:line="240" w:lineRule="auto"/>
              <w:jc w:val="right"/>
              <w:rPr>
                <w:rFonts w:eastAsia="Times New Roman"/>
              </w:rPr>
            </w:pPr>
            <w:r w:rsidRPr="00AC5424">
              <w:rPr>
                <w:rFonts w:eastAsia="Times New Roman"/>
              </w:rPr>
              <w:t>5:1</w:t>
            </w:r>
          </w:p>
        </w:tc>
        <w:tc>
          <w:tcPr>
            <w:tcW w:w="1350" w:type="dxa"/>
            <w:tcBorders>
              <w:top w:val="nil"/>
              <w:left w:val="nil"/>
              <w:bottom w:val="single" w:sz="4" w:space="0" w:color="auto"/>
              <w:right w:val="single" w:sz="4" w:space="0" w:color="auto"/>
            </w:tcBorders>
            <w:shd w:val="clear" w:color="auto" w:fill="FFFFFF"/>
          </w:tcPr>
          <w:p w:rsidR="0033100C" w:rsidRPr="00666855" w:rsidRDefault="0033100C" w:rsidP="00666855">
            <w:pPr>
              <w:spacing w:after="0" w:line="240" w:lineRule="auto"/>
              <w:jc w:val="right"/>
              <w:rPr>
                <w:rFonts w:eastAsia="Times New Roman"/>
              </w:rPr>
            </w:pPr>
            <w:r w:rsidRPr="00666855">
              <w:rPr>
                <w:rFonts w:eastAsia="Times New Roman"/>
              </w:rPr>
              <w:t>5:1</w:t>
            </w:r>
          </w:p>
        </w:tc>
        <w:tc>
          <w:tcPr>
            <w:tcW w:w="1392" w:type="dxa"/>
            <w:tcBorders>
              <w:top w:val="nil"/>
              <w:left w:val="nil"/>
              <w:bottom w:val="single" w:sz="4" w:space="0" w:color="auto"/>
              <w:right w:val="single" w:sz="4" w:space="0" w:color="auto"/>
            </w:tcBorders>
            <w:shd w:val="clear" w:color="auto" w:fill="FFFFFF"/>
            <w:hideMark/>
          </w:tcPr>
          <w:p w:rsidR="009063F7" w:rsidRPr="00AC5424" w:rsidRDefault="009063F7" w:rsidP="009063F7">
            <w:pPr>
              <w:spacing w:after="0" w:line="240" w:lineRule="auto"/>
              <w:jc w:val="right"/>
              <w:rPr>
                <w:rFonts w:eastAsia="Times New Roman"/>
              </w:rPr>
            </w:pPr>
            <w:r w:rsidRPr="00AC5424">
              <w:rPr>
                <w:rFonts w:eastAsia="Times New Roman"/>
              </w:rPr>
              <w:t>4:1</w:t>
            </w:r>
          </w:p>
        </w:tc>
        <w:tc>
          <w:tcPr>
            <w:tcW w:w="1758" w:type="dxa"/>
            <w:tcBorders>
              <w:top w:val="nil"/>
              <w:left w:val="nil"/>
              <w:bottom w:val="single" w:sz="4" w:space="0" w:color="auto"/>
              <w:right w:val="single" w:sz="4" w:space="0" w:color="auto"/>
            </w:tcBorders>
            <w:shd w:val="clear" w:color="auto" w:fill="E2EFD9"/>
          </w:tcPr>
          <w:p w:rsidR="009063F7" w:rsidRPr="00AC5424" w:rsidRDefault="0033100C" w:rsidP="009063F7">
            <w:pPr>
              <w:spacing w:after="0" w:line="240" w:lineRule="auto"/>
              <w:jc w:val="right"/>
              <w:rPr>
                <w:rFonts w:eastAsia="Times New Roman"/>
              </w:rPr>
            </w:pPr>
            <w:r>
              <w:rPr>
                <w:rFonts w:eastAsia="Times New Roman"/>
              </w:rPr>
              <w:t>125%</w:t>
            </w:r>
          </w:p>
        </w:tc>
      </w:tr>
      <w:tr w:rsidR="009063F7" w:rsidRPr="00C27294" w:rsidTr="00E257F3">
        <w:trPr>
          <w:trHeight w:val="300"/>
        </w:trPr>
        <w:tc>
          <w:tcPr>
            <w:tcW w:w="1948" w:type="dxa"/>
            <w:vMerge/>
            <w:tcBorders>
              <w:left w:val="single" w:sz="4" w:space="0" w:color="auto"/>
              <w:right w:val="single" w:sz="4" w:space="0" w:color="auto"/>
            </w:tcBorders>
            <w:vAlign w:val="center"/>
            <w:hideMark/>
          </w:tcPr>
          <w:p w:rsidR="009063F7" w:rsidRPr="00C206C9" w:rsidRDefault="009063F7" w:rsidP="009063F7">
            <w:pPr>
              <w:spacing w:after="0" w:line="240" w:lineRule="auto"/>
              <w:rPr>
                <w:rFonts w:eastAsia="Times New Roman"/>
                <w:b/>
                <w:bCs/>
                <w:color w:val="000000"/>
              </w:rPr>
            </w:pPr>
          </w:p>
        </w:tc>
        <w:tc>
          <w:tcPr>
            <w:tcW w:w="12560" w:type="dxa"/>
            <w:gridSpan w:val="8"/>
            <w:tcBorders>
              <w:top w:val="single" w:sz="4" w:space="0" w:color="auto"/>
              <w:left w:val="nil"/>
              <w:bottom w:val="single" w:sz="4" w:space="0" w:color="auto"/>
              <w:right w:val="single" w:sz="4" w:space="0" w:color="auto"/>
            </w:tcBorders>
            <w:shd w:val="clear" w:color="auto" w:fill="FFFFFF"/>
            <w:hideMark/>
          </w:tcPr>
          <w:p w:rsidR="009063F7" w:rsidRPr="00AC5424" w:rsidRDefault="009063F7" w:rsidP="009063F7">
            <w:pPr>
              <w:spacing w:after="0" w:line="240" w:lineRule="auto"/>
              <w:rPr>
                <w:rFonts w:eastAsia="Times New Roman"/>
                <w:b/>
                <w:bCs/>
              </w:rPr>
            </w:pPr>
            <w:proofErr w:type="spellStart"/>
            <w:r w:rsidRPr="00AC5424">
              <w:rPr>
                <w:rFonts w:eastAsia="Times New Roman"/>
                <w:b/>
                <w:bCs/>
              </w:rPr>
              <w:t>Optimised</w:t>
            </w:r>
            <w:proofErr w:type="spellEnd"/>
            <w:r w:rsidRPr="00AC5424">
              <w:rPr>
                <w:rFonts w:eastAsia="Times New Roman"/>
                <w:b/>
                <w:bCs/>
              </w:rPr>
              <w:t xml:space="preserve"> Cost Structure</w:t>
            </w:r>
          </w:p>
        </w:tc>
      </w:tr>
      <w:tr w:rsidR="00812DCC" w:rsidRPr="00C27294" w:rsidTr="003B6170">
        <w:trPr>
          <w:trHeight w:val="1320"/>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rPr>
                <w:rFonts w:eastAsia="Times New Roman"/>
              </w:rPr>
              <w:t xml:space="preserve">1.2.6 Percentage of total UNCDF </w:t>
            </w:r>
            <w:r w:rsidR="004910A5">
              <w:rPr>
                <w:rFonts w:eastAsia="Times New Roman"/>
              </w:rPr>
              <w:t xml:space="preserve">core </w:t>
            </w:r>
            <w:r w:rsidRPr="00AC5424">
              <w:rPr>
                <w:rFonts w:eastAsia="Times New Roman"/>
              </w:rPr>
              <w:t>expenditure</w:t>
            </w:r>
            <w:r w:rsidR="004910A5">
              <w:rPr>
                <w:rFonts w:eastAsia="Times New Roman"/>
              </w:rPr>
              <w:t>s</w:t>
            </w:r>
            <w:r w:rsidRPr="00AC5424">
              <w:rPr>
                <w:rFonts w:eastAsia="Times New Roman"/>
              </w:rPr>
              <w:t xml:space="preserve"> related to management activities (management- efficiency ratio)</w:t>
            </w:r>
          </w:p>
        </w:tc>
        <w:tc>
          <w:tcPr>
            <w:tcW w:w="126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15%</w:t>
            </w:r>
          </w:p>
        </w:tc>
        <w:tc>
          <w:tcPr>
            <w:tcW w:w="144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14%</w:t>
            </w:r>
          </w:p>
        </w:tc>
        <w:tc>
          <w:tcPr>
            <w:tcW w:w="126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10.9%</w:t>
            </w:r>
          </w:p>
        </w:tc>
        <w:tc>
          <w:tcPr>
            <w:tcW w:w="1260"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10%</w:t>
            </w:r>
          </w:p>
        </w:tc>
        <w:tc>
          <w:tcPr>
            <w:tcW w:w="1350" w:type="dxa"/>
            <w:tcBorders>
              <w:top w:val="nil"/>
              <w:left w:val="nil"/>
              <w:bottom w:val="single" w:sz="4" w:space="0" w:color="auto"/>
              <w:right w:val="single" w:sz="4" w:space="0" w:color="auto"/>
            </w:tcBorders>
            <w:shd w:val="clear" w:color="auto" w:fill="FFFFFF"/>
          </w:tcPr>
          <w:p w:rsidR="001771D9" w:rsidRPr="0050182F" w:rsidRDefault="00B875FF" w:rsidP="00666855">
            <w:pPr>
              <w:spacing w:after="0" w:line="240" w:lineRule="auto"/>
              <w:jc w:val="right"/>
              <w:rPr>
                <w:rFonts w:eastAsia="Times New Roman"/>
              </w:rPr>
            </w:pPr>
            <w:r w:rsidRPr="0050182F">
              <w:rPr>
                <w:rFonts w:eastAsia="Times New Roman"/>
              </w:rPr>
              <w:t>9</w:t>
            </w:r>
            <w:r w:rsidR="001771D9" w:rsidRPr="0050182F">
              <w:rPr>
                <w:rFonts w:eastAsia="Times New Roman"/>
              </w:rPr>
              <w:t>%</w:t>
            </w:r>
          </w:p>
        </w:tc>
        <w:tc>
          <w:tcPr>
            <w:tcW w:w="1392"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15%</w:t>
            </w:r>
          </w:p>
        </w:tc>
        <w:tc>
          <w:tcPr>
            <w:tcW w:w="1758" w:type="dxa"/>
            <w:tcBorders>
              <w:top w:val="nil"/>
              <w:left w:val="nil"/>
              <w:bottom w:val="single" w:sz="4" w:space="0" w:color="auto"/>
              <w:right w:val="single" w:sz="4" w:space="0" w:color="auto"/>
            </w:tcBorders>
            <w:shd w:val="clear" w:color="auto" w:fill="E2EFD9"/>
          </w:tcPr>
          <w:p w:rsidR="00812DCC" w:rsidRPr="00AC5424" w:rsidRDefault="006428FD" w:rsidP="00812DCC">
            <w:pPr>
              <w:spacing w:after="0" w:line="240" w:lineRule="auto"/>
              <w:jc w:val="right"/>
              <w:rPr>
                <w:rFonts w:eastAsia="Times New Roman"/>
              </w:rPr>
            </w:pPr>
            <w:r>
              <w:rPr>
                <w:rFonts w:eastAsia="Times New Roman"/>
              </w:rPr>
              <w:t>Achieved</w:t>
            </w:r>
          </w:p>
        </w:tc>
      </w:tr>
      <w:tr w:rsidR="00812DCC" w:rsidRPr="00C27294" w:rsidTr="003B6170">
        <w:trPr>
          <w:trHeight w:val="1170"/>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rPr>
                <w:rFonts w:eastAsia="Times New Roman"/>
              </w:rPr>
              <w:t>1.2.7 Percentage of total UNCDF expenditure on management activities spent on travel costs</w:t>
            </w:r>
          </w:p>
        </w:tc>
        <w:tc>
          <w:tcPr>
            <w:tcW w:w="1265" w:type="dxa"/>
            <w:tcBorders>
              <w:top w:val="single" w:sz="4" w:space="0" w:color="auto"/>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10%</w:t>
            </w:r>
          </w:p>
        </w:tc>
        <w:tc>
          <w:tcPr>
            <w:tcW w:w="1440" w:type="dxa"/>
            <w:tcBorders>
              <w:top w:val="single" w:sz="4" w:space="0" w:color="auto"/>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2%</w:t>
            </w:r>
          </w:p>
        </w:tc>
        <w:tc>
          <w:tcPr>
            <w:tcW w:w="1260" w:type="dxa"/>
            <w:tcBorders>
              <w:top w:val="single" w:sz="4" w:space="0" w:color="auto"/>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6%</w:t>
            </w:r>
          </w:p>
        </w:tc>
        <w:tc>
          <w:tcPr>
            <w:tcW w:w="1260" w:type="dxa"/>
            <w:tcBorders>
              <w:top w:val="single" w:sz="4" w:space="0" w:color="auto"/>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6%</w:t>
            </w:r>
          </w:p>
        </w:tc>
        <w:tc>
          <w:tcPr>
            <w:tcW w:w="1350" w:type="dxa"/>
            <w:tcBorders>
              <w:top w:val="single" w:sz="4" w:space="0" w:color="auto"/>
              <w:left w:val="nil"/>
              <w:bottom w:val="single" w:sz="4" w:space="0" w:color="auto"/>
              <w:right w:val="single" w:sz="4" w:space="0" w:color="auto"/>
            </w:tcBorders>
            <w:shd w:val="clear" w:color="auto" w:fill="FFFFFF"/>
          </w:tcPr>
          <w:p w:rsidR="00873314" w:rsidRPr="0050182F" w:rsidRDefault="00873314" w:rsidP="00666855">
            <w:pPr>
              <w:spacing w:after="0" w:line="240" w:lineRule="auto"/>
              <w:jc w:val="right"/>
              <w:rPr>
                <w:rFonts w:eastAsia="Times New Roman"/>
              </w:rPr>
            </w:pPr>
            <w:r w:rsidRPr="0050182F">
              <w:rPr>
                <w:rFonts w:eastAsia="Times New Roman"/>
              </w:rPr>
              <w:t>6%</w:t>
            </w:r>
          </w:p>
        </w:tc>
        <w:tc>
          <w:tcPr>
            <w:tcW w:w="1392" w:type="dxa"/>
            <w:tcBorders>
              <w:top w:val="single" w:sz="4" w:space="0" w:color="auto"/>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10%</w:t>
            </w:r>
          </w:p>
        </w:tc>
        <w:tc>
          <w:tcPr>
            <w:tcW w:w="1758" w:type="dxa"/>
            <w:tcBorders>
              <w:top w:val="single" w:sz="4" w:space="0" w:color="auto"/>
              <w:left w:val="nil"/>
              <w:bottom w:val="single" w:sz="4" w:space="0" w:color="auto"/>
              <w:right w:val="single" w:sz="4" w:space="0" w:color="auto"/>
            </w:tcBorders>
            <w:shd w:val="clear" w:color="auto" w:fill="E2EFD9"/>
          </w:tcPr>
          <w:p w:rsidR="00812DCC" w:rsidRPr="00AC5424" w:rsidRDefault="006428FD" w:rsidP="00812DCC">
            <w:pPr>
              <w:spacing w:after="0" w:line="240" w:lineRule="auto"/>
              <w:jc w:val="right"/>
              <w:rPr>
                <w:rFonts w:eastAsia="Times New Roman"/>
              </w:rPr>
            </w:pPr>
            <w:r>
              <w:rPr>
                <w:rFonts w:eastAsia="Times New Roman"/>
              </w:rPr>
              <w:t>Achieved</w:t>
            </w:r>
          </w:p>
        </w:tc>
      </w:tr>
      <w:tr w:rsidR="00812DCC" w:rsidRPr="00C27294" w:rsidTr="00666855">
        <w:trPr>
          <w:trHeight w:val="915"/>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t>1.2.8 Percentage of total core resources going to capital investments (grants, loans, and guarantees)</w:t>
            </w:r>
          </w:p>
        </w:tc>
        <w:tc>
          <w:tcPr>
            <w:tcW w:w="126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30%</w:t>
            </w:r>
          </w:p>
        </w:tc>
        <w:tc>
          <w:tcPr>
            <w:tcW w:w="144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17%</w:t>
            </w:r>
          </w:p>
        </w:tc>
        <w:tc>
          <w:tcPr>
            <w:tcW w:w="126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27%</w:t>
            </w:r>
          </w:p>
        </w:tc>
        <w:tc>
          <w:tcPr>
            <w:tcW w:w="1260"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5%</w:t>
            </w:r>
          </w:p>
        </w:tc>
        <w:tc>
          <w:tcPr>
            <w:tcW w:w="1350" w:type="dxa"/>
            <w:tcBorders>
              <w:top w:val="nil"/>
              <w:left w:val="nil"/>
              <w:bottom w:val="single" w:sz="4" w:space="0" w:color="auto"/>
              <w:right w:val="single" w:sz="4" w:space="0" w:color="auto"/>
            </w:tcBorders>
            <w:shd w:val="clear" w:color="auto" w:fill="FFFFFF"/>
          </w:tcPr>
          <w:p w:rsidR="00937464" w:rsidRPr="0050182F" w:rsidRDefault="00B875FF" w:rsidP="00666855">
            <w:pPr>
              <w:spacing w:after="0" w:line="240" w:lineRule="auto"/>
              <w:jc w:val="right"/>
              <w:rPr>
                <w:rFonts w:eastAsia="Times New Roman"/>
              </w:rPr>
            </w:pPr>
            <w:r w:rsidRPr="0050182F">
              <w:rPr>
                <w:rFonts w:eastAsia="Times New Roman"/>
              </w:rPr>
              <w:t>1</w:t>
            </w:r>
            <w:r w:rsidR="00937464" w:rsidRPr="0050182F">
              <w:rPr>
                <w:rFonts w:eastAsia="Times New Roman"/>
              </w:rPr>
              <w:t>%</w:t>
            </w:r>
          </w:p>
        </w:tc>
        <w:tc>
          <w:tcPr>
            <w:tcW w:w="1392"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40%</w:t>
            </w:r>
          </w:p>
        </w:tc>
        <w:tc>
          <w:tcPr>
            <w:tcW w:w="1758" w:type="dxa"/>
            <w:tcBorders>
              <w:top w:val="nil"/>
              <w:left w:val="nil"/>
              <w:bottom w:val="single" w:sz="4" w:space="0" w:color="auto"/>
              <w:right w:val="single" w:sz="4" w:space="0" w:color="auto"/>
            </w:tcBorders>
            <w:shd w:val="clear" w:color="auto" w:fill="FFCCCC"/>
          </w:tcPr>
          <w:p w:rsidR="00812DCC" w:rsidRPr="00AC5424" w:rsidRDefault="00BA5ADC" w:rsidP="00812DCC">
            <w:pPr>
              <w:spacing w:after="0" w:line="240" w:lineRule="auto"/>
              <w:jc w:val="right"/>
              <w:rPr>
                <w:rFonts w:eastAsia="Times New Roman"/>
              </w:rPr>
            </w:pPr>
            <w:r>
              <w:rPr>
                <w:rFonts w:eastAsia="Times New Roman"/>
              </w:rPr>
              <w:t>Underachieved</w:t>
            </w:r>
          </w:p>
        </w:tc>
      </w:tr>
      <w:tr w:rsidR="00812DCC" w:rsidRPr="00C27294" w:rsidTr="003B6170">
        <w:trPr>
          <w:trHeight w:val="915"/>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t>1.2.9 Percentage of total non-core resources going to capital investments (grants, loans, and guarantees)</w:t>
            </w:r>
          </w:p>
        </w:tc>
        <w:tc>
          <w:tcPr>
            <w:tcW w:w="126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44%</w:t>
            </w:r>
          </w:p>
        </w:tc>
        <w:tc>
          <w:tcPr>
            <w:tcW w:w="144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51%</w:t>
            </w:r>
          </w:p>
        </w:tc>
        <w:tc>
          <w:tcPr>
            <w:tcW w:w="126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rPr>
            </w:pPr>
            <w:r w:rsidRPr="00AC5424">
              <w:rPr>
                <w:rFonts w:eastAsia="Times New Roman"/>
              </w:rPr>
              <w:t>46%</w:t>
            </w:r>
          </w:p>
        </w:tc>
        <w:tc>
          <w:tcPr>
            <w:tcW w:w="1260"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36%</w:t>
            </w:r>
          </w:p>
        </w:tc>
        <w:tc>
          <w:tcPr>
            <w:tcW w:w="1350" w:type="dxa"/>
            <w:tcBorders>
              <w:top w:val="nil"/>
              <w:left w:val="nil"/>
              <w:bottom w:val="single" w:sz="4" w:space="0" w:color="auto"/>
              <w:right w:val="single" w:sz="4" w:space="0" w:color="auto"/>
            </w:tcBorders>
            <w:shd w:val="clear" w:color="auto" w:fill="FFFFFF"/>
          </w:tcPr>
          <w:p w:rsidR="00391873" w:rsidRPr="0050182F" w:rsidRDefault="00B875FF" w:rsidP="00666855">
            <w:pPr>
              <w:spacing w:after="0" w:line="240" w:lineRule="auto"/>
              <w:jc w:val="right"/>
              <w:rPr>
                <w:rFonts w:eastAsia="Times New Roman"/>
              </w:rPr>
            </w:pPr>
            <w:r w:rsidRPr="0050182F">
              <w:rPr>
                <w:rFonts w:eastAsia="Times New Roman"/>
              </w:rPr>
              <w:t>33</w:t>
            </w:r>
            <w:r w:rsidR="00391873" w:rsidRPr="0050182F">
              <w:rPr>
                <w:rFonts w:eastAsia="Times New Roman"/>
              </w:rPr>
              <w:t>%</w:t>
            </w:r>
          </w:p>
        </w:tc>
        <w:tc>
          <w:tcPr>
            <w:tcW w:w="1392"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rPr>
            </w:pPr>
            <w:r w:rsidRPr="00AC5424">
              <w:rPr>
                <w:rFonts w:eastAsia="Times New Roman"/>
              </w:rPr>
              <w:t>50%</w:t>
            </w:r>
          </w:p>
        </w:tc>
        <w:tc>
          <w:tcPr>
            <w:tcW w:w="1758" w:type="dxa"/>
            <w:tcBorders>
              <w:top w:val="nil"/>
              <w:left w:val="nil"/>
              <w:bottom w:val="single" w:sz="4" w:space="0" w:color="auto"/>
              <w:right w:val="single" w:sz="4" w:space="0" w:color="auto"/>
            </w:tcBorders>
            <w:shd w:val="clear" w:color="auto" w:fill="FFF2CC"/>
          </w:tcPr>
          <w:p w:rsidR="00812DCC" w:rsidRPr="00AC5424" w:rsidRDefault="006428FD" w:rsidP="00812DCC">
            <w:pPr>
              <w:spacing w:after="0" w:line="240" w:lineRule="auto"/>
              <w:jc w:val="right"/>
              <w:rPr>
                <w:rFonts w:eastAsia="Times New Roman"/>
              </w:rPr>
            </w:pPr>
            <w:r>
              <w:rPr>
                <w:rFonts w:eastAsia="Times New Roman"/>
              </w:rPr>
              <w:t>Partially achieved</w:t>
            </w:r>
          </w:p>
        </w:tc>
      </w:tr>
      <w:tr w:rsidR="00812DCC" w:rsidRPr="00C27294" w:rsidTr="00E257F3">
        <w:trPr>
          <w:trHeight w:val="377"/>
        </w:trPr>
        <w:tc>
          <w:tcPr>
            <w:tcW w:w="1948" w:type="dxa"/>
            <w:vMerge/>
            <w:tcBorders>
              <w:left w:val="single" w:sz="4" w:space="0" w:color="auto"/>
              <w:right w:val="single" w:sz="4" w:space="0" w:color="auto"/>
            </w:tcBorders>
            <w:vAlign w:val="center"/>
          </w:tcPr>
          <w:p w:rsidR="00812DCC" w:rsidRPr="00C206C9" w:rsidRDefault="00812DCC" w:rsidP="00812DCC">
            <w:pPr>
              <w:spacing w:after="0" w:line="240" w:lineRule="auto"/>
              <w:rPr>
                <w:rFonts w:eastAsia="Times New Roman"/>
                <w:b/>
                <w:bCs/>
                <w:color w:val="000000"/>
              </w:rPr>
            </w:pPr>
          </w:p>
        </w:tc>
        <w:tc>
          <w:tcPr>
            <w:tcW w:w="12560" w:type="dxa"/>
            <w:gridSpan w:val="8"/>
            <w:tcBorders>
              <w:top w:val="nil"/>
              <w:left w:val="nil"/>
              <w:bottom w:val="single" w:sz="4" w:space="0" w:color="auto"/>
              <w:right w:val="single" w:sz="4" w:space="0" w:color="auto"/>
            </w:tcBorders>
            <w:shd w:val="clear" w:color="auto" w:fill="FFFFFF"/>
          </w:tcPr>
          <w:p w:rsidR="00812DCC" w:rsidRPr="00572160" w:rsidRDefault="00812DCC" w:rsidP="00812DCC">
            <w:pPr>
              <w:spacing w:after="0" w:line="240" w:lineRule="auto"/>
              <w:rPr>
                <w:rFonts w:eastAsia="Times New Roman"/>
                <w:b/>
                <w:color w:val="000000"/>
              </w:rPr>
            </w:pPr>
            <w:r w:rsidRPr="00572160">
              <w:rPr>
                <w:rFonts w:eastAsia="Times New Roman"/>
                <w:b/>
                <w:color w:val="000000"/>
              </w:rPr>
              <w:t>Country Presence</w:t>
            </w:r>
            <w:r>
              <w:rPr>
                <w:rStyle w:val="FootnoteReference"/>
              </w:rPr>
              <w:footnoteReference w:id="14"/>
            </w:r>
          </w:p>
        </w:tc>
      </w:tr>
      <w:tr w:rsidR="00812DCC" w:rsidRPr="00C27294" w:rsidTr="003B6170">
        <w:trPr>
          <w:trHeight w:val="915"/>
        </w:trPr>
        <w:tc>
          <w:tcPr>
            <w:tcW w:w="1948" w:type="dxa"/>
            <w:vMerge/>
            <w:tcBorders>
              <w:left w:val="single" w:sz="4" w:space="0" w:color="auto"/>
              <w:right w:val="single" w:sz="4" w:space="0" w:color="auto"/>
            </w:tcBorders>
            <w:vAlign w:val="center"/>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tcPr>
          <w:p w:rsidR="00812DCC" w:rsidRPr="0080791F" w:rsidRDefault="00812DCC" w:rsidP="00812DCC">
            <w:pPr>
              <w:spacing w:after="0" w:line="240" w:lineRule="auto"/>
            </w:pPr>
            <w:r>
              <w:t>1.2.10 Total country footprint, of which;</w:t>
            </w:r>
            <w:r>
              <w:rPr>
                <w:rStyle w:val="FootnoteReference"/>
              </w:rPr>
              <w:footnoteReference w:id="15"/>
            </w:r>
          </w:p>
        </w:tc>
        <w:tc>
          <w:tcPr>
            <w:tcW w:w="1265" w:type="dxa"/>
            <w:tcBorders>
              <w:top w:val="nil"/>
              <w:left w:val="nil"/>
              <w:bottom w:val="single" w:sz="4" w:space="0" w:color="auto"/>
              <w:right w:val="single" w:sz="4" w:space="0" w:color="auto"/>
            </w:tcBorders>
            <w:shd w:val="clear" w:color="auto" w:fill="auto"/>
          </w:tcPr>
          <w:p w:rsidR="00812DCC" w:rsidRDefault="00812DCC" w:rsidP="00812DCC">
            <w:pPr>
              <w:spacing w:after="0" w:line="240" w:lineRule="auto"/>
              <w:jc w:val="right"/>
              <w:rPr>
                <w:rFonts w:eastAsia="Times New Roman"/>
                <w:color w:val="000000"/>
              </w:rPr>
            </w:pPr>
            <w:r>
              <w:rPr>
                <w:rFonts w:eastAsia="Times New Roman"/>
                <w:color w:val="000000"/>
              </w:rPr>
              <w:t>20 (FI);</w:t>
            </w:r>
          </w:p>
          <w:p w:rsidR="00812DCC" w:rsidRPr="00C206C9" w:rsidRDefault="00812DCC" w:rsidP="00812DCC">
            <w:pPr>
              <w:spacing w:after="0" w:line="240" w:lineRule="auto"/>
              <w:jc w:val="right"/>
              <w:rPr>
                <w:rFonts w:eastAsia="Times New Roman"/>
                <w:color w:val="000000"/>
              </w:rPr>
            </w:pPr>
            <w:r>
              <w:rPr>
                <w:rFonts w:eastAsia="Times New Roman"/>
                <w:color w:val="000000"/>
              </w:rPr>
              <w:t>22 (LD)</w:t>
            </w:r>
          </w:p>
        </w:tc>
        <w:tc>
          <w:tcPr>
            <w:tcW w:w="144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 xml:space="preserve">34 (FI); </w:t>
            </w:r>
          </w:p>
          <w:p w:rsidR="00812DCC" w:rsidRDefault="00812DCC" w:rsidP="00812DCC">
            <w:pPr>
              <w:spacing w:after="0" w:line="240" w:lineRule="auto"/>
              <w:jc w:val="right"/>
              <w:rPr>
                <w:rFonts w:eastAsia="Times New Roman"/>
                <w:color w:val="000000"/>
              </w:rPr>
            </w:pPr>
            <w:r>
              <w:rPr>
                <w:rFonts w:eastAsia="Times New Roman"/>
                <w:color w:val="000000"/>
              </w:rPr>
              <w:t>20 (LD)</w:t>
            </w:r>
          </w:p>
        </w:tc>
        <w:tc>
          <w:tcPr>
            <w:tcW w:w="1350" w:type="dxa"/>
            <w:tcBorders>
              <w:top w:val="nil"/>
              <w:left w:val="nil"/>
              <w:bottom w:val="single" w:sz="4" w:space="0" w:color="auto"/>
              <w:right w:val="single" w:sz="4" w:space="0" w:color="auto"/>
            </w:tcBorders>
            <w:shd w:val="clear" w:color="auto" w:fill="FFFFFF"/>
          </w:tcPr>
          <w:p w:rsidR="00391873" w:rsidRPr="00E2587A" w:rsidRDefault="00391873" w:rsidP="00391873">
            <w:pPr>
              <w:spacing w:after="0" w:line="240" w:lineRule="auto"/>
              <w:jc w:val="right"/>
              <w:rPr>
                <w:rFonts w:eastAsia="Times New Roman"/>
                <w:color w:val="000000"/>
              </w:rPr>
            </w:pPr>
            <w:r w:rsidRPr="00E2587A">
              <w:rPr>
                <w:rFonts w:eastAsia="Times New Roman"/>
                <w:color w:val="000000"/>
              </w:rPr>
              <w:t xml:space="preserve">31 (FI); </w:t>
            </w:r>
          </w:p>
          <w:p w:rsidR="00391873" w:rsidRPr="00E2587A" w:rsidRDefault="00391873" w:rsidP="00666855">
            <w:pPr>
              <w:spacing w:after="0" w:line="240" w:lineRule="auto"/>
              <w:jc w:val="right"/>
              <w:rPr>
                <w:rFonts w:eastAsia="Times New Roman"/>
                <w:color w:val="000000"/>
              </w:rPr>
            </w:pPr>
            <w:r w:rsidRPr="00E2587A">
              <w:rPr>
                <w:rFonts w:eastAsia="Times New Roman"/>
                <w:color w:val="000000"/>
              </w:rPr>
              <w:t>23 (LD)</w:t>
            </w:r>
          </w:p>
        </w:tc>
        <w:tc>
          <w:tcPr>
            <w:tcW w:w="1392"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26 (FI);</w:t>
            </w:r>
          </w:p>
          <w:p w:rsidR="00812DCC" w:rsidRPr="00C206C9" w:rsidRDefault="00812DCC" w:rsidP="00812DCC">
            <w:pPr>
              <w:spacing w:after="0" w:line="240" w:lineRule="auto"/>
              <w:jc w:val="right"/>
              <w:rPr>
                <w:rFonts w:eastAsia="Times New Roman"/>
                <w:color w:val="000000"/>
              </w:rPr>
            </w:pPr>
            <w:r>
              <w:rPr>
                <w:rFonts w:eastAsia="Times New Roman"/>
                <w:color w:val="000000"/>
              </w:rPr>
              <w:t>19 (LD)</w:t>
            </w:r>
          </w:p>
        </w:tc>
        <w:tc>
          <w:tcPr>
            <w:tcW w:w="1758" w:type="dxa"/>
            <w:tcBorders>
              <w:top w:val="nil"/>
              <w:left w:val="nil"/>
              <w:bottom w:val="single" w:sz="4" w:space="0" w:color="auto"/>
              <w:right w:val="single" w:sz="4" w:space="0" w:color="auto"/>
            </w:tcBorders>
            <w:shd w:val="clear" w:color="auto" w:fill="E2EFD9"/>
          </w:tcPr>
          <w:p w:rsidR="00812DCC" w:rsidRPr="00C206C9" w:rsidRDefault="006428FD" w:rsidP="004D6185">
            <w:pPr>
              <w:spacing w:after="0" w:line="240" w:lineRule="auto"/>
              <w:jc w:val="right"/>
              <w:rPr>
                <w:rFonts w:eastAsia="Times New Roman"/>
                <w:color w:val="000000"/>
              </w:rPr>
            </w:pPr>
            <w:r>
              <w:rPr>
                <w:rFonts w:eastAsia="Times New Roman"/>
                <w:color w:val="000000"/>
              </w:rPr>
              <w:t>Achieved</w:t>
            </w:r>
          </w:p>
        </w:tc>
      </w:tr>
      <w:tr w:rsidR="00812DCC" w:rsidRPr="00C27294" w:rsidTr="006B2F09">
        <w:trPr>
          <w:trHeight w:val="915"/>
        </w:trPr>
        <w:tc>
          <w:tcPr>
            <w:tcW w:w="1948" w:type="dxa"/>
            <w:vMerge/>
            <w:tcBorders>
              <w:left w:val="single" w:sz="4" w:space="0" w:color="auto"/>
              <w:right w:val="single" w:sz="4" w:space="0" w:color="auto"/>
            </w:tcBorders>
            <w:vAlign w:val="center"/>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tcPr>
          <w:p w:rsidR="00812DCC" w:rsidRPr="0080791F" w:rsidRDefault="00812DCC" w:rsidP="00812DCC">
            <w:pPr>
              <w:spacing w:after="0" w:line="240" w:lineRule="auto"/>
            </w:pPr>
            <w:r>
              <w:t>1.2.10.</w:t>
            </w:r>
            <w:proofErr w:type="gramStart"/>
            <w:r>
              <w:t>a Number of</w:t>
            </w:r>
            <w:proofErr w:type="gramEnd"/>
            <w:r>
              <w:t xml:space="preserve"> countries with UNCDF </w:t>
            </w:r>
            <w:proofErr w:type="spellStart"/>
            <w:r>
              <w:rPr>
                <w:b/>
              </w:rPr>
              <w:t>P</w:t>
            </w:r>
            <w:r w:rsidRPr="0071654F">
              <w:rPr>
                <w:b/>
              </w:rPr>
              <w:t>rogramme</w:t>
            </w:r>
            <w:proofErr w:type="spellEnd"/>
            <w:r>
              <w:t xml:space="preserve"> presence</w:t>
            </w:r>
          </w:p>
        </w:tc>
        <w:tc>
          <w:tcPr>
            <w:tcW w:w="1265" w:type="dxa"/>
            <w:tcBorders>
              <w:top w:val="nil"/>
              <w:left w:val="nil"/>
              <w:bottom w:val="single" w:sz="4" w:space="0" w:color="auto"/>
              <w:right w:val="single" w:sz="4" w:space="0" w:color="auto"/>
            </w:tcBorders>
            <w:shd w:val="clear" w:color="auto" w:fill="auto"/>
          </w:tcPr>
          <w:p w:rsidR="00812DCC" w:rsidRDefault="00812DCC" w:rsidP="00812DCC">
            <w:pPr>
              <w:spacing w:after="0" w:line="240" w:lineRule="auto"/>
              <w:jc w:val="right"/>
              <w:rPr>
                <w:rFonts w:eastAsia="Times New Roman"/>
                <w:color w:val="000000"/>
              </w:rPr>
            </w:pPr>
            <w:r>
              <w:rPr>
                <w:rFonts w:eastAsia="Times New Roman"/>
                <w:color w:val="000000"/>
              </w:rPr>
              <w:t>17 (FI);</w:t>
            </w:r>
          </w:p>
          <w:p w:rsidR="00812DCC" w:rsidRPr="00C206C9" w:rsidRDefault="00812DCC" w:rsidP="00812DCC">
            <w:pPr>
              <w:spacing w:after="0" w:line="240" w:lineRule="auto"/>
              <w:jc w:val="right"/>
              <w:rPr>
                <w:rFonts w:eastAsia="Times New Roman"/>
                <w:color w:val="000000"/>
              </w:rPr>
            </w:pPr>
            <w:r>
              <w:rPr>
                <w:rFonts w:eastAsia="Times New Roman"/>
                <w:color w:val="000000"/>
              </w:rPr>
              <w:t>22 (LD)</w:t>
            </w:r>
          </w:p>
        </w:tc>
        <w:tc>
          <w:tcPr>
            <w:tcW w:w="144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 xml:space="preserve">11 (FI); </w:t>
            </w:r>
          </w:p>
          <w:p w:rsidR="00812DCC" w:rsidRDefault="00812DCC" w:rsidP="00812DCC">
            <w:pPr>
              <w:spacing w:after="0" w:line="240" w:lineRule="auto"/>
              <w:jc w:val="right"/>
              <w:rPr>
                <w:rFonts w:eastAsia="Times New Roman"/>
                <w:color w:val="000000"/>
              </w:rPr>
            </w:pPr>
            <w:r>
              <w:rPr>
                <w:rFonts w:eastAsia="Times New Roman"/>
                <w:color w:val="000000"/>
              </w:rPr>
              <w:t>12 (LD)</w:t>
            </w:r>
          </w:p>
        </w:tc>
        <w:tc>
          <w:tcPr>
            <w:tcW w:w="1350" w:type="dxa"/>
            <w:tcBorders>
              <w:top w:val="nil"/>
              <w:left w:val="nil"/>
              <w:bottom w:val="single" w:sz="4" w:space="0" w:color="auto"/>
              <w:right w:val="single" w:sz="4" w:space="0" w:color="auto"/>
            </w:tcBorders>
            <w:shd w:val="clear" w:color="auto" w:fill="FFFFFF"/>
          </w:tcPr>
          <w:p w:rsidR="00E11162" w:rsidRPr="00E2587A" w:rsidRDefault="00E11162" w:rsidP="00E11162">
            <w:pPr>
              <w:spacing w:after="0" w:line="240" w:lineRule="auto"/>
              <w:jc w:val="right"/>
              <w:rPr>
                <w:rFonts w:eastAsia="Times New Roman"/>
                <w:color w:val="000000"/>
              </w:rPr>
            </w:pPr>
            <w:r w:rsidRPr="00E2587A">
              <w:rPr>
                <w:rFonts w:eastAsia="Times New Roman"/>
                <w:color w:val="000000"/>
              </w:rPr>
              <w:t xml:space="preserve">9 (FI); </w:t>
            </w:r>
          </w:p>
          <w:p w:rsidR="00E11162" w:rsidRPr="00E2587A" w:rsidRDefault="00E11162" w:rsidP="00666855">
            <w:pPr>
              <w:spacing w:after="0" w:line="240" w:lineRule="auto"/>
              <w:jc w:val="right"/>
              <w:rPr>
                <w:rFonts w:eastAsia="Times New Roman"/>
                <w:color w:val="000000"/>
              </w:rPr>
            </w:pPr>
            <w:r w:rsidRPr="00E2587A">
              <w:rPr>
                <w:rFonts w:eastAsia="Times New Roman"/>
                <w:color w:val="000000"/>
              </w:rPr>
              <w:t>8 (LD)</w:t>
            </w:r>
          </w:p>
        </w:tc>
        <w:tc>
          <w:tcPr>
            <w:tcW w:w="1392"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10 (FI);</w:t>
            </w:r>
          </w:p>
          <w:p w:rsidR="00812DCC" w:rsidRPr="00C206C9" w:rsidRDefault="00812DCC" w:rsidP="00812DCC">
            <w:pPr>
              <w:spacing w:after="0" w:line="240" w:lineRule="auto"/>
              <w:jc w:val="right"/>
              <w:rPr>
                <w:rFonts w:eastAsia="Times New Roman"/>
                <w:color w:val="000000"/>
              </w:rPr>
            </w:pPr>
            <w:r>
              <w:rPr>
                <w:rFonts w:eastAsia="Times New Roman"/>
                <w:color w:val="000000"/>
              </w:rPr>
              <w:t>12 (LD)</w:t>
            </w:r>
          </w:p>
        </w:tc>
        <w:tc>
          <w:tcPr>
            <w:tcW w:w="1758" w:type="dxa"/>
            <w:tcBorders>
              <w:top w:val="nil"/>
              <w:left w:val="nil"/>
              <w:bottom w:val="single" w:sz="4" w:space="0" w:color="auto"/>
              <w:right w:val="single" w:sz="4" w:space="0" w:color="auto"/>
            </w:tcBorders>
            <w:shd w:val="clear" w:color="auto" w:fill="E2EFD9" w:themeFill="accent6" w:themeFillTint="33"/>
          </w:tcPr>
          <w:p w:rsidR="00812DCC" w:rsidRPr="00C206C9" w:rsidRDefault="006428FD" w:rsidP="00A373CF">
            <w:pPr>
              <w:spacing w:after="0" w:line="240" w:lineRule="auto"/>
              <w:jc w:val="right"/>
              <w:rPr>
                <w:rFonts w:eastAsia="Times New Roman"/>
                <w:color w:val="000000"/>
              </w:rPr>
            </w:pPr>
            <w:r>
              <w:rPr>
                <w:rFonts w:eastAsia="Times New Roman"/>
                <w:color w:val="000000"/>
              </w:rPr>
              <w:t>Achieved</w:t>
            </w:r>
          </w:p>
        </w:tc>
      </w:tr>
      <w:tr w:rsidR="00812DCC" w:rsidRPr="00C27294" w:rsidTr="003B6170">
        <w:trPr>
          <w:trHeight w:val="915"/>
        </w:trPr>
        <w:tc>
          <w:tcPr>
            <w:tcW w:w="1948" w:type="dxa"/>
            <w:vMerge/>
            <w:tcBorders>
              <w:left w:val="single" w:sz="4" w:space="0" w:color="auto"/>
              <w:bottom w:val="single" w:sz="4" w:space="0" w:color="auto"/>
              <w:right w:val="single" w:sz="4" w:space="0" w:color="auto"/>
            </w:tcBorders>
            <w:vAlign w:val="center"/>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tcPr>
          <w:p w:rsidR="00812DCC" w:rsidRPr="0080791F" w:rsidRDefault="00812DCC" w:rsidP="00812DCC">
            <w:pPr>
              <w:spacing w:after="0" w:line="240" w:lineRule="auto"/>
            </w:pPr>
            <w:r>
              <w:t xml:space="preserve">1.2.10.b Number of countries with UNCDF </w:t>
            </w:r>
            <w:r>
              <w:rPr>
                <w:b/>
              </w:rPr>
              <w:t>P</w:t>
            </w:r>
            <w:r w:rsidRPr="0071654F">
              <w:rPr>
                <w:b/>
              </w:rPr>
              <w:t>roject</w:t>
            </w:r>
            <w:r>
              <w:t xml:space="preserve"> presence</w:t>
            </w:r>
          </w:p>
        </w:tc>
        <w:tc>
          <w:tcPr>
            <w:tcW w:w="1265" w:type="dxa"/>
            <w:tcBorders>
              <w:top w:val="nil"/>
              <w:left w:val="nil"/>
              <w:bottom w:val="single" w:sz="4" w:space="0" w:color="auto"/>
              <w:right w:val="single" w:sz="4" w:space="0" w:color="auto"/>
            </w:tcBorders>
            <w:shd w:val="clear" w:color="auto" w:fill="auto"/>
          </w:tcPr>
          <w:p w:rsidR="00812DCC" w:rsidRDefault="00812DCC" w:rsidP="00812DCC">
            <w:pPr>
              <w:spacing w:after="0" w:line="240" w:lineRule="auto"/>
              <w:jc w:val="right"/>
              <w:rPr>
                <w:rFonts w:eastAsia="Times New Roman"/>
                <w:color w:val="000000"/>
              </w:rPr>
            </w:pPr>
            <w:r>
              <w:rPr>
                <w:rFonts w:eastAsia="Times New Roman"/>
                <w:color w:val="000000"/>
              </w:rPr>
              <w:t>6 (FI);</w:t>
            </w:r>
          </w:p>
          <w:p w:rsidR="00812DCC" w:rsidRPr="00C206C9" w:rsidRDefault="00812DCC" w:rsidP="00812DCC">
            <w:pPr>
              <w:spacing w:after="0" w:line="240" w:lineRule="auto"/>
              <w:jc w:val="right"/>
              <w:rPr>
                <w:rFonts w:eastAsia="Times New Roman"/>
                <w:color w:val="000000"/>
              </w:rPr>
            </w:pPr>
            <w:r>
              <w:rPr>
                <w:rFonts w:eastAsia="Times New Roman"/>
                <w:color w:val="000000"/>
              </w:rPr>
              <w:t>2 (LD)</w:t>
            </w:r>
          </w:p>
        </w:tc>
        <w:tc>
          <w:tcPr>
            <w:tcW w:w="144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32 (FI);</w:t>
            </w:r>
          </w:p>
          <w:p w:rsidR="00812DCC" w:rsidRDefault="00812DCC" w:rsidP="00812DCC">
            <w:pPr>
              <w:spacing w:after="0" w:line="240" w:lineRule="auto"/>
              <w:jc w:val="right"/>
              <w:rPr>
                <w:rFonts w:eastAsia="Times New Roman"/>
                <w:color w:val="000000"/>
              </w:rPr>
            </w:pPr>
            <w:r>
              <w:rPr>
                <w:rFonts w:eastAsia="Times New Roman"/>
                <w:color w:val="000000"/>
              </w:rPr>
              <w:t>13 (LD)</w:t>
            </w:r>
          </w:p>
        </w:tc>
        <w:tc>
          <w:tcPr>
            <w:tcW w:w="1350" w:type="dxa"/>
            <w:tcBorders>
              <w:top w:val="nil"/>
              <w:left w:val="nil"/>
              <w:bottom w:val="single" w:sz="4" w:space="0" w:color="auto"/>
              <w:right w:val="single" w:sz="4" w:space="0" w:color="auto"/>
            </w:tcBorders>
            <w:shd w:val="clear" w:color="auto" w:fill="FFFFFF"/>
          </w:tcPr>
          <w:p w:rsidR="003E29FB" w:rsidRPr="00E2587A" w:rsidRDefault="003E29FB" w:rsidP="00666855">
            <w:pPr>
              <w:spacing w:after="0" w:line="240" w:lineRule="auto"/>
              <w:jc w:val="right"/>
              <w:rPr>
                <w:rFonts w:eastAsia="Times New Roman"/>
                <w:color w:val="000000"/>
              </w:rPr>
            </w:pPr>
            <w:r w:rsidRPr="00E2587A">
              <w:rPr>
                <w:rFonts w:eastAsia="Times New Roman"/>
                <w:color w:val="000000"/>
              </w:rPr>
              <w:t>30 (FI);</w:t>
            </w:r>
          </w:p>
          <w:p w:rsidR="003E29FB" w:rsidRPr="00E2587A" w:rsidRDefault="003E29FB" w:rsidP="00666855">
            <w:pPr>
              <w:spacing w:after="0" w:line="240" w:lineRule="auto"/>
              <w:jc w:val="right"/>
              <w:rPr>
                <w:rFonts w:eastAsia="Times New Roman"/>
                <w:color w:val="000000"/>
              </w:rPr>
            </w:pPr>
            <w:r w:rsidRPr="00E2587A">
              <w:rPr>
                <w:rFonts w:eastAsia="Times New Roman"/>
                <w:color w:val="000000"/>
              </w:rPr>
              <w:t>19 (LD)</w:t>
            </w:r>
          </w:p>
        </w:tc>
        <w:tc>
          <w:tcPr>
            <w:tcW w:w="1392" w:type="dxa"/>
            <w:tcBorders>
              <w:top w:val="nil"/>
              <w:left w:val="nil"/>
              <w:bottom w:val="single" w:sz="4" w:space="0" w:color="auto"/>
              <w:right w:val="single" w:sz="4" w:space="0" w:color="auto"/>
            </w:tcBorders>
            <w:shd w:val="clear" w:color="auto" w:fill="FFFFFF"/>
          </w:tcPr>
          <w:p w:rsidR="00812DCC" w:rsidRDefault="00812DCC" w:rsidP="00812DCC">
            <w:pPr>
              <w:spacing w:after="0" w:line="240" w:lineRule="auto"/>
              <w:jc w:val="right"/>
              <w:rPr>
                <w:rFonts w:eastAsia="Times New Roman"/>
                <w:color w:val="000000"/>
              </w:rPr>
            </w:pPr>
            <w:r>
              <w:rPr>
                <w:rFonts w:eastAsia="Times New Roman"/>
                <w:color w:val="000000"/>
              </w:rPr>
              <w:t>21 (FI);</w:t>
            </w:r>
          </w:p>
          <w:p w:rsidR="00812DCC" w:rsidRPr="00C206C9" w:rsidRDefault="00812DCC" w:rsidP="00812DCC">
            <w:pPr>
              <w:spacing w:after="0" w:line="240" w:lineRule="auto"/>
              <w:jc w:val="right"/>
              <w:rPr>
                <w:rFonts w:eastAsia="Times New Roman"/>
                <w:color w:val="000000"/>
              </w:rPr>
            </w:pPr>
            <w:r>
              <w:rPr>
                <w:rFonts w:eastAsia="Times New Roman"/>
                <w:color w:val="000000"/>
              </w:rPr>
              <w:t>11 (LD)</w:t>
            </w:r>
          </w:p>
        </w:tc>
        <w:tc>
          <w:tcPr>
            <w:tcW w:w="1758" w:type="dxa"/>
            <w:tcBorders>
              <w:top w:val="nil"/>
              <w:left w:val="nil"/>
              <w:bottom w:val="single" w:sz="4" w:space="0" w:color="auto"/>
              <w:right w:val="single" w:sz="4" w:space="0" w:color="auto"/>
            </w:tcBorders>
            <w:shd w:val="clear" w:color="auto" w:fill="E2EFD9"/>
          </w:tcPr>
          <w:p w:rsidR="00812DCC" w:rsidRPr="00C206C9" w:rsidRDefault="006428FD" w:rsidP="003E29FB">
            <w:pPr>
              <w:spacing w:after="0" w:line="240" w:lineRule="auto"/>
              <w:jc w:val="right"/>
              <w:rPr>
                <w:rFonts w:eastAsia="Times New Roman"/>
                <w:color w:val="000000"/>
              </w:rPr>
            </w:pPr>
            <w:r>
              <w:rPr>
                <w:rFonts w:eastAsia="Times New Roman"/>
                <w:color w:val="000000"/>
              </w:rPr>
              <w:t>Achieved</w:t>
            </w:r>
          </w:p>
        </w:tc>
      </w:tr>
      <w:tr w:rsidR="00812DCC" w:rsidRPr="00C27294" w:rsidTr="003B6170">
        <w:trPr>
          <w:trHeight w:val="1430"/>
        </w:trPr>
        <w:tc>
          <w:tcPr>
            <w:tcW w:w="1948" w:type="dxa"/>
            <w:vMerge w:val="restart"/>
            <w:tcBorders>
              <w:top w:val="nil"/>
              <w:left w:val="single" w:sz="4" w:space="0" w:color="auto"/>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b/>
                <w:bCs/>
                <w:color w:val="000000"/>
              </w:rPr>
            </w:pPr>
            <w:r w:rsidRPr="00AC5424">
              <w:rPr>
                <w:rFonts w:eastAsia="Times New Roman"/>
                <w:b/>
                <w:bCs/>
                <w:color w:val="000000"/>
              </w:rPr>
              <w:t xml:space="preserve">Output 1.3 </w:t>
            </w:r>
            <w:proofErr w:type="gramStart"/>
            <w:r w:rsidRPr="00AC5424">
              <w:rPr>
                <w:rFonts w:eastAsia="Times New Roman"/>
                <w:color w:val="000000"/>
              </w:rPr>
              <w:t>Strengthened  human</w:t>
            </w:r>
            <w:proofErr w:type="gramEnd"/>
            <w:r w:rsidRPr="00AC5424">
              <w:rPr>
                <w:rFonts w:eastAsia="Times New Roman"/>
                <w:color w:val="000000"/>
              </w:rPr>
              <w:t xml:space="preserve"> resource management to attract, develop and retain a diversified and productive workforce</w:t>
            </w:r>
          </w:p>
        </w:tc>
        <w:tc>
          <w:tcPr>
            <w:tcW w:w="283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rPr>
                <w:rFonts w:eastAsia="Times New Roman"/>
              </w:rPr>
              <w:t>1.3.1 Percentage of staff who are female at all levels</w:t>
            </w:r>
          </w:p>
        </w:tc>
        <w:tc>
          <w:tcPr>
            <w:tcW w:w="1265" w:type="dxa"/>
            <w:tcBorders>
              <w:top w:val="nil"/>
              <w:left w:val="nil"/>
              <w:bottom w:val="single" w:sz="4" w:space="0" w:color="auto"/>
              <w:right w:val="single" w:sz="4" w:space="0" w:color="auto"/>
            </w:tcBorders>
            <w:shd w:val="clear" w:color="auto" w:fill="auto"/>
            <w:hideMark/>
          </w:tcPr>
          <w:p w:rsidR="00812DCC" w:rsidRPr="00AC5424" w:rsidRDefault="00705F2C" w:rsidP="00812DCC">
            <w:pPr>
              <w:spacing w:after="0" w:line="240" w:lineRule="auto"/>
              <w:jc w:val="right"/>
              <w:rPr>
                <w:rFonts w:eastAsia="Times New Roman"/>
                <w:color w:val="000000"/>
              </w:rPr>
            </w:pPr>
            <w:r>
              <w:rPr>
                <w:rFonts w:eastAsia="Times New Roman"/>
                <w:color w:val="000000"/>
              </w:rPr>
              <w:t>46</w:t>
            </w:r>
            <w:r w:rsidR="00812DCC" w:rsidRPr="00AC5424">
              <w:rPr>
                <w:rFonts w:eastAsia="Times New Roman"/>
                <w:color w:val="000000"/>
              </w:rPr>
              <w:t>%</w:t>
            </w:r>
          </w:p>
        </w:tc>
        <w:tc>
          <w:tcPr>
            <w:tcW w:w="144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45%</w:t>
            </w:r>
          </w:p>
        </w:tc>
        <w:tc>
          <w:tcPr>
            <w:tcW w:w="126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49%</w:t>
            </w:r>
          </w:p>
        </w:tc>
        <w:tc>
          <w:tcPr>
            <w:tcW w:w="1260"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45%</w:t>
            </w:r>
          </w:p>
        </w:tc>
        <w:tc>
          <w:tcPr>
            <w:tcW w:w="1350" w:type="dxa"/>
            <w:tcBorders>
              <w:top w:val="nil"/>
              <w:left w:val="nil"/>
              <w:bottom w:val="single" w:sz="4" w:space="0" w:color="auto"/>
              <w:right w:val="single" w:sz="4" w:space="0" w:color="auto"/>
            </w:tcBorders>
            <w:shd w:val="clear" w:color="auto" w:fill="FFFFFF"/>
          </w:tcPr>
          <w:p w:rsidR="00812DCC" w:rsidRPr="00666855" w:rsidRDefault="00705F2C" w:rsidP="00666855">
            <w:pPr>
              <w:spacing w:after="0" w:line="240" w:lineRule="auto"/>
              <w:jc w:val="right"/>
              <w:rPr>
                <w:rFonts w:eastAsia="Times New Roman"/>
              </w:rPr>
            </w:pPr>
            <w:r w:rsidRPr="00666855">
              <w:rPr>
                <w:rFonts w:eastAsia="Times New Roman"/>
              </w:rPr>
              <w:t>46%</w:t>
            </w:r>
          </w:p>
        </w:tc>
        <w:tc>
          <w:tcPr>
            <w:tcW w:w="1392"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50%</w:t>
            </w:r>
          </w:p>
        </w:tc>
        <w:tc>
          <w:tcPr>
            <w:tcW w:w="1758" w:type="dxa"/>
            <w:tcBorders>
              <w:top w:val="nil"/>
              <w:left w:val="nil"/>
              <w:bottom w:val="single" w:sz="4" w:space="0" w:color="auto"/>
              <w:right w:val="single" w:sz="4" w:space="0" w:color="auto"/>
            </w:tcBorders>
            <w:shd w:val="clear" w:color="auto" w:fill="E2EFD9"/>
          </w:tcPr>
          <w:p w:rsidR="00812DCC" w:rsidRPr="00AC5424" w:rsidRDefault="00ED4246" w:rsidP="00812DCC">
            <w:pPr>
              <w:spacing w:after="0" w:line="240" w:lineRule="auto"/>
              <w:jc w:val="right"/>
              <w:rPr>
                <w:rFonts w:eastAsia="Times New Roman"/>
                <w:color w:val="000000"/>
              </w:rPr>
            </w:pPr>
            <w:r>
              <w:rPr>
                <w:rFonts w:eastAsia="Times New Roman"/>
                <w:color w:val="000000"/>
              </w:rPr>
              <w:t>92%</w:t>
            </w:r>
          </w:p>
        </w:tc>
      </w:tr>
      <w:tr w:rsidR="00812DCC" w:rsidRPr="00C27294" w:rsidTr="003B6170">
        <w:trPr>
          <w:trHeight w:val="1070"/>
        </w:trPr>
        <w:tc>
          <w:tcPr>
            <w:tcW w:w="1948" w:type="dxa"/>
            <w:vMerge/>
            <w:tcBorders>
              <w:top w:val="nil"/>
              <w:left w:val="single" w:sz="4" w:space="0" w:color="auto"/>
              <w:bottom w:val="single" w:sz="4" w:space="0" w:color="auto"/>
              <w:right w:val="single" w:sz="4" w:space="0" w:color="auto"/>
            </w:tcBorders>
            <w:shd w:val="clear" w:color="auto" w:fill="auto"/>
            <w:vAlign w:val="center"/>
            <w:hideMark/>
          </w:tcPr>
          <w:p w:rsidR="00812DCC" w:rsidRPr="00AC5424"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rPr>
                <w:rFonts w:eastAsia="Times New Roman"/>
              </w:rPr>
            </w:pPr>
            <w:r w:rsidRPr="00AC5424">
              <w:rPr>
                <w:rFonts w:eastAsia="Times New Roman"/>
              </w:rPr>
              <w:t>1.3.2 Percentage of staff who are female at P5 and above</w:t>
            </w:r>
          </w:p>
        </w:tc>
        <w:tc>
          <w:tcPr>
            <w:tcW w:w="1265" w:type="dxa"/>
            <w:tcBorders>
              <w:top w:val="nil"/>
              <w:left w:val="nil"/>
              <w:bottom w:val="single" w:sz="4" w:space="0" w:color="auto"/>
              <w:right w:val="single" w:sz="4" w:space="0" w:color="auto"/>
            </w:tcBorders>
            <w:shd w:val="clear" w:color="auto" w:fill="auto"/>
            <w:hideMark/>
          </w:tcPr>
          <w:p w:rsidR="00812DCC" w:rsidRPr="00AC5424" w:rsidRDefault="00705F2C" w:rsidP="00812DCC">
            <w:pPr>
              <w:spacing w:after="0" w:line="240" w:lineRule="auto"/>
              <w:jc w:val="right"/>
              <w:rPr>
                <w:rFonts w:eastAsia="Times New Roman"/>
                <w:color w:val="000000"/>
              </w:rPr>
            </w:pPr>
            <w:r>
              <w:rPr>
                <w:rFonts w:eastAsia="Times New Roman"/>
                <w:color w:val="000000"/>
              </w:rPr>
              <w:t>32</w:t>
            </w:r>
            <w:r w:rsidR="00812DCC" w:rsidRPr="00AC5424">
              <w:rPr>
                <w:rFonts w:eastAsia="Times New Roman"/>
                <w:color w:val="000000"/>
              </w:rPr>
              <w:t>%</w:t>
            </w:r>
          </w:p>
        </w:tc>
        <w:tc>
          <w:tcPr>
            <w:tcW w:w="144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30%</w:t>
            </w:r>
          </w:p>
        </w:tc>
        <w:tc>
          <w:tcPr>
            <w:tcW w:w="1260" w:type="dxa"/>
            <w:tcBorders>
              <w:top w:val="nil"/>
              <w:left w:val="nil"/>
              <w:bottom w:val="single" w:sz="4" w:space="0" w:color="auto"/>
              <w:right w:val="single" w:sz="4" w:space="0" w:color="auto"/>
            </w:tcBorders>
            <w:shd w:val="clear" w:color="auto" w:fill="auto"/>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36%</w:t>
            </w:r>
          </w:p>
        </w:tc>
        <w:tc>
          <w:tcPr>
            <w:tcW w:w="1260"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33%</w:t>
            </w:r>
          </w:p>
        </w:tc>
        <w:tc>
          <w:tcPr>
            <w:tcW w:w="1350" w:type="dxa"/>
            <w:tcBorders>
              <w:top w:val="nil"/>
              <w:left w:val="nil"/>
              <w:bottom w:val="single" w:sz="4" w:space="0" w:color="auto"/>
              <w:right w:val="single" w:sz="4" w:space="0" w:color="auto"/>
            </w:tcBorders>
            <w:shd w:val="clear" w:color="auto" w:fill="FFFFFF"/>
          </w:tcPr>
          <w:p w:rsidR="00812DCC" w:rsidRPr="00666855" w:rsidRDefault="00705F2C" w:rsidP="00666855">
            <w:pPr>
              <w:spacing w:after="0" w:line="240" w:lineRule="auto"/>
              <w:jc w:val="right"/>
              <w:rPr>
                <w:rFonts w:eastAsia="Times New Roman"/>
              </w:rPr>
            </w:pPr>
            <w:r w:rsidRPr="00666855">
              <w:rPr>
                <w:rFonts w:eastAsia="Times New Roman"/>
              </w:rPr>
              <w:t>37%</w:t>
            </w:r>
          </w:p>
        </w:tc>
        <w:tc>
          <w:tcPr>
            <w:tcW w:w="1392" w:type="dxa"/>
            <w:tcBorders>
              <w:top w:val="nil"/>
              <w:left w:val="nil"/>
              <w:bottom w:val="single" w:sz="4" w:space="0" w:color="auto"/>
              <w:right w:val="single" w:sz="4" w:space="0" w:color="auto"/>
            </w:tcBorders>
            <w:shd w:val="clear" w:color="auto" w:fill="FFFFFF"/>
            <w:hideMark/>
          </w:tcPr>
          <w:p w:rsidR="00812DCC" w:rsidRPr="00AC5424" w:rsidRDefault="00812DCC" w:rsidP="00812DCC">
            <w:pPr>
              <w:spacing w:after="0" w:line="240" w:lineRule="auto"/>
              <w:jc w:val="right"/>
              <w:rPr>
                <w:rFonts w:eastAsia="Times New Roman"/>
                <w:color w:val="000000"/>
              </w:rPr>
            </w:pPr>
            <w:r w:rsidRPr="00AC5424">
              <w:rPr>
                <w:rFonts w:eastAsia="Times New Roman"/>
                <w:color w:val="000000"/>
              </w:rPr>
              <w:t>50%</w:t>
            </w:r>
          </w:p>
        </w:tc>
        <w:tc>
          <w:tcPr>
            <w:tcW w:w="1758" w:type="dxa"/>
            <w:tcBorders>
              <w:top w:val="nil"/>
              <w:left w:val="nil"/>
              <w:bottom w:val="single" w:sz="4" w:space="0" w:color="auto"/>
              <w:right w:val="single" w:sz="4" w:space="0" w:color="auto"/>
            </w:tcBorders>
            <w:shd w:val="clear" w:color="auto" w:fill="FFF2CC"/>
          </w:tcPr>
          <w:p w:rsidR="00812DCC" w:rsidRPr="00AC5424" w:rsidRDefault="0085681C" w:rsidP="00812DCC">
            <w:pPr>
              <w:spacing w:after="0" w:line="240" w:lineRule="auto"/>
              <w:jc w:val="right"/>
              <w:rPr>
                <w:rFonts w:eastAsia="Times New Roman"/>
                <w:color w:val="000000"/>
              </w:rPr>
            </w:pPr>
            <w:r>
              <w:rPr>
                <w:rFonts w:eastAsia="Times New Roman"/>
                <w:color w:val="000000"/>
              </w:rPr>
              <w:t>74%</w:t>
            </w:r>
          </w:p>
        </w:tc>
      </w:tr>
      <w:tr w:rsidR="00812DCC" w:rsidRPr="00C27294" w:rsidTr="003B6170">
        <w:trPr>
          <w:trHeight w:val="915"/>
        </w:trPr>
        <w:tc>
          <w:tcPr>
            <w:tcW w:w="1948" w:type="dxa"/>
            <w:vMerge w:val="restart"/>
            <w:tcBorders>
              <w:top w:val="nil"/>
              <w:left w:val="single" w:sz="4" w:space="0" w:color="auto"/>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b/>
                <w:bCs/>
                <w:color w:val="000000"/>
              </w:rPr>
            </w:pPr>
            <w:r w:rsidRPr="00C206C9">
              <w:rPr>
                <w:rFonts w:eastAsia="Times New Roman"/>
                <w:b/>
                <w:bCs/>
                <w:color w:val="000000"/>
              </w:rPr>
              <w:t xml:space="preserve">Output 1.4 </w:t>
            </w:r>
            <w:r w:rsidRPr="00C206C9">
              <w:rPr>
                <w:rFonts w:eastAsia="Times New Roman"/>
                <w:color w:val="000000"/>
              </w:rPr>
              <w:t xml:space="preserve">Improved perception of </w:t>
            </w:r>
            <w:proofErr w:type="gramStart"/>
            <w:r w:rsidRPr="00C206C9">
              <w:rPr>
                <w:rFonts w:eastAsia="Times New Roman"/>
                <w:color w:val="000000"/>
              </w:rPr>
              <w:t>staff  working</w:t>
            </w:r>
            <w:proofErr w:type="gramEnd"/>
            <w:r w:rsidRPr="00C206C9">
              <w:rPr>
                <w:rFonts w:eastAsia="Times New Roman"/>
                <w:color w:val="000000"/>
              </w:rPr>
              <w:t xml:space="preserve"> in UNCDF</w:t>
            </w: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1.4.1 Percentage of staff surveyed who expressed confidence in leadership and direction</w:t>
            </w:r>
          </w:p>
        </w:tc>
        <w:tc>
          <w:tcPr>
            <w:tcW w:w="126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70%</w:t>
            </w:r>
          </w:p>
        </w:tc>
        <w:tc>
          <w:tcPr>
            <w:tcW w:w="144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63</w:t>
            </w:r>
            <w:r w:rsidRPr="00C206C9">
              <w:rPr>
                <w:rFonts w:eastAsia="Times New Roman"/>
                <w:color w:val="000000"/>
              </w:rPr>
              <w:t>%</w:t>
            </w:r>
          </w:p>
        </w:tc>
        <w:tc>
          <w:tcPr>
            <w:tcW w:w="126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58%</w:t>
            </w:r>
          </w:p>
        </w:tc>
        <w:tc>
          <w:tcPr>
            <w:tcW w:w="1350" w:type="dxa"/>
            <w:tcBorders>
              <w:top w:val="nil"/>
              <w:left w:val="nil"/>
              <w:bottom w:val="single" w:sz="4" w:space="0" w:color="auto"/>
              <w:right w:val="single" w:sz="4" w:space="0" w:color="auto"/>
            </w:tcBorders>
            <w:shd w:val="clear" w:color="auto" w:fill="FFFFFF"/>
          </w:tcPr>
          <w:p w:rsidR="00812DCC" w:rsidRPr="00666855" w:rsidRDefault="00705F2C" w:rsidP="00666855">
            <w:pPr>
              <w:spacing w:after="0" w:line="240" w:lineRule="auto"/>
              <w:jc w:val="right"/>
              <w:rPr>
                <w:rFonts w:eastAsia="Times New Roman"/>
              </w:rPr>
            </w:pPr>
            <w:r w:rsidRPr="00666855">
              <w:rPr>
                <w:rFonts w:eastAsia="Times New Roman"/>
              </w:rPr>
              <w:t>NA</w:t>
            </w:r>
            <w:r w:rsidR="005B0373" w:rsidRPr="00666855">
              <w:rPr>
                <w:rStyle w:val="FootnoteReference"/>
                <w:rFonts w:eastAsia="Times New Roman"/>
              </w:rPr>
              <w:footnoteReference w:id="16"/>
            </w:r>
          </w:p>
        </w:tc>
        <w:tc>
          <w:tcPr>
            <w:tcW w:w="1392"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7</w:t>
            </w:r>
            <w:r w:rsidRPr="00C206C9">
              <w:rPr>
                <w:rFonts w:eastAsia="Times New Roman"/>
                <w:color w:val="000000"/>
              </w:rPr>
              <w:t>5%</w:t>
            </w:r>
          </w:p>
        </w:tc>
        <w:tc>
          <w:tcPr>
            <w:tcW w:w="1758" w:type="dxa"/>
            <w:tcBorders>
              <w:top w:val="nil"/>
              <w:left w:val="nil"/>
              <w:bottom w:val="single" w:sz="4" w:space="0" w:color="auto"/>
              <w:right w:val="single" w:sz="4" w:space="0" w:color="auto"/>
            </w:tcBorders>
            <w:shd w:val="clear" w:color="auto" w:fill="E2EFD9"/>
          </w:tcPr>
          <w:p w:rsidR="00812DCC" w:rsidRPr="00C206C9" w:rsidRDefault="00487881" w:rsidP="00812DCC">
            <w:pPr>
              <w:spacing w:after="0" w:line="240" w:lineRule="auto"/>
              <w:jc w:val="right"/>
              <w:rPr>
                <w:rFonts w:eastAsia="Times New Roman"/>
                <w:color w:val="000000"/>
              </w:rPr>
            </w:pPr>
            <w:r>
              <w:rPr>
                <w:rFonts w:eastAsia="Times New Roman"/>
                <w:color w:val="000000"/>
              </w:rPr>
              <w:t>77%</w:t>
            </w:r>
          </w:p>
        </w:tc>
      </w:tr>
      <w:tr w:rsidR="00812DCC" w:rsidRPr="00C27294" w:rsidTr="003B6170">
        <w:trPr>
          <w:trHeight w:val="915"/>
        </w:trPr>
        <w:tc>
          <w:tcPr>
            <w:tcW w:w="1948" w:type="dxa"/>
            <w:vMerge/>
            <w:tcBorders>
              <w:top w:val="nil"/>
              <w:left w:val="single" w:sz="4" w:space="0" w:color="auto"/>
              <w:bottom w:val="single" w:sz="4" w:space="0" w:color="auto"/>
              <w:right w:val="single" w:sz="4" w:space="0" w:color="auto"/>
            </w:tcBorders>
            <w:shd w:val="clear" w:color="auto" w:fill="auto"/>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1.4.2 Percentage of staff surveyed who rate UNCDF favorably on empowerment</w:t>
            </w:r>
          </w:p>
        </w:tc>
        <w:tc>
          <w:tcPr>
            <w:tcW w:w="126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66%</w:t>
            </w:r>
          </w:p>
        </w:tc>
        <w:tc>
          <w:tcPr>
            <w:tcW w:w="144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55</w:t>
            </w:r>
            <w:r w:rsidRPr="00C206C9">
              <w:rPr>
                <w:rFonts w:eastAsia="Times New Roman"/>
                <w:color w:val="000000"/>
              </w:rPr>
              <w:t>%</w:t>
            </w:r>
          </w:p>
        </w:tc>
        <w:tc>
          <w:tcPr>
            <w:tcW w:w="126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54%</w:t>
            </w:r>
          </w:p>
        </w:tc>
        <w:tc>
          <w:tcPr>
            <w:tcW w:w="1350" w:type="dxa"/>
            <w:tcBorders>
              <w:top w:val="nil"/>
              <w:left w:val="nil"/>
              <w:bottom w:val="single" w:sz="4" w:space="0" w:color="auto"/>
              <w:right w:val="single" w:sz="4" w:space="0" w:color="auto"/>
            </w:tcBorders>
            <w:shd w:val="clear" w:color="auto" w:fill="FFFFFF"/>
          </w:tcPr>
          <w:p w:rsidR="00812DCC" w:rsidRPr="00666855" w:rsidRDefault="00705F2C" w:rsidP="00666855">
            <w:pPr>
              <w:spacing w:after="0" w:line="240" w:lineRule="auto"/>
              <w:jc w:val="right"/>
              <w:rPr>
                <w:rFonts w:eastAsia="Times New Roman"/>
              </w:rPr>
            </w:pPr>
            <w:r w:rsidRPr="00666855">
              <w:rPr>
                <w:rFonts w:eastAsia="Times New Roman"/>
              </w:rPr>
              <w:t>NA</w:t>
            </w:r>
            <w:r w:rsidR="006B2F09">
              <w:rPr>
                <w:rStyle w:val="FootnoteReference"/>
                <w:rFonts w:eastAsia="Times New Roman"/>
              </w:rPr>
              <w:footnoteReference w:id="17"/>
            </w:r>
          </w:p>
        </w:tc>
        <w:tc>
          <w:tcPr>
            <w:tcW w:w="1392"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75%</w:t>
            </w:r>
          </w:p>
        </w:tc>
        <w:tc>
          <w:tcPr>
            <w:tcW w:w="1758" w:type="dxa"/>
            <w:tcBorders>
              <w:top w:val="nil"/>
              <w:left w:val="nil"/>
              <w:bottom w:val="single" w:sz="4" w:space="0" w:color="auto"/>
              <w:right w:val="single" w:sz="4" w:space="0" w:color="auto"/>
            </w:tcBorders>
            <w:shd w:val="clear" w:color="auto" w:fill="FFF2CC"/>
          </w:tcPr>
          <w:p w:rsidR="00812DCC" w:rsidRPr="00C206C9" w:rsidRDefault="00487881" w:rsidP="00812DCC">
            <w:pPr>
              <w:spacing w:after="0" w:line="240" w:lineRule="auto"/>
              <w:jc w:val="right"/>
              <w:rPr>
                <w:rFonts w:eastAsia="Times New Roman"/>
                <w:color w:val="000000"/>
              </w:rPr>
            </w:pPr>
            <w:r>
              <w:rPr>
                <w:rFonts w:eastAsia="Times New Roman"/>
                <w:color w:val="000000"/>
              </w:rPr>
              <w:t>72%</w:t>
            </w:r>
          </w:p>
        </w:tc>
      </w:tr>
      <w:tr w:rsidR="00812DCC" w:rsidRPr="00C27294" w:rsidTr="003B6170">
        <w:trPr>
          <w:trHeight w:val="915"/>
        </w:trPr>
        <w:tc>
          <w:tcPr>
            <w:tcW w:w="1948" w:type="dxa"/>
            <w:vMerge/>
            <w:tcBorders>
              <w:top w:val="nil"/>
              <w:left w:val="single" w:sz="4" w:space="0" w:color="auto"/>
              <w:bottom w:val="single" w:sz="4" w:space="0" w:color="auto"/>
              <w:right w:val="single" w:sz="4" w:space="0" w:color="auto"/>
            </w:tcBorders>
            <w:shd w:val="clear" w:color="auto" w:fill="auto"/>
            <w:vAlign w:val="center"/>
            <w:hideMark/>
          </w:tcPr>
          <w:p w:rsidR="00812DCC" w:rsidRPr="00C206C9" w:rsidRDefault="00812DCC" w:rsidP="00812DCC">
            <w:pPr>
              <w:spacing w:after="0" w:line="240" w:lineRule="auto"/>
              <w:rPr>
                <w:rFonts w:eastAsia="Times New Roman"/>
                <w:b/>
                <w:bCs/>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1.4.3 Percentage of staff surveyed who rate UNCDF favorably on engagement</w:t>
            </w:r>
          </w:p>
        </w:tc>
        <w:tc>
          <w:tcPr>
            <w:tcW w:w="126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67%</w:t>
            </w:r>
          </w:p>
        </w:tc>
        <w:tc>
          <w:tcPr>
            <w:tcW w:w="144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69</w:t>
            </w:r>
            <w:r w:rsidRPr="00C206C9">
              <w:rPr>
                <w:rFonts w:eastAsia="Times New Roman"/>
                <w:color w:val="000000"/>
              </w:rPr>
              <w:t>%</w:t>
            </w:r>
          </w:p>
        </w:tc>
        <w:tc>
          <w:tcPr>
            <w:tcW w:w="1260"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NA</w:t>
            </w:r>
          </w:p>
        </w:tc>
        <w:tc>
          <w:tcPr>
            <w:tcW w:w="1260"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Pr>
                <w:rFonts w:eastAsia="Times New Roman"/>
                <w:color w:val="000000"/>
              </w:rPr>
              <w:t>64%</w:t>
            </w:r>
          </w:p>
        </w:tc>
        <w:tc>
          <w:tcPr>
            <w:tcW w:w="1350" w:type="dxa"/>
            <w:tcBorders>
              <w:top w:val="nil"/>
              <w:left w:val="nil"/>
              <w:bottom w:val="single" w:sz="4" w:space="0" w:color="auto"/>
              <w:right w:val="single" w:sz="4" w:space="0" w:color="auto"/>
            </w:tcBorders>
            <w:shd w:val="clear" w:color="auto" w:fill="FFFFFF"/>
          </w:tcPr>
          <w:p w:rsidR="00812DCC" w:rsidRPr="00666855" w:rsidRDefault="00705F2C" w:rsidP="00666855">
            <w:pPr>
              <w:spacing w:after="0" w:line="240" w:lineRule="auto"/>
              <w:jc w:val="right"/>
              <w:rPr>
                <w:rFonts w:eastAsia="Times New Roman"/>
              </w:rPr>
            </w:pPr>
            <w:r w:rsidRPr="00666855">
              <w:rPr>
                <w:rFonts w:eastAsia="Times New Roman"/>
              </w:rPr>
              <w:t>NA</w:t>
            </w:r>
            <w:r w:rsidR="006B2F09">
              <w:rPr>
                <w:rStyle w:val="FootnoteReference"/>
                <w:rFonts w:eastAsia="Times New Roman"/>
              </w:rPr>
              <w:footnoteReference w:id="18"/>
            </w:r>
          </w:p>
        </w:tc>
        <w:tc>
          <w:tcPr>
            <w:tcW w:w="1392" w:type="dxa"/>
            <w:tcBorders>
              <w:top w:val="nil"/>
              <w:left w:val="nil"/>
              <w:bottom w:val="single" w:sz="4" w:space="0" w:color="auto"/>
              <w:right w:val="single" w:sz="4" w:space="0" w:color="auto"/>
            </w:tcBorders>
            <w:shd w:val="clear" w:color="auto" w:fill="FFFFFF"/>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75%</w:t>
            </w:r>
          </w:p>
        </w:tc>
        <w:tc>
          <w:tcPr>
            <w:tcW w:w="1758" w:type="dxa"/>
            <w:tcBorders>
              <w:top w:val="nil"/>
              <w:left w:val="nil"/>
              <w:bottom w:val="single" w:sz="4" w:space="0" w:color="auto"/>
              <w:right w:val="single" w:sz="4" w:space="0" w:color="auto"/>
            </w:tcBorders>
            <w:shd w:val="clear" w:color="auto" w:fill="E2EFD9"/>
          </w:tcPr>
          <w:p w:rsidR="00812DCC" w:rsidRPr="00C206C9" w:rsidRDefault="00012CDD" w:rsidP="00812DCC">
            <w:pPr>
              <w:spacing w:after="0" w:line="240" w:lineRule="auto"/>
              <w:jc w:val="right"/>
              <w:rPr>
                <w:rFonts w:eastAsia="Times New Roman"/>
                <w:color w:val="000000"/>
              </w:rPr>
            </w:pPr>
            <w:r>
              <w:rPr>
                <w:rFonts w:eastAsia="Times New Roman"/>
                <w:color w:val="000000"/>
              </w:rPr>
              <w:t>85%</w:t>
            </w:r>
          </w:p>
        </w:tc>
      </w:tr>
      <w:tr w:rsidR="00812DCC" w:rsidRPr="00C27294" w:rsidTr="003B6170">
        <w:trPr>
          <w:trHeight w:val="3690"/>
        </w:trPr>
        <w:tc>
          <w:tcPr>
            <w:tcW w:w="1948" w:type="dxa"/>
            <w:tcBorders>
              <w:top w:val="single" w:sz="4" w:space="0" w:color="auto"/>
              <w:left w:val="single" w:sz="4" w:space="0" w:color="auto"/>
              <w:bottom w:val="single" w:sz="4" w:space="0" w:color="auto"/>
              <w:right w:val="single" w:sz="4" w:space="0" w:color="auto"/>
            </w:tcBorders>
            <w:shd w:val="clear" w:color="000000" w:fill="FFFFFF"/>
            <w:hideMark/>
          </w:tcPr>
          <w:p w:rsidR="00812DCC" w:rsidRPr="00C206C9" w:rsidRDefault="00812DCC" w:rsidP="00812DCC">
            <w:pPr>
              <w:spacing w:after="0" w:line="240" w:lineRule="auto"/>
              <w:rPr>
                <w:rFonts w:eastAsia="Times New Roman"/>
                <w:color w:val="000000"/>
              </w:rPr>
            </w:pPr>
            <w:r w:rsidRPr="00C206C9">
              <w:rPr>
                <w:rFonts w:eastAsia="Times New Roman"/>
                <w:b/>
                <w:bCs/>
                <w:color w:val="000000"/>
              </w:rPr>
              <w:lastRenderedPageBreak/>
              <w:t>Output 1.5</w:t>
            </w:r>
            <w:r w:rsidRPr="00C206C9">
              <w:rPr>
                <w:rFonts w:eastAsia="Times New Roman"/>
                <w:color w:val="000000"/>
              </w:rPr>
              <w:t xml:space="preserve">     Stronger corporate positioning based on robust internal policies, rigorous analytical work, active engagement in multi-lateral processes (including post-</w:t>
            </w:r>
            <w:r>
              <w:rPr>
                <w:rFonts w:eastAsia="Times New Roman"/>
                <w:color w:val="000000"/>
              </w:rPr>
              <w:t xml:space="preserve">2015) and effective corporate knowledge management </w:t>
            </w:r>
          </w:p>
        </w:tc>
        <w:tc>
          <w:tcPr>
            <w:tcW w:w="2835" w:type="dxa"/>
            <w:tcBorders>
              <w:top w:val="single" w:sz="4" w:space="0" w:color="auto"/>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E65833">
              <w:rPr>
                <w:rFonts w:eastAsia="Times New Roman"/>
              </w:rPr>
              <w:t xml:space="preserve">1.5.1 Number of corporate or high-level initiatives (e.g., event, workshop) held </w:t>
            </w:r>
            <w:proofErr w:type="gramStart"/>
            <w:r w:rsidRPr="00E65833">
              <w:rPr>
                <w:rFonts w:eastAsia="Times New Roman"/>
              </w:rPr>
              <w:t>in order to</w:t>
            </w:r>
            <w:proofErr w:type="gramEnd"/>
            <w:r w:rsidRPr="00E65833">
              <w:rPr>
                <w:rFonts w:eastAsia="Times New Roman"/>
              </w:rPr>
              <w:t xml:space="preserve"> influence debate and policy on the basis of UNCDF investment mandate</w:t>
            </w:r>
          </w:p>
        </w:tc>
        <w:tc>
          <w:tcPr>
            <w:tcW w:w="1265" w:type="dxa"/>
            <w:tcBorders>
              <w:top w:val="single" w:sz="4" w:space="0" w:color="auto"/>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7</w:t>
            </w:r>
          </w:p>
        </w:tc>
        <w:tc>
          <w:tcPr>
            <w:tcW w:w="1440" w:type="dxa"/>
            <w:tcBorders>
              <w:top w:val="single" w:sz="4" w:space="0" w:color="auto"/>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14</w:t>
            </w:r>
          </w:p>
        </w:tc>
        <w:tc>
          <w:tcPr>
            <w:tcW w:w="1260" w:type="dxa"/>
            <w:tcBorders>
              <w:top w:val="single" w:sz="4" w:space="0" w:color="auto"/>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24</w:t>
            </w:r>
          </w:p>
        </w:tc>
        <w:tc>
          <w:tcPr>
            <w:tcW w:w="1260" w:type="dxa"/>
            <w:tcBorders>
              <w:top w:val="single" w:sz="4" w:space="0" w:color="auto"/>
              <w:left w:val="nil"/>
              <w:bottom w:val="single" w:sz="4" w:space="0" w:color="auto"/>
              <w:right w:val="single" w:sz="4" w:space="0" w:color="auto"/>
            </w:tcBorders>
            <w:shd w:val="clear" w:color="auto" w:fill="FFFFFF"/>
            <w:hideMark/>
          </w:tcPr>
          <w:p w:rsidR="00812DCC" w:rsidRPr="006C7E1A" w:rsidRDefault="00812DCC" w:rsidP="00812DCC">
            <w:pPr>
              <w:spacing w:after="0" w:line="240" w:lineRule="auto"/>
              <w:jc w:val="right"/>
              <w:rPr>
                <w:rFonts w:eastAsia="Times New Roman"/>
              </w:rPr>
            </w:pPr>
            <w:r w:rsidRPr="006C7E1A">
              <w:rPr>
                <w:rFonts w:eastAsia="Times New Roman"/>
              </w:rPr>
              <w:t>29</w:t>
            </w:r>
          </w:p>
        </w:tc>
        <w:tc>
          <w:tcPr>
            <w:tcW w:w="1350" w:type="dxa"/>
            <w:tcBorders>
              <w:top w:val="single" w:sz="4" w:space="0" w:color="auto"/>
              <w:left w:val="nil"/>
              <w:bottom w:val="single" w:sz="4" w:space="0" w:color="auto"/>
              <w:right w:val="single" w:sz="4" w:space="0" w:color="auto"/>
            </w:tcBorders>
            <w:shd w:val="clear" w:color="auto" w:fill="FFFFFF"/>
          </w:tcPr>
          <w:p w:rsidR="00012CDD" w:rsidRPr="004910A5" w:rsidRDefault="001812A9" w:rsidP="00666855">
            <w:pPr>
              <w:spacing w:after="0" w:line="240" w:lineRule="auto"/>
              <w:jc w:val="right"/>
              <w:rPr>
                <w:rFonts w:eastAsia="Times New Roman"/>
              </w:rPr>
            </w:pPr>
            <w:r w:rsidRPr="004910A5">
              <w:rPr>
                <w:rFonts w:eastAsia="Times New Roman"/>
              </w:rPr>
              <w:t>36</w:t>
            </w:r>
          </w:p>
        </w:tc>
        <w:tc>
          <w:tcPr>
            <w:tcW w:w="1392" w:type="dxa"/>
            <w:tcBorders>
              <w:top w:val="single" w:sz="4" w:space="0" w:color="auto"/>
              <w:left w:val="nil"/>
              <w:bottom w:val="single" w:sz="4" w:space="0" w:color="auto"/>
              <w:right w:val="single" w:sz="4" w:space="0" w:color="auto"/>
            </w:tcBorders>
            <w:shd w:val="clear" w:color="auto" w:fill="FFFFFF"/>
            <w:hideMark/>
          </w:tcPr>
          <w:p w:rsidR="00812DCC" w:rsidRPr="004910A5" w:rsidRDefault="00812DCC" w:rsidP="00812DCC">
            <w:pPr>
              <w:spacing w:after="0" w:line="240" w:lineRule="auto"/>
              <w:jc w:val="right"/>
              <w:rPr>
                <w:rFonts w:eastAsia="Times New Roman"/>
              </w:rPr>
            </w:pPr>
            <w:r w:rsidRPr="004910A5">
              <w:rPr>
                <w:rFonts w:eastAsia="Times New Roman"/>
              </w:rPr>
              <w:t>60</w:t>
            </w:r>
          </w:p>
        </w:tc>
        <w:tc>
          <w:tcPr>
            <w:tcW w:w="1758" w:type="dxa"/>
            <w:tcBorders>
              <w:top w:val="single" w:sz="4" w:space="0" w:color="auto"/>
              <w:left w:val="nil"/>
              <w:bottom w:val="single" w:sz="4" w:space="0" w:color="auto"/>
              <w:right w:val="single" w:sz="4" w:space="0" w:color="auto"/>
            </w:tcBorders>
            <w:shd w:val="clear" w:color="auto" w:fill="E2EFD9"/>
          </w:tcPr>
          <w:p w:rsidR="00812DCC" w:rsidRPr="00C206C9" w:rsidRDefault="00012CDD" w:rsidP="00812DCC">
            <w:pPr>
              <w:spacing w:after="0" w:line="240" w:lineRule="auto"/>
              <w:jc w:val="right"/>
              <w:rPr>
                <w:rFonts w:eastAsia="Times New Roman"/>
                <w:color w:val="000000"/>
              </w:rPr>
            </w:pPr>
            <w:r>
              <w:rPr>
                <w:rFonts w:eastAsia="Times New Roman"/>
                <w:color w:val="000000"/>
              </w:rPr>
              <w:t>1</w:t>
            </w:r>
            <w:r w:rsidR="001812A9">
              <w:rPr>
                <w:rFonts w:eastAsia="Times New Roman"/>
                <w:color w:val="000000"/>
              </w:rPr>
              <w:t>72</w:t>
            </w:r>
            <w:r>
              <w:rPr>
                <w:rFonts w:eastAsia="Times New Roman"/>
                <w:color w:val="000000"/>
              </w:rPr>
              <w:t>%</w:t>
            </w:r>
          </w:p>
        </w:tc>
      </w:tr>
      <w:tr w:rsidR="00812DCC" w:rsidRPr="00C27294" w:rsidTr="003B6170">
        <w:trPr>
          <w:trHeight w:val="915"/>
        </w:trPr>
        <w:tc>
          <w:tcPr>
            <w:tcW w:w="1948" w:type="dxa"/>
            <w:vMerge w:val="restart"/>
            <w:tcBorders>
              <w:top w:val="nil"/>
              <w:left w:val="single" w:sz="4" w:space="0" w:color="auto"/>
              <w:right w:val="single" w:sz="4" w:space="0" w:color="auto"/>
            </w:tcBorders>
            <w:shd w:val="clear" w:color="000000" w:fill="FFFFFF"/>
            <w:hideMark/>
          </w:tcPr>
          <w:p w:rsidR="00812DCC" w:rsidRPr="00C206C9" w:rsidRDefault="00812DCC" w:rsidP="00812DCC">
            <w:pPr>
              <w:spacing w:after="0" w:line="240" w:lineRule="auto"/>
              <w:rPr>
                <w:rFonts w:eastAsia="Times New Roman"/>
                <w:color w:val="000000"/>
              </w:rPr>
            </w:pPr>
            <w:r w:rsidRPr="00C206C9">
              <w:rPr>
                <w:rFonts w:eastAsia="Times New Roman"/>
                <w:b/>
                <w:bCs/>
                <w:color w:val="000000"/>
              </w:rPr>
              <w:t xml:space="preserve">Output 1.6    </w:t>
            </w:r>
            <w:r w:rsidRPr="00C206C9">
              <w:rPr>
                <w:rFonts w:eastAsia="Times New Roman"/>
                <w:color w:val="000000"/>
              </w:rPr>
              <w:t>UNCDF’s mandate in the LDCs better understand and more widely- communicated to target audiences based on implementation of its communications plans</w:t>
            </w: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 xml:space="preserve">1.6.1 </w:t>
            </w:r>
            <w:proofErr w:type="gramStart"/>
            <w:r w:rsidRPr="00C206C9">
              <w:rPr>
                <w:rFonts w:eastAsia="Times New Roman"/>
              </w:rPr>
              <w:t>a Number of</w:t>
            </w:r>
            <w:proofErr w:type="gramEnd"/>
            <w:r w:rsidRPr="00C206C9">
              <w:rPr>
                <w:rFonts w:eastAsia="Times New Roman"/>
              </w:rPr>
              <w:t xml:space="preserve"> monthly unique vis</w:t>
            </w:r>
            <w:r>
              <w:rPr>
                <w:rFonts w:eastAsia="Times New Roman"/>
              </w:rPr>
              <w:t>i</w:t>
            </w:r>
            <w:r w:rsidRPr="00C206C9">
              <w:rPr>
                <w:rFonts w:eastAsia="Times New Roman"/>
              </w:rPr>
              <w:t>tors to public external website (cumulative)</w:t>
            </w:r>
          </w:p>
        </w:tc>
        <w:tc>
          <w:tcPr>
            <w:tcW w:w="1265"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6000</w:t>
            </w:r>
          </w:p>
        </w:tc>
        <w:tc>
          <w:tcPr>
            <w:tcW w:w="144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rPr>
                <w:rFonts w:eastAsia="Times New Roman"/>
                <w:color w:val="000000"/>
              </w:rPr>
            </w:pPr>
            <w:r w:rsidRPr="00666855">
              <w:rPr>
                <w:rFonts w:eastAsia="Times New Roman"/>
                <w:color w:val="000000"/>
              </w:rPr>
              <w:t xml:space="preserve">     73,979 </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rPr>
                <w:rFonts w:eastAsia="Times New Roman"/>
                <w:color w:val="000000"/>
              </w:rPr>
            </w:pPr>
            <w:r w:rsidRPr="00666855">
              <w:rPr>
                <w:rFonts w:eastAsia="Times New Roman"/>
                <w:color w:val="000000"/>
              </w:rPr>
              <w:t xml:space="preserve">      99,278 </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107,020        </w:t>
            </w:r>
          </w:p>
        </w:tc>
        <w:tc>
          <w:tcPr>
            <w:tcW w:w="1350" w:type="dxa"/>
            <w:tcBorders>
              <w:top w:val="nil"/>
              <w:left w:val="nil"/>
              <w:bottom w:val="single" w:sz="4" w:space="0" w:color="auto"/>
              <w:right w:val="single" w:sz="4" w:space="0" w:color="auto"/>
            </w:tcBorders>
            <w:shd w:val="clear" w:color="auto" w:fill="auto"/>
          </w:tcPr>
          <w:p w:rsidR="00880F2C" w:rsidRPr="00666855" w:rsidRDefault="00880F2C" w:rsidP="00666855">
            <w:pPr>
              <w:spacing w:after="0" w:line="240" w:lineRule="auto"/>
              <w:jc w:val="right"/>
              <w:rPr>
                <w:rFonts w:eastAsia="Times New Roman"/>
              </w:rPr>
            </w:pPr>
            <w:r w:rsidRPr="00666855">
              <w:rPr>
                <w:rFonts w:eastAsia="Times New Roman"/>
              </w:rPr>
              <w:t>151,848</w:t>
            </w:r>
          </w:p>
        </w:tc>
        <w:tc>
          <w:tcPr>
            <w:tcW w:w="1392" w:type="dxa"/>
            <w:tcBorders>
              <w:top w:val="nil"/>
              <w:left w:val="nil"/>
              <w:bottom w:val="single" w:sz="4" w:space="0" w:color="auto"/>
              <w:right w:val="single" w:sz="4" w:space="0" w:color="auto"/>
            </w:tcBorders>
            <w:shd w:val="clear" w:color="auto" w:fill="auto"/>
            <w:hideMark/>
          </w:tcPr>
          <w:p w:rsidR="00812DCC" w:rsidRPr="00666855" w:rsidRDefault="00880F2C" w:rsidP="00812DCC">
            <w:pPr>
              <w:spacing w:after="0" w:line="240" w:lineRule="auto"/>
              <w:jc w:val="right"/>
              <w:rPr>
                <w:rFonts w:eastAsia="Times New Roman"/>
                <w:color w:val="000000"/>
              </w:rPr>
            </w:pPr>
            <w:r w:rsidRPr="00666855">
              <w:rPr>
                <w:rFonts w:eastAsia="Times New Roman"/>
                <w:color w:val="000000"/>
              </w:rPr>
              <w:t>151,200</w:t>
            </w:r>
          </w:p>
        </w:tc>
        <w:tc>
          <w:tcPr>
            <w:tcW w:w="1758" w:type="dxa"/>
            <w:tcBorders>
              <w:top w:val="nil"/>
              <w:left w:val="nil"/>
              <w:bottom w:val="single" w:sz="4" w:space="0" w:color="auto"/>
              <w:right w:val="single" w:sz="4" w:space="0" w:color="auto"/>
            </w:tcBorders>
            <w:shd w:val="clear" w:color="auto" w:fill="E2EFD9"/>
          </w:tcPr>
          <w:p w:rsidR="00812DCC" w:rsidRPr="00C206C9" w:rsidRDefault="00880F2C" w:rsidP="00812DCC">
            <w:pPr>
              <w:spacing w:after="0" w:line="240" w:lineRule="auto"/>
              <w:jc w:val="right"/>
              <w:rPr>
                <w:rFonts w:eastAsia="Times New Roman"/>
                <w:color w:val="000000"/>
              </w:rPr>
            </w:pPr>
            <w:r>
              <w:rPr>
                <w:rFonts w:eastAsia="Times New Roman"/>
                <w:color w:val="000000"/>
              </w:rPr>
              <w:t>100%</w:t>
            </w:r>
          </w:p>
        </w:tc>
      </w:tr>
      <w:tr w:rsidR="00812DCC" w:rsidRPr="00C27294" w:rsidTr="003B6170">
        <w:trPr>
          <w:trHeight w:val="915"/>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1.6.1 b Number of monthly unique vis</w:t>
            </w:r>
            <w:r>
              <w:rPr>
                <w:rFonts w:eastAsia="Times New Roman"/>
              </w:rPr>
              <w:t>i</w:t>
            </w:r>
            <w:r w:rsidRPr="00C206C9">
              <w:rPr>
                <w:rFonts w:eastAsia="Times New Roman"/>
              </w:rPr>
              <w:t>tors to public external website (per month average)</w:t>
            </w:r>
          </w:p>
        </w:tc>
        <w:tc>
          <w:tcPr>
            <w:tcW w:w="1265"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6000</w:t>
            </w:r>
          </w:p>
        </w:tc>
        <w:tc>
          <w:tcPr>
            <w:tcW w:w="144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rPr>
                <w:rFonts w:eastAsia="Times New Roman"/>
                <w:color w:val="000000"/>
              </w:rPr>
            </w:pPr>
            <w:r w:rsidRPr="00666855">
              <w:rPr>
                <w:rFonts w:eastAsia="Times New Roman"/>
                <w:color w:val="000000"/>
              </w:rPr>
              <w:t xml:space="preserve">         8,392 </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rPr>
                <w:rFonts w:eastAsia="Times New Roman"/>
                <w:color w:val="000000"/>
              </w:rPr>
            </w:pPr>
            <w:r w:rsidRPr="00666855">
              <w:rPr>
                <w:rFonts w:eastAsia="Times New Roman"/>
                <w:color w:val="000000"/>
              </w:rPr>
              <w:t xml:space="preserve">        8,273 </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8,918          </w:t>
            </w:r>
          </w:p>
        </w:tc>
        <w:tc>
          <w:tcPr>
            <w:tcW w:w="1350" w:type="dxa"/>
            <w:tcBorders>
              <w:top w:val="nil"/>
              <w:left w:val="nil"/>
              <w:bottom w:val="single" w:sz="4" w:space="0" w:color="auto"/>
              <w:right w:val="single" w:sz="4" w:space="0" w:color="auto"/>
            </w:tcBorders>
            <w:shd w:val="clear" w:color="auto" w:fill="auto"/>
          </w:tcPr>
          <w:p w:rsidR="00880F2C" w:rsidRPr="00666855" w:rsidRDefault="00880F2C" w:rsidP="00666855">
            <w:pPr>
              <w:spacing w:after="0" w:line="240" w:lineRule="auto"/>
              <w:jc w:val="right"/>
              <w:rPr>
                <w:rFonts w:eastAsia="Times New Roman"/>
              </w:rPr>
            </w:pPr>
            <w:r w:rsidRPr="00666855">
              <w:rPr>
                <w:rFonts w:eastAsia="Times New Roman"/>
              </w:rPr>
              <w:t>12,654</w:t>
            </w:r>
          </w:p>
        </w:tc>
        <w:tc>
          <w:tcPr>
            <w:tcW w:w="1392" w:type="dxa"/>
            <w:tcBorders>
              <w:top w:val="nil"/>
              <w:left w:val="nil"/>
              <w:bottom w:val="single" w:sz="4" w:space="0" w:color="auto"/>
              <w:right w:val="single" w:sz="4" w:space="0" w:color="auto"/>
            </w:tcBorders>
            <w:shd w:val="clear" w:color="auto" w:fill="auto"/>
            <w:hideMark/>
          </w:tcPr>
          <w:p w:rsidR="00812DCC" w:rsidRPr="00666855" w:rsidRDefault="00880F2C" w:rsidP="00812DCC">
            <w:pPr>
              <w:spacing w:after="0" w:line="240" w:lineRule="auto"/>
              <w:jc w:val="right"/>
              <w:rPr>
                <w:rFonts w:eastAsia="Times New Roman"/>
                <w:color w:val="000000"/>
              </w:rPr>
            </w:pPr>
            <w:r w:rsidRPr="00666855">
              <w:rPr>
                <w:rFonts w:eastAsia="Times New Roman"/>
                <w:color w:val="000000"/>
              </w:rPr>
              <w:t>12,600</w:t>
            </w:r>
          </w:p>
        </w:tc>
        <w:tc>
          <w:tcPr>
            <w:tcW w:w="1758" w:type="dxa"/>
            <w:tcBorders>
              <w:top w:val="nil"/>
              <w:left w:val="nil"/>
              <w:bottom w:val="single" w:sz="4" w:space="0" w:color="auto"/>
              <w:right w:val="single" w:sz="4" w:space="0" w:color="auto"/>
            </w:tcBorders>
            <w:shd w:val="clear" w:color="auto" w:fill="E2EFD9"/>
          </w:tcPr>
          <w:p w:rsidR="00812DCC" w:rsidRPr="00C206C9" w:rsidRDefault="0051261E" w:rsidP="00812DCC">
            <w:pPr>
              <w:spacing w:after="0" w:line="240" w:lineRule="auto"/>
              <w:jc w:val="right"/>
              <w:rPr>
                <w:rFonts w:eastAsia="Times New Roman"/>
                <w:color w:val="000000"/>
              </w:rPr>
            </w:pPr>
            <w:r>
              <w:rPr>
                <w:rFonts w:eastAsia="Times New Roman"/>
                <w:color w:val="000000"/>
              </w:rPr>
              <w:t>100%</w:t>
            </w:r>
          </w:p>
        </w:tc>
      </w:tr>
      <w:tr w:rsidR="00812DCC" w:rsidRPr="00C27294" w:rsidTr="003B6170">
        <w:trPr>
          <w:trHeight w:val="915"/>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AC18FF">
              <w:rPr>
                <w:rFonts w:eastAsia="Times New Roman"/>
              </w:rPr>
              <w:t>1.6.2 Number of fans, group members or followers on social media websites, disaggregated by account types (Facebook and Twitter)</w:t>
            </w:r>
          </w:p>
        </w:tc>
        <w:tc>
          <w:tcPr>
            <w:tcW w:w="1265"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200 (twitter); </w:t>
            </w:r>
          </w:p>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500 (FB) </w:t>
            </w:r>
          </w:p>
        </w:tc>
        <w:tc>
          <w:tcPr>
            <w:tcW w:w="144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1,430 (twitter); </w:t>
            </w:r>
          </w:p>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94,569 (FB)</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3,100 (twitter); </w:t>
            </w:r>
          </w:p>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122,060 (FB) </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color w:val="000000"/>
                <w:sz w:val="24"/>
                <w:szCs w:val="24"/>
                <w:lang w:eastAsia="ko-KR"/>
              </w:rPr>
            </w:pPr>
            <w:r w:rsidRPr="00666855">
              <w:rPr>
                <w:color w:val="000000"/>
              </w:rPr>
              <w:t xml:space="preserve">5,200 (twitter); 130,000 (FB); 1,000 (Instagram) </w:t>
            </w:r>
          </w:p>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w:t>
            </w:r>
          </w:p>
        </w:tc>
        <w:tc>
          <w:tcPr>
            <w:tcW w:w="1350" w:type="dxa"/>
            <w:tcBorders>
              <w:top w:val="nil"/>
              <w:left w:val="nil"/>
              <w:bottom w:val="single" w:sz="4" w:space="0" w:color="auto"/>
              <w:right w:val="single" w:sz="4" w:space="0" w:color="auto"/>
            </w:tcBorders>
            <w:shd w:val="clear" w:color="auto" w:fill="auto"/>
          </w:tcPr>
          <w:p w:rsidR="005955ED" w:rsidRPr="00666855" w:rsidRDefault="005955ED" w:rsidP="005955ED">
            <w:pPr>
              <w:spacing w:after="0" w:line="240" w:lineRule="auto"/>
              <w:jc w:val="right"/>
              <w:rPr>
                <w:sz w:val="24"/>
                <w:szCs w:val="24"/>
                <w:lang w:eastAsia="ko-KR"/>
              </w:rPr>
            </w:pPr>
            <w:r w:rsidRPr="00666855">
              <w:t xml:space="preserve">7,615 (twitter); 128,620 (FB); 1,650 (Instagram) </w:t>
            </w:r>
          </w:p>
          <w:p w:rsidR="005955ED" w:rsidRPr="00666855" w:rsidRDefault="005955ED" w:rsidP="00812DCC">
            <w:pPr>
              <w:spacing w:after="0" w:line="240" w:lineRule="auto"/>
              <w:jc w:val="center"/>
              <w:rPr>
                <w:rFonts w:eastAsia="Times New Roman"/>
              </w:rPr>
            </w:pPr>
          </w:p>
        </w:tc>
        <w:tc>
          <w:tcPr>
            <w:tcW w:w="1392" w:type="dxa"/>
            <w:tcBorders>
              <w:top w:val="nil"/>
              <w:left w:val="nil"/>
              <w:bottom w:val="single" w:sz="4" w:space="0" w:color="auto"/>
              <w:right w:val="single" w:sz="4" w:space="0" w:color="auto"/>
            </w:tcBorders>
            <w:shd w:val="clear" w:color="auto" w:fill="auto"/>
            <w:hideMark/>
          </w:tcPr>
          <w:p w:rsidR="005955ED" w:rsidRPr="00666855" w:rsidRDefault="005955ED" w:rsidP="005955ED">
            <w:pPr>
              <w:spacing w:after="0" w:line="240" w:lineRule="auto"/>
              <w:jc w:val="right"/>
              <w:rPr>
                <w:color w:val="000000"/>
                <w:sz w:val="24"/>
                <w:szCs w:val="24"/>
                <w:lang w:eastAsia="ko-KR"/>
              </w:rPr>
            </w:pPr>
            <w:r w:rsidRPr="00666855">
              <w:rPr>
                <w:color w:val="000000"/>
              </w:rPr>
              <w:t xml:space="preserve">6,000 (twitter); 156,000 (FB); 600 (Instagram) </w:t>
            </w:r>
          </w:p>
          <w:p w:rsidR="00812DCC" w:rsidRPr="00666855" w:rsidRDefault="00812DCC" w:rsidP="00812DCC">
            <w:pPr>
              <w:spacing w:after="0" w:line="240" w:lineRule="auto"/>
              <w:jc w:val="right"/>
              <w:rPr>
                <w:rFonts w:eastAsia="Times New Roman"/>
                <w:color w:val="000000"/>
              </w:rPr>
            </w:pPr>
          </w:p>
        </w:tc>
        <w:tc>
          <w:tcPr>
            <w:tcW w:w="1758" w:type="dxa"/>
            <w:tcBorders>
              <w:top w:val="nil"/>
              <w:left w:val="nil"/>
              <w:bottom w:val="single" w:sz="4" w:space="0" w:color="auto"/>
              <w:right w:val="single" w:sz="4" w:space="0" w:color="auto"/>
            </w:tcBorders>
            <w:shd w:val="clear" w:color="auto" w:fill="E2EFD9"/>
          </w:tcPr>
          <w:p w:rsidR="005B0373" w:rsidRDefault="00D1139F" w:rsidP="005955ED">
            <w:pPr>
              <w:spacing w:after="0" w:line="240" w:lineRule="auto"/>
              <w:jc w:val="right"/>
              <w:rPr>
                <w:color w:val="000000"/>
              </w:rPr>
            </w:pPr>
            <w:r>
              <w:rPr>
                <w:color w:val="000000"/>
              </w:rPr>
              <w:t>127</w:t>
            </w:r>
            <w:r w:rsidR="005955ED">
              <w:rPr>
                <w:color w:val="000000"/>
              </w:rPr>
              <w:t xml:space="preserve">% (twitter); </w:t>
            </w:r>
            <w:r>
              <w:rPr>
                <w:color w:val="000000"/>
              </w:rPr>
              <w:t>82</w:t>
            </w:r>
            <w:r w:rsidR="005955ED">
              <w:rPr>
                <w:color w:val="000000"/>
              </w:rPr>
              <w:t xml:space="preserve">% (FB); </w:t>
            </w:r>
          </w:p>
          <w:p w:rsidR="005955ED" w:rsidRDefault="00D1139F" w:rsidP="005955ED">
            <w:pPr>
              <w:spacing w:after="0" w:line="240" w:lineRule="auto"/>
              <w:jc w:val="right"/>
              <w:rPr>
                <w:color w:val="000000"/>
                <w:sz w:val="24"/>
                <w:szCs w:val="24"/>
                <w:lang w:eastAsia="ko-KR"/>
              </w:rPr>
            </w:pPr>
            <w:r>
              <w:rPr>
                <w:color w:val="000000"/>
              </w:rPr>
              <w:t>275</w:t>
            </w:r>
            <w:r w:rsidR="005955ED">
              <w:rPr>
                <w:color w:val="000000"/>
              </w:rPr>
              <w:t xml:space="preserve">% (Instagram) </w:t>
            </w:r>
          </w:p>
          <w:p w:rsidR="00812DCC" w:rsidRPr="00C206C9" w:rsidRDefault="00812DCC" w:rsidP="00812DCC">
            <w:pPr>
              <w:spacing w:after="0" w:line="240" w:lineRule="auto"/>
              <w:jc w:val="right"/>
              <w:rPr>
                <w:rFonts w:eastAsia="Times New Roman"/>
                <w:color w:val="000000"/>
              </w:rPr>
            </w:pPr>
          </w:p>
        </w:tc>
      </w:tr>
      <w:tr w:rsidR="00812DCC" w:rsidRPr="00C27294" w:rsidTr="003B6170">
        <w:trPr>
          <w:trHeight w:val="915"/>
        </w:trPr>
        <w:tc>
          <w:tcPr>
            <w:tcW w:w="1948" w:type="dxa"/>
            <w:vMerge/>
            <w:tcBorders>
              <w:left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rPr>
                <w:rFonts w:eastAsia="Times New Roman"/>
              </w:rPr>
            </w:pPr>
            <w:r w:rsidRPr="00AC18FF">
              <w:rPr>
                <w:rFonts w:eastAsia="Times New Roman"/>
              </w:rPr>
              <w:t>1.6.3 Number of links on external websites referring to U</w:t>
            </w:r>
            <w:r w:rsidRPr="00666855">
              <w:rPr>
                <w:rFonts w:eastAsia="Times New Roman"/>
              </w:rPr>
              <w:t>NCDF</w:t>
            </w:r>
            <w:r w:rsidR="005B0373" w:rsidRPr="00666855">
              <w:rPr>
                <w:rStyle w:val="FootnoteReference"/>
                <w:rFonts w:eastAsia="Times New Roman" w:cs="Calibri"/>
                <w:color w:val="000000"/>
              </w:rPr>
              <w:footnoteReference w:id="19"/>
            </w:r>
          </w:p>
        </w:tc>
        <w:tc>
          <w:tcPr>
            <w:tcW w:w="1265" w:type="dxa"/>
            <w:tcBorders>
              <w:top w:val="nil"/>
              <w:left w:val="nil"/>
              <w:bottom w:val="single" w:sz="4" w:space="0" w:color="auto"/>
              <w:right w:val="single" w:sz="4" w:space="0" w:color="auto"/>
            </w:tcBorders>
            <w:shd w:val="clear" w:color="auto" w:fill="auto"/>
          </w:tcPr>
          <w:p w:rsidR="00812DCC" w:rsidRPr="003B6170" w:rsidRDefault="00812DCC" w:rsidP="00812DCC">
            <w:pPr>
              <w:spacing w:after="0" w:line="240" w:lineRule="auto"/>
              <w:jc w:val="right"/>
              <w:rPr>
                <w:rFonts w:eastAsia="Times New Roman" w:cs="Calibri"/>
                <w:color w:val="000000"/>
              </w:rPr>
            </w:pPr>
            <w:r w:rsidRPr="003B6170">
              <w:rPr>
                <w:rFonts w:eastAsia="Times New Roman" w:cs="Calibri"/>
                <w:color w:val="000000"/>
              </w:rPr>
              <w:t>NA</w:t>
            </w:r>
          </w:p>
        </w:tc>
        <w:tc>
          <w:tcPr>
            <w:tcW w:w="1440" w:type="dxa"/>
            <w:tcBorders>
              <w:top w:val="nil"/>
              <w:left w:val="nil"/>
              <w:bottom w:val="single" w:sz="4" w:space="0" w:color="auto"/>
              <w:right w:val="single" w:sz="4" w:space="0" w:color="auto"/>
            </w:tcBorders>
            <w:shd w:val="clear" w:color="auto" w:fill="auto"/>
          </w:tcPr>
          <w:p w:rsidR="00812DCC" w:rsidRPr="003B6170" w:rsidRDefault="002566D4" w:rsidP="00812DCC">
            <w:pPr>
              <w:spacing w:after="0" w:line="240" w:lineRule="auto"/>
              <w:jc w:val="right"/>
              <w:rPr>
                <w:rFonts w:eastAsia="Times New Roman" w:cs="Calibri"/>
                <w:color w:val="000000"/>
              </w:rPr>
            </w:pPr>
            <w:r w:rsidRPr="003B6170">
              <w:rPr>
                <w:rFonts w:eastAsia="Times New Roman" w:cs="Calibri"/>
                <w:color w:val="000000"/>
              </w:rPr>
              <w:t>17</w:t>
            </w:r>
            <w:r w:rsidRPr="003B6170">
              <w:rPr>
                <w:rFonts w:eastAsia="DengXian" w:cs="Calibri"/>
                <w:color w:val="000000"/>
                <w:lang w:eastAsia="zh-CN"/>
              </w:rPr>
              <w:t>,461</w:t>
            </w:r>
          </w:p>
        </w:tc>
        <w:tc>
          <w:tcPr>
            <w:tcW w:w="1260" w:type="dxa"/>
            <w:tcBorders>
              <w:top w:val="nil"/>
              <w:left w:val="nil"/>
              <w:bottom w:val="single" w:sz="4" w:space="0" w:color="auto"/>
              <w:right w:val="single" w:sz="4" w:space="0" w:color="auto"/>
            </w:tcBorders>
            <w:shd w:val="clear" w:color="auto" w:fill="auto"/>
          </w:tcPr>
          <w:p w:rsidR="00812DCC" w:rsidRPr="003B6170" w:rsidRDefault="002566D4" w:rsidP="00812DCC">
            <w:pPr>
              <w:spacing w:after="0" w:line="240" w:lineRule="auto"/>
              <w:jc w:val="right"/>
              <w:rPr>
                <w:rFonts w:eastAsia="Times New Roman" w:cs="Calibri"/>
                <w:color w:val="000000"/>
              </w:rPr>
            </w:pPr>
            <w:r w:rsidRPr="003B6170">
              <w:rPr>
                <w:rFonts w:eastAsia="Times New Roman" w:cs="Calibri"/>
                <w:color w:val="000000"/>
              </w:rPr>
              <w:t>22</w:t>
            </w:r>
            <w:r w:rsidRPr="003B6170">
              <w:rPr>
                <w:rFonts w:eastAsia="DengXian" w:cs="Calibri"/>
                <w:color w:val="000000"/>
                <w:lang w:eastAsia="zh-CN"/>
              </w:rPr>
              <w:t>,982</w:t>
            </w:r>
          </w:p>
        </w:tc>
        <w:tc>
          <w:tcPr>
            <w:tcW w:w="1260" w:type="dxa"/>
            <w:tcBorders>
              <w:top w:val="nil"/>
              <w:left w:val="nil"/>
              <w:bottom w:val="single" w:sz="4" w:space="0" w:color="auto"/>
              <w:right w:val="single" w:sz="4" w:space="0" w:color="auto"/>
            </w:tcBorders>
            <w:shd w:val="clear" w:color="auto" w:fill="auto"/>
          </w:tcPr>
          <w:p w:rsidR="00812DCC" w:rsidRPr="003B6170" w:rsidRDefault="002566D4" w:rsidP="00812DCC">
            <w:pPr>
              <w:spacing w:after="0" w:line="240" w:lineRule="auto"/>
              <w:jc w:val="right"/>
              <w:rPr>
                <w:rFonts w:eastAsia="Times New Roman" w:cs="Calibri"/>
                <w:color w:val="000000"/>
              </w:rPr>
            </w:pPr>
            <w:r w:rsidRPr="003B6170">
              <w:rPr>
                <w:rFonts w:eastAsia="Times New Roman" w:cs="Calibri"/>
                <w:color w:val="000000"/>
              </w:rPr>
              <w:t>10</w:t>
            </w:r>
            <w:r w:rsidRPr="003B6170">
              <w:rPr>
                <w:rFonts w:eastAsia="DengXian" w:cs="Calibri"/>
                <w:color w:val="000000"/>
                <w:lang w:eastAsia="zh-CN"/>
              </w:rPr>
              <w:t>,</w:t>
            </w:r>
            <w:r w:rsidRPr="003B6170">
              <w:rPr>
                <w:rFonts w:eastAsia="Times New Roman" w:cs="Calibri"/>
                <w:color w:val="000000"/>
              </w:rPr>
              <w:t>549</w:t>
            </w:r>
          </w:p>
        </w:tc>
        <w:tc>
          <w:tcPr>
            <w:tcW w:w="1350" w:type="dxa"/>
            <w:tcBorders>
              <w:top w:val="nil"/>
              <w:left w:val="nil"/>
              <w:bottom w:val="single" w:sz="4" w:space="0" w:color="auto"/>
              <w:right w:val="single" w:sz="4" w:space="0" w:color="auto"/>
            </w:tcBorders>
            <w:shd w:val="clear" w:color="auto" w:fill="auto"/>
          </w:tcPr>
          <w:p w:rsidR="002566D4" w:rsidRPr="003B6170" w:rsidRDefault="002566D4" w:rsidP="00666855">
            <w:pPr>
              <w:spacing w:after="0" w:line="240" w:lineRule="auto"/>
              <w:jc w:val="right"/>
              <w:rPr>
                <w:rFonts w:eastAsia="Times New Roman" w:cs="Calibri"/>
              </w:rPr>
            </w:pPr>
            <w:r w:rsidRPr="003B6170">
              <w:rPr>
                <w:rFonts w:eastAsia="Times New Roman" w:cs="Calibri"/>
              </w:rPr>
              <w:t>10</w:t>
            </w:r>
            <w:r w:rsidRPr="003B6170">
              <w:rPr>
                <w:rFonts w:eastAsia="DengXian" w:cs="Calibri"/>
                <w:lang w:eastAsia="zh-CN"/>
              </w:rPr>
              <w:t>,152</w:t>
            </w:r>
          </w:p>
        </w:tc>
        <w:tc>
          <w:tcPr>
            <w:tcW w:w="1392" w:type="dxa"/>
            <w:tcBorders>
              <w:top w:val="nil"/>
              <w:left w:val="nil"/>
              <w:bottom w:val="single" w:sz="4" w:space="0" w:color="auto"/>
              <w:right w:val="single" w:sz="4" w:space="0" w:color="auto"/>
            </w:tcBorders>
            <w:shd w:val="clear" w:color="auto" w:fill="auto"/>
          </w:tcPr>
          <w:p w:rsidR="00812DCC" w:rsidRPr="003B6170" w:rsidRDefault="002566D4" w:rsidP="00812DCC">
            <w:pPr>
              <w:spacing w:after="0" w:line="240" w:lineRule="auto"/>
              <w:jc w:val="right"/>
              <w:rPr>
                <w:rFonts w:eastAsia="Times New Roman" w:cs="Calibri"/>
                <w:color w:val="000000"/>
              </w:rPr>
            </w:pPr>
            <w:r w:rsidRPr="003B6170">
              <w:rPr>
                <w:rFonts w:eastAsia="Times New Roman" w:cs="Calibri"/>
                <w:color w:val="000000"/>
              </w:rPr>
              <w:t>15,000</w:t>
            </w:r>
          </w:p>
        </w:tc>
        <w:tc>
          <w:tcPr>
            <w:tcW w:w="1758" w:type="dxa"/>
            <w:tcBorders>
              <w:top w:val="nil"/>
              <w:left w:val="nil"/>
              <w:bottom w:val="single" w:sz="4" w:space="0" w:color="auto"/>
              <w:right w:val="single" w:sz="4" w:space="0" w:color="auto"/>
            </w:tcBorders>
            <w:shd w:val="clear" w:color="auto" w:fill="E2EFD9"/>
          </w:tcPr>
          <w:p w:rsidR="00812DCC" w:rsidRPr="003B6170" w:rsidRDefault="002566D4" w:rsidP="00812DCC">
            <w:pPr>
              <w:spacing w:after="0" w:line="240" w:lineRule="auto"/>
              <w:jc w:val="right"/>
              <w:rPr>
                <w:rFonts w:eastAsia="Times New Roman" w:cs="Calibri"/>
                <w:color w:val="000000"/>
              </w:rPr>
            </w:pPr>
            <w:r w:rsidRPr="003B6170">
              <w:rPr>
                <w:rFonts w:eastAsia="Times New Roman" w:cs="Calibri"/>
                <w:color w:val="000000"/>
              </w:rPr>
              <w:t>408%</w:t>
            </w:r>
          </w:p>
        </w:tc>
      </w:tr>
      <w:tr w:rsidR="00812DCC" w:rsidRPr="00C27294" w:rsidTr="003B6170">
        <w:trPr>
          <w:trHeight w:val="915"/>
        </w:trPr>
        <w:tc>
          <w:tcPr>
            <w:tcW w:w="1948" w:type="dxa"/>
            <w:vMerge/>
            <w:tcBorders>
              <w:left w:val="single" w:sz="4" w:space="0" w:color="auto"/>
              <w:bottom w:val="single" w:sz="4" w:space="0" w:color="auto"/>
              <w:right w:val="single" w:sz="4" w:space="0" w:color="auto"/>
            </w:tcBorders>
            <w:vAlign w:val="center"/>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tcPr>
          <w:p w:rsidR="00812DCC" w:rsidRPr="00666855" w:rsidRDefault="00812DCC" w:rsidP="00812DCC">
            <w:pPr>
              <w:spacing w:after="0" w:line="240" w:lineRule="auto"/>
              <w:rPr>
                <w:rFonts w:eastAsia="Times New Roman"/>
              </w:rPr>
            </w:pPr>
            <w:r w:rsidRPr="00666855">
              <w:rPr>
                <w:rFonts w:eastAsia="Times New Roman"/>
              </w:rPr>
              <w:t>1.6.4 Increase in total volume of searches for brand name or related key words.</w:t>
            </w:r>
            <w:r w:rsidR="005B0373" w:rsidRPr="00666855">
              <w:rPr>
                <w:rStyle w:val="FootnoteReference"/>
                <w:rFonts w:eastAsia="Times New Roman"/>
                <w:color w:val="000000"/>
              </w:rPr>
              <w:footnoteReference w:id="20"/>
            </w:r>
          </w:p>
        </w:tc>
        <w:tc>
          <w:tcPr>
            <w:tcW w:w="1265" w:type="dxa"/>
            <w:tcBorders>
              <w:top w:val="nil"/>
              <w:left w:val="nil"/>
              <w:bottom w:val="single" w:sz="4" w:space="0" w:color="auto"/>
              <w:right w:val="single" w:sz="4" w:space="0" w:color="auto"/>
            </w:tcBorders>
            <w:shd w:val="clear" w:color="auto" w:fill="auto"/>
          </w:tcPr>
          <w:p w:rsidR="00812DCC" w:rsidRPr="00C206C9" w:rsidRDefault="00812DCC" w:rsidP="00812DCC">
            <w:pPr>
              <w:spacing w:after="0" w:line="240" w:lineRule="auto"/>
              <w:jc w:val="right"/>
              <w:rPr>
                <w:rFonts w:eastAsia="Times New Roman"/>
                <w:color w:val="000000"/>
              </w:rPr>
            </w:pPr>
            <w:r>
              <w:rPr>
                <w:rFonts w:eastAsia="Times New Roman"/>
                <w:color w:val="000000"/>
              </w:rPr>
              <w:t>NA</w:t>
            </w:r>
          </w:p>
        </w:tc>
        <w:tc>
          <w:tcPr>
            <w:tcW w:w="1440" w:type="dxa"/>
            <w:tcBorders>
              <w:top w:val="nil"/>
              <w:left w:val="nil"/>
              <w:bottom w:val="single" w:sz="4" w:space="0" w:color="auto"/>
              <w:right w:val="single" w:sz="4" w:space="0" w:color="auto"/>
            </w:tcBorders>
            <w:shd w:val="clear" w:color="auto" w:fill="auto"/>
          </w:tcPr>
          <w:p w:rsidR="00812DCC" w:rsidRPr="00666855" w:rsidRDefault="002566D4" w:rsidP="00812DCC">
            <w:pPr>
              <w:spacing w:after="0" w:line="240" w:lineRule="auto"/>
              <w:jc w:val="right"/>
              <w:rPr>
                <w:rFonts w:eastAsia="Times New Roman"/>
                <w:color w:val="000000"/>
              </w:rPr>
            </w:pPr>
            <w:r w:rsidRPr="00666855">
              <w:rPr>
                <w:rFonts w:eastAsia="Times New Roman"/>
                <w:color w:val="000000"/>
              </w:rPr>
              <w:t>39,613</w:t>
            </w:r>
          </w:p>
        </w:tc>
        <w:tc>
          <w:tcPr>
            <w:tcW w:w="1260" w:type="dxa"/>
            <w:tcBorders>
              <w:top w:val="nil"/>
              <w:left w:val="nil"/>
              <w:bottom w:val="single" w:sz="4" w:space="0" w:color="auto"/>
              <w:right w:val="single" w:sz="4" w:space="0" w:color="auto"/>
            </w:tcBorders>
            <w:shd w:val="clear" w:color="auto" w:fill="auto"/>
          </w:tcPr>
          <w:p w:rsidR="00812DCC" w:rsidRPr="00666855" w:rsidRDefault="002566D4" w:rsidP="00812DCC">
            <w:pPr>
              <w:spacing w:after="0" w:line="240" w:lineRule="auto"/>
              <w:jc w:val="right"/>
              <w:rPr>
                <w:rFonts w:eastAsia="Times New Roman"/>
                <w:color w:val="000000"/>
              </w:rPr>
            </w:pPr>
            <w:r w:rsidRPr="00666855">
              <w:rPr>
                <w:rFonts w:eastAsia="Times New Roman"/>
                <w:color w:val="000000"/>
              </w:rPr>
              <w:t>53,690</w:t>
            </w:r>
          </w:p>
        </w:tc>
        <w:tc>
          <w:tcPr>
            <w:tcW w:w="1260" w:type="dxa"/>
            <w:tcBorders>
              <w:top w:val="nil"/>
              <w:left w:val="nil"/>
              <w:bottom w:val="single" w:sz="4" w:space="0" w:color="auto"/>
              <w:right w:val="single" w:sz="4" w:space="0" w:color="auto"/>
            </w:tcBorders>
            <w:shd w:val="clear" w:color="auto" w:fill="FFFFFF"/>
          </w:tcPr>
          <w:p w:rsidR="00812DCC" w:rsidRPr="00666855" w:rsidRDefault="002566D4" w:rsidP="00812DCC">
            <w:pPr>
              <w:spacing w:after="0" w:line="240" w:lineRule="auto"/>
              <w:jc w:val="right"/>
              <w:rPr>
                <w:rFonts w:eastAsia="Times New Roman"/>
                <w:color w:val="000000"/>
              </w:rPr>
            </w:pPr>
            <w:r w:rsidRPr="00666855">
              <w:rPr>
                <w:rFonts w:eastAsia="Times New Roman"/>
                <w:color w:val="000000"/>
              </w:rPr>
              <w:t>49,686</w:t>
            </w:r>
          </w:p>
        </w:tc>
        <w:tc>
          <w:tcPr>
            <w:tcW w:w="1350" w:type="dxa"/>
            <w:tcBorders>
              <w:top w:val="nil"/>
              <w:left w:val="nil"/>
              <w:bottom w:val="single" w:sz="4" w:space="0" w:color="auto"/>
              <w:right w:val="single" w:sz="4" w:space="0" w:color="auto"/>
            </w:tcBorders>
            <w:shd w:val="clear" w:color="auto" w:fill="FFFFFF"/>
          </w:tcPr>
          <w:p w:rsidR="002566D4" w:rsidRPr="00666855" w:rsidRDefault="002566D4" w:rsidP="00666855">
            <w:pPr>
              <w:spacing w:after="0" w:line="240" w:lineRule="auto"/>
              <w:jc w:val="right"/>
              <w:rPr>
                <w:rFonts w:eastAsia="Times New Roman"/>
              </w:rPr>
            </w:pPr>
            <w:r w:rsidRPr="00666855">
              <w:rPr>
                <w:rFonts w:eastAsia="Times New Roman"/>
              </w:rPr>
              <w:t>44,338</w:t>
            </w:r>
          </w:p>
        </w:tc>
        <w:tc>
          <w:tcPr>
            <w:tcW w:w="1392" w:type="dxa"/>
            <w:tcBorders>
              <w:top w:val="nil"/>
              <w:left w:val="nil"/>
              <w:bottom w:val="single" w:sz="4" w:space="0" w:color="auto"/>
              <w:right w:val="single" w:sz="4" w:space="0" w:color="auto"/>
            </w:tcBorders>
            <w:shd w:val="clear" w:color="auto" w:fill="FFFFFF"/>
          </w:tcPr>
          <w:p w:rsidR="00812DCC" w:rsidRPr="00666855" w:rsidRDefault="002566D4" w:rsidP="00812DCC">
            <w:pPr>
              <w:spacing w:after="0" w:line="240" w:lineRule="auto"/>
              <w:jc w:val="right"/>
              <w:rPr>
                <w:rFonts w:eastAsia="Times New Roman"/>
                <w:color w:val="000000"/>
              </w:rPr>
            </w:pPr>
            <w:r w:rsidRPr="00666855">
              <w:rPr>
                <w:rFonts w:eastAsia="Times New Roman"/>
                <w:color w:val="000000"/>
              </w:rPr>
              <w:t>18,000</w:t>
            </w:r>
            <w:r w:rsidR="00812DCC" w:rsidRPr="00666855">
              <w:rPr>
                <w:rFonts w:eastAsia="Times New Roman"/>
                <w:color w:val="000000"/>
              </w:rPr>
              <w:t xml:space="preserve"> </w:t>
            </w:r>
          </w:p>
        </w:tc>
        <w:tc>
          <w:tcPr>
            <w:tcW w:w="1758" w:type="dxa"/>
            <w:tcBorders>
              <w:top w:val="nil"/>
              <w:left w:val="nil"/>
              <w:bottom w:val="single" w:sz="4" w:space="0" w:color="auto"/>
              <w:right w:val="single" w:sz="4" w:space="0" w:color="auto"/>
            </w:tcBorders>
            <w:shd w:val="clear" w:color="auto" w:fill="E2EFD9"/>
          </w:tcPr>
          <w:p w:rsidR="00812DCC" w:rsidRPr="00C206C9" w:rsidRDefault="002566D4" w:rsidP="00812DCC">
            <w:pPr>
              <w:spacing w:after="0" w:line="240" w:lineRule="auto"/>
              <w:jc w:val="right"/>
              <w:rPr>
                <w:rFonts w:eastAsia="Times New Roman"/>
                <w:color w:val="000000"/>
              </w:rPr>
            </w:pPr>
            <w:r>
              <w:rPr>
                <w:rFonts w:eastAsia="Times New Roman"/>
                <w:color w:val="000000"/>
              </w:rPr>
              <w:t>246%</w:t>
            </w:r>
          </w:p>
        </w:tc>
      </w:tr>
      <w:tr w:rsidR="00812DCC" w:rsidRPr="00C27294" w:rsidTr="003B6170">
        <w:trPr>
          <w:trHeight w:val="1412"/>
        </w:trPr>
        <w:tc>
          <w:tcPr>
            <w:tcW w:w="19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12DCC" w:rsidRPr="00C206C9" w:rsidRDefault="00812DCC" w:rsidP="00812DCC">
            <w:pPr>
              <w:spacing w:after="0" w:line="240" w:lineRule="auto"/>
              <w:rPr>
                <w:rFonts w:eastAsia="Times New Roman"/>
                <w:color w:val="000000"/>
              </w:rPr>
            </w:pPr>
            <w:r w:rsidRPr="00C206C9">
              <w:rPr>
                <w:rFonts w:eastAsia="Times New Roman"/>
                <w:b/>
                <w:bCs/>
                <w:color w:val="000000"/>
              </w:rPr>
              <w:t xml:space="preserve">Output 1.7 </w:t>
            </w:r>
            <w:r w:rsidRPr="00C206C9">
              <w:rPr>
                <w:rFonts w:eastAsia="Times New Roman"/>
                <w:color w:val="000000"/>
              </w:rPr>
              <w:t>Partnerships strategy implemented with a view to extending the scale and scope of UNCDF’s work</w:t>
            </w:r>
          </w:p>
        </w:tc>
        <w:tc>
          <w:tcPr>
            <w:tcW w:w="2835" w:type="dxa"/>
            <w:tcBorders>
              <w:top w:val="single" w:sz="4" w:space="0" w:color="auto"/>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rPr>
                <w:rFonts w:eastAsia="Times New Roman"/>
              </w:rPr>
            </w:pPr>
            <w:r w:rsidRPr="00666855">
              <w:rPr>
                <w:rFonts w:eastAsia="Times New Roman"/>
              </w:rPr>
              <w:t>1.7.1 Number of strategic partnerships effectively managed – and new ones developed leading to contributions to UNCDF core resources</w:t>
            </w:r>
          </w:p>
        </w:tc>
        <w:tc>
          <w:tcPr>
            <w:tcW w:w="1265" w:type="dxa"/>
            <w:tcBorders>
              <w:top w:val="single" w:sz="4" w:space="0" w:color="auto"/>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12</w:t>
            </w:r>
          </w:p>
        </w:tc>
        <w:tc>
          <w:tcPr>
            <w:tcW w:w="1440" w:type="dxa"/>
            <w:tcBorders>
              <w:top w:val="single" w:sz="4" w:space="0" w:color="auto"/>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15</w:t>
            </w:r>
          </w:p>
        </w:tc>
        <w:tc>
          <w:tcPr>
            <w:tcW w:w="1260" w:type="dxa"/>
            <w:tcBorders>
              <w:top w:val="single" w:sz="4" w:space="0" w:color="auto"/>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13</w:t>
            </w:r>
          </w:p>
        </w:tc>
        <w:tc>
          <w:tcPr>
            <w:tcW w:w="1260" w:type="dxa"/>
            <w:tcBorders>
              <w:top w:val="single" w:sz="4" w:space="0" w:color="auto"/>
              <w:left w:val="nil"/>
              <w:bottom w:val="single" w:sz="4" w:space="0" w:color="auto"/>
              <w:right w:val="single" w:sz="4" w:space="0" w:color="auto"/>
            </w:tcBorders>
            <w:shd w:val="clear" w:color="auto" w:fill="FFFFFF"/>
            <w:hideMark/>
          </w:tcPr>
          <w:p w:rsidR="00812DCC" w:rsidRPr="00666855" w:rsidRDefault="002566D4" w:rsidP="00812DCC">
            <w:pPr>
              <w:spacing w:after="0" w:line="240" w:lineRule="auto"/>
              <w:jc w:val="right"/>
              <w:rPr>
                <w:rFonts w:eastAsia="Times New Roman"/>
                <w:color w:val="000000"/>
              </w:rPr>
            </w:pPr>
            <w:r w:rsidRPr="00666855">
              <w:rPr>
                <w:rFonts w:eastAsia="Times New Roman"/>
                <w:color w:val="000000"/>
              </w:rPr>
              <w:t>12</w:t>
            </w:r>
          </w:p>
        </w:tc>
        <w:tc>
          <w:tcPr>
            <w:tcW w:w="1350" w:type="dxa"/>
            <w:tcBorders>
              <w:top w:val="single" w:sz="4" w:space="0" w:color="auto"/>
              <w:left w:val="nil"/>
              <w:bottom w:val="single" w:sz="4" w:space="0" w:color="auto"/>
              <w:right w:val="single" w:sz="4" w:space="0" w:color="auto"/>
            </w:tcBorders>
            <w:shd w:val="clear" w:color="auto" w:fill="FFFFFF"/>
          </w:tcPr>
          <w:p w:rsidR="002566D4" w:rsidRPr="00666855" w:rsidRDefault="002566D4" w:rsidP="00666855">
            <w:pPr>
              <w:spacing w:after="0" w:line="240" w:lineRule="auto"/>
              <w:jc w:val="right"/>
              <w:rPr>
                <w:rFonts w:eastAsia="Times New Roman"/>
              </w:rPr>
            </w:pPr>
            <w:r w:rsidRPr="00666855">
              <w:rPr>
                <w:rFonts w:eastAsia="Times New Roman"/>
              </w:rPr>
              <w:t>13</w:t>
            </w:r>
          </w:p>
        </w:tc>
        <w:tc>
          <w:tcPr>
            <w:tcW w:w="1392" w:type="dxa"/>
            <w:tcBorders>
              <w:top w:val="single" w:sz="4" w:space="0" w:color="auto"/>
              <w:left w:val="nil"/>
              <w:bottom w:val="single" w:sz="4" w:space="0" w:color="auto"/>
              <w:right w:val="single" w:sz="4" w:space="0" w:color="auto"/>
            </w:tcBorders>
            <w:shd w:val="clear" w:color="auto" w:fill="FFFFFF"/>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18</w:t>
            </w:r>
            <w:r w:rsidR="005B0373" w:rsidRPr="00666855">
              <w:rPr>
                <w:rFonts w:eastAsia="Times New Roman"/>
                <w:color w:val="000000"/>
              </w:rPr>
              <w:t xml:space="preserve"> (annual)</w:t>
            </w:r>
          </w:p>
        </w:tc>
        <w:tc>
          <w:tcPr>
            <w:tcW w:w="1758" w:type="dxa"/>
            <w:tcBorders>
              <w:top w:val="single" w:sz="4" w:space="0" w:color="auto"/>
              <w:left w:val="nil"/>
              <w:bottom w:val="single" w:sz="4" w:space="0" w:color="auto"/>
              <w:right w:val="single" w:sz="4" w:space="0" w:color="auto"/>
            </w:tcBorders>
            <w:shd w:val="clear" w:color="auto" w:fill="FFF2CC"/>
          </w:tcPr>
          <w:p w:rsidR="00812DCC" w:rsidRPr="00C206C9" w:rsidRDefault="002566D4" w:rsidP="00812DCC">
            <w:pPr>
              <w:spacing w:after="0" w:line="240" w:lineRule="auto"/>
              <w:jc w:val="right"/>
              <w:rPr>
                <w:rFonts w:eastAsia="Times New Roman"/>
                <w:color w:val="000000"/>
              </w:rPr>
            </w:pPr>
            <w:r>
              <w:rPr>
                <w:rFonts w:eastAsia="Times New Roman"/>
                <w:color w:val="000000"/>
              </w:rPr>
              <w:t>72%</w:t>
            </w:r>
          </w:p>
        </w:tc>
      </w:tr>
      <w:tr w:rsidR="00812DCC" w:rsidRPr="00C27294" w:rsidTr="003B6170">
        <w:trPr>
          <w:trHeight w:val="1770"/>
        </w:trPr>
        <w:tc>
          <w:tcPr>
            <w:tcW w:w="1948" w:type="dxa"/>
            <w:vMerge/>
            <w:tcBorders>
              <w:top w:val="nil"/>
              <w:left w:val="single" w:sz="4" w:space="0" w:color="auto"/>
              <w:bottom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1.7.2 Number of strategic partnerships effectively managed – and new ones developed – leading to contributions to UNCDF non-core resources</w:t>
            </w:r>
          </w:p>
        </w:tc>
        <w:tc>
          <w:tcPr>
            <w:tcW w:w="126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25</w:t>
            </w:r>
          </w:p>
        </w:tc>
        <w:tc>
          <w:tcPr>
            <w:tcW w:w="144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31</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32</w:t>
            </w:r>
          </w:p>
        </w:tc>
        <w:tc>
          <w:tcPr>
            <w:tcW w:w="1260" w:type="dxa"/>
            <w:tcBorders>
              <w:top w:val="nil"/>
              <w:left w:val="nil"/>
              <w:bottom w:val="single" w:sz="4" w:space="0" w:color="auto"/>
              <w:right w:val="single" w:sz="4" w:space="0" w:color="auto"/>
            </w:tcBorders>
            <w:shd w:val="clear" w:color="auto" w:fill="FFFFFF"/>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33</w:t>
            </w:r>
          </w:p>
        </w:tc>
        <w:tc>
          <w:tcPr>
            <w:tcW w:w="1350" w:type="dxa"/>
            <w:tcBorders>
              <w:top w:val="nil"/>
              <w:left w:val="nil"/>
              <w:bottom w:val="single" w:sz="4" w:space="0" w:color="auto"/>
              <w:right w:val="single" w:sz="4" w:space="0" w:color="auto"/>
            </w:tcBorders>
            <w:shd w:val="clear" w:color="auto" w:fill="FFFFFF"/>
          </w:tcPr>
          <w:p w:rsidR="005C7125" w:rsidRPr="00666855" w:rsidRDefault="005C7125" w:rsidP="00666855">
            <w:pPr>
              <w:spacing w:after="0" w:line="240" w:lineRule="auto"/>
              <w:jc w:val="right"/>
              <w:rPr>
                <w:rFonts w:eastAsia="Times New Roman"/>
              </w:rPr>
            </w:pPr>
            <w:r w:rsidRPr="00666855">
              <w:rPr>
                <w:rFonts w:eastAsia="Times New Roman"/>
              </w:rPr>
              <w:t>32</w:t>
            </w:r>
          </w:p>
        </w:tc>
        <w:tc>
          <w:tcPr>
            <w:tcW w:w="1392" w:type="dxa"/>
            <w:tcBorders>
              <w:top w:val="nil"/>
              <w:left w:val="nil"/>
              <w:bottom w:val="single" w:sz="4" w:space="0" w:color="auto"/>
              <w:right w:val="single" w:sz="4" w:space="0" w:color="auto"/>
            </w:tcBorders>
            <w:shd w:val="clear" w:color="auto" w:fill="FFFFFF"/>
            <w:hideMark/>
          </w:tcPr>
          <w:p w:rsidR="00D1139F" w:rsidRDefault="00812DCC" w:rsidP="00812DCC">
            <w:pPr>
              <w:spacing w:after="0" w:line="240" w:lineRule="auto"/>
              <w:jc w:val="right"/>
              <w:rPr>
                <w:rFonts w:eastAsia="Times New Roman"/>
                <w:color w:val="000000"/>
              </w:rPr>
            </w:pPr>
            <w:r w:rsidRPr="00666855">
              <w:rPr>
                <w:rFonts w:eastAsia="Times New Roman"/>
                <w:color w:val="000000"/>
              </w:rPr>
              <w:t xml:space="preserve">                  35</w:t>
            </w:r>
          </w:p>
          <w:p w:rsidR="00D1139F" w:rsidRDefault="00D1139F" w:rsidP="00812DCC">
            <w:pPr>
              <w:spacing w:after="0" w:line="240" w:lineRule="auto"/>
              <w:jc w:val="right"/>
              <w:rPr>
                <w:rFonts w:eastAsia="Times New Roman"/>
                <w:color w:val="000000"/>
              </w:rPr>
            </w:pPr>
            <w:r w:rsidRPr="00666855">
              <w:rPr>
                <w:rFonts w:eastAsia="Times New Roman"/>
                <w:color w:val="000000"/>
              </w:rPr>
              <w:t>(annual)</w:t>
            </w:r>
          </w:p>
          <w:p w:rsidR="00812DCC" w:rsidRPr="00666855" w:rsidRDefault="005B0373" w:rsidP="00812DCC">
            <w:pPr>
              <w:spacing w:after="0" w:line="240" w:lineRule="auto"/>
              <w:jc w:val="right"/>
              <w:rPr>
                <w:rFonts w:eastAsia="Times New Roman"/>
                <w:color w:val="000000"/>
              </w:rPr>
            </w:pPr>
            <w:r w:rsidRPr="00666855">
              <w:rPr>
                <w:rFonts w:eastAsia="Times New Roman"/>
                <w:color w:val="000000"/>
              </w:rPr>
              <w:t xml:space="preserve"> </w:t>
            </w:r>
          </w:p>
        </w:tc>
        <w:tc>
          <w:tcPr>
            <w:tcW w:w="1758" w:type="dxa"/>
            <w:tcBorders>
              <w:top w:val="nil"/>
              <w:left w:val="nil"/>
              <w:bottom w:val="single" w:sz="4" w:space="0" w:color="auto"/>
              <w:right w:val="single" w:sz="4" w:space="0" w:color="auto"/>
            </w:tcBorders>
            <w:shd w:val="clear" w:color="auto" w:fill="E2EFD9"/>
          </w:tcPr>
          <w:p w:rsidR="00812DCC" w:rsidRPr="00C206C9" w:rsidRDefault="005C7125" w:rsidP="00812DCC">
            <w:pPr>
              <w:spacing w:after="0" w:line="240" w:lineRule="auto"/>
              <w:jc w:val="right"/>
              <w:rPr>
                <w:rFonts w:eastAsia="Times New Roman"/>
                <w:color w:val="000000"/>
              </w:rPr>
            </w:pPr>
            <w:r>
              <w:rPr>
                <w:rFonts w:eastAsia="Times New Roman"/>
                <w:color w:val="000000"/>
              </w:rPr>
              <w:t>91%</w:t>
            </w:r>
          </w:p>
        </w:tc>
      </w:tr>
      <w:tr w:rsidR="00812DCC" w:rsidRPr="00C27294" w:rsidTr="003B6170">
        <w:trPr>
          <w:trHeight w:val="1365"/>
        </w:trPr>
        <w:tc>
          <w:tcPr>
            <w:tcW w:w="1948" w:type="dxa"/>
            <w:vMerge/>
            <w:tcBorders>
              <w:top w:val="nil"/>
              <w:left w:val="single" w:sz="4" w:space="0" w:color="auto"/>
              <w:bottom w:val="single" w:sz="4" w:space="0" w:color="auto"/>
              <w:right w:val="single" w:sz="4" w:space="0" w:color="auto"/>
            </w:tcBorders>
            <w:vAlign w:val="center"/>
            <w:hideMark/>
          </w:tcPr>
          <w:p w:rsidR="00812DCC" w:rsidRPr="00C206C9" w:rsidRDefault="00812DCC" w:rsidP="00812DCC">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rPr>
                <w:rFonts w:eastAsia="Times New Roman"/>
              </w:rPr>
            </w:pPr>
            <w:r w:rsidRPr="00C206C9">
              <w:rPr>
                <w:rFonts w:eastAsia="Times New Roman"/>
              </w:rPr>
              <w:t>1.7.3 Number of UNCDF Stakeholder Consultations (informal Executive Board sessions) arranged per year</w:t>
            </w:r>
          </w:p>
        </w:tc>
        <w:tc>
          <w:tcPr>
            <w:tcW w:w="1265" w:type="dxa"/>
            <w:tcBorders>
              <w:top w:val="nil"/>
              <w:left w:val="nil"/>
              <w:bottom w:val="single" w:sz="4" w:space="0" w:color="auto"/>
              <w:right w:val="single" w:sz="4" w:space="0" w:color="auto"/>
            </w:tcBorders>
            <w:shd w:val="clear" w:color="auto" w:fill="auto"/>
            <w:hideMark/>
          </w:tcPr>
          <w:p w:rsidR="00812DCC" w:rsidRPr="00C206C9" w:rsidRDefault="00812DCC" w:rsidP="00812DCC">
            <w:pPr>
              <w:spacing w:after="0" w:line="240" w:lineRule="auto"/>
              <w:jc w:val="right"/>
              <w:rPr>
                <w:rFonts w:eastAsia="Times New Roman"/>
                <w:color w:val="000000"/>
              </w:rPr>
            </w:pPr>
            <w:r w:rsidRPr="00C206C9">
              <w:rPr>
                <w:rFonts w:eastAsia="Times New Roman"/>
                <w:color w:val="000000"/>
              </w:rPr>
              <w:t>2</w:t>
            </w:r>
          </w:p>
        </w:tc>
        <w:tc>
          <w:tcPr>
            <w:tcW w:w="144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1</w:t>
            </w:r>
          </w:p>
        </w:tc>
        <w:tc>
          <w:tcPr>
            <w:tcW w:w="1260" w:type="dxa"/>
            <w:tcBorders>
              <w:top w:val="nil"/>
              <w:left w:val="nil"/>
              <w:bottom w:val="single" w:sz="4" w:space="0" w:color="auto"/>
              <w:right w:val="single" w:sz="4" w:space="0" w:color="auto"/>
            </w:tcBorders>
            <w:shd w:val="clear" w:color="auto" w:fill="auto"/>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2</w:t>
            </w:r>
          </w:p>
        </w:tc>
        <w:tc>
          <w:tcPr>
            <w:tcW w:w="1260" w:type="dxa"/>
            <w:tcBorders>
              <w:top w:val="nil"/>
              <w:left w:val="nil"/>
              <w:bottom w:val="single" w:sz="4" w:space="0" w:color="auto"/>
              <w:right w:val="single" w:sz="4" w:space="0" w:color="auto"/>
            </w:tcBorders>
            <w:shd w:val="clear" w:color="auto" w:fill="FFFFFF"/>
            <w:hideMark/>
          </w:tcPr>
          <w:p w:rsidR="00812DCC" w:rsidRPr="00666855" w:rsidRDefault="00812DCC" w:rsidP="00812DCC">
            <w:pPr>
              <w:spacing w:after="0" w:line="240" w:lineRule="auto"/>
              <w:jc w:val="right"/>
              <w:rPr>
                <w:rFonts w:eastAsia="Times New Roman"/>
                <w:color w:val="000000"/>
              </w:rPr>
            </w:pPr>
            <w:r w:rsidRPr="00666855">
              <w:rPr>
                <w:rFonts w:eastAsia="Times New Roman"/>
                <w:color w:val="000000"/>
              </w:rPr>
              <w:t xml:space="preserve">     2                </w:t>
            </w:r>
          </w:p>
        </w:tc>
        <w:tc>
          <w:tcPr>
            <w:tcW w:w="1350" w:type="dxa"/>
            <w:tcBorders>
              <w:top w:val="nil"/>
              <w:left w:val="nil"/>
              <w:bottom w:val="single" w:sz="4" w:space="0" w:color="auto"/>
              <w:right w:val="single" w:sz="4" w:space="0" w:color="auto"/>
            </w:tcBorders>
            <w:shd w:val="clear" w:color="auto" w:fill="FFFFFF"/>
          </w:tcPr>
          <w:p w:rsidR="00812DCC" w:rsidRPr="00666855" w:rsidRDefault="00ED2022" w:rsidP="00666855">
            <w:pPr>
              <w:spacing w:after="0" w:line="240" w:lineRule="auto"/>
              <w:jc w:val="right"/>
              <w:rPr>
                <w:rFonts w:eastAsia="Times New Roman"/>
              </w:rPr>
            </w:pPr>
            <w:r w:rsidRPr="00666855">
              <w:rPr>
                <w:rFonts w:eastAsia="Times New Roman"/>
              </w:rPr>
              <w:t>5</w:t>
            </w:r>
          </w:p>
        </w:tc>
        <w:tc>
          <w:tcPr>
            <w:tcW w:w="1392" w:type="dxa"/>
            <w:tcBorders>
              <w:top w:val="nil"/>
              <w:left w:val="nil"/>
              <w:bottom w:val="single" w:sz="4" w:space="0" w:color="auto"/>
              <w:right w:val="single" w:sz="4" w:space="0" w:color="auto"/>
            </w:tcBorders>
            <w:shd w:val="clear" w:color="auto" w:fill="FFFFFF"/>
            <w:hideMark/>
          </w:tcPr>
          <w:p w:rsidR="005B0373" w:rsidRPr="00666855" w:rsidRDefault="00812DCC" w:rsidP="00812DCC">
            <w:pPr>
              <w:spacing w:after="0" w:line="240" w:lineRule="auto"/>
              <w:jc w:val="right"/>
              <w:rPr>
                <w:rFonts w:eastAsia="Times New Roman"/>
                <w:color w:val="000000"/>
              </w:rPr>
            </w:pPr>
            <w:r w:rsidRPr="00666855">
              <w:rPr>
                <w:rFonts w:eastAsia="Times New Roman"/>
                <w:color w:val="000000"/>
              </w:rPr>
              <w:t>2</w:t>
            </w:r>
            <w:r w:rsidR="005B0373" w:rsidRPr="00666855">
              <w:rPr>
                <w:rFonts w:eastAsia="Times New Roman"/>
                <w:color w:val="000000"/>
              </w:rPr>
              <w:t xml:space="preserve"> </w:t>
            </w:r>
          </w:p>
          <w:p w:rsidR="00812DCC" w:rsidRPr="00666855" w:rsidRDefault="005B0373" w:rsidP="00812DCC">
            <w:pPr>
              <w:spacing w:after="0" w:line="240" w:lineRule="auto"/>
              <w:jc w:val="right"/>
              <w:rPr>
                <w:rFonts w:eastAsia="Times New Roman"/>
                <w:color w:val="000000"/>
              </w:rPr>
            </w:pPr>
            <w:r w:rsidRPr="00666855">
              <w:rPr>
                <w:rFonts w:eastAsia="Times New Roman"/>
                <w:color w:val="000000"/>
              </w:rPr>
              <w:t>(annual)</w:t>
            </w:r>
          </w:p>
        </w:tc>
        <w:tc>
          <w:tcPr>
            <w:tcW w:w="1758" w:type="dxa"/>
            <w:tcBorders>
              <w:top w:val="nil"/>
              <w:left w:val="nil"/>
              <w:bottom w:val="single" w:sz="4" w:space="0" w:color="auto"/>
              <w:right w:val="single" w:sz="4" w:space="0" w:color="auto"/>
            </w:tcBorders>
            <w:shd w:val="clear" w:color="auto" w:fill="E2EFD9"/>
          </w:tcPr>
          <w:p w:rsidR="00812DCC" w:rsidRPr="00C206C9" w:rsidRDefault="005C7125" w:rsidP="00812DCC">
            <w:pPr>
              <w:spacing w:after="0" w:line="240" w:lineRule="auto"/>
              <w:jc w:val="right"/>
              <w:rPr>
                <w:rFonts w:eastAsia="Times New Roman"/>
                <w:color w:val="000000"/>
              </w:rPr>
            </w:pPr>
            <w:r>
              <w:rPr>
                <w:rFonts w:eastAsia="Times New Roman"/>
                <w:color w:val="000000"/>
              </w:rPr>
              <w:t>250%</w:t>
            </w:r>
          </w:p>
        </w:tc>
      </w:tr>
    </w:tbl>
    <w:p w:rsidR="000569B7" w:rsidRDefault="000569B7" w:rsidP="00C64B75">
      <w:pPr>
        <w:spacing w:after="0"/>
        <w:rPr>
          <w:b/>
        </w:rPr>
      </w:pPr>
    </w:p>
    <w:p w:rsidR="000521A0" w:rsidRDefault="000521A0" w:rsidP="00C64B75">
      <w:pPr>
        <w:spacing w:after="0"/>
        <w:rPr>
          <w:b/>
        </w:rPr>
      </w:pPr>
    </w:p>
    <w:p w:rsidR="00EF4247" w:rsidRDefault="000521A0" w:rsidP="00C64B75">
      <w:pPr>
        <w:spacing w:after="0"/>
        <w:rPr>
          <w:b/>
        </w:rPr>
      </w:pPr>
      <w:r w:rsidRPr="000521A0">
        <w:rPr>
          <w:b/>
        </w:rPr>
        <w:tab/>
      </w:r>
    </w:p>
    <w:p w:rsidR="00C206C9" w:rsidRDefault="006F2919" w:rsidP="00C206C9">
      <w:pPr>
        <w:spacing w:after="0"/>
        <w:rPr>
          <w:b/>
        </w:rPr>
      </w:pPr>
      <w:r>
        <w:tab/>
      </w:r>
      <w:r>
        <w:tab/>
      </w:r>
      <w:r w:rsidR="00C206C9" w:rsidRPr="00C206C9">
        <w:tab/>
      </w:r>
      <w:r w:rsidR="00C206C9" w:rsidRPr="00C206C9">
        <w:tab/>
      </w:r>
      <w:r w:rsidR="00C206C9" w:rsidRPr="00C206C9">
        <w:tab/>
      </w:r>
      <w:r w:rsidR="00C206C9" w:rsidRPr="00C206C9">
        <w:rPr>
          <w:b/>
        </w:rPr>
        <w:tab/>
      </w:r>
      <w:r w:rsidR="00C206C9" w:rsidRPr="00C206C9">
        <w:rPr>
          <w:b/>
        </w:rPr>
        <w:tab/>
      </w:r>
      <w:r w:rsidR="00C206C9" w:rsidRPr="00C206C9">
        <w:rPr>
          <w:b/>
        </w:rPr>
        <w:tab/>
      </w:r>
      <w:r w:rsidR="00C206C9" w:rsidRPr="00C206C9">
        <w:rPr>
          <w:b/>
        </w:rPr>
        <w:tab/>
      </w:r>
      <w:r w:rsidR="00C206C9" w:rsidRPr="00C206C9">
        <w:rPr>
          <w:b/>
        </w:rPr>
        <w:tab/>
      </w:r>
    </w:p>
    <w:sectPr w:rsidR="00C206C9" w:rsidSect="004E57AA">
      <w:footerReference w:type="default" r:id="rId11"/>
      <w:headerReference w:type="first" r:id="rId12"/>
      <w:pgSz w:w="15840" w:h="12240" w:orient="landscape"/>
      <w:pgMar w:top="1440" w:right="720"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40" w:rsidRDefault="00C94940" w:rsidP="00940571">
      <w:pPr>
        <w:spacing w:after="0" w:line="240" w:lineRule="auto"/>
      </w:pPr>
      <w:r>
        <w:separator/>
      </w:r>
    </w:p>
  </w:endnote>
  <w:endnote w:type="continuationSeparator" w:id="0">
    <w:p w:rsidR="00C94940" w:rsidRDefault="00C94940" w:rsidP="0094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FD" w:rsidRDefault="006428FD">
    <w:pPr>
      <w:pStyle w:val="Footer"/>
      <w:jc w:val="center"/>
    </w:pPr>
    <w:r>
      <w:fldChar w:fldCharType="begin"/>
    </w:r>
    <w:r>
      <w:instrText xml:space="preserve"> PAGE   \* MERGEFORMAT </w:instrText>
    </w:r>
    <w:r>
      <w:fldChar w:fldCharType="separate"/>
    </w:r>
    <w:r w:rsidR="00EC1CC6">
      <w:rPr>
        <w:noProof/>
      </w:rPr>
      <w:t>2</w:t>
    </w:r>
    <w:r>
      <w:rPr>
        <w:noProof/>
      </w:rPr>
      <w:fldChar w:fldCharType="end"/>
    </w:r>
  </w:p>
  <w:p w:rsidR="006428FD" w:rsidRDefault="00642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40" w:rsidRDefault="00C94940" w:rsidP="00940571">
      <w:pPr>
        <w:spacing w:after="0" w:line="240" w:lineRule="auto"/>
      </w:pPr>
      <w:r>
        <w:separator/>
      </w:r>
    </w:p>
  </w:footnote>
  <w:footnote w:type="continuationSeparator" w:id="0">
    <w:p w:rsidR="00C94940" w:rsidRDefault="00C94940" w:rsidP="00940571">
      <w:pPr>
        <w:spacing w:after="0" w:line="240" w:lineRule="auto"/>
      </w:pPr>
      <w:r>
        <w:continuationSeparator/>
      </w:r>
    </w:p>
  </w:footnote>
  <w:footnote w:id="1">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Colour schemes for the implementation rate is based on the following: Achieved (Green) = 75-100%; Partially achieved (Yellow) = 50-70%; </w:t>
      </w:r>
      <w:r w:rsidR="005D1955">
        <w:rPr>
          <w:rFonts w:cs="Calibri"/>
          <w:sz w:val="16"/>
          <w:szCs w:val="16"/>
          <w:lang w:val="en-GB"/>
        </w:rPr>
        <w:t>Underachieved</w:t>
      </w:r>
      <w:r w:rsidRPr="006428FD">
        <w:rPr>
          <w:rFonts w:cs="Calibri"/>
          <w:sz w:val="16"/>
          <w:szCs w:val="16"/>
          <w:lang w:val="en-GB"/>
        </w:rPr>
        <w:t xml:space="preserve"> (Red) = &lt; 50%</w:t>
      </w:r>
    </w:p>
  </w:footnote>
  <w:footnote w:id="2">
    <w:p w:rsidR="006428FD" w:rsidRPr="006428FD" w:rsidRDefault="006428FD" w:rsidP="006428FD">
      <w:pPr>
        <w:pStyle w:val="FootnoteText"/>
        <w:spacing w:after="0" w:line="240" w:lineRule="auto"/>
        <w:jc w:val="both"/>
        <w:rPr>
          <w:rFonts w:cs="Calibri"/>
          <w:sz w:val="16"/>
          <w:szCs w:val="16"/>
          <w:highlight w:val="yellow"/>
          <w:lang w:val="en-GB"/>
        </w:rPr>
      </w:pPr>
      <w:r w:rsidRPr="006428FD">
        <w:rPr>
          <w:rStyle w:val="FootnoteReference"/>
          <w:rFonts w:cs="Calibri"/>
          <w:sz w:val="16"/>
          <w:szCs w:val="16"/>
          <w:lang w:val="en-GB"/>
        </w:rPr>
        <w:footnoteRef/>
      </w:r>
      <w:r w:rsidRPr="006428FD">
        <w:rPr>
          <w:rFonts w:cs="Calibri"/>
          <w:sz w:val="16"/>
          <w:szCs w:val="16"/>
          <w:lang w:val="en-GB"/>
        </w:rPr>
        <w:t xml:space="preserve"> The results for 2015 was adjusted to monitor the same sample of local governments that reported both in 2013, 2015, and 2017. The overall results are based on a sample of 70 localities in 9 countries that had comparable reports for all three reporting periods. </w:t>
      </w:r>
    </w:p>
  </w:footnote>
  <w:footnote w:id="3">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Reporting on this indicator proxies local fixed capital formation with estimations of planned investments in fix capital related sectors, especially from external sources and development partners that have been captured and reported by UNCDF. It has limitation in estimating the full fixed capital of a locality, which should also include investments in fixed capital from the private sector. </w:t>
      </w:r>
    </w:p>
  </w:footnote>
  <w:footnote w:id="4">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Revised 2016 reported figure to have consistency with the methodology for calculating 2017 figures. The indicator prorates the net change in savings values in the UNCDF-supported FSPs based on the number of new clients that UNCDF directly contributed to against the total number of active clients in the FSPs. </w:t>
      </w:r>
    </w:p>
  </w:footnote>
  <w:footnote w:id="5">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Due to limited data from local governments, the indicator estimates leveraged resources by comparing UNCDF funds against all non-UNCDF funds supported to a sample number of localities supported by UNCDF. While this calculation does provide a perspective of UNCDF and non-UNCDF funds </w:t>
      </w:r>
      <w:r w:rsidR="005D1955">
        <w:rPr>
          <w:rFonts w:cs="Calibri"/>
          <w:sz w:val="16"/>
          <w:szCs w:val="16"/>
          <w:lang w:val="en-GB"/>
        </w:rPr>
        <w:t>mobilized by</w:t>
      </w:r>
      <w:r w:rsidRPr="006428FD">
        <w:rPr>
          <w:rFonts w:cs="Calibri"/>
          <w:sz w:val="16"/>
          <w:szCs w:val="16"/>
          <w:lang w:val="en-GB"/>
        </w:rPr>
        <w:t xml:space="preserve"> the localities, there are limitations in supporting a </w:t>
      </w:r>
      <w:r>
        <w:rPr>
          <w:rFonts w:cs="Calibri"/>
          <w:sz w:val="16"/>
          <w:szCs w:val="16"/>
          <w:lang w:val="en-GB"/>
        </w:rPr>
        <w:t xml:space="preserve">direct </w:t>
      </w:r>
      <w:r w:rsidRPr="006428FD">
        <w:rPr>
          <w:rFonts w:cs="Calibri"/>
          <w:sz w:val="16"/>
          <w:szCs w:val="16"/>
          <w:lang w:val="en-GB"/>
        </w:rPr>
        <w:t xml:space="preserve">causal </w:t>
      </w:r>
      <w:r w:rsidR="00EC1CC6">
        <w:rPr>
          <w:rFonts w:cs="Calibri"/>
          <w:sz w:val="16"/>
          <w:szCs w:val="16"/>
          <w:lang w:val="en-GB"/>
        </w:rPr>
        <w:t xml:space="preserve">relationship between the funds, which requires a dedicated rigorous analysis. </w:t>
      </w:r>
    </w:p>
  </w:footnote>
  <w:footnote w:id="6">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Style w:val="FootnoteReference"/>
          <w:rFonts w:cs="Calibri"/>
          <w:sz w:val="16"/>
          <w:szCs w:val="16"/>
          <w:lang w:val="en-GB"/>
        </w:rPr>
        <w:t xml:space="preserve"> </w:t>
      </w:r>
      <w:r w:rsidRPr="006428FD">
        <w:rPr>
          <w:rFonts w:cs="Calibri"/>
          <w:sz w:val="16"/>
          <w:szCs w:val="16"/>
          <w:lang w:val="en-GB"/>
        </w:rPr>
        <w:t xml:space="preserve">This indicator is reported based on a sample survey as stated in DP/2016/14 Annex 2b. The sample consists of 89 local governments from 12 countries supported by UNCDF. </w:t>
      </w:r>
    </w:p>
  </w:footnote>
  <w:footnote w:id="7">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Ibid.</w:t>
      </w:r>
    </w:p>
  </w:footnote>
  <w:footnote w:id="8">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Revised and increased target from 6 to 13 to make consistent with target in UNCDF Evaluation Plan 2014-2017. </w:t>
      </w:r>
    </w:p>
  </w:footnote>
  <w:footnote w:id="9">
    <w:p w:rsidR="006428FD" w:rsidRPr="006428FD" w:rsidRDefault="006428FD" w:rsidP="006428FD">
      <w:pPr>
        <w:pStyle w:val="FootnoteText"/>
        <w:spacing w:after="0" w:line="240" w:lineRule="auto"/>
        <w:rPr>
          <w:sz w:val="16"/>
          <w:szCs w:val="16"/>
        </w:rPr>
      </w:pPr>
      <w:r w:rsidRPr="006428FD">
        <w:rPr>
          <w:rStyle w:val="FootnoteReference"/>
          <w:sz w:val="16"/>
          <w:szCs w:val="16"/>
        </w:rPr>
        <w:footnoteRef/>
      </w:r>
      <w:r w:rsidRPr="006428FD">
        <w:rPr>
          <w:sz w:val="16"/>
          <w:szCs w:val="16"/>
        </w:rPr>
        <w:t xml:space="preserve"> The rate reflects the status of management implementation as of April 2018, which is subject to UN Board of Auditors’ review. </w:t>
      </w:r>
    </w:p>
  </w:footnote>
  <w:footnote w:id="10">
    <w:p w:rsidR="006428FD" w:rsidRPr="006428FD" w:rsidRDefault="006428FD" w:rsidP="006428FD">
      <w:pPr>
        <w:pStyle w:val="FootnoteText"/>
        <w:spacing w:after="0" w:line="240" w:lineRule="auto"/>
        <w:rPr>
          <w:rFonts w:eastAsiaTheme="minorEastAsia" w:cs="Calibri"/>
          <w:sz w:val="16"/>
          <w:szCs w:val="16"/>
          <w:lang w:eastAsia="ko-KR"/>
        </w:rPr>
      </w:pPr>
      <w:r w:rsidRPr="006428FD">
        <w:rPr>
          <w:rStyle w:val="FootnoteReference"/>
          <w:rFonts w:cs="Calibri"/>
          <w:sz w:val="16"/>
          <w:szCs w:val="16"/>
        </w:rPr>
        <w:footnoteRef/>
      </w:r>
      <w:r w:rsidRPr="006428FD">
        <w:rPr>
          <w:rFonts w:cs="Calibri"/>
          <w:sz w:val="16"/>
          <w:szCs w:val="16"/>
        </w:rPr>
        <w:t xml:space="preserve"> </w:t>
      </w:r>
      <w:r w:rsidRPr="006428FD">
        <w:rPr>
          <w:rFonts w:eastAsiaTheme="minorEastAsia" w:cs="Calibri"/>
          <w:sz w:val="16"/>
          <w:szCs w:val="16"/>
          <w:lang w:eastAsia="ko-KR"/>
        </w:rPr>
        <w:t xml:space="preserve">The figures have been marginally revised to be consistent with the audited financial statements reported to the Executive Board. </w:t>
      </w:r>
    </w:p>
  </w:footnote>
  <w:footnote w:id="11">
    <w:p w:rsidR="006428FD" w:rsidRPr="006428FD" w:rsidRDefault="006428FD" w:rsidP="006428FD">
      <w:pPr>
        <w:pStyle w:val="FootnoteText"/>
        <w:spacing w:after="0" w:line="240" w:lineRule="auto"/>
        <w:rPr>
          <w:rFonts w:cs="Calibri"/>
          <w:sz w:val="16"/>
          <w:szCs w:val="16"/>
        </w:rPr>
      </w:pPr>
      <w:r w:rsidRPr="006428FD">
        <w:rPr>
          <w:rStyle w:val="FootnoteReference"/>
          <w:rFonts w:cs="Calibri"/>
          <w:sz w:val="16"/>
          <w:szCs w:val="16"/>
        </w:rPr>
        <w:footnoteRef/>
      </w:r>
      <w:r w:rsidRPr="006428FD">
        <w:rPr>
          <w:rFonts w:cs="Calibri"/>
          <w:sz w:val="16"/>
          <w:szCs w:val="16"/>
        </w:rPr>
        <w:t xml:space="preserve"> Includes UNDP biennial support budget (BSB) and </w:t>
      </w:r>
      <w:proofErr w:type="spellStart"/>
      <w:r w:rsidRPr="006428FD">
        <w:rPr>
          <w:rFonts w:cs="Calibri"/>
          <w:sz w:val="16"/>
          <w:szCs w:val="16"/>
        </w:rPr>
        <w:t>programme</w:t>
      </w:r>
      <w:proofErr w:type="spellEnd"/>
      <w:r w:rsidRPr="006428FD">
        <w:rPr>
          <w:rFonts w:cs="Calibri"/>
          <w:sz w:val="16"/>
          <w:szCs w:val="16"/>
        </w:rPr>
        <w:t xml:space="preserve"> support to UNCDF. </w:t>
      </w:r>
    </w:p>
  </w:footnote>
  <w:footnote w:id="12">
    <w:p w:rsidR="006428FD" w:rsidRPr="006428FD" w:rsidRDefault="006428FD" w:rsidP="006428FD">
      <w:pPr>
        <w:pStyle w:val="FootnoteText"/>
        <w:spacing w:after="0" w:line="240" w:lineRule="auto"/>
        <w:rPr>
          <w:rFonts w:eastAsiaTheme="minorEastAsia" w:cs="Calibri"/>
          <w:sz w:val="16"/>
          <w:szCs w:val="16"/>
          <w:lang w:eastAsia="ko-KR"/>
        </w:rPr>
      </w:pPr>
      <w:r w:rsidRPr="006428FD">
        <w:rPr>
          <w:rStyle w:val="FootnoteReference"/>
          <w:rFonts w:cs="Calibri"/>
          <w:sz w:val="16"/>
          <w:szCs w:val="16"/>
        </w:rPr>
        <w:footnoteRef/>
      </w:r>
      <w:r w:rsidRPr="006428FD">
        <w:rPr>
          <w:rFonts w:cs="Calibri"/>
          <w:sz w:val="16"/>
          <w:szCs w:val="16"/>
        </w:rPr>
        <w:t xml:space="preserve"> </w:t>
      </w:r>
      <w:r w:rsidRPr="006428FD">
        <w:rPr>
          <w:rFonts w:eastAsiaTheme="minorEastAsia" w:cs="Calibri"/>
          <w:sz w:val="16"/>
          <w:szCs w:val="16"/>
          <w:lang w:eastAsia="ko-KR"/>
        </w:rPr>
        <w:t xml:space="preserve">The figures have been marginally revised to be consistent with the audited financial statements reported to the Executive Board. </w:t>
      </w:r>
    </w:p>
  </w:footnote>
  <w:footnote w:id="13">
    <w:p w:rsidR="006428FD" w:rsidRPr="006428FD" w:rsidRDefault="006428FD" w:rsidP="006428FD">
      <w:pPr>
        <w:pStyle w:val="FootnoteText"/>
        <w:spacing w:after="0" w:line="240" w:lineRule="auto"/>
        <w:rPr>
          <w:rFonts w:eastAsiaTheme="minorEastAsia" w:cs="Calibri"/>
          <w:sz w:val="16"/>
          <w:szCs w:val="16"/>
          <w:lang w:eastAsia="ko-KR"/>
        </w:rPr>
      </w:pPr>
      <w:r w:rsidRPr="006428FD">
        <w:rPr>
          <w:rStyle w:val="FootnoteReference"/>
          <w:rFonts w:cs="Calibri"/>
          <w:sz w:val="16"/>
          <w:szCs w:val="16"/>
        </w:rPr>
        <w:footnoteRef/>
      </w:r>
      <w:r w:rsidRPr="006428FD">
        <w:rPr>
          <w:rFonts w:cs="Calibri"/>
          <w:sz w:val="16"/>
          <w:szCs w:val="16"/>
        </w:rPr>
        <w:t xml:space="preserve"> </w:t>
      </w:r>
      <w:r w:rsidRPr="006428FD">
        <w:rPr>
          <w:rFonts w:eastAsiaTheme="minorEastAsia" w:cs="Calibri"/>
          <w:sz w:val="16"/>
          <w:szCs w:val="16"/>
          <w:lang w:eastAsia="ko-KR"/>
        </w:rPr>
        <w:t>Ibid.</w:t>
      </w:r>
    </w:p>
  </w:footnote>
  <w:footnote w:id="14">
    <w:p w:rsidR="006428FD" w:rsidRPr="006428FD" w:rsidRDefault="006428FD" w:rsidP="006428FD">
      <w:pPr>
        <w:pStyle w:val="FootnoteText"/>
        <w:spacing w:after="0" w:line="240" w:lineRule="auto"/>
        <w:jc w:val="both"/>
        <w:rPr>
          <w:rFonts w:cs="Calibri"/>
          <w:sz w:val="16"/>
          <w:szCs w:val="16"/>
          <w:highlight w:val="yellow"/>
          <w:lang w:val="en-GB"/>
        </w:rPr>
      </w:pPr>
      <w:r w:rsidRPr="006428FD">
        <w:rPr>
          <w:rStyle w:val="FootnoteReference"/>
          <w:rFonts w:cs="Calibri"/>
          <w:sz w:val="16"/>
          <w:szCs w:val="16"/>
          <w:lang w:val="en-GB"/>
        </w:rPr>
        <w:footnoteRef/>
      </w:r>
      <w:r w:rsidRPr="006428FD">
        <w:rPr>
          <w:rFonts w:cs="Calibri"/>
          <w:sz w:val="16"/>
          <w:szCs w:val="16"/>
          <w:lang w:val="en-GB"/>
        </w:rPr>
        <w:t xml:space="preserve"> FI = Financial Inclusion; LD = Local Development.  The Strategic Framework target is to have country programmes in 40 LDCs. However, the targets were reconfigured to take account of reduced resources as of 2016.</w:t>
      </w:r>
    </w:p>
  </w:footnote>
  <w:footnote w:id="15">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Style w:val="FootnoteReference"/>
          <w:rFonts w:cs="Calibri"/>
          <w:sz w:val="16"/>
          <w:szCs w:val="16"/>
          <w:lang w:val="en-GB"/>
        </w:rPr>
        <w:t xml:space="preserve"> </w:t>
      </w:r>
      <w:r w:rsidRPr="006428FD">
        <w:rPr>
          <w:rFonts w:cs="Calibri"/>
          <w:sz w:val="16"/>
          <w:szCs w:val="16"/>
          <w:lang w:val="en-GB"/>
        </w:rPr>
        <w:t xml:space="preserve">Changed order and numbering of indicator 1.2.10 and its sub-indicators 1.2.10.a and 1.2.10.b. </w:t>
      </w:r>
    </w:p>
  </w:footnote>
  <w:footnote w:id="16">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The Global Staff Survey was not conducted for 2017.</w:t>
      </w:r>
    </w:p>
  </w:footnote>
  <w:footnote w:id="17">
    <w:p w:rsidR="006428FD" w:rsidRPr="006428FD" w:rsidRDefault="006428FD" w:rsidP="006428FD">
      <w:pPr>
        <w:pStyle w:val="FootnoteText"/>
        <w:spacing w:after="0" w:line="240" w:lineRule="auto"/>
        <w:rPr>
          <w:rFonts w:cs="Calibri"/>
          <w:sz w:val="16"/>
          <w:szCs w:val="16"/>
        </w:rPr>
      </w:pPr>
      <w:r w:rsidRPr="006428FD">
        <w:rPr>
          <w:rStyle w:val="FootnoteReference"/>
          <w:rFonts w:cs="Calibri"/>
          <w:sz w:val="16"/>
          <w:szCs w:val="16"/>
        </w:rPr>
        <w:footnoteRef/>
      </w:r>
      <w:r w:rsidRPr="006428FD">
        <w:rPr>
          <w:rFonts w:cs="Calibri"/>
          <w:sz w:val="16"/>
          <w:szCs w:val="16"/>
        </w:rPr>
        <w:t xml:space="preserve"> </w:t>
      </w:r>
      <w:r w:rsidRPr="006428FD">
        <w:rPr>
          <w:rFonts w:cs="Calibri"/>
          <w:sz w:val="16"/>
          <w:szCs w:val="16"/>
          <w:lang w:val="en-GB"/>
        </w:rPr>
        <w:t>Ibid.</w:t>
      </w:r>
    </w:p>
  </w:footnote>
  <w:footnote w:id="18">
    <w:p w:rsidR="006428FD" w:rsidRPr="006428FD" w:rsidRDefault="006428FD" w:rsidP="006428FD">
      <w:pPr>
        <w:pStyle w:val="FootnoteText"/>
        <w:spacing w:after="0" w:line="240" w:lineRule="auto"/>
        <w:rPr>
          <w:rFonts w:cs="Calibri"/>
          <w:sz w:val="16"/>
          <w:szCs w:val="16"/>
        </w:rPr>
      </w:pPr>
      <w:r w:rsidRPr="006428FD">
        <w:rPr>
          <w:rStyle w:val="FootnoteReference"/>
          <w:rFonts w:cs="Calibri"/>
          <w:sz w:val="16"/>
          <w:szCs w:val="16"/>
        </w:rPr>
        <w:footnoteRef/>
      </w:r>
      <w:r w:rsidRPr="006428FD">
        <w:rPr>
          <w:rFonts w:cs="Calibri"/>
          <w:sz w:val="16"/>
          <w:szCs w:val="16"/>
        </w:rPr>
        <w:t xml:space="preserve"> </w:t>
      </w:r>
      <w:r w:rsidRPr="006428FD">
        <w:rPr>
          <w:rFonts w:cs="Calibri"/>
          <w:sz w:val="16"/>
          <w:szCs w:val="16"/>
          <w:lang w:val="en-GB"/>
        </w:rPr>
        <w:t>Ibid.</w:t>
      </w:r>
    </w:p>
  </w:footnote>
  <w:footnote w:id="19">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Previous years’ figures were revised to make consistent with the methodology for reporting in 2017.</w:t>
      </w:r>
    </w:p>
  </w:footnote>
  <w:footnote w:id="20">
    <w:p w:rsidR="006428FD" w:rsidRPr="006428FD" w:rsidRDefault="006428FD" w:rsidP="006428FD">
      <w:pPr>
        <w:pStyle w:val="FootnoteText"/>
        <w:spacing w:after="0" w:line="240" w:lineRule="auto"/>
        <w:jc w:val="both"/>
        <w:rPr>
          <w:rFonts w:cs="Calibri"/>
          <w:sz w:val="16"/>
          <w:szCs w:val="16"/>
          <w:lang w:val="en-GB"/>
        </w:rPr>
      </w:pPr>
      <w:r w:rsidRPr="006428FD">
        <w:rPr>
          <w:rStyle w:val="FootnoteReference"/>
          <w:rFonts w:cs="Calibri"/>
          <w:sz w:val="16"/>
          <w:szCs w:val="16"/>
          <w:lang w:val="en-GB"/>
        </w:rPr>
        <w:footnoteRef/>
      </w:r>
      <w:r w:rsidRPr="006428FD">
        <w:rPr>
          <w:rFonts w:cs="Calibri"/>
          <w:sz w:val="16"/>
          <w:szCs w:val="16"/>
          <w:lang w:val="en-GB"/>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FD" w:rsidRDefault="006428FD" w:rsidP="004E57AA">
    <w:pPr>
      <w:pStyle w:val="Header"/>
      <w:tabs>
        <w:tab w:val="clear" w:pos="4680"/>
        <w:tab w:val="clear" w:pos="9360"/>
        <w:tab w:val="left" w:pos="12795"/>
      </w:tabs>
    </w:pPr>
    <w:r>
      <w:rPr>
        <w:noProof/>
        <w:lang w:eastAsia="ko-KR"/>
      </w:rPr>
      <w:drawing>
        <wp:anchor distT="0" distB="0" distL="114300" distR="114300" simplePos="0" relativeHeight="251657728" behindDoc="0" locked="0" layoutInCell="1" allowOverlap="1">
          <wp:simplePos x="0" y="0"/>
          <wp:positionH relativeFrom="margin">
            <wp:posOffset>8018145</wp:posOffset>
          </wp:positionH>
          <wp:positionV relativeFrom="margin">
            <wp:posOffset>-447675</wp:posOffset>
          </wp:positionV>
          <wp:extent cx="977265" cy="952500"/>
          <wp:effectExtent l="0" t="0" r="0" b="0"/>
          <wp:wrapSquare wrapText="bothSides"/>
          <wp:docPr id="2" name="Picture 2" descr="UNCDF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DF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224B1"/>
    <w:multiLevelType w:val="multilevel"/>
    <w:tmpl w:val="872405F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6C119C"/>
    <w:multiLevelType w:val="hybridMultilevel"/>
    <w:tmpl w:val="AE36C390"/>
    <w:lvl w:ilvl="0" w:tplc="3B243ADE">
      <w:numFmt w:val="bullet"/>
      <w:lvlText w:val="-"/>
      <w:lvlJc w:val="left"/>
      <w:pPr>
        <w:ind w:left="720" w:hanging="360"/>
      </w:pPr>
      <w:rPr>
        <w:rFonts w:ascii="Calibri" w:eastAsia="Times New Roman" w:hAnsi="Calibri"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BF"/>
    <w:rsid w:val="00000F2B"/>
    <w:rsid w:val="00005A31"/>
    <w:rsid w:val="00012A77"/>
    <w:rsid w:val="00012CDD"/>
    <w:rsid w:val="000208D5"/>
    <w:rsid w:val="00021A9E"/>
    <w:rsid w:val="00025888"/>
    <w:rsid w:val="000412B0"/>
    <w:rsid w:val="00045EA3"/>
    <w:rsid w:val="00046299"/>
    <w:rsid w:val="000521A0"/>
    <w:rsid w:val="000553F4"/>
    <w:rsid w:val="000569B7"/>
    <w:rsid w:val="0007011C"/>
    <w:rsid w:val="000709DB"/>
    <w:rsid w:val="00077D7A"/>
    <w:rsid w:val="00087921"/>
    <w:rsid w:val="000879C4"/>
    <w:rsid w:val="00094AC9"/>
    <w:rsid w:val="00095BB2"/>
    <w:rsid w:val="000972B6"/>
    <w:rsid w:val="00097F87"/>
    <w:rsid w:val="00097FE6"/>
    <w:rsid w:val="000A4CE0"/>
    <w:rsid w:val="000B09AD"/>
    <w:rsid w:val="000B2BA2"/>
    <w:rsid w:val="000B5AE9"/>
    <w:rsid w:val="000C3823"/>
    <w:rsid w:val="000C6A0D"/>
    <w:rsid w:val="000D54E4"/>
    <w:rsid w:val="000E2ECF"/>
    <w:rsid w:val="0010155E"/>
    <w:rsid w:val="001104BC"/>
    <w:rsid w:val="0011255E"/>
    <w:rsid w:val="00115908"/>
    <w:rsid w:val="00116984"/>
    <w:rsid w:val="00123971"/>
    <w:rsid w:val="00125E03"/>
    <w:rsid w:val="0012646D"/>
    <w:rsid w:val="001311CD"/>
    <w:rsid w:val="00132B5F"/>
    <w:rsid w:val="00136248"/>
    <w:rsid w:val="001564FA"/>
    <w:rsid w:val="00160BB7"/>
    <w:rsid w:val="001623BF"/>
    <w:rsid w:val="001669AC"/>
    <w:rsid w:val="0017362C"/>
    <w:rsid w:val="001762B3"/>
    <w:rsid w:val="001771D9"/>
    <w:rsid w:val="00177FE6"/>
    <w:rsid w:val="00180DEA"/>
    <w:rsid w:val="001812A9"/>
    <w:rsid w:val="001829F9"/>
    <w:rsid w:val="00186C97"/>
    <w:rsid w:val="00197FAA"/>
    <w:rsid w:val="001A72BF"/>
    <w:rsid w:val="001B0EAB"/>
    <w:rsid w:val="001B0F81"/>
    <w:rsid w:val="001B2648"/>
    <w:rsid w:val="001B37A7"/>
    <w:rsid w:val="001B6BD0"/>
    <w:rsid w:val="001C19E1"/>
    <w:rsid w:val="001C5F3C"/>
    <w:rsid w:val="001D0E65"/>
    <w:rsid w:val="001D25D3"/>
    <w:rsid w:val="001D50D1"/>
    <w:rsid w:val="001D5463"/>
    <w:rsid w:val="001D5BD1"/>
    <w:rsid w:val="001E0178"/>
    <w:rsid w:val="001E4B7B"/>
    <w:rsid w:val="001F0D08"/>
    <w:rsid w:val="001F0F91"/>
    <w:rsid w:val="001F2A60"/>
    <w:rsid w:val="0020696E"/>
    <w:rsid w:val="002145B8"/>
    <w:rsid w:val="0021506E"/>
    <w:rsid w:val="00215AAB"/>
    <w:rsid w:val="002162C9"/>
    <w:rsid w:val="00222323"/>
    <w:rsid w:val="00226B71"/>
    <w:rsid w:val="002370D4"/>
    <w:rsid w:val="00237585"/>
    <w:rsid w:val="00237A72"/>
    <w:rsid w:val="00237ECE"/>
    <w:rsid w:val="00240AA5"/>
    <w:rsid w:val="00243623"/>
    <w:rsid w:val="002446AC"/>
    <w:rsid w:val="00246182"/>
    <w:rsid w:val="00246C11"/>
    <w:rsid w:val="00254607"/>
    <w:rsid w:val="002566D4"/>
    <w:rsid w:val="00263221"/>
    <w:rsid w:val="00265335"/>
    <w:rsid w:val="00267810"/>
    <w:rsid w:val="00267A0A"/>
    <w:rsid w:val="00267C22"/>
    <w:rsid w:val="002803FC"/>
    <w:rsid w:val="00282A88"/>
    <w:rsid w:val="002A232C"/>
    <w:rsid w:val="002A2C55"/>
    <w:rsid w:val="002A2E56"/>
    <w:rsid w:val="002A4A62"/>
    <w:rsid w:val="002A6D35"/>
    <w:rsid w:val="002A795C"/>
    <w:rsid w:val="002B014A"/>
    <w:rsid w:val="002B6D2E"/>
    <w:rsid w:val="002B7924"/>
    <w:rsid w:val="002C2C82"/>
    <w:rsid w:val="002C67A5"/>
    <w:rsid w:val="002D370D"/>
    <w:rsid w:val="002E0458"/>
    <w:rsid w:val="002E12F9"/>
    <w:rsid w:val="002E40B8"/>
    <w:rsid w:val="002E5D12"/>
    <w:rsid w:val="002E7049"/>
    <w:rsid w:val="002E72F7"/>
    <w:rsid w:val="00301EA6"/>
    <w:rsid w:val="00314A76"/>
    <w:rsid w:val="00316C4F"/>
    <w:rsid w:val="00317C98"/>
    <w:rsid w:val="0032346F"/>
    <w:rsid w:val="00330942"/>
    <w:rsid w:val="0033100C"/>
    <w:rsid w:val="00332EED"/>
    <w:rsid w:val="00340469"/>
    <w:rsid w:val="00351CA1"/>
    <w:rsid w:val="003530AA"/>
    <w:rsid w:val="00363BC7"/>
    <w:rsid w:val="003641CE"/>
    <w:rsid w:val="00365FF0"/>
    <w:rsid w:val="00370AFF"/>
    <w:rsid w:val="003759A8"/>
    <w:rsid w:val="00376421"/>
    <w:rsid w:val="003815D1"/>
    <w:rsid w:val="0038212E"/>
    <w:rsid w:val="003831E4"/>
    <w:rsid w:val="003843BE"/>
    <w:rsid w:val="00385EA4"/>
    <w:rsid w:val="003874D5"/>
    <w:rsid w:val="00391873"/>
    <w:rsid w:val="00396274"/>
    <w:rsid w:val="003A0B25"/>
    <w:rsid w:val="003A17B4"/>
    <w:rsid w:val="003A3188"/>
    <w:rsid w:val="003A53BF"/>
    <w:rsid w:val="003A6610"/>
    <w:rsid w:val="003A6C45"/>
    <w:rsid w:val="003B374C"/>
    <w:rsid w:val="003B46A0"/>
    <w:rsid w:val="003B6170"/>
    <w:rsid w:val="003C08EF"/>
    <w:rsid w:val="003C75FD"/>
    <w:rsid w:val="003D190B"/>
    <w:rsid w:val="003D478E"/>
    <w:rsid w:val="003E217E"/>
    <w:rsid w:val="003E29FB"/>
    <w:rsid w:val="003E40B3"/>
    <w:rsid w:val="003F0EBE"/>
    <w:rsid w:val="003F61AD"/>
    <w:rsid w:val="003F69FE"/>
    <w:rsid w:val="0040295C"/>
    <w:rsid w:val="00403F80"/>
    <w:rsid w:val="00413BA8"/>
    <w:rsid w:val="00414753"/>
    <w:rsid w:val="0042231E"/>
    <w:rsid w:val="004243CD"/>
    <w:rsid w:val="00425798"/>
    <w:rsid w:val="0043496B"/>
    <w:rsid w:val="00442E43"/>
    <w:rsid w:val="004526DC"/>
    <w:rsid w:val="00452AA1"/>
    <w:rsid w:val="0045778E"/>
    <w:rsid w:val="0046409B"/>
    <w:rsid w:val="0047020F"/>
    <w:rsid w:val="0047263B"/>
    <w:rsid w:val="00477569"/>
    <w:rsid w:val="00480774"/>
    <w:rsid w:val="00487881"/>
    <w:rsid w:val="004910A5"/>
    <w:rsid w:val="00491DB3"/>
    <w:rsid w:val="00493F12"/>
    <w:rsid w:val="0049452E"/>
    <w:rsid w:val="00495C8D"/>
    <w:rsid w:val="004A292B"/>
    <w:rsid w:val="004A4983"/>
    <w:rsid w:val="004B1727"/>
    <w:rsid w:val="004B38E4"/>
    <w:rsid w:val="004B72E4"/>
    <w:rsid w:val="004B79F1"/>
    <w:rsid w:val="004C2AD9"/>
    <w:rsid w:val="004C3C73"/>
    <w:rsid w:val="004D2B71"/>
    <w:rsid w:val="004D3EAE"/>
    <w:rsid w:val="004D6185"/>
    <w:rsid w:val="004E57AA"/>
    <w:rsid w:val="004E6EBB"/>
    <w:rsid w:val="004F37E5"/>
    <w:rsid w:val="004F41EB"/>
    <w:rsid w:val="004F7CBD"/>
    <w:rsid w:val="0050182F"/>
    <w:rsid w:val="00511F3B"/>
    <w:rsid w:val="00512106"/>
    <w:rsid w:val="005123CC"/>
    <w:rsid w:val="0051261E"/>
    <w:rsid w:val="00515430"/>
    <w:rsid w:val="00515794"/>
    <w:rsid w:val="005160F1"/>
    <w:rsid w:val="00516EDF"/>
    <w:rsid w:val="00517BD1"/>
    <w:rsid w:val="00520401"/>
    <w:rsid w:val="005359AC"/>
    <w:rsid w:val="005362B2"/>
    <w:rsid w:val="005368DD"/>
    <w:rsid w:val="005461CB"/>
    <w:rsid w:val="005474B9"/>
    <w:rsid w:val="00550913"/>
    <w:rsid w:val="005557AC"/>
    <w:rsid w:val="00557D23"/>
    <w:rsid w:val="00572160"/>
    <w:rsid w:val="005744AB"/>
    <w:rsid w:val="005777AE"/>
    <w:rsid w:val="00582A6B"/>
    <w:rsid w:val="00585AF6"/>
    <w:rsid w:val="00591F29"/>
    <w:rsid w:val="005929E7"/>
    <w:rsid w:val="005955ED"/>
    <w:rsid w:val="005A276E"/>
    <w:rsid w:val="005B0373"/>
    <w:rsid w:val="005B12C8"/>
    <w:rsid w:val="005B1907"/>
    <w:rsid w:val="005B2A34"/>
    <w:rsid w:val="005C0B18"/>
    <w:rsid w:val="005C1429"/>
    <w:rsid w:val="005C4F36"/>
    <w:rsid w:val="005C7125"/>
    <w:rsid w:val="005D1955"/>
    <w:rsid w:val="005D256E"/>
    <w:rsid w:val="005E3F7C"/>
    <w:rsid w:val="005E53DB"/>
    <w:rsid w:val="005E659A"/>
    <w:rsid w:val="005F2173"/>
    <w:rsid w:val="00601C46"/>
    <w:rsid w:val="006029EB"/>
    <w:rsid w:val="00603244"/>
    <w:rsid w:val="006072D1"/>
    <w:rsid w:val="00610C12"/>
    <w:rsid w:val="00620829"/>
    <w:rsid w:val="0062384A"/>
    <w:rsid w:val="00626B4A"/>
    <w:rsid w:val="00636096"/>
    <w:rsid w:val="00642633"/>
    <w:rsid w:val="006428FD"/>
    <w:rsid w:val="00645495"/>
    <w:rsid w:val="006626C1"/>
    <w:rsid w:val="00666855"/>
    <w:rsid w:val="006725A7"/>
    <w:rsid w:val="006740A6"/>
    <w:rsid w:val="0068172B"/>
    <w:rsid w:val="006827D7"/>
    <w:rsid w:val="00686E48"/>
    <w:rsid w:val="006916A9"/>
    <w:rsid w:val="00693A5C"/>
    <w:rsid w:val="006A18C9"/>
    <w:rsid w:val="006A298B"/>
    <w:rsid w:val="006B270F"/>
    <w:rsid w:val="006B2F09"/>
    <w:rsid w:val="006B4435"/>
    <w:rsid w:val="006C03CA"/>
    <w:rsid w:val="006C2CDA"/>
    <w:rsid w:val="006C42BE"/>
    <w:rsid w:val="006C7E1A"/>
    <w:rsid w:val="006D1217"/>
    <w:rsid w:val="006D1E59"/>
    <w:rsid w:val="006D4335"/>
    <w:rsid w:val="006E4372"/>
    <w:rsid w:val="006F203D"/>
    <w:rsid w:val="006F2919"/>
    <w:rsid w:val="006F320B"/>
    <w:rsid w:val="007001F5"/>
    <w:rsid w:val="00701C07"/>
    <w:rsid w:val="007056D2"/>
    <w:rsid w:val="00705F2C"/>
    <w:rsid w:val="0071394B"/>
    <w:rsid w:val="0071654F"/>
    <w:rsid w:val="00720A6F"/>
    <w:rsid w:val="00720CA6"/>
    <w:rsid w:val="00720E06"/>
    <w:rsid w:val="00721DAB"/>
    <w:rsid w:val="00723FF3"/>
    <w:rsid w:val="0072422C"/>
    <w:rsid w:val="00726367"/>
    <w:rsid w:val="0073028A"/>
    <w:rsid w:val="00731688"/>
    <w:rsid w:val="00741257"/>
    <w:rsid w:val="00744316"/>
    <w:rsid w:val="00753726"/>
    <w:rsid w:val="00754D10"/>
    <w:rsid w:val="00761DC5"/>
    <w:rsid w:val="00762BFE"/>
    <w:rsid w:val="00773DEE"/>
    <w:rsid w:val="00777D37"/>
    <w:rsid w:val="00780EE2"/>
    <w:rsid w:val="00784330"/>
    <w:rsid w:val="007850E4"/>
    <w:rsid w:val="00786789"/>
    <w:rsid w:val="00790D7C"/>
    <w:rsid w:val="0079375C"/>
    <w:rsid w:val="007970BB"/>
    <w:rsid w:val="007A2746"/>
    <w:rsid w:val="007B2475"/>
    <w:rsid w:val="007B4767"/>
    <w:rsid w:val="007C019C"/>
    <w:rsid w:val="007C1954"/>
    <w:rsid w:val="007C2A1E"/>
    <w:rsid w:val="007C4969"/>
    <w:rsid w:val="007C67F8"/>
    <w:rsid w:val="007C7597"/>
    <w:rsid w:val="007D14E8"/>
    <w:rsid w:val="007D2FEB"/>
    <w:rsid w:val="007E780B"/>
    <w:rsid w:val="007F1481"/>
    <w:rsid w:val="007F6E5C"/>
    <w:rsid w:val="008025FD"/>
    <w:rsid w:val="00810D1F"/>
    <w:rsid w:val="00812DCC"/>
    <w:rsid w:val="00813BB9"/>
    <w:rsid w:val="00813CD0"/>
    <w:rsid w:val="0082117D"/>
    <w:rsid w:val="00823BF0"/>
    <w:rsid w:val="00826E5C"/>
    <w:rsid w:val="00830511"/>
    <w:rsid w:val="00833F24"/>
    <w:rsid w:val="00835D4F"/>
    <w:rsid w:val="00836136"/>
    <w:rsid w:val="00841B02"/>
    <w:rsid w:val="00843D4F"/>
    <w:rsid w:val="00845494"/>
    <w:rsid w:val="0085085F"/>
    <w:rsid w:val="00856051"/>
    <w:rsid w:val="0085681C"/>
    <w:rsid w:val="008623EE"/>
    <w:rsid w:val="0086493D"/>
    <w:rsid w:val="00866FF9"/>
    <w:rsid w:val="00873314"/>
    <w:rsid w:val="0087642B"/>
    <w:rsid w:val="008805B1"/>
    <w:rsid w:val="00880F2C"/>
    <w:rsid w:val="00887E95"/>
    <w:rsid w:val="00891BAD"/>
    <w:rsid w:val="0089422B"/>
    <w:rsid w:val="00896506"/>
    <w:rsid w:val="008A0434"/>
    <w:rsid w:val="008A23C8"/>
    <w:rsid w:val="008A42BB"/>
    <w:rsid w:val="008B75E0"/>
    <w:rsid w:val="008C17E1"/>
    <w:rsid w:val="008C31CA"/>
    <w:rsid w:val="008C3756"/>
    <w:rsid w:val="008C3A20"/>
    <w:rsid w:val="008C6C52"/>
    <w:rsid w:val="008C74BE"/>
    <w:rsid w:val="008D11DA"/>
    <w:rsid w:val="008D3529"/>
    <w:rsid w:val="008E6BF1"/>
    <w:rsid w:val="008E737F"/>
    <w:rsid w:val="008F54BE"/>
    <w:rsid w:val="008F5BF6"/>
    <w:rsid w:val="00904CF5"/>
    <w:rsid w:val="009063F7"/>
    <w:rsid w:val="00907D4B"/>
    <w:rsid w:val="009116E2"/>
    <w:rsid w:val="009149BA"/>
    <w:rsid w:val="00917BDF"/>
    <w:rsid w:val="00921A74"/>
    <w:rsid w:val="009313BA"/>
    <w:rsid w:val="0093461C"/>
    <w:rsid w:val="00935251"/>
    <w:rsid w:val="00937464"/>
    <w:rsid w:val="0094013E"/>
    <w:rsid w:val="00940571"/>
    <w:rsid w:val="00942633"/>
    <w:rsid w:val="00942C53"/>
    <w:rsid w:val="00945E14"/>
    <w:rsid w:val="009530B9"/>
    <w:rsid w:val="0095533D"/>
    <w:rsid w:val="00956BC4"/>
    <w:rsid w:val="00961857"/>
    <w:rsid w:val="00971E8E"/>
    <w:rsid w:val="0097794C"/>
    <w:rsid w:val="009779F0"/>
    <w:rsid w:val="00985B62"/>
    <w:rsid w:val="009914B0"/>
    <w:rsid w:val="009929A1"/>
    <w:rsid w:val="00995263"/>
    <w:rsid w:val="009954E9"/>
    <w:rsid w:val="00996AAB"/>
    <w:rsid w:val="009A23EA"/>
    <w:rsid w:val="009A7BAB"/>
    <w:rsid w:val="009B30E1"/>
    <w:rsid w:val="009B5B04"/>
    <w:rsid w:val="009B754A"/>
    <w:rsid w:val="009C042D"/>
    <w:rsid w:val="009C2126"/>
    <w:rsid w:val="009D506F"/>
    <w:rsid w:val="009D6367"/>
    <w:rsid w:val="009D6B76"/>
    <w:rsid w:val="009D6F36"/>
    <w:rsid w:val="009E4B98"/>
    <w:rsid w:val="009E508E"/>
    <w:rsid w:val="009F0435"/>
    <w:rsid w:val="009F0B91"/>
    <w:rsid w:val="009F7607"/>
    <w:rsid w:val="009F7F28"/>
    <w:rsid w:val="00A01588"/>
    <w:rsid w:val="00A022BB"/>
    <w:rsid w:val="00A17CA3"/>
    <w:rsid w:val="00A21B56"/>
    <w:rsid w:val="00A21D04"/>
    <w:rsid w:val="00A22E14"/>
    <w:rsid w:val="00A24032"/>
    <w:rsid w:val="00A27C62"/>
    <w:rsid w:val="00A30374"/>
    <w:rsid w:val="00A32361"/>
    <w:rsid w:val="00A373CF"/>
    <w:rsid w:val="00A379E9"/>
    <w:rsid w:val="00A41492"/>
    <w:rsid w:val="00A41719"/>
    <w:rsid w:val="00A42D8B"/>
    <w:rsid w:val="00A50267"/>
    <w:rsid w:val="00A62771"/>
    <w:rsid w:val="00A63385"/>
    <w:rsid w:val="00A675BA"/>
    <w:rsid w:val="00A8353C"/>
    <w:rsid w:val="00A86EF3"/>
    <w:rsid w:val="00A95334"/>
    <w:rsid w:val="00A96AD9"/>
    <w:rsid w:val="00AA004F"/>
    <w:rsid w:val="00AA00D1"/>
    <w:rsid w:val="00AA22EA"/>
    <w:rsid w:val="00AA29D0"/>
    <w:rsid w:val="00AA3CC0"/>
    <w:rsid w:val="00AA62FB"/>
    <w:rsid w:val="00AB3CEC"/>
    <w:rsid w:val="00AC18FF"/>
    <w:rsid w:val="00AC23ED"/>
    <w:rsid w:val="00AC5424"/>
    <w:rsid w:val="00AC60BF"/>
    <w:rsid w:val="00AD2916"/>
    <w:rsid w:val="00AD4476"/>
    <w:rsid w:val="00AD449B"/>
    <w:rsid w:val="00AE2488"/>
    <w:rsid w:val="00AF003C"/>
    <w:rsid w:val="00AF11A0"/>
    <w:rsid w:val="00AF4044"/>
    <w:rsid w:val="00AF4222"/>
    <w:rsid w:val="00B02751"/>
    <w:rsid w:val="00B04246"/>
    <w:rsid w:val="00B1136E"/>
    <w:rsid w:val="00B27BAC"/>
    <w:rsid w:val="00B322EF"/>
    <w:rsid w:val="00B32596"/>
    <w:rsid w:val="00B40A29"/>
    <w:rsid w:val="00B51F3F"/>
    <w:rsid w:val="00B54193"/>
    <w:rsid w:val="00B62BE0"/>
    <w:rsid w:val="00B63822"/>
    <w:rsid w:val="00B65E05"/>
    <w:rsid w:val="00B67F6B"/>
    <w:rsid w:val="00B72506"/>
    <w:rsid w:val="00B73676"/>
    <w:rsid w:val="00B77CBB"/>
    <w:rsid w:val="00B829FF"/>
    <w:rsid w:val="00B82A82"/>
    <w:rsid w:val="00B875FF"/>
    <w:rsid w:val="00B94163"/>
    <w:rsid w:val="00BA3FA8"/>
    <w:rsid w:val="00BA5ADC"/>
    <w:rsid w:val="00BA6706"/>
    <w:rsid w:val="00BB29F0"/>
    <w:rsid w:val="00BB3407"/>
    <w:rsid w:val="00BB358B"/>
    <w:rsid w:val="00BB495D"/>
    <w:rsid w:val="00BB5D80"/>
    <w:rsid w:val="00BB6A93"/>
    <w:rsid w:val="00BC1212"/>
    <w:rsid w:val="00BC29CA"/>
    <w:rsid w:val="00BC39D1"/>
    <w:rsid w:val="00BD6036"/>
    <w:rsid w:val="00BE3AA5"/>
    <w:rsid w:val="00BF43A9"/>
    <w:rsid w:val="00BF6F5E"/>
    <w:rsid w:val="00C01035"/>
    <w:rsid w:val="00C02F6C"/>
    <w:rsid w:val="00C05E71"/>
    <w:rsid w:val="00C15109"/>
    <w:rsid w:val="00C206C9"/>
    <w:rsid w:val="00C27294"/>
    <w:rsid w:val="00C31AC5"/>
    <w:rsid w:val="00C345B6"/>
    <w:rsid w:val="00C34E93"/>
    <w:rsid w:val="00C35C57"/>
    <w:rsid w:val="00C40711"/>
    <w:rsid w:val="00C46899"/>
    <w:rsid w:val="00C50751"/>
    <w:rsid w:val="00C52C82"/>
    <w:rsid w:val="00C55B0F"/>
    <w:rsid w:val="00C61CF3"/>
    <w:rsid w:val="00C64441"/>
    <w:rsid w:val="00C64B75"/>
    <w:rsid w:val="00C656D7"/>
    <w:rsid w:val="00C73988"/>
    <w:rsid w:val="00C8455F"/>
    <w:rsid w:val="00C8623F"/>
    <w:rsid w:val="00C94940"/>
    <w:rsid w:val="00C962BC"/>
    <w:rsid w:val="00CB6F52"/>
    <w:rsid w:val="00CC651D"/>
    <w:rsid w:val="00CC6A68"/>
    <w:rsid w:val="00CD02FB"/>
    <w:rsid w:val="00CD597A"/>
    <w:rsid w:val="00CE3035"/>
    <w:rsid w:val="00CE37DB"/>
    <w:rsid w:val="00D00103"/>
    <w:rsid w:val="00D0063A"/>
    <w:rsid w:val="00D042E8"/>
    <w:rsid w:val="00D10675"/>
    <w:rsid w:val="00D1139F"/>
    <w:rsid w:val="00D21E7D"/>
    <w:rsid w:val="00D26AAE"/>
    <w:rsid w:val="00D33E1C"/>
    <w:rsid w:val="00D36F16"/>
    <w:rsid w:val="00D4286A"/>
    <w:rsid w:val="00D5038E"/>
    <w:rsid w:val="00D50AAC"/>
    <w:rsid w:val="00D50AED"/>
    <w:rsid w:val="00D53371"/>
    <w:rsid w:val="00D55B5F"/>
    <w:rsid w:val="00D60389"/>
    <w:rsid w:val="00D6349A"/>
    <w:rsid w:val="00D71406"/>
    <w:rsid w:val="00D746E2"/>
    <w:rsid w:val="00D74AA2"/>
    <w:rsid w:val="00D87799"/>
    <w:rsid w:val="00D94798"/>
    <w:rsid w:val="00DA376D"/>
    <w:rsid w:val="00DB0BBB"/>
    <w:rsid w:val="00DC708C"/>
    <w:rsid w:val="00DD1DFF"/>
    <w:rsid w:val="00DD4B57"/>
    <w:rsid w:val="00DE01E9"/>
    <w:rsid w:val="00DE0F89"/>
    <w:rsid w:val="00DE19F9"/>
    <w:rsid w:val="00DF5067"/>
    <w:rsid w:val="00E0345D"/>
    <w:rsid w:val="00E06297"/>
    <w:rsid w:val="00E11162"/>
    <w:rsid w:val="00E13FF5"/>
    <w:rsid w:val="00E233C8"/>
    <w:rsid w:val="00E257F3"/>
    <w:rsid w:val="00E2587A"/>
    <w:rsid w:val="00E34671"/>
    <w:rsid w:val="00E4693F"/>
    <w:rsid w:val="00E46FC9"/>
    <w:rsid w:val="00E4735F"/>
    <w:rsid w:val="00E53115"/>
    <w:rsid w:val="00E5525B"/>
    <w:rsid w:val="00E567A5"/>
    <w:rsid w:val="00E61E2A"/>
    <w:rsid w:val="00E621D5"/>
    <w:rsid w:val="00E62914"/>
    <w:rsid w:val="00E645CF"/>
    <w:rsid w:val="00E65833"/>
    <w:rsid w:val="00E76D1F"/>
    <w:rsid w:val="00E808D0"/>
    <w:rsid w:val="00E827A4"/>
    <w:rsid w:val="00E87DCD"/>
    <w:rsid w:val="00E9206C"/>
    <w:rsid w:val="00EA04A0"/>
    <w:rsid w:val="00EA0631"/>
    <w:rsid w:val="00EA0737"/>
    <w:rsid w:val="00EA7298"/>
    <w:rsid w:val="00EB6A09"/>
    <w:rsid w:val="00EC1CC6"/>
    <w:rsid w:val="00EC6F06"/>
    <w:rsid w:val="00ED002A"/>
    <w:rsid w:val="00ED0DF8"/>
    <w:rsid w:val="00ED2022"/>
    <w:rsid w:val="00ED3257"/>
    <w:rsid w:val="00ED4246"/>
    <w:rsid w:val="00ED66E4"/>
    <w:rsid w:val="00EE598B"/>
    <w:rsid w:val="00EE6D5E"/>
    <w:rsid w:val="00EF3772"/>
    <w:rsid w:val="00EF4247"/>
    <w:rsid w:val="00EF4FA5"/>
    <w:rsid w:val="00F23EC1"/>
    <w:rsid w:val="00F263CD"/>
    <w:rsid w:val="00F31F18"/>
    <w:rsid w:val="00F357AD"/>
    <w:rsid w:val="00F45476"/>
    <w:rsid w:val="00F45ED6"/>
    <w:rsid w:val="00F461BB"/>
    <w:rsid w:val="00F509C3"/>
    <w:rsid w:val="00F515D5"/>
    <w:rsid w:val="00F54472"/>
    <w:rsid w:val="00F62B32"/>
    <w:rsid w:val="00F64E97"/>
    <w:rsid w:val="00F71DEC"/>
    <w:rsid w:val="00F72641"/>
    <w:rsid w:val="00F730EE"/>
    <w:rsid w:val="00F759C0"/>
    <w:rsid w:val="00F779E9"/>
    <w:rsid w:val="00F77F8B"/>
    <w:rsid w:val="00F8068B"/>
    <w:rsid w:val="00F80E74"/>
    <w:rsid w:val="00F86B5C"/>
    <w:rsid w:val="00F946A5"/>
    <w:rsid w:val="00FA21AF"/>
    <w:rsid w:val="00FA253B"/>
    <w:rsid w:val="00FB5394"/>
    <w:rsid w:val="00FB67E2"/>
    <w:rsid w:val="00FC5AE4"/>
    <w:rsid w:val="00FC7E9D"/>
    <w:rsid w:val="00FD21AE"/>
    <w:rsid w:val="00FD65C7"/>
    <w:rsid w:val="00FD699B"/>
    <w:rsid w:val="00FE1955"/>
    <w:rsid w:val="00FF2DF0"/>
    <w:rsid w:val="00FF5231"/>
    <w:rsid w:val="00FF79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271A0-4472-4C8B-B4CA-004FA1B7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67"/>
    <w:pPr>
      <w:spacing w:after="160" w:line="259"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54193"/>
  </w:style>
  <w:style w:type="character" w:customStyle="1" w:styleId="DateChar">
    <w:name w:val="Date Char"/>
    <w:basedOn w:val="DefaultParagraphFont"/>
    <w:link w:val="Date"/>
    <w:uiPriority w:val="99"/>
    <w:semiHidden/>
    <w:rsid w:val="00B54193"/>
  </w:style>
  <w:style w:type="paragraph" w:styleId="Header">
    <w:name w:val="header"/>
    <w:basedOn w:val="Normal"/>
    <w:link w:val="HeaderChar"/>
    <w:uiPriority w:val="99"/>
    <w:unhideWhenUsed/>
    <w:rsid w:val="0094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571"/>
  </w:style>
  <w:style w:type="paragraph" w:styleId="Footer">
    <w:name w:val="footer"/>
    <w:basedOn w:val="Normal"/>
    <w:link w:val="FooterChar"/>
    <w:uiPriority w:val="99"/>
    <w:unhideWhenUsed/>
    <w:rsid w:val="0094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571"/>
  </w:style>
  <w:style w:type="paragraph" w:customStyle="1" w:styleId="ColorfulList-Accent11">
    <w:name w:val="Colorful List - Accent 11"/>
    <w:basedOn w:val="Normal"/>
    <w:uiPriority w:val="34"/>
    <w:qFormat/>
    <w:rsid w:val="00EF4247"/>
    <w:pPr>
      <w:ind w:left="720"/>
      <w:contextualSpacing/>
    </w:pPr>
  </w:style>
  <w:style w:type="paragraph" w:styleId="BalloonText">
    <w:name w:val="Balloon Text"/>
    <w:basedOn w:val="Normal"/>
    <w:link w:val="BalloonTextChar"/>
    <w:uiPriority w:val="99"/>
    <w:semiHidden/>
    <w:unhideWhenUsed/>
    <w:rsid w:val="0068172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172B"/>
    <w:rPr>
      <w:rFonts w:ascii="Segoe UI" w:hAnsi="Segoe UI" w:cs="Segoe UI"/>
      <w:sz w:val="18"/>
      <w:szCs w:val="18"/>
    </w:rPr>
  </w:style>
  <w:style w:type="character" w:styleId="CommentReference">
    <w:name w:val="annotation reference"/>
    <w:uiPriority w:val="99"/>
    <w:semiHidden/>
    <w:unhideWhenUsed/>
    <w:rsid w:val="00452AA1"/>
    <w:rPr>
      <w:sz w:val="16"/>
      <w:szCs w:val="16"/>
    </w:rPr>
  </w:style>
  <w:style w:type="paragraph" w:styleId="CommentText">
    <w:name w:val="annotation text"/>
    <w:basedOn w:val="Normal"/>
    <w:link w:val="CommentTextChar"/>
    <w:uiPriority w:val="99"/>
    <w:semiHidden/>
    <w:unhideWhenUsed/>
    <w:rsid w:val="00452AA1"/>
    <w:pPr>
      <w:spacing w:line="240" w:lineRule="auto"/>
    </w:pPr>
    <w:rPr>
      <w:sz w:val="20"/>
      <w:szCs w:val="20"/>
    </w:rPr>
  </w:style>
  <w:style w:type="character" w:customStyle="1" w:styleId="CommentTextChar">
    <w:name w:val="Comment Text Char"/>
    <w:link w:val="CommentText"/>
    <w:uiPriority w:val="99"/>
    <w:semiHidden/>
    <w:rsid w:val="00452AA1"/>
    <w:rPr>
      <w:sz w:val="20"/>
      <w:szCs w:val="20"/>
    </w:rPr>
  </w:style>
  <w:style w:type="paragraph" w:styleId="CommentSubject">
    <w:name w:val="annotation subject"/>
    <w:basedOn w:val="CommentText"/>
    <w:next w:val="CommentText"/>
    <w:link w:val="CommentSubjectChar"/>
    <w:uiPriority w:val="99"/>
    <w:semiHidden/>
    <w:unhideWhenUsed/>
    <w:rsid w:val="00452AA1"/>
    <w:rPr>
      <w:b/>
      <w:bCs/>
    </w:rPr>
  </w:style>
  <w:style w:type="character" w:customStyle="1" w:styleId="CommentSubjectChar">
    <w:name w:val="Comment Subject Char"/>
    <w:link w:val="CommentSubject"/>
    <w:uiPriority w:val="99"/>
    <w:semiHidden/>
    <w:rsid w:val="00452AA1"/>
    <w:rPr>
      <w:b/>
      <w:bCs/>
      <w:sz w:val="20"/>
      <w:szCs w:val="20"/>
    </w:rPr>
  </w:style>
  <w:style w:type="paragraph" w:styleId="EndnoteText">
    <w:name w:val="endnote text"/>
    <w:basedOn w:val="Normal"/>
    <w:link w:val="EndnoteTextChar"/>
    <w:uiPriority w:val="99"/>
    <w:semiHidden/>
    <w:unhideWhenUsed/>
    <w:rsid w:val="003815D1"/>
    <w:rPr>
      <w:sz w:val="20"/>
      <w:szCs w:val="20"/>
    </w:rPr>
  </w:style>
  <w:style w:type="character" w:customStyle="1" w:styleId="EndnoteTextChar">
    <w:name w:val="Endnote Text Char"/>
    <w:basedOn w:val="DefaultParagraphFont"/>
    <w:link w:val="EndnoteText"/>
    <w:uiPriority w:val="99"/>
    <w:semiHidden/>
    <w:rsid w:val="003815D1"/>
  </w:style>
  <w:style w:type="character" w:styleId="EndnoteReference">
    <w:name w:val="endnote reference"/>
    <w:uiPriority w:val="99"/>
    <w:semiHidden/>
    <w:unhideWhenUsed/>
    <w:rsid w:val="003815D1"/>
    <w:rPr>
      <w:vertAlign w:val="superscript"/>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12pt"/>
    <w:basedOn w:val="Normal"/>
    <w:link w:val="FootnoteTextChar"/>
    <w:uiPriority w:val="99"/>
    <w:unhideWhenUsed/>
    <w:rsid w:val="003815D1"/>
    <w:rPr>
      <w:sz w:val="20"/>
      <w:szCs w:val="20"/>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rsid w:val="003815D1"/>
  </w:style>
  <w:style w:type="character" w:styleId="FootnoteReference">
    <w:name w:val="footnote reference"/>
    <w:aliases w:val="16 Point,Superscript 6 Point,ftref"/>
    <w:uiPriority w:val="99"/>
    <w:unhideWhenUsed/>
    <w:rsid w:val="003815D1"/>
    <w:rPr>
      <w:vertAlign w:val="superscript"/>
    </w:rPr>
  </w:style>
  <w:style w:type="paragraph" w:styleId="DocumentMap">
    <w:name w:val="Document Map"/>
    <w:basedOn w:val="Normal"/>
    <w:link w:val="DocumentMapChar"/>
    <w:uiPriority w:val="99"/>
    <w:semiHidden/>
    <w:unhideWhenUsed/>
    <w:rsid w:val="00363BC7"/>
    <w:rPr>
      <w:rFonts w:ascii="Times New Roman" w:hAnsi="Times New Roman"/>
      <w:sz w:val="24"/>
      <w:szCs w:val="24"/>
    </w:rPr>
  </w:style>
  <w:style w:type="character" w:customStyle="1" w:styleId="DocumentMapChar">
    <w:name w:val="Document Map Char"/>
    <w:link w:val="DocumentMap"/>
    <w:uiPriority w:val="99"/>
    <w:semiHidden/>
    <w:rsid w:val="00363BC7"/>
    <w:rPr>
      <w:rFonts w:ascii="Times New Roman" w:hAnsi="Times New Roman"/>
      <w:sz w:val="24"/>
      <w:szCs w:val="24"/>
      <w:lang w:eastAsia="ja-JP"/>
    </w:rPr>
  </w:style>
  <w:style w:type="paragraph" w:customStyle="1" w:styleId="TableParagraph">
    <w:name w:val="Table Paragraph"/>
    <w:basedOn w:val="Normal"/>
    <w:uiPriority w:val="1"/>
    <w:qFormat/>
    <w:rsid w:val="00BC29CA"/>
    <w:pPr>
      <w:widowControl w:val="0"/>
      <w:spacing w:after="0" w:line="240" w:lineRule="auto"/>
      <w:ind w:left="103"/>
    </w:pPr>
    <w:rPr>
      <w:rFonts w:eastAsia="Calibri" w:cs="Calibri"/>
      <w:lang w:eastAsia="en-US"/>
    </w:rPr>
  </w:style>
  <w:style w:type="table" w:styleId="TableGrid">
    <w:name w:val="Table Grid"/>
    <w:basedOn w:val="TableNormal"/>
    <w:uiPriority w:val="39"/>
    <w:rsid w:val="00BC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104">
      <w:bodyDiv w:val="1"/>
      <w:marLeft w:val="0"/>
      <w:marRight w:val="0"/>
      <w:marTop w:val="0"/>
      <w:marBottom w:val="0"/>
      <w:divBdr>
        <w:top w:val="none" w:sz="0" w:space="0" w:color="auto"/>
        <w:left w:val="none" w:sz="0" w:space="0" w:color="auto"/>
        <w:bottom w:val="none" w:sz="0" w:space="0" w:color="auto"/>
        <w:right w:val="none" w:sz="0" w:space="0" w:color="auto"/>
      </w:divBdr>
    </w:div>
    <w:div w:id="140075271">
      <w:bodyDiv w:val="1"/>
      <w:marLeft w:val="0"/>
      <w:marRight w:val="0"/>
      <w:marTop w:val="0"/>
      <w:marBottom w:val="0"/>
      <w:divBdr>
        <w:top w:val="none" w:sz="0" w:space="0" w:color="auto"/>
        <w:left w:val="none" w:sz="0" w:space="0" w:color="auto"/>
        <w:bottom w:val="none" w:sz="0" w:space="0" w:color="auto"/>
        <w:right w:val="none" w:sz="0" w:space="0" w:color="auto"/>
      </w:divBdr>
    </w:div>
    <w:div w:id="179316062">
      <w:bodyDiv w:val="1"/>
      <w:marLeft w:val="0"/>
      <w:marRight w:val="0"/>
      <w:marTop w:val="0"/>
      <w:marBottom w:val="0"/>
      <w:divBdr>
        <w:top w:val="none" w:sz="0" w:space="0" w:color="auto"/>
        <w:left w:val="none" w:sz="0" w:space="0" w:color="auto"/>
        <w:bottom w:val="none" w:sz="0" w:space="0" w:color="auto"/>
        <w:right w:val="none" w:sz="0" w:space="0" w:color="auto"/>
      </w:divBdr>
    </w:div>
    <w:div w:id="233786200">
      <w:bodyDiv w:val="1"/>
      <w:marLeft w:val="0"/>
      <w:marRight w:val="0"/>
      <w:marTop w:val="0"/>
      <w:marBottom w:val="0"/>
      <w:divBdr>
        <w:top w:val="none" w:sz="0" w:space="0" w:color="auto"/>
        <w:left w:val="none" w:sz="0" w:space="0" w:color="auto"/>
        <w:bottom w:val="none" w:sz="0" w:space="0" w:color="auto"/>
        <w:right w:val="none" w:sz="0" w:space="0" w:color="auto"/>
      </w:divBdr>
    </w:div>
    <w:div w:id="234701879">
      <w:bodyDiv w:val="1"/>
      <w:marLeft w:val="0"/>
      <w:marRight w:val="0"/>
      <w:marTop w:val="0"/>
      <w:marBottom w:val="0"/>
      <w:divBdr>
        <w:top w:val="none" w:sz="0" w:space="0" w:color="auto"/>
        <w:left w:val="none" w:sz="0" w:space="0" w:color="auto"/>
        <w:bottom w:val="none" w:sz="0" w:space="0" w:color="auto"/>
        <w:right w:val="none" w:sz="0" w:space="0" w:color="auto"/>
      </w:divBdr>
    </w:div>
    <w:div w:id="258568850">
      <w:bodyDiv w:val="1"/>
      <w:marLeft w:val="0"/>
      <w:marRight w:val="0"/>
      <w:marTop w:val="0"/>
      <w:marBottom w:val="0"/>
      <w:divBdr>
        <w:top w:val="none" w:sz="0" w:space="0" w:color="auto"/>
        <w:left w:val="none" w:sz="0" w:space="0" w:color="auto"/>
        <w:bottom w:val="none" w:sz="0" w:space="0" w:color="auto"/>
        <w:right w:val="none" w:sz="0" w:space="0" w:color="auto"/>
      </w:divBdr>
    </w:div>
    <w:div w:id="293029838">
      <w:bodyDiv w:val="1"/>
      <w:marLeft w:val="0"/>
      <w:marRight w:val="0"/>
      <w:marTop w:val="0"/>
      <w:marBottom w:val="0"/>
      <w:divBdr>
        <w:top w:val="none" w:sz="0" w:space="0" w:color="auto"/>
        <w:left w:val="none" w:sz="0" w:space="0" w:color="auto"/>
        <w:bottom w:val="none" w:sz="0" w:space="0" w:color="auto"/>
        <w:right w:val="none" w:sz="0" w:space="0" w:color="auto"/>
      </w:divBdr>
    </w:div>
    <w:div w:id="328214208">
      <w:bodyDiv w:val="1"/>
      <w:marLeft w:val="0"/>
      <w:marRight w:val="0"/>
      <w:marTop w:val="0"/>
      <w:marBottom w:val="0"/>
      <w:divBdr>
        <w:top w:val="none" w:sz="0" w:space="0" w:color="auto"/>
        <w:left w:val="none" w:sz="0" w:space="0" w:color="auto"/>
        <w:bottom w:val="none" w:sz="0" w:space="0" w:color="auto"/>
        <w:right w:val="none" w:sz="0" w:space="0" w:color="auto"/>
      </w:divBdr>
    </w:div>
    <w:div w:id="441808554">
      <w:bodyDiv w:val="1"/>
      <w:marLeft w:val="0"/>
      <w:marRight w:val="0"/>
      <w:marTop w:val="0"/>
      <w:marBottom w:val="0"/>
      <w:divBdr>
        <w:top w:val="none" w:sz="0" w:space="0" w:color="auto"/>
        <w:left w:val="none" w:sz="0" w:space="0" w:color="auto"/>
        <w:bottom w:val="none" w:sz="0" w:space="0" w:color="auto"/>
        <w:right w:val="none" w:sz="0" w:space="0" w:color="auto"/>
      </w:divBdr>
    </w:div>
    <w:div w:id="457335396">
      <w:bodyDiv w:val="1"/>
      <w:marLeft w:val="0"/>
      <w:marRight w:val="0"/>
      <w:marTop w:val="0"/>
      <w:marBottom w:val="0"/>
      <w:divBdr>
        <w:top w:val="none" w:sz="0" w:space="0" w:color="auto"/>
        <w:left w:val="none" w:sz="0" w:space="0" w:color="auto"/>
        <w:bottom w:val="none" w:sz="0" w:space="0" w:color="auto"/>
        <w:right w:val="none" w:sz="0" w:space="0" w:color="auto"/>
      </w:divBdr>
    </w:div>
    <w:div w:id="600533792">
      <w:bodyDiv w:val="1"/>
      <w:marLeft w:val="0"/>
      <w:marRight w:val="0"/>
      <w:marTop w:val="0"/>
      <w:marBottom w:val="0"/>
      <w:divBdr>
        <w:top w:val="none" w:sz="0" w:space="0" w:color="auto"/>
        <w:left w:val="none" w:sz="0" w:space="0" w:color="auto"/>
        <w:bottom w:val="none" w:sz="0" w:space="0" w:color="auto"/>
        <w:right w:val="none" w:sz="0" w:space="0" w:color="auto"/>
      </w:divBdr>
    </w:div>
    <w:div w:id="625041447">
      <w:bodyDiv w:val="1"/>
      <w:marLeft w:val="0"/>
      <w:marRight w:val="0"/>
      <w:marTop w:val="0"/>
      <w:marBottom w:val="0"/>
      <w:divBdr>
        <w:top w:val="none" w:sz="0" w:space="0" w:color="auto"/>
        <w:left w:val="none" w:sz="0" w:space="0" w:color="auto"/>
        <w:bottom w:val="none" w:sz="0" w:space="0" w:color="auto"/>
        <w:right w:val="none" w:sz="0" w:space="0" w:color="auto"/>
      </w:divBdr>
    </w:div>
    <w:div w:id="662390684">
      <w:bodyDiv w:val="1"/>
      <w:marLeft w:val="0"/>
      <w:marRight w:val="0"/>
      <w:marTop w:val="0"/>
      <w:marBottom w:val="0"/>
      <w:divBdr>
        <w:top w:val="none" w:sz="0" w:space="0" w:color="auto"/>
        <w:left w:val="none" w:sz="0" w:space="0" w:color="auto"/>
        <w:bottom w:val="none" w:sz="0" w:space="0" w:color="auto"/>
        <w:right w:val="none" w:sz="0" w:space="0" w:color="auto"/>
      </w:divBdr>
    </w:div>
    <w:div w:id="739668399">
      <w:bodyDiv w:val="1"/>
      <w:marLeft w:val="0"/>
      <w:marRight w:val="0"/>
      <w:marTop w:val="0"/>
      <w:marBottom w:val="0"/>
      <w:divBdr>
        <w:top w:val="none" w:sz="0" w:space="0" w:color="auto"/>
        <w:left w:val="none" w:sz="0" w:space="0" w:color="auto"/>
        <w:bottom w:val="none" w:sz="0" w:space="0" w:color="auto"/>
        <w:right w:val="none" w:sz="0" w:space="0" w:color="auto"/>
      </w:divBdr>
    </w:div>
    <w:div w:id="741870970">
      <w:bodyDiv w:val="1"/>
      <w:marLeft w:val="0"/>
      <w:marRight w:val="0"/>
      <w:marTop w:val="0"/>
      <w:marBottom w:val="0"/>
      <w:divBdr>
        <w:top w:val="none" w:sz="0" w:space="0" w:color="auto"/>
        <w:left w:val="none" w:sz="0" w:space="0" w:color="auto"/>
        <w:bottom w:val="none" w:sz="0" w:space="0" w:color="auto"/>
        <w:right w:val="none" w:sz="0" w:space="0" w:color="auto"/>
      </w:divBdr>
    </w:div>
    <w:div w:id="800147441">
      <w:bodyDiv w:val="1"/>
      <w:marLeft w:val="0"/>
      <w:marRight w:val="0"/>
      <w:marTop w:val="0"/>
      <w:marBottom w:val="0"/>
      <w:divBdr>
        <w:top w:val="none" w:sz="0" w:space="0" w:color="auto"/>
        <w:left w:val="none" w:sz="0" w:space="0" w:color="auto"/>
        <w:bottom w:val="none" w:sz="0" w:space="0" w:color="auto"/>
        <w:right w:val="none" w:sz="0" w:space="0" w:color="auto"/>
      </w:divBdr>
    </w:div>
    <w:div w:id="826557607">
      <w:bodyDiv w:val="1"/>
      <w:marLeft w:val="0"/>
      <w:marRight w:val="0"/>
      <w:marTop w:val="0"/>
      <w:marBottom w:val="0"/>
      <w:divBdr>
        <w:top w:val="none" w:sz="0" w:space="0" w:color="auto"/>
        <w:left w:val="none" w:sz="0" w:space="0" w:color="auto"/>
        <w:bottom w:val="none" w:sz="0" w:space="0" w:color="auto"/>
        <w:right w:val="none" w:sz="0" w:space="0" w:color="auto"/>
      </w:divBdr>
    </w:div>
    <w:div w:id="843741277">
      <w:bodyDiv w:val="1"/>
      <w:marLeft w:val="0"/>
      <w:marRight w:val="0"/>
      <w:marTop w:val="0"/>
      <w:marBottom w:val="0"/>
      <w:divBdr>
        <w:top w:val="none" w:sz="0" w:space="0" w:color="auto"/>
        <w:left w:val="none" w:sz="0" w:space="0" w:color="auto"/>
        <w:bottom w:val="none" w:sz="0" w:space="0" w:color="auto"/>
        <w:right w:val="none" w:sz="0" w:space="0" w:color="auto"/>
      </w:divBdr>
    </w:div>
    <w:div w:id="848954995">
      <w:bodyDiv w:val="1"/>
      <w:marLeft w:val="0"/>
      <w:marRight w:val="0"/>
      <w:marTop w:val="0"/>
      <w:marBottom w:val="0"/>
      <w:divBdr>
        <w:top w:val="none" w:sz="0" w:space="0" w:color="auto"/>
        <w:left w:val="none" w:sz="0" w:space="0" w:color="auto"/>
        <w:bottom w:val="none" w:sz="0" w:space="0" w:color="auto"/>
        <w:right w:val="none" w:sz="0" w:space="0" w:color="auto"/>
      </w:divBdr>
    </w:div>
    <w:div w:id="870075508">
      <w:bodyDiv w:val="1"/>
      <w:marLeft w:val="0"/>
      <w:marRight w:val="0"/>
      <w:marTop w:val="0"/>
      <w:marBottom w:val="0"/>
      <w:divBdr>
        <w:top w:val="none" w:sz="0" w:space="0" w:color="auto"/>
        <w:left w:val="none" w:sz="0" w:space="0" w:color="auto"/>
        <w:bottom w:val="none" w:sz="0" w:space="0" w:color="auto"/>
        <w:right w:val="none" w:sz="0" w:space="0" w:color="auto"/>
      </w:divBdr>
    </w:div>
    <w:div w:id="901910234">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
    <w:div w:id="968633586">
      <w:bodyDiv w:val="1"/>
      <w:marLeft w:val="0"/>
      <w:marRight w:val="0"/>
      <w:marTop w:val="0"/>
      <w:marBottom w:val="0"/>
      <w:divBdr>
        <w:top w:val="none" w:sz="0" w:space="0" w:color="auto"/>
        <w:left w:val="none" w:sz="0" w:space="0" w:color="auto"/>
        <w:bottom w:val="none" w:sz="0" w:space="0" w:color="auto"/>
        <w:right w:val="none" w:sz="0" w:space="0" w:color="auto"/>
      </w:divBdr>
    </w:div>
    <w:div w:id="983773974">
      <w:bodyDiv w:val="1"/>
      <w:marLeft w:val="0"/>
      <w:marRight w:val="0"/>
      <w:marTop w:val="0"/>
      <w:marBottom w:val="0"/>
      <w:divBdr>
        <w:top w:val="none" w:sz="0" w:space="0" w:color="auto"/>
        <w:left w:val="none" w:sz="0" w:space="0" w:color="auto"/>
        <w:bottom w:val="none" w:sz="0" w:space="0" w:color="auto"/>
        <w:right w:val="none" w:sz="0" w:space="0" w:color="auto"/>
      </w:divBdr>
    </w:div>
    <w:div w:id="1004162802">
      <w:bodyDiv w:val="1"/>
      <w:marLeft w:val="0"/>
      <w:marRight w:val="0"/>
      <w:marTop w:val="0"/>
      <w:marBottom w:val="0"/>
      <w:divBdr>
        <w:top w:val="none" w:sz="0" w:space="0" w:color="auto"/>
        <w:left w:val="none" w:sz="0" w:space="0" w:color="auto"/>
        <w:bottom w:val="none" w:sz="0" w:space="0" w:color="auto"/>
        <w:right w:val="none" w:sz="0" w:space="0" w:color="auto"/>
      </w:divBdr>
    </w:div>
    <w:div w:id="1038046702">
      <w:bodyDiv w:val="1"/>
      <w:marLeft w:val="0"/>
      <w:marRight w:val="0"/>
      <w:marTop w:val="0"/>
      <w:marBottom w:val="0"/>
      <w:divBdr>
        <w:top w:val="none" w:sz="0" w:space="0" w:color="auto"/>
        <w:left w:val="none" w:sz="0" w:space="0" w:color="auto"/>
        <w:bottom w:val="none" w:sz="0" w:space="0" w:color="auto"/>
        <w:right w:val="none" w:sz="0" w:space="0" w:color="auto"/>
      </w:divBdr>
    </w:div>
    <w:div w:id="1047489562">
      <w:bodyDiv w:val="1"/>
      <w:marLeft w:val="0"/>
      <w:marRight w:val="0"/>
      <w:marTop w:val="0"/>
      <w:marBottom w:val="0"/>
      <w:divBdr>
        <w:top w:val="none" w:sz="0" w:space="0" w:color="auto"/>
        <w:left w:val="none" w:sz="0" w:space="0" w:color="auto"/>
        <w:bottom w:val="none" w:sz="0" w:space="0" w:color="auto"/>
        <w:right w:val="none" w:sz="0" w:space="0" w:color="auto"/>
      </w:divBdr>
    </w:div>
    <w:div w:id="1119030659">
      <w:bodyDiv w:val="1"/>
      <w:marLeft w:val="0"/>
      <w:marRight w:val="0"/>
      <w:marTop w:val="0"/>
      <w:marBottom w:val="0"/>
      <w:divBdr>
        <w:top w:val="none" w:sz="0" w:space="0" w:color="auto"/>
        <w:left w:val="none" w:sz="0" w:space="0" w:color="auto"/>
        <w:bottom w:val="none" w:sz="0" w:space="0" w:color="auto"/>
        <w:right w:val="none" w:sz="0" w:space="0" w:color="auto"/>
      </w:divBdr>
    </w:div>
    <w:div w:id="1120757993">
      <w:bodyDiv w:val="1"/>
      <w:marLeft w:val="0"/>
      <w:marRight w:val="0"/>
      <w:marTop w:val="0"/>
      <w:marBottom w:val="0"/>
      <w:divBdr>
        <w:top w:val="none" w:sz="0" w:space="0" w:color="auto"/>
        <w:left w:val="none" w:sz="0" w:space="0" w:color="auto"/>
        <w:bottom w:val="none" w:sz="0" w:space="0" w:color="auto"/>
        <w:right w:val="none" w:sz="0" w:space="0" w:color="auto"/>
      </w:divBdr>
    </w:div>
    <w:div w:id="1144932856">
      <w:bodyDiv w:val="1"/>
      <w:marLeft w:val="0"/>
      <w:marRight w:val="0"/>
      <w:marTop w:val="0"/>
      <w:marBottom w:val="0"/>
      <w:divBdr>
        <w:top w:val="none" w:sz="0" w:space="0" w:color="auto"/>
        <w:left w:val="none" w:sz="0" w:space="0" w:color="auto"/>
        <w:bottom w:val="none" w:sz="0" w:space="0" w:color="auto"/>
        <w:right w:val="none" w:sz="0" w:space="0" w:color="auto"/>
      </w:divBdr>
    </w:div>
    <w:div w:id="1149438671">
      <w:bodyDiv w:val="1"/>
      <w:marLeft w:val="0"/>
      <w:marRight w:val="0"/>
      <w:marTop w:val="0"/>
      <w:marBottom w:val="0"/>
      <w:divBdr>
        <w:top w:val="none" w:sz="0" w:space="0" w:color="auto"/>
        <w:left w:val="none" w:sz="0" w:space="0" w:color="auto"/>
        <w:bottom w:val="none" w:sz="0" w:space="0" w:color="auto"/>
        <w:right w:val="none" w:sz="0" w:space="0" w:color="auto"/>
      </w:divBdr>
    </w:div>
    <w:div w:id="1173300583">
      <w:bodyDiv w:val="1"/>
      <w:marLeft w:val="0"/>
      <w:marRight w:val="0"/>
      <w:marTop w:val="0"/>
      <w:marBottom w:val="0"/>
      <w:divBdr>
        <w:top w:val="none" w:sz="0" w:space="0" w:color="auto"/>
        <w:left w:val="none" w:sz="0" w:space="0" w:color="auto"/>
        <w:bottom w:val="none" w:sz="0" w:space="0" w:color="auto"/>
        <w:right w:val="none" w:sz="0" w:space="0" w:color="auto"/>
      </w:divBdr>
    </w:div>
    <w:div w:id="1307666158">
      <w:bodyDiv w:val="1"/>
      <w:marLeft w:val="0"/>
      <w:marRight w:val="0"/>
      <w:marTop w:val="0"/>
      <w:marBottom w:val="0"/>
      <w:divBdr>
        <w:top w:val="none" w:sz="0" w:space="0" w:color="auto"/>
        <w:left w:val="none" w:sz="0" w:space="0" w:color="auto"/>
        <w:bottom w:val="none" w:sz="0" w:space="0" w:color="auto"/>
        <w:right w:val="none" w:sz="0" w:space="0" w:color="auto"/>
      </w:divBdr>
    </w:div>
    <w:div w:id="1307777523">
      <w:bodyDiv w:val="1"/>
      <w:marLeft w:val="0"/>
      <w:marRight w:val="0"/>
      <w:marTop w:val="0"/>
      <w:marBottom w:val="0"/>
      <w:divBdr>
        <w:top w:val="none" w:sz="0" w:space="0" w:color="auto"/>
        <w:left w:val="none" w:sz="0" w:space="0" w:color="auto"/>
        <w:bottom w:val="none" w:sz="0" w:space="0" w:color="auto"/>
        <w:right w:val="none" w:sz="0" w:space="0" w:color="auto"/>
      </w:divBdr>
    </w:div>
    <w:div w:id="1401949290">
      <w:bodyDiv w:val="1"/>
      <w:marLeft w:val="0"/>
      <w:marRight w:val="0"/>
      <w:marTop w:val="0"/>
      <w:marBottom w:val="0"/>
      <w:divBdr>
        <w:top w:val="none" w:sz="0" w:space="0" w:color="auto"/>
        <w:left w:val="none" w:sz="0" w:space="0" w:color="auto"/>
        <w:bottom w:val="none" w:sz="0" w:space="0" w:color="auto"/>
        <w:right w:val="none" w:sz="0" w:space="0" w:color="auto"/>
      </w:divBdr>
    </w:div>
    <w:div w:id="1402286040">
      <w:bodyDiv w:val="1"/>
      <w:marLeft w:val="0"/>
      <w:marRight w:val="0"/>
      <w:marTop w:val="0"/>
      <w:marBottom w:val="0"/>
      <w:divBdr>
        <w:top w:val="none" w:sz="0" w:space="0" w:color="auto"/>
        <w:left w:val="none" w:sz="0" w:space="0" w:color="auto"/>
        <w:bottom w:val="none" w:sz="0" w:space="0" w:color="auto"/>
        <w:right w:val="none" w:sz="0" w:space="0" w:color="auto"/>
      </w:divBdr>
    </w:div>
    <w:div w:id="1410425376">
      <w:bodyDiv w:val="1"/>
      <w:marLeft w:val="0"/>
      <w:marRight w:val="0"/>
      <w:marTop w:val="0"/>
      <w:marBottom w:val="0"/>
      <w:divBdr>
        <w:top w:val="none" w:sz="0" w:space="0" w:color="auto"/>
        <w:left w:val="none" w:sz="0" w:space="0" w:color="auto"/>
        <w:bottom w:val="none" w:sz="0" w:space="0" w:color="auto"/>
        <w:right w:val="none" w:sz="0" w:space="0" w:color="auto"/>
      </w:divBdr>
    </w:div>
    <w:div w:id="1427073629">
      <w:bodyDiv w:val="1"/>
      <w:marLeft w:val="0"/>
      <w:marRight w:val="0"/>
      <w:marTop w:val="0"/>
      <w:marBottom w:val="0"/>
      <w:divBdr>
        <w:top w:val="none" w:sz="0" w:space="0" w:color="auto"/>
        <w:left w:val="none" w:sz="0" w:space="0" w:color="auto"/>
        <w:bottom w:val="none" w:sz="0" w:space="0" w:color="auto"/>
        <w:right w:val="none" w:sz="0" w:space="0" w:color="auto"/>
      </w:divBdr>
    </w:div>
    <w:div w:id="1431243819">
      <w:bodyDiv w:val="1"/>
      <w:marLeft w:val="0"/>
      <w:marRight w:val="0"/>
      <w:marTop w:val="0"/>
      <w:marBottom w:val="0"/>
      <w:divBdr>
        <w:top w:val="none" w:sz="0" w:space="0" w:color="auto"/>
        <w:left w:val="none" w:sz="0" w:space="0" w:color="auto"/>
        <w:bottom w:val="none" w:sz="0" w:space="0" w:color="auto"/>
        <w:right w:val="none" w:sz="0" w:space="0" w:color="auto"/>
      </w:divBdr>
    </w:div>
    <w:div w:id="1447968442">
      <w:bodyDiv w:val="1"/>
      <w:marLeft w:val="0"/>
      <w:marRight w:val="0"/>
      <w:marTop w:val="0"/>
      <w:marBottom w:val="0"/>
      <w:divBdr>
        <w:top w:val="none" w:sz="0" w:space="0" w:color="auto"/>
        <w:left w:val="none" w:sz="0" w:space="0" w:color="auto"/>
        <w:bottom w:val="none" w:sz="0" w:space="0" w:color="auto"/>
        <w:right w:val="none" w:sz="0" w:space="0" w:color="auto"/>
      </w:divBdr>
    </w:div>
    <w:div w:id="1458836077">
      <w:bodyDiv w:val="1"/>
      <w:marLeft w:val="0"/>
      <w:marRight w:val="0"/>
      <w:marTop w:val="0"/>
      <w:marBottom w:val="0"/>
      <w:divBdr>
        <w:top w:val="none" w:sz="0" w:space="0" w:color="auto"/>
        <w:left w:val="none" w:sz="0" w:space="0" w:color="auto"/>
        <w:bottom w:val="none" w:sz="0" w:space="0" w:color="auto"/>
        <w:right w:val="none" w:sz="0" w:space="0" w:color="auto"/>
      </w:divBdr>
    </w:div>
    <w:div w:id="1460100310">
      <w:bodyDiv w:val="1"/>
      <w:marLeft w:val="0"/>
      <w:marRight w:val="0"/>
      <w:marTop w:val="0"/>
      <w:marBottom w:val="0"/>
      <w:divBdr>
        <w:top w:val="none" w:sz="0" w:space="0" w:color="auto"/>
        <w:left w:val="none" w:sz="0" w:space="0" w:color="auto"/>
        <w:bottom w:val="none" w:sz="0" w:space="0" w:color="auto"/>
        <w:right w:val="none" w:sz="0" w:space="0" w:color="auto"/>
      </w:divBdr>
    </w:div>
    <w:div w:id="1549148419">
      <w:bodyDiv w:val="1"/>
      <w:marLeft w:val="0"/>
      <w:marRight w:val="0"/>
      <w:marTop w:val="0"/>
      <w:marBottom w:val="0"/>
      <w:divBdr>
        <w:top w:val="none" w:sz="0" w:space="0" w:color="auto"/>
        <w:left w:val="none" w:sz="0" w:space="0" w:color="auto"/>
        <w:bottom w:val="none" w:sz="0" w:space="0" w:color="auto"/>
        <w:right w:val="none" w:sz="0" w:space="0" w:color="auto"/>
      </w:divBdr>
    </w:div>
    <w:div w:id="1613786008">
      <w:bodyDiv w:val="1"/>
      <w:marLeft w:val="0"/>
      <w:marRight w:val="0"/>
      <w:marTop w:val="0"/>
      <w:marBottom w:val="0"/>
      <w:divBdr>
        <w:top w:val="none" w:sz="0" w:space="0" w:color="auto"/>
        <w:left w:val="none" w:sz="0" w:space="0" w:color="auto"/>
        <w:bottom w:val="none" w:sz="0" w:space="0" w:color="auto"/>
        <w:right w:val="none" w:sz="0" w:space="0" w:color="auto"/>
      </w:divBdr>
    </w:div>
    <w:div w:id="1623490049">
      <w:bodyDiv w:val="1"/>
      <w:marLeft w:val="0"/>
      <w:marRight w:val="0"/>
      <w:marTop w:val="0"/>
      <w:marBottom w:val="0"/>
      <w:divBdr>
        <w:top w:val="none" w:sz="0" w:space="0" w:color="auto"/>
        <w:left w:val="none" w:sz="0" w:space="0" w:color="auto"/>
        <w:bottom w:val="none" w:sz="0" w:space="0" w:color="auto"/>
        <w:right w:val="none" w:sz="0" w:space="0" w:color="auto"/>
      </w:divBdr>
    </w:div>
    <w:div w:id="1725984077">
      <w:bodyDiv w:val="1"/>
      <w:marLeft w:val="0"/>
      <w:marRight w:val="0"/>
      <w:marTop w:val="0"/>
      <w:marBottom w:val="0"/>
      <w:divBdr>
        <w:top w:val="none" w:sz="0" w:space="0" w:color="auto"/>
        <w:left w:val="none" w:sz="0" w:space="0" w:color="auto"/>
        <w:bottom w:val="none" w:sz="0" w:space="0" w:color="auto"/>
        <w:right w:val="none" w:sz="0" w:space="0" w:color="auto"/>
      </w:divBdr>
    </w:div>
    <w:div w:id="1743675046">
      <w:bodyDiv w:val="1"/>
      <w:marLeft w:val="0"/>
      <w:marRight w:val="0"/>
      <w:marTop w:val="0"/>
      <w:marBottom w:val="0"/>
      <w:divBdr>
        <w:top w:val="none" w:sz="0" w:space="0" w:color="auto"/>
        <w:left w:val="none" w:sz="0" w:space="0" w:color="auto"/>
        <w:bottom w:val="none" w:sz="0" w:space="0" w:color="auto"/>
        <w:right w:val="none" w:sz="0" w:space="0" w:color="auto"/>
      </w:divBdr>
    </w:div>
    <w:div w:id="1774862340">
      <w:bodyDiv w:val="1"/>
      <w:marLeft w:val="0"/>
      <w:marRight w:val="0"/>
      <w:marTop w:val="0"/>
      <w:marBottom w:val="0"/>
      <w:divBdr>
        <w:top w:val="none" w:sz="0" w:space="0" w:color="auto"/>
        <w:left w:val="none" w:sz="0" w:space="0" w:color="auto"/>
        <w:bottom w:val="none" w:sz="0" w:space="0" w:color="auto"/>
        <w:right w:val="none" w:sz="0" w:space="0" w:color="auto"/>
      </w:divBdr>
    </w:div>
    <w:div w:id="1788309090">
      <w:bodyDiv w:val="1"/>
      <w:marLeft w:val="0"/>
      <w:marRight w:val="0"/>
      <w:marTop w:val="0"/>
      <w:marBottom w:val="0"/>
      <w:divBdr>
        <w:top w:val="none" w:sz="0" w:space="0" w:color="auto"/>
        <w:left w:val="none" w:sz="0" w:space="0" w:color="auto"/>
        <w:bottom w:val="none" w:sz="0" w:space="0" w:color="auto"/>
        <w:right w:val="none" w:sz="0" w:space="0" w:color="auto"/>
      </w:divBdr>
    </w:div>
    <w:div w:id="1830289617">
      <w:bodyDiv w:val="1"/>
      <w:marLeft w:val="0"/>
      <w:marRight w:val="0"/>
      <w:marTop w:val="0"/>
      <w:marBottom w:val="0"/>
      <w:divBdr>
        <w:top w:val="none" w:sz="0" w:space="0" w:color="auto"/>
        <w:left w:val="none" w:sz="0" w:space="0" w:color="auto"/>
        <w:bottom w:val="none" w:sz="0" w:space="0" w:color="auto"/>
        <w:right w:val="none" w:sz="0" w:space="0" w:color="auto"/>
      </w:divBdr>
    </w:div>
    <w:div w:id="1836411991">
      <w:bodyDiv w:val="1"/>
      <w:marLeft w:val="0"/>
      <w:marRight w:val="0"/>
      <w:marTop w:val="0"/>
      <w:marBottom w:val="0"/>
      <w:divBdr>
        <w:top w:val="none" w:sz="0" w:space="0" w:color="auto"/>
        <w:left w:val="none" w:sz="0" w:space="0" w:color="auto"/>
        <w:bottom w:val="none" w:sz="0" w:space="0" w:color="auto"/>
        <w:right w:val="none" w:sz="0" w:space="0" w:color="auto"/>
      </w:divBdr>
    </w:div>
    <w:div w:id="1841122041">
      <w:bodyDiv w:val="1"/>
      <w:marLeft w:val="0"/>
      <w:marRight w:val="0"/>
      <w:marTop w:val="0"/>
      <w:marBottom w:val="0"/>
      <w:divBdr>
        <w:top w:val="none" w:sz="0" w:space="0" w:color="auto"/>
        <w:left w:val="none" w:sz="0" w:space="0" w:color="auto"/>
        <w:bottom w:val="none" w:sz="0" w:space="0" w:color="auto"/>
        <w:right w:val="none" w:sz="0" w:space="0" w:color="auto"/>
      </w:divBdr>
    </w:div>
    <w:div w:id="1880584631">
      <w:bodyDiv w:val="1"/>
      <w:marLeft w:val="0"/>
      <w:marRight w:val="0"/>
      <w:marTop w:val="0"/>
      <w:marBottom w:val="0"/>
      <w:divBdr>
        <w:top w:val="none" w:sz="0" w:space="0" w:color="auto"/>
        <w:left w:val="none" w:sz="0" w:space="0" w:color="auto"/>
        <w:bottom w:val="none" w:sz="0" w:space="0" w:color="auto"/>
        <w:right w:val="none" w:sz="0" w:space="0" w:color="auto"/>
      </w:divBdr>
    </w:div>
    <w:div w:id="1888028214">
      <w:bodyDiv w:val="1"/>
      <w:marLeft w:val="0"/>
      <w:marRight w:val="0"/>
      <w:marTop w:val="0"/>
      <w:marBottom w:val="0"/>
      <w:divBdr>
        <w:top w:val="none" w:sz="0" w:space="0" w:color="auto"/>
        <w:left w:val="none" w:sz="0" w:space="0" w:color="auto"/>
        <w:bottom w:val="none" w:sz="0" w:space="0" w:color="auto"/>
        <w:right w:val="none" w:sz="0" w:space="0" w:color="auto"/>
      </w:divBdr>
    </w:div>
    <w:div w:id="1907950830">
      <w:bodyDiv w:val="1"/>
      <w:marLeft w:val="0"/>
      <w:marRight w:val="0"/>
      <w:marTop w:val="0"/>
      <w:marBottom w:val="0"/>
      <w:divBdr>
        <w:top w:val="none" w:sz="0" w:space="0" w:color="auto"/>
        <w:left w:val="none" w:sz="0" w:space="0" w:color="auto"/>
        <w:bottom w:val="none" w:sz="0" w:space="0" w:color="auto"/>
        <w:right w:val="none" w:sz="0" w:space="0" w:color="auto"/>
      </w:divBdr>
    </w:div>
    <w:div w:id="1930655414">
      <w:bodyDiv w:val="1"/>
      <w:marLeft w:val="0"/>
      <w:marRight w:val="0"/>
      <w:marTop w:val="0"/>
      <w:marBottom w:val="0"/>
      <w:divBdr>
        <w:top w:val="none" w:sz="0" w:space="0" w:color="auto"/>
        <w:left w:val="none" w:sz="0" w:space="0" w:color="auto"/>
        <w:bottom w:val="none" w:sz="0" w:space="0" w:color="auto"/>
        <w:right w:val="none" w:sz="0" w:space="0" w:color="auto"/>
      </w:divBdr>
    </w:div>
    <w:div w:id="1999532899">
      <w:bodyDiv w:val="1"/>
      <w:marLeft w:val="0"/>
      <w:marRight w:val="0"/>
      <w:marTop w:val="0"/>
      <w:marBottom w:val="0"/>
      <w:divBdr>
        <w:top w:val="none" w:sz="0" w:space="0" w:color="auto"/>
        <w:left w:val="none" w:sz="0" w:space="0" w:color="auto"/>
        <w:bottom w:val="none" w:sz="0" w:space="0" w:color="auto"/>
        <w:right w:val="none" w:sz="0" w:space="0" w:color="auto"/>
      </w:divBdr>
    </w:div>
    <w:div w:id="2022198888">
      <w:bodyDiv w:val="1"/>
      <w:marLeft w:val="0"/>
      <w:marRight w:val="0"/>
      <w:marTop w:val="0"/>
      <w:marBottom w:val="0"/>
      <w:divBdr>
        <w:top w:val="none" w:sz="0" w:space="0" w:color="auto"/>
        <w:left w:val="none" w:sz="0" w:space="0" w:color="auto"/>
        <w:bottom w:val="none" w:sz="0" w:space="0" w:color="auto"/>
        <w:right w:val="none" w:sz="0" w:space="0" w:color="auto"/>
      </w:divBdr>
    </w:div>
    <w:div w:id="2057005772">
      <w:bodyDiv w:val="1"/>
      <w:marLeft w:val="0"/>
      <w:marRight w:val="0"/>
      <w:marTop w:val="0"/>
      <w:marBottom w:val="0"/>
      <w:divBdr>
        <w:top w:val="none" w:sz="0" w:space="0" w:color="auto"/>
        <w:left w:val="none" w:sz="0" w:space="0" w:color="auto"/>
        <w:bottom w:val="none" w:sz="0" w:space="0" w:color="auto"/>
        <w:right w:val="none" w:sz="0" w:space="0" w:color="auto"/>
      </w:divBdr>
    </w:div>
    <w:div w:id="2081439911">
      <w:bodyDiv w:val="1"/>
      <w:marLeft w:val="0"/>
      <w:marRight w:val="0"/>
      <w:marTop w:val="0"/>
      <w:marBottom w:val="0"/>
      <w:divBdr>
        <w:top w:val="none" w:sz="0" w:space="0" w:color="auto"/>
        <w:left w:val="none" w:sz="0" w:space="0" w:color="auto"/>
        <w:bottom w:val="none" w:sz="0" w:space="0" w:color="auto"/>
        <w:right w:val="none" w:sz="0" w:space="0" w:color="auto"/>
      </w:divBdr>
    </w:div>
    <w:div w:id="2116517406">
      <w:bodyDiv w:val="1"/>
      <w:marLeft w:val="0"/>
      <w:marRight w:val="0"/>
      <w:marTop w:val="0"/>
      <w:marBottom w:val="0"/>
      <w:divBdr>
        <w:top w:val="none" w:sz="0" w:space="0" w:color="auto"/>
        <w:left w:val="none" w:sz="0" w:space="0" w:color="auto"/>
        <w:bottom w:val="none" w:sz="0" w:space="0" w:color="auto"/>
        <w:right w:val="none" w:sz="0" w:space="0" w:color="auto"/>
      </w:divBdr>
    </w:div>
    <w:div w:id="2122337784">
      <w:bodyDiv w:val="1"/>
      <w:marLeft w:val="0"/>
      <w:marRight w:val="0"/>
      <w:marTop w:val="0"/>
      <w:marBottom w:val="0"/>
      <w:divBdr>
        <w:top w:val="none" w:sz="0" w:space="0" w:color="auto"/>
        <w:left w:val="none" w:sz="0" w:space="0" w:color="auto"/>
        <w:bottom w:val="none" w:sz="0" w:space="0" w:color="auto"/>
        <w:right w:val="none" w:sz="0" w:space="0" w:color="auto"/>
      </w:divBdr>
    </w:div>
    <w:div w:id="2123766482">
      <w:bodyDiv w:val="1"/>
      <w:marLeft w:val="0"/>
      <w:marRight w:val="0"/>
      <w:marTop w:val="0"/>
      <w:marBottom w:val="0"/>
      <w:divBdr>
        <w:top w:val="none" w:sz="0" w:space="0" w:color="auto"/>
        <w:left w:val="none" w:sz="0" w:space="0" w:color="auto"/>
        <w:bottom w:val="none" w:sz="0" w:space="0" w:color="auto"/>
        <w:right w:val="none" w:sz="0" w:space="0" w:color="auto"/>
      </w:divBdr>
    </w:div>
    <w:div w:id="21458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DC8FF0ADB7545936F0E041046CB68" ma:contentTypeVersion="0" ma:contentTypeDescription="Create a new document." ma:contentTypeScope="" ma:versionID="97246ab3b79f26822dee25a46ff30d88">
  <xsd:schema xmlns:xsd="http://www.w3.org/2001/XMLSchema" xmlns:xs="http://www.w3.org/2001/XMLSchema" xmlns:p="http://schemas.microsoft.com/office/2006/metadata/properties" targetNamespace="http://schemas.microsoft.com/office/2006/metadata/properties" ma:root="true" ma:fieldsID="3526218e7f687daf623065f4592820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BE4C-BCF5-46C0-9182-F09BEDF8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301169-F856-4597-863C-09C3FBD8477A}">
  <ds:schemaRefs>
    <ds:schemaRef ds:uri="http://schemas.microsoft.com/sharepoint/v3/contenttype/forms"/>
  </ds:schemaRefs>
</ds:datastoreItem>
</file>

<file path=customXml/itemProps3.xml><?xml version="1.0" encoding="utf-8"?>
<ds:datastoreItem xmlns:ds="http://schemas.openxmlformats.org/officeDocument/2006/customXml" ds:itemID="{7CEAFF3E-B2D6-4C06-9086-F50B5B9CA8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D742BD-282A-4E6C-8C56-317668F8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Cakir</dc:creator>
  <cp:keywords/>
  <cp:lastModifiedBy>Svetlana Iazykova</cp:lastModifiedBy>
  <cp:revision>2</cp:revision>
  <cp:lastPrinted>2018-04-26T15:07:00Z</cp:lastPrinted>
  <dcterms:created xsi:type="dcterms:W3CDTF">2018-04-26T20:53:00Z</dcterms:created>
  <dcterms:modified xsi:type="dcterms:W3CDTF">2018-04-26T20:53:00Z</dcterms:modified>
</cp:coreProperties>
</file>