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9CA3" w14:textId="77777777" w:rsidR="005C6168" w:rsidRPr="00AA352B" w:rsidRDefault="005C6168">
      <w:pPr>
        <w:pStyle w:val="Heading3"/>
        <w:jc w:val="left"/>
        <w:rPr>
          <w:rFonts w:asciiTheme="majorBidi" w:hAnsiTheme="majorBidi" w:cstheme="majorBidi"/>
          <w:sz w:val="22"/>
          <w:szCs w:val="22"/>
        </w:rPr>
      </w:pPr>
      <w:r w:rsidRPr="00AA352B">
        <w:rPr>
          <w:rFonts w:asciiTheme="majorBidi" w:hAnsiTheme="majorBidi" w:cstheme="majorBidi"/>
          <w:sz w:val="22"/>
          <w:szCs w:val="22"/>
        </w:rPr>
        <w:t>Country:</w:t>
      </w:r>
      <w:r w:rsidRPr="00AA352B">
        <w:rPr>
          <w:rFonts w:asciiTheme="majorBidi" w:hAnsiTheme="majorBidi" w:cstheme="majorBidi"/>
          <w:sz w:val="22"/>
          <w:szCs w:val="22"/>
        </w:rPr>
        <w:tab/>
      </w:r>
      <w:r w:rsidRPr="00AA352B">
        <w:rPr>
          <w:rFonts w:asciiTheme="majorBidi" w:hAnsiTheme="majorBidi" w:cstheme="majorBidi"/>
          <w:sz w:val="22"/>
          <w:szCs w:val="22"/>
        </w:rPr>
        <w:tab/>
      </w:r>
      <w:r w:rsidR="00AA352B" w:rsidRPr="00AA352B">
        <w:rPr>
          <w:rFonts w:asciiTheme="majorBidi" w:hAnsiTheme="majorBidi" w:cstheme="majorBidi"/>
          <w:sz w:val="22"/>
          <w:szCs w:val="22"/>
        </w:rPr>
        <w:t>EGYPT</w:t>
      </w:r>
    </w:p>
    <w:p w14:paraId="2B43C978" w14:textId="77777777" w:rsidR="005C6168" w:rsidRPr="00AA352B" w:rsidRDefault="005C6168">
      <w:pPr>
        <w:pStyle w:val="Heading3"/>
        <w:rPr>
          <w:rFonts w:asciiTheme="majorBidi" w:hAnsiTheme="majorBidi" w:cstheme="majorBidi"/>
          <w:sz w:val="22"/>
          <w:szCs w:val="22"/>
        </w:rPr>
      </w:pPr>
    </w:p>
    <w:p w14:paraId="6294D988" w14:textId="77777777" w:rsidR="005C6168" w:rsidRPr="00AA352B" w:rsidRDefault="00BC38E0">
      <w:pPr>
        <w:pStyle w:val="Heading3"/>
        <w:rPr>
          <w:rFonts w:asciiTheme="majorBidi" w:hAnsiTheme="majorBidi" w:cstheme="majorBidi"/>
          <w:b/>
          <w:bCs w:val="0"/>
          <w:sz w:val="22"/>
          <w:szCs w:val="22"/>
        </w:rPr>
      </w:pPr>
      <w:r w:rsidRPr="00AA352B">
        <w:rPr>
          <w:rFonts w:asciiTheme="majorBidi" w:hAnsiTheme="majorBidi" w:cstheme="majorBidi"/>
          <w:b/>
          <w:bCs w:val="0"/>
          <w:sz w:val="22"/>
          <w:szCs w:val="22"/>
        </w:rPr>
        <w:t>COUNTRY PRO</w:t>
      </w:r>
      <w:bookmarkStart w:id="0" w:name="_GoBack"/>
      <w:bookmarkEnd w:id="0"/>
      <w:r w:rsidRPr="00AA352B">
        <w:rPr>
          <w:rFonts w:asciiTheme="majorBidi" w:hAnsiTheme="majorBidi" w:cstheme="majorBidi"/>
          <w:b/>
          <w:bCs w:val="0"/>
          <w:sz w:val="22"/>
          <w:szCs w:val="22"/>
        </w:rPr>
        <w:t>GRAMME</w:t>
      </w:r>
      <w:r w:rsidR="00B32ADA" w:rsidRPr="00AA352B">
        <w:rPr>
          <w:rFonts w:asciiTheme="majorBidi" w:hAnsiTheme="majorBidi" w:cstheme="majorBidi"/>
          <w:b/>
          <w:bCs w:val="0"/>
          <w:sz w:val="22"/>
          <w:szCs w:val="22"/>
        </w:rPr>
        <w:t xml:space="preserve"> PERFORMANCE SUMMARY</w:t>
      </w:r>
      <w:r w:rsidR="001F3524" w:rsidRPr="00AA352B">
        <w:rPr>
          <w:rStyle w:val="FootnoteReference"/>
          <w:rFonts w:asciiTheme="majorBidi" w:hAnsiTheme="majorBidi" w:cstheme="majorBidi"/>
          <w:b/>
          <w:bCs w:val="0"/>
          <w:sz w:val="22"/>
          <w:szCs w:val="22"/>
        </w:rPr>
        <w:footnoteReference w:id="1"/>
      </w:r>
    </w:p>
    <w:p w14:paraId="036A278D" w14:textId="77777777" w:rsidR="005C6168" w:rsidRPr="00AA352B" w:rsidRDefault="005C6168">
      <w:pPr>
        <w:pStyle w:val="Heading3"/>
        <w:rPr>
          <w:rFonts w:asciiTheme="majorBidi" w:hAnsiTheme="majorBidi" w:cstheme="majorBidi"/>
          <w:b/>
          <w:sz w:val="22"/>
          <w:szCs w:val="22"/>
        </w:rPr>
      </w:pPr>
    </w:p>
    <w:p w14:paraId="1A7C0A57" w14:textId="77777777" w:rsidR="005C6168" w:rsidRPr="00AA352B" w:rsidRDefault="00AA352B">
      <w:pPr>
        <w:pStyle w:val="Heading3"/>
        <w:jc w:val="left"/>
        <w:rPr>
          <w:rFonts w:asciiTheme="majorBidi" w:hAnsiTheme="majorBidi" w:cstheme="majorBidi"/>
          <w:sz w:val="22"/>
          <w:szCs w:val="22"/>
        </w:rPr>
      </w:pPr>
      <w:r w:rsidRPr="00AA352B">
        <w:rPr>
          <w:rFonts w:asciiTheme="majorBidi" w:hAnsiTheme="majorBidi" w:cstheme="majorBidi"/>
          <w:sz w:val="22"/>
          <w:szCs w:val="22"/>
        </w:rPr>
        <w:t>Reporting period:  2013-2017</w:t>
      </w:r>
    </w:p>
    <w:p w14:paraId="23A57556" w14:textId="77777777" w:rsidR="005C6168" w:rsidRPr="00AA352B" w:rsidRDefault="005C6168">
      <w:pPr>
        <w:pStyle w:val="Heading3"/>
        <w:rPr>
          <w:rFonts w:asciiTheme="majorBidi" w:hAnsiTheme="majorBidi" w:cstheme="majorBidi"/>
          <w:sz w:val="22"/>
          <w:szCs w:val="22"/>
        </w:rPr>
      </w:pPr>
    </w:p>
    <w:p w14:paraId="1D9333E5" w14:textId="77777777" w:rsidR="005C6168" w:rsidRPr="00AA352B" w:rsidRDefault="005C6168">
      <w:pPr>
        <w:rPr>
          <w:rFonts w:asciiTheme="majorBidi" w:hAnsiTheme="majorBidi" w:cstheme="majorBidi"/>
          <w:sz w:val="22"/>
          <w:szCs w:val="22"/>
        </w:rPr>
      </w:pPr>
    </w:p>
    <w:p w14:paraId="333A8EE4" w14:textId="77777777" w:rsidR="005C6168" w:rsidRPr="00AA352B" w:rsidRDefault="005C6168">
      <w:pPr>
        <w:pStyle w:val="Heading3"/>
        <w:rPr>
          <w:rFonts w:asciiTheme="majorBidi" w:hAnsiTheme="majorBidi" w:cstheme="majorBidi"/>
          <w:b/>
          <w:bCs w:val="0"/>
          <w:sz w:val="22"/>
          <w:szCs w:val="22"/>
        </w:rPr>
      </w:pPr>
      <w:r w:rsidRPr="00AA352B">
        <w:rPr>
          <w:rFonts w:asciiTheme="majorBidi" w:hAnsiTheme="majorBidi" w:cstheme="majorBidi"/>
          <w:b/>
          <w:bCs w:val="0"/>
          <w:sz w:val="22"/>
          <w:szCs w:val="22"/>
        </w:rPr>
        <w:t xml:space="preserve">I.  </w:t>
      </w:r>
      <w:r w:rsidR="0064746F" w:rsidRPr="00AA352B">
        <w:rPr>
          <w:rFonts w:asciiTheme="majorBidi" w:hAnsiTheme="majorBidi" w:cstheme="majorBidi"/>
          <w:b/>
          <w:bCs w:val="0"/>
          <w:sz w:val="22"/>
          <w:szCs w:val="22"/>
        </w:rPr>
        <w:t>EXECUTIVE SUMMARY</w:t>
      </w:r>
      <w:r w:rsidR="00760E32" w:rsidRPr="00AA352B">
        <w:rPr>
          <w:rFonts w:asciiTheme="majorBidi" w:hAnsiTheme="majorBidi" w:cstheme="majorBidi"/>
          <w:b/>
          <w:bCs w:val="0"/>
          <w:sz w:val="22"/>
          <w:szCs w:val="22"/>
        </w:rPr>
        <w:t xml:space="preserve"> (</w:t>
      </w:r>
      <w:r w:rsidR="00990CED" w:rsidRPr="00AA352B">
        <w:rPr>
          <w:rFonts w:asciiTheme="majorBidi" w:hAnsiTheme="majorBidi" w:cstheme="majorBidi"/>
          <w:b/>
          <w:bCs w:val="0"/>
          <w:sz w:val="22"/>
          <w:szCs w:val="22"/>
        </w:rPr>
        <w:t>1/2 page maximum)</w:t>
      </w:r>
    </w:p>
    <w:p w14:paraId="68888B3B" w14:textId="77777777" w:rsidR="00AA352B" w:rsidRPr="005A05D3" w:rsidRDefault="005A05D3" w:rsidP="00AA352B">
      <w:pPr>
        <w:pStyle w:val="BodyText2"/>
        <w:rPr>
          <w:rFonts w:asciiTheme="majorBidi" w:hAnsiTheme="majorBidi" w:cstheme="majorBidi"/>
          <w:b/>
          <w:bCs/>
          <w:sz w:val="22"/>
          <w:szCs w:val="22"/>
        </w:rPr>
      </w:pPr>
      <w:r>
        <w:rPr>
          <w:rFonts w:asciiTheme="majorBidi" w:hAnsiTheme="majorBidi" w:cstheme="majorBidi"/>
          <w:b/>
          <w:bCs/>
          <w:sz w:val="22"/>
          <w:szCs w:val="22"/>
        </w:rPr>
        <w:t xml:space="preserve">UNDP contribution for </w:t>
      </w:r>
      <w:r w:rsidR="00AA352B" w:rsidRPr="005A05D3">
        <w:rPr>
          <w:rFonts w:asciiTheme="majorBidi" w:hAnsiTheme="majorBidi" w:cstheme="majorBidi"/>
          <w:b/>
          <w:bCs/>
          <w:sz w:val="22"/>
          <w:szCs w:val="22"/>
        </w:rPr>
        <w:t>2013-2017 included:</w:t>
      </w:r>
    </w:p>
    <w:p w14:paraId="59523E6F"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Building government capacity to deliver social protection services, </w:t>
      </w:r>
    </w:p>
    <w:p w14:paraId="433206A9"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Supporting sustainable MSME creation, </w:t>
      </w:r>
    </w:p>
    <w:p w14:paraId="71364F2B"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Strengthening voice and leadership skills for youth and  women and young people youth and women empowerment, </w:t>
      </w:r>
    </w:p>
    <w:p w14:paraId="4B88134A"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Supporting local economic development strategies and framework </w:t>
      </w:r>
    </w:p>
    <w:p w14:paraId="3E58E2A9"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Strengthening knowledge and operational capacities of anti-corruption and oversight bodies;</w:t>
      </w:r>
    </w:p>
    <w:p w14:paraId="72FC52FF"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Delivering comparative experiences in transitional justice, parliamentary development and transition to democracy, </w:t>
      </w:r>
    </w:p>
    <w:p w14:paraId="5508E62A" w14:textId="77777777" w:rsidR="006E5A12" w:rsidRPr="00AA352B" w:rsidRDefault="00AA352B" w:rsidP="00AA352B">
      <w:pPr>
        <w:pStyle w:val="BodyText2"/>
        <w:numPr>
          <w:ilvl w:val="0"/>
          <w:numId w:val="3"/>
        </w:numPr>
        <w:rPr>
          <w:rFonts w:asciiTheme="majorBidi" w:hAnsiTheme="majorBidi" w:cstheme="majorBidi"/>
          <w:sz w:val="22"/>
          <w:szCs w:val="22"/>
        </w:rPr>
      </w:pPr>
      <w:r w:rsidRPr="00AA352B">
        <w:rPr>
          <w:rFonts w:asciiTheme="majorBidi" w:hAnsiTheme="majorBidi" w:cstheme="majorBidi"/>
          <w:sz w:val="22"/>
          <w:szCs w:val="22"/>
        </w:rPr>
        <w:t xml:space="preserve">Introducing new climate change adaptation and mitigation measures, and management of natural resource </w:t>
      </w:r>
    </w:p>
    <w:p w14:paraId="5172B7E4" w14:textId="77777777" w:rsidR="00AA352B" w:rsidRPr="00AA352B" w:rsidRDefault="00AA352B" w:rsidP="00AA352B">
      <w:pPr>
        <w:pStyle w:val="BodyText2"/>
        <w:ind w:left="360"/>
        <w:rPr>
          <w:rFonts w:asciiTheme="majorBidi" w:hAnsiTheme="majorBidi" w:cstheme="majorBidi"/>
          <w:sz w:val="22"/>
          <w:szCs w:val="22"/>
        </w:rPr>
      </w:pPr>
    </w:p>
    <w:p w14:paraId="39058F7A" w14:textId="77777777" w:rsidR="00AA352B" w:rsidRPr="005A05D3" w:rsidRDefault="00AA352B" w:rsidP="005A05D3">
      <w:pPr>
        <w:pStyle w:val="BodyText2"/>
        <w:ind w:left="360"/>
        <w:jc w:val="center"/>
        <w:rPr>
          <w:rFonts w:asciiTheme="majorBidi" w:hAnsiTheme="majorBidi" w:cstheme="majorBidi"/>
          <w:b/>
          <w:bCs/>
          <w:sz w:val="24"/>
          <w:szCs w:val="24"/>
        </w:rPr>
      </w:pPr>
      <w:r w:rsidRPr="005A05D3">
        <w:rPr>
          <w:rFonts w:asciiTheme="majorBidi" w:hAnsiTheme="majorBidi" w:cstheme="majorBidi"/>
          <w:b/>
          <w:bCs/>
          <w:sz w:val="24"/>
          <w:szCs w:val="24"/>
        </w:rPr>
        <w:t xml:space="preserve">The previous cycle contributed </w:t>
      </w:r>
      <w:r w:rsidR="005A05D3">
        <w:rPr>
          <w:rFonts w:asciiTheme="majorBidi" w:hAnsiTheme="majorBidi" w:cstheme="majorBidi"/>
          <w:b/>
          <w:bCs/>
          <w:sz w:val="24"/>
          <w:szCs w:val="24"/>
        </w:rPr>
        <w:t>to 3 national priority areas</w:t>
      </w:r>
    </w:p>
    <w:p w14:paraId="255E1982" w14:textId="77777777" w:rsidR="00AA352B" w:rsidRPr="005A05D3" w:rsidRDefault="00AA352B" w:rsidP="00AA352B">
      <w:pPr>
        <w:pStyle w:val="BodyText2"/>
        <w:ind w:left="360"/>
        <w:rPr>
          <w:rFonts w:asciiTheme="majorBidi" w:hAnsiTheme="majorBidi" w:cstheme="majorBidi"/>
          <w:b/>
          <w:bCs/>
          <w:sz w:val="22"/>
          <w:szCs w:val="22"/>
          <w:u w:val="single"/>
        </w:rPr>
      </w:pPr>
      <w:r w:rsidRPr="005A05D3">
        <w:rPr>
          <w:rFonts w:asciiTheme="majorBidi" w:hAnsiTheme="majorBidi" w:cstheme="majorBidi"/>
          <w:b/>
          <w:bCs/>
          <w:sz w:val="22"/>
          <w:szCs w:val="22"/>
          <w:u w:val="single"/>
        </w:rPr>
        <w:t>National priority 1: Reduce the number of poor people living below the national poverty line</w:t>
      </w:r>
    </w:p>
    <w:p w14:paraId="26055011"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 xml:space="preserve">Over 900 thousand new full-time jobs were generated </w:t>
      </w:r>
      <w:r w:rsidRPr="00AA352B">
        <w:rPr>
          <w:rFonts w:asciiTheme="majorBidi" w:hAnsiTheme="majorBidi" w:cstheme="majorBidi"/>
          <w:sz w:val="22"/>
          <w:szCs w:val="22"/>
        </w:rPr>
        <w:t>through the SFD, 47% of which were created for women in small and micro enterprise</w:t>
      </w:r>
    </w:p>
    <w:p w14:paraId="34DD6CBA"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Over 33 thousand youth benefited from ICT training courses and knowledge tools</w:t>
      </w:r>
      <w:r w:rsidRPr="00AA352B">
        <w:rPr>
          <w:rFonts w:asciiTheme="majorBidi" w:hAnsiTheme="majorBidi" w:cstheme="majorBidi"/>
          <w:sz w:val="22"/>
          <w:szCs w:val="22"/>
        </w:rPr>
        <w:t xml:space="preserve"> developed by UNDP in areas of innovation, skills and entrepreneurship delivered by the ICT Trust Fund (total of 650 training modules/ courses developed with direct UNDP support).</w:t>
      </w:r>
    </w:p>
    <w:p w14:paraId="2DA0D92A"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Out of which 23,552 were young graduates (60% female) received</w:t>
      </w:r>
      <w:r w:rsidRPr="00AA352B">
        <w:rPr>
          <w:rFonts w:asciiTheme="majorBidi" w:hAnsiTheme="majorBidi" w:cstheme="majorBidi"/>
          <w:sz w:val="22"/>
          <w:szCs w:val="22"/>
        </w:rPr>
        <w:t xml:space="preserve"> entrepreneurship specific capacity development workshops from private sector (Microsoft) in partnership with UNDP and the national Council for Women</w:t>
      </w:r>
    </w:p>
    <w:p w14:paraId="0EB7DF93"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Around 8000 people benefited from non-financial</w:t>
      </w:r>
      <w:r w:rsidRPr="00AA352B">
        <w:rPr>
          <w:rFonts w:asciiTheme="majorBidi" w:hAnsiTheme="majorBidi" w:cstheme="majorBidi"/>
          <w:sz w:val="22"/>
          <w:szCs w:val="22"/>
        </w:rPr>
        <w:t xml:space="preserve"> services trainings in various sectors.</w:t>
      </w:r>
    </w:p>
    <w:p w14:paraId="3F08D089"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UNDP Public works reached out to over 1 million community members</w:t>
      </w:r>
      <w:r w:rsidRPr="00AA352B">
        <w:rPr>
          <w:rFonts w:asciiTheme="majorBidi" w:hAnsiTheme="majorBidi" w:cstheme="majorBidi"/>
          <w:sz w:val="22"/>
          <w:szCs w:val="22"/>
        </w:rPr>
        <w:t xml:space="preserve"> that benefited from infrastructure services created through public works in various villages.</w:t>
      </w:r>
    </w:p>
    <w:p w14:paraId="5034F235"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b/>
          <w:bCs/>
          <w:sz w:val="22"/>
          <w:szCs w:val="22"/>
        </w:rPr>
        <w:t xml:space="preserve">UNDP strengthened the institutional development of the Ministry of Social Solidarity </w:t>
      </w:r>
      <w:r w:rsidRPr="00AA352B">
        <w:rPr>
          <w:rFonts w:asciiTheme="majorBidi" w:hAnsiTheme="majorBidi" w:cstheme="majorBidi"/>
          <w:sz w:val="22"/>
          <w:szCs w:val="22"/>
        </w:rPr>
        <w:t>to achieve its Social Protection mandate (Takafol and karama), setting up the gender unit g, a volunteer’s unit, a communication unit and CSR  unit.</w:t>
      </w:r>
    </w:p>
    <w:p w14:paraId="1A3CBE50" w14:textId="77777777" w:rsidR="006E5A12" w:rsidRPr="00AA352B" w:rsidRDefault="00AA352B" w:rsidP="00AA352B">
      <w:pPr>
        <w:pStyle w:val="BodyText2"/>
        <w:numPr>
          <w:ilvl w:val="0"/>
          <w:numId w:val="19"/>
        </w:numPr>
        <w:rPr>
          <w:rFonts w:asciiTheme="majorBidi" w:hAnsiTheme="majorBidi" w:cstheme="majorBidi"/>
          <w:sz w:val="22"/>
          <w:szCs w:val="22"/>
        </w:rPr>
      </w:pPr>
      <w:r w:rsidRPr="00AA352B">
        <w:rPr>
          <w:rFonts w:asciiTheme="majorBidi" w:hAnsiTheme="majorBidi" w:cstheme="majorBidi"/>
          <w:sz w:val="22"/>
          <w:szCs w:val="22"/>
        </w:rPr>
        <w:t xml:space="preserve">To date, UNDP produced </w:t>
      </w:r>
      <w:r w:rsidRPr="00AA352B">
        <w:rPr>
          <w:rFonts w:asciiTheme="majorBidi" w:hAnsiTheme="majorBidi" w:cstheme="majorBidi"/>
          <w:b/>
          <w:bCs/>
          <w:sz w:val="22"/>
          <w:szCs w:val="22"/>
        </w:rPr>
        <w:t>11 NHDRs, 6 MDGRs, and 26 GHDRs</w:t>
      </w:r>
    </w:p>
    <w:p w14:paraId="275DBB7C" w14:textId="77777777" w:rsidR="00AA352B" w:rsidRPr="00AA352B" w:rsidRDefault="00AA352B" w:rsidP="00AA352B">
      <w:pPr>
        <w:pStyle w:val="BodyText2"/>
        <w:ind w:left="720"/>
        <w:rPr>
          <w:rFonts w:asciiTheme="majorBidi" w:hAnsiTheme="majorBidi" w:cstheme="majorBidi"/>
          <w:sz w:val="22"/>
          <w:szCs w:val="22"/>
        </w:rPr>
      </w:pPr>
    </w:p>
    <w:p w14:paraId="51EE5545" w14:textId="77777777" w:rsidR="00AA352B" w:rsidRPr="005A05D3" w:rsidRDefault="00AA352B" w:rsidP="00AA352B">
      <w:pPr>
        <w:pStyle w:val="BodyText2"/>
        <w:ind w:left="360"/>
        <w:rPr>
          <w:rFonts w:asciiTheme="majorBidi" w:hAnsiTheme="majorBidi" w:cstheme="majorBidi"/>
          <w:sz w:val="22"/>
          <w:szCs w:val="22"/>
          <w:u w:val="single"/>
        </w:rPr>
      </w:pPr>
      <w:r w:rsidRPr="005A05D3">
        <w:rPr>
          <w:rFonts w:asciiTheme="majorBidi" w:hAnsiTheme="majorBidi" w:cstheme="majorBidi"/>
          <w:b/>
          <w:bCs/>
          <w:sz w:val="22"/>
          <w:szCs w:val="22"/>
          <w:u w:val="single"/>
        </w:rPr>
        <w:t>National priority 2: Enhanced performance of democratic institutions for transparency, accountability, rule of law and higher citizen satisfaction with government services.</w:t>
      </w:r>
    </w:p>
    <w:p w14:paraId="3F4A0E02"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 xml:space="preserve">UNDP largely supported regulations to combat SGBV- FGM related laws, </w:t>
      </w:r>
      <w:r w:rsidRPr="00AA352B">
        <w:rPr>
          <w:rFonts w:asciiTheme="majorBidi" w:hAnsiTheme="majorBidi" w:cstheme="majorBidi"/>
          <w:szCs w:val="22"/>
        </w:rPr>
        <w:t>strengthening the national anti-FGM legal framework and amendments to 2008 Law criminalizing FGM. The new law which intensified the penalty of FGM practice.</w:t>
      </w:r>
    </w:p>
    <w:p w14:paraId="170849AE"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UNDP helped the government draft a number of proposals planned to mitigate sector specific corruption</w:t>
      </w:r>
      <w:r w:rsidRPr="00AA352B">
        <w:rPr>
          <w:rFonts w:asciiTheme="majorBidi" w:hAnsiTheme="majorBidi" w:cstheme="majorBidi"/>
          <w:szCs w:val="22"/>
        </w:rPr>
        <w:t xml:space="preserve"> risks notably the Code of conduct for Civil Servants which was rolled out and the national anti-corruption strategy launched in 2014. The new Civil Service Law was endorsed by the parliament in 2016</w:t>
      </w:r>
    </w:p>
    <w:p w14:paraId="33FF61B7"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UNDP focused on the long-term institutional capacity building of electoral authorities</w:t>
      </w:r>
      <w:r w:rsidRPr="00AA352B">
        <w:rPr>
          <w:rFonts w:asciiTheme="majorBidi" w:hAnsiTheme="majorBidi" w:cstheme="majorBidi"/>
          <w:szCs w:val="22"/>
        </w:rPr>
        <w:t>, introduced good electoral practices, exposure to international conferences in Egypt and opportunity for electoral authorities and civil society in fora and study visits.</w:t>
      </w:r>
    </w:p>
    <w:p w14:paraId="67548A96"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lastRenderedPageBreak/>
        <w:t xml:space="preserve">Positive results are marked by a sounder and more credible electoral administration process </w:t>
      </w:r>
      <w:r w:rsidRPr="00AA352B">
        <w:rPr>
          <w:rFonts w:asciiTheme="majorBidi" w:hAnsiTheme="majorBidi" w:cstheme="majorBidi"/>
          <w:szCs w:val="22"/>
        </w:rPr>
        <w:t xml:space="preserve">demonstrated in the Parliamentary Elections of December 2015.  </w:t>
      </w:r>
    </w:p>
    <w:p w14:paraId="315585EB"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 xml:space="preserve">UNDP applied 4 Local Economic Development models in the strategic planning </w:t>
      </w:r>
      <w:r w:rsidRPr="00AA352B">
        <w:rPr>
          <w:rFonts w:asciiTheme="majorBidi" w:hAnsiTheme="majorBidi" w:cstheme="majorBidi"/>
          <w:szCs w:val="22"/>
        </w:rPr>
        <w:t xml:space="preserve">for the governorates of Fayoum, Sohag, Ismailia and Minya; and completed </w:t>
      </w:r>
      <w:r w:rsidRPr="00AA352B">
        <w:rPr>
          <w:rFonts w:asciiTheme="majorBidi" w:hAnsiTheme="majorBidi" w:cstheme="majorBidi"/>
          <w:b/>
          <w:bCs/>
          <w:szCs w:val="22"/>
        </w:rPr>
        <w:t>Greater Cairo Urban Development Strategy and the 2 strategic Urban plans for the Suez Canal and Norther Upper Egypt.</w:t>
      </w:r>
    </w:p>
    <w:p w14:paraId="38FF51A7"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 xml:space="preserve">UNDP successfully tested and applied the integrated development model in Upper Egypt (Qena and Luxor) </w:t>
      </w:r>
      <w:r w:rsidRPr="00AA352B">
        <w:rPr>
          <w:rFonts w:asciiTheme="majorBidi" w:hAnsiTheme="majorBidi" w:cstheme="majorBidi"/>
          <w:szCs w:val="22"/>
        </w:rPr>
        <w:t xml:space="preserve">through ENID, provided livelihood opportunities for </w:t>
      </w:r>
      <w:r w:rsidRPr="00AA352B">
        <w:rPr>
          <w:rFonts w:asciiTheme="majorBidi" w:hAnsiTheme="majorBidi" w:cstheme="majorBidi"/>
          <w:b/>
          <w:bCs/>
          <w:szCs w:val="22"/>
        </w:rPr>
        <w:t>7000 youth and women</w:t>
      </w:r>
      <w:r w:rsidRPr="00AA352B">
        <w:rPr>
          <w:rFonts w:asciiTheme="majorBidi" w:hAnsiTheme="majorBidi" w:cstheme="majorBidi"/>
          <w:szCs w:val="22"/>
        </w:rPr>
        <w:t>.  The model is being replicated in other regions and the government of Egypt showcased it as a model in at GPEDC in Nairobi in Dec 2016.</w:t>
      </w:r>
    </w:p>
    <w:p w14:paraId="35EC3FDF"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UNDP supported the clearance of 121,780 acres in the North West Coast</w:t>
      </w:r>
      <w:r w:rsidRPr="00AA352B">
        <w:rPr>
          <w:rFonts w:asciiTheme="majorBidi" w:hAnsiTheme="majorBidi" w:cstheme="majorBidi"/>
          <w:szCs w:val="22"/>
        </w:rPr>
        <w:t>, strengthening national capacities to manage the Mine Action programme in Egypt and the develop of new settlement areas.</w:t>
      </w:r>
    </w:p>
    <w:p w14:paraId="435B1D70" w14:textId="77777777" w:rsidR="006E5A12" w:rsidRPr="00AA352B" w:rsidRDefault="00AA352B" w:rsidP="00AA352B">
      <w:pPr>
        <w:pStyle w:val="BodyText"/>
        <w:numPr>
          <w:ilvl w:val="0"/>
          <w:numId w:val="20"/>
        </w:numPr>
        <w:rPr>
          <w:rFonts w:asciiTheme="majorBidi" w:hAnsiTheme="majorBidi" w:cstheme="majorBidi"/>
          <w:szCs w:val="22"/>
        </w:rPr>
      </w:pPr>
      <w:r w:rsidRPr="00AA352B">
        <w:rPr>
          <w:rFonts w:asciiTheme="majorBidi" w:hAnsiTheme="majorBidi" w:cstheme="majorBidi"/>
          <w:b/>
          <w:bCs/>
          <w:szCs w:val="22"/>
        </w:rPr>
        <w:t>MSAD Strategic Results Framework (SRF) 2014-2018</w:t>
      </w:r>
      <w:r w:rsidRPr="00AA352B">
        <w:rPr>
          <w:rFonts w:asciiTheme="majorBidi" w:hAnsiTheme="majorBidi" w:cstheme="majorBidi"/>
          <w:szCs w:val="22"/>
        </w:rPr>
        <w:t xml:space="preserve"> (with Impact, Outcomes, Outputs, and results) was developed through a participatory approach. The Strategy was endorsed by the Minister in June 2014. The SRF was further revised in light of the new administrative and planning reform vision and the merger of MSAD within the Ministry of Planning, Monitoring and Administrative Reform</w:t>
      </w:r>
    </w:p>
    <w:p w14:paraId="198519D9" w14:textId="77777777" w:rsidR="00AA352B" w:rsidRPr="00AA352B" w:rsidRDefault="00AA352B" w:rsidP="00AA352B">
      <w:pPr>
        <w:pStyle w:val="BodyText"/>
        <w:ind w:left="720"/>
        <w:rPr>
          <w:rFonts w:asciiTheme="majorBidi" w:hAnsiTheme="majorBidi" w:cstheme="majorBidi"/>
          <w:szCs w:val="22"/>
        </w:rPr>
      </w:pPr>
    </w:p>
    <w:p w14:paraId="223D4A3D" w14:textId="77777777" w:rsidR="00AA352B" w:rsidRPr="005A05D3" w:rsidRDefault="00AA352B" w:rsidP="00AA352B">
      <w:pPr>
        <w:pStyle w:val="BodyText"/>
        <w:ind w:left="720"/>
        <w:rPr>
          <w:rFonts w:asciiTheme="majorBidi" w:hAnsiTheme="majorBidi" w:cstheme="majorBidi"/>
          <w:b/>
          <w:bCs/>
          <w:szCs w:val="22"/>
          <w:u w:val="single"/>
        </w:rPr>
      </w:pPr>
      <w:r w:rsidRPr="005A05D3">
        <w:rPr>
          <w:rFonts w:asciiTheme="majorBidi" w:hAnsiTheme="majorBidi" w:cstheme="majorBidi"/>
          <w:b/>
          <w:bCs/>
          <w:szCs w:val="22"/>
          <w:u w:val="single"/>
        </w:rPr>
        <w:t>National priority 3: Climate change risks managed more effectively and the natural environment more sustainably managed</w:t>
      </w:r>
    </w:p>
    <w:p w14:paraId="2455C6AD"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UNDP supported the construction of two soft innovative engineering solution which built capacity and supported the decision of scale up process</w:t>
      </w:r>
      <w:r w:rsidRPr="00AA352B">
        <w:rPr>
          <w:rFonts w:asciiTheme="majorBidi" w:hAnsiTheme="majorBidi" w:cstheme="majorBidi"/>
          <w:szCs w:val="22"/>
        </w:rPr>
        <w:t xml:space="preserve"> to protect and manage the North Coast.  In this respect, the government has requested UNDP to upscale the pilots through the Green Climate Fund to protect the North Coast of Egypt from the expected sea level rise. </w:t>
      </w:r>
    </w:p>
    <w:p w14:paraId="09B39D63"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In fulfillment of the Paris agreement, UNDP enabled national capacities to quantify the reduced emissions</w:t>
      </w:r>
      <w:r w:rsidRPr="00AA352B">
        <w:rPr>
          <w:rFonts w:asciiTheme="majorBidi" w:hAnsiTheme="majorBidi" w:cstheme="majorBidi"/>
          <w:szCs w:val="22"/>
        </w:rPr>
        <w:t xml:space="preserve"> and the production of the </w:t>
      </w:r>
      <w:r w:rsidRPr="00AA352B">
        <w:rPr>
          <w:rFonts w:asciiTheme="majorBidi" w:hAnsiTheme="majorBidi" w:cstheme="majorBidi"/>
          <w:b/>
          <w:bCs/>
          <w:szCs w:val="22"/>
        </w:rPr>
        <w:t>subsequent National Communication Reports</w:t>
      </w:r>
      <w:r w:rsidRPr="00AA352B">
        <w:rPr>
          <w:rFonts w:asciiTheme="majorBidi" w:hAnsiTheme="majorBidi" w:cstheme="majorBidi"/>
          <w:szCs w:val="22"/>
        </w:rPr>
        <w:t xml:space="preserve"> proper documentation meeting international standards, for climate change mitigation initiatives on the national level</w:t>
      </w:r>
    </w:p>
    <w:p w14:paraId="4AA99DD4"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UNDP supported the rehabilitation and management of 15 protected</w:t>
      </w:r>
      <w:r w:rsidRPr="00AA352B">
        <w:rPr>
          <w:rFonts w:asciiTheme="majorBidi" w:hAnsiTheme="majorBidi" w:cstheme="majorBidi"/>
          <w:szCs w:val="22"/>
        </w:rPr>
        <w:t xml:space="preserve"> </w:t>
      </w:r>
      <w:r w:rsidRPr="00AA352B">
        <w:rPr>
          <w:rFonts w:asciiTheme="majorBidi" w:hAnsiTheme="majorBidi" w:cstheme="majorBidi"/>
          <w:b/>
          <w:bCs/>
          <w:szCs w:val="22"/>
        </w:rPr>
        <w:t>areas</w:t>
      </w:r>
      <w:r w:rsidRPr="00AA352B">
        <w:rPr>
          <w:rFonts w:asciiTheme="majorBidi" w:hAnsiTheme="majorBidi" w:cstheme="majorBidi"/>
          <w:szCs w:val="22"/>
        </w:rPr>
        <w:t xml:space="preserve">, out of 30 declared protected areas. This includes the inauguration of the </w:t>
      </w:r>
      <w:r w:rsidRPr="00AA352B">
        <w:rPr>
          <w:rFonts w:asciiTheme="majorBidi" w:hAnsiTheme="majorBidi" w:cstheme="majorBidi"/>
          <w:b/>
          <w:bCs/>
          <w:szCs w:val="22"/>
        </w:rPr>
        <w:t>Wadi Al Hitan Fossil and climate change museum</w:t>
      </w:r>
      <w:r w:rsidRPr="00AA352B">
        <w:rPr>
          <w:rFonts w:asciiTheme="majorBidi" w:hAnsiTheme="majorBidi" w:cstheme="majorBidi"/>
          <w:szCs w:val="22"/>
        </w:rPr>
        <w:t xml:space="preserve"> in the first of its kind in the Middle East- bringing in more than 100,000 tourists to the area in 2016, supporting income generation for the local community.</w:t>
      </w:r>
    </w:p>
    <w:p w14:paraId="6818B710"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 xml:space="preserve">UNDP help to the Government to complete a National Strategy on Biodiversity 2030 </w:t>
      </w:r>
      <w:r w:rsidRPr="00AA352B">
        <w:rPr>
          <w:rFonts w:asciiTheme="majorBidi" w:hAnsiTheme="majorBidi" w:cstheme="majorBidi"/>
          <w:szCs w:val="22"/>
        </w:rPr>
        <w:t>which is a significant contribution to Egypt’s efforts towards implementing the Convention of Biodiversity (CBD) Strategic Plan 2011- 2020 at the national level</w:t>
      </w:r>
    </w:p>
    <w:p w14:paraId="1733D3FB"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UNDP helped the Government launch a national programme to convert street lighting to efficient lighting systems</w:t>
      </w:r>
      <w:r w:rsidRPr="00AA352B">
        <w:rPr>
          <w:rFonts w:asciiTheme="majorBidi" w:hAnsiTheme="majorBidi" w:cstheme="majorBidi"/>
          <w:szCs w:val="22"/>
        </w:rPr>
        <w:t xml:space="preserve">. Several large companies have converted all its existing facilitates into efficient lighting. UNDP Energy Efficiency Project disseminated the results of the pilot projects to advocate the use of LED based targeting different economic sectors separately. </w:t>
      </w:r>
    </w:p>
    <w:p w14:paraId="3A57FEA1"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Three Ministries are transforming gradually all their buildings into LED</w:t>
      </w:r>
      <w:r w:rsidRPr="00AA352B">
        <w:rPr>
          <w:rFonts w:asciiTheme="majorBidi" w:hAnsiTheme="majorBidi" w:cstheme="majorBidi"/>
          <w:szCs w:val="22"/>
        </w:rPr>
        <w:t xml:space="preserve"> while several other Ministries have changed the lighting systems in the HQs and </w:t>
      </w:r>
      <w:r w:rsidRPr="00AA352B">
        <w:rPr>
          <w:rFonts w:asciiTheme="majorBidi" w:hAnsiTheme="majorBidi" w:cstheme="majorBidi"/>
          <w:b/>
          <w:bCs/>
          <w:szCs w:val="22"/>
        </w:rPr>
        <w:t>at least four other Ministries will change their HQs</w:t>
      </w:r>
      <w:r w:rsidRPr="00AA352B">
        <w:rPr>
          <w:rFonts w:asciiTheme="majorBidi" w:hAnsiTheme="majorBidi" w:cstheme="majorBidi"/>
          <w:szCs w:val="22"/>
        </w:rPr>
        <w:t xml:space="preserve"> buildings with project support</w:t>
      </w:r>
    </w:p>
    <w:p w14:paraId="5CD0340A"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 xml:space="preserve">It is estimated that more than 50 million LED lamps were sold in the last two years </w:t>
      </w:r>
      <w:r w:rsidRPr="00AA352B">
        <w:rPr>
          <w:rFonts w:asciiTheme="majorBidi" w:hAnsiTheme="majorBidi" w:cstheme="majorBidi"/>
          <w:szCs w:val="22"/>
        </w:rPr>
        <w:t xml:space="preserve">indicating that complete market transformation to efficient lighting started.  </w:t>
      </w:r>
    </w:p>
    <w:p w14:paraId="3A693D66"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The Minister of Electricity announced in October 2016 that the peak electricity load has not increased this year</w:t>
      </w:r>
      <w:r w:rsidRPr="00AA352B">
        <w:rPr>
          <w:rFonts w:asciiTheme="majorBidi" w:hAnsiTheme="majorBidi" w:cstheme="majorBidi"/>
          <w:szCs w:val="22"/>
        </w:rPr>
        <w:t xml:space="preserve"> while it has shown an average increase between 5 to 10% over the last decade.</w:t>
      </w:r>
    </w:p>
    <w:p w14:paraId="72653CC1" w14:textId="77777777" w:rsidR="006E5A12" w:rsidRPr="00AA352B" w:rsidRDefault="00AA352B" w:rsidP="00AA352B">
      <w:pPr>
        <w:pStyle w:val="BodyText"/>
        <w:numPr>
          <w:ilvl w:val="0"/>
          <w:numId w:val="22"/>
        </w:numPr>
        <w:rPr>
          <w:rFonts w:asciiTheme="majorBidi" w:hAnsiTheme="majorBidi" w:cstheme="majorBidi"/>
          <w:szCs w:val="22"/>
        </w:rPr>
      </w:pPr>
      <w:r w:rsidRPr="00AA352B">
        <w:rPr>
          <w:rFonts w:asciiTheme="majorBidi" w:hAnsiTheme="majorBidi" w:cstheme="majorBidi"/>
          <w:b/>
          <w:bCs/>
          <w:szCs w:val="22"/>
        </w:rPr>
        <w:t xml:space="preserve">The bioenergy pilot supported the Ministry of Environment in establishing a national Association </w:t>
      </w:r>
      <w:r w:rsidRPr="00AA352B">
        <w:rPr>
          <w:rFonts w:asciiTheme="majorBidi" w:hAnsiTheme="majorBidi" w:cstheme="majorBidi"/>
          <w:szCs w:val="22"/>
        </w:rPr>
        <w:t>to promote upscaling of the technology all over Egypt and scaling up the use of clean energy is expected to increase dramatically over the coming few years.</w:t>
      </w:r>
    </w:p>
    <w:p w14:paraId="30D8BBFD" w14:textId="77777777" w:rsidR="00C751CF" w:rsidRDefault="00C751CF" w:rsidP="00975566">
      <w:pPr>
        <w:pStyle w:val="BodyText2"/>
        <w:jc w:val="center"/>
        <w:rPr>
          <w:rFonts w:asciiTheme="majorBidi" w:hAnsiTheme="majorBidi" w:cstheme="majorBidi"/>
          <w:b/>
          <w:sz w:val="22"/>
          <w:szCs w:val="22"/>
        </w:rPr>
      </w:pPr>
    </w:p>
    <w:p w14:paraId="05B0A6C4" w14:textId="77777777" w:rsidR="00C751CF" w:rsidRDefault="00C751CF" w:rsidP="00975566">
      <w:pPr>
        <w:pStyle w:val="BodyText2"/>
        <w:jc w:val="center"/>
        <w:rPr>
          <w:rFonts w:asciiTheme="majorBidi" w:hAnsiTheme="majorBidi" w:cstheme="majorBidi"/>
          <w:b/>
          <w:sz w:val="22"/>
          <w:szCs w:val="22"/>
        </w:rPr>
      </w:pPr>
    </w:p>
    <w:p w14:paraId="64FA561D" w14:textId="77777777" w:rsidR="0037523B" w:rsidRDefault="00C751CF" w:rsidP="00975566">
      <w:pPr>
        <w:pStyle w:val="BodyText2"/>
        <w:jc w:val="center"/>
        <w:rPr>
          <w:rFonts w:asciiTheme="majorBidi" w:hAnsiTheme="majorBidi" w:cstheme="majorBidi"/>
          <w:b/>
          <w:sz w:val="22"/>
          <w:szCs w:val="22"/>
        </w:rPr>
      </w:pPr>
      <w:r>
        <w:rPr>
          <w:rFonts w:asciiTheme="majorBidi" w:hAnsiTheme="majorBidi" w:cstheme="majorBidi"/>
          <w:b/>
          <w:sz w:val="22"/>
          <w:szCs w:val="22"/>
        </w:rPr>
        <w:lastRenderedPageBreak/>
        <w:t>Lessons learned:</w:t>
      </w:r>
    </w:p>
    <w:p w14:paraId="72C6771D" w14:textId="77777777" w:rsidR="00826A24" w:rsidRPr="00C751CF" w:rsidRDefault="00F21DEE" w:rsidP="00C751CF">
      <w:pPr>
        <w:pStyle w:val="BodyText2"/>
        <w:numPr>
          <w:ilvl w:val="0"/>
          <w:numId w:val="36"/>
        </w:numPr>
        <w:rPr>
          <w:rFonts w:asciiTheme="majorBidi" w:hAnsiTheme="majorBidi" w:cstheme="majorBidi"/>
          <w:b/>
          <w:sz w:val="22"/>
          <w:szCs w:val="22"/>
        </w:rPr>
      </w:pPr>
      <w:r w:rsidRPr="00C751CF">
        <w:rPr>
          <w:rFonts w:asciiTheme="majorBidi" w:hAnsiTheme="majorBidi" w:cstheme="majorBidi"/>
          <w:b/>
          <w:bCs/>
          <w:sz w:val="22"/>
          <w:szCs w:val="22"/>
        </w:rPr>
        <w:t>UNDP collaboration with national partners:</w:t>
      </w:r>
    </w:p>
    <w:p w14:paraId="42D498E8" w14:textId="77777777" w:rsidR="00C751CF" w:rsidRDefault="00C751CF" w:rsidP="00C751CF">
      <w:pPr>
        <w:pStyle w:val="BodyText2"/>
        <w:rPr>
          <w:rFonts w:asciiTheme="majorBidi" w:hAnsiTheme="majorBidi" w:cstheme="majorBidi"/>
          <w:sz w:val="22"/>
          <w:szCs w:val="22"/>
        </w:rPr>
      </w:pPr>
      <w:r w:rsidRPr="00C751CF">
        <w:rPr>
          <w:rFonts w:asciiTheme="majorBidi" w:hAnsiTheme="majorBidi" w:cstheme="majorBidi"/>
          <w:sz w:val="22"/>
          <w:szCs w:val="22"/>
        </w:rPr>
        <w:t xml:space="preserve">Evaluations point out that the long standing relationships and cooperation UNDP has with key institutions allowed the government to implement large scale national planning projects with more flexibility and accessibility to national and international expertise (MoSS, GoPP, MOIC, Ministry of Justice, Ministry of Environment, Others). With UNDP support, national partners are able to allocate resources to implement key activities such as capacity development and strengthening institutional technical and physical resources in a less bureaucratic manner. </w:t>
      </w:r>
    </w:p>
    <w:p w14:paraId="70FAE268" w14:textId="77777777" w:rsidR="00C751CF" w:rsidRPr="00C751CF" w:rsidRDefault="00C751CF" w:rsidP="00C751CF">
      <w:pPr>
        <w:pStyle w:val="BodyText2"/>
        <w:rPr>
          <w:rFonts w:asciiTheme="majorBidi" w:hAnsiTheme="majorBidi" w:cstheme="majorBidi"/>
          <w:sz w:val="22"/>
          <w:szCs w:val="22"/>
        </w:rPr>
      </w:pPr>
    </w:p>
    <w:p w14:paraId="63CC9FB9" w14:textId="77777777" w:rsidR="00C751CF" w:rsidRPr="00C751CF" w:rsidRDefault="00C751CF" w:rsidP="00C751CF">
      <w:pPr>
        <w:pStyle w:val="BodyText2"/>
        <w:rPr>
          <w:rFonts w:asciiTheme="majorBidi" w:hAnsiTheme="majorBidi" w:cstheme="majorBidi"/>
          <w:b/>
          <w:bCs/>
          <w:sz w:val="22"/>
          <w:szCs w:val="22"/>
        </w:rPr>
      </w:pPr>
      <w:r w:rsidRPr="00C751CF">
        <w:rPr>
          <w:rFonts w:asciiTheme="majorBidi" w:hAnsiTheme="majorBidi" w:cstheme="majorBidi"/>
          <w:sz w:val="22"/>
          <w:szCs w:val="22"/>
        </w:rPr>
        <w:t>Through UNDP global access to expertise, national partners projects managed to mobilize competent human resources and recruit top notch national and international experts and consulting firms who supported the delivery of high quality programme, contributed to institutional strengthening, skills development and good management. In addition, UNDP support to national partners bring more visibility of Egypt good practcies on the national and international levels.</w:t>
      </w:r>
    </w:p>
    <w:p w14:paraId="3C18646F" w14:textId="77777777" w:rsidR="00C751CF" w:rsidRPr="00C751CF" w:rsidRDefault="00C751CF" w:rsidP="00C751CF">
      <w:pPr>
        <w:pStyle w:val="BodyText2"/>
        <w:rPr>
          <w:rFonts w:asciiTheme="majorBidi" w:hAnsiTheme="majorBidi" w:cstheme="majorBidi"/>
          <w:b/>
          <w:bCs/>
          <w:sz w:val="22"/>
          <w:szCs w:val="22"/>
        </w:rPr>
      </w:pPr>
    </w:p>
    <w:p w14:paraId="0ED1C334" w14:textId="77777777" w:rsidR="00C751CF" w:rsidRPr="00C751CF" w:rsidRDefault="00C751CF" w:rsidP="00C751CF">
      <w:pPr>
        <w:pStyle w:val="BodyText2"/>
        <w:numPr>
          <w:ilvl w:val="0"/>
          <w:numId w:val="36"/>
        </w:numPr>
        <w:rPr>
          <w:rFonts w:asciiTheme="majorBidi" w:hAnsiTheme="majorBidi" w:cstheme="majorBidi"/>
          <w:sz w:val="22"/>
          <w:szCs w:val="22"/>
        </w:rPr>
      </w:pPr>
      <w:r w:rsidRPr="00C751CF">
        <w:rPr>
          <w:rFonts w:asciiTheme="majorBidi" w:hAnsiTheme="majorBidi" w:cstheme="majorBidi"/>
          <w:b/>
          <w:bCs/>
          <w:sz w:val="22"/>
          <w:szCs w:val="22"/>
        </w:rPr>
        <w:t>UNDP leverage to partner with the private sector, media and civil society organizations</w:t>
      </w:r>
    </w:p>
    <w:p w14:paraId="203A634E" w14:textId="77777777" w:rsidR="00C751CF" w:rsidRDefault="00C751CF" w:rsidP="00C751CF">
      <w:pPr>
        <w:pStyle w:val="BodyText2"/>
        <w:rPr>
          <w:rFonts w:asciiTheme="majorBidi" w:hAnsiTheme="majorBidi" w:cstheme="majorBidi"/>
          <w:sz w:val="22"/>
          <w:szCs w:val="22"/>
        </w:rPr>
      </w:pPr>
      <w:r w:rsidRPr="00C751CF">
        <w:rPr>
          <w:rFonts w:asciiTheme="majorBidi" w:hAnsiTheme="majorBidi" w:cstheme="majorBidi"/>
          <w:sz w:val="22"/>
          <w:szCs w:val="22"/>
        </w:rPr>
        <w:t>Evaluations on combatting FGM show that the success of national campaign is in attributed  in big part to the partnership with key civil society organizations that enjoy high degrees of confidence and efficiency accessing community groups and carrying out national awareness campaigns. Investing in CSOs capacities emerged as an area where UNDP could play a role.</w:t>
      </w:r>
    </w:p>
    <w:p w14:paraId="7B0070C3" w14:textId="77777777" w:rsidR="00C751CF" w:rsidRPr="00C751CF" w:rsidRDefault="00C751CF" w:rsidP="00C751CF">
      <w:pPr>
        <w:pStyle w:val="BodyText2"/>
        <w:rPr>
          <w:rFonts w:asciiTheme="majorBidi" w:hAnsiTheme="majorBidi" w:cstheme="majorBidi"/>
          <w:sz w:val="22"/>
          <w:szCs w:val="22"/>
        </w:rPr>
      </w:pPr>
    </w:p>
    <w:p w14:paraId="5AF2E957" w14:textId="77777777" w:rsidR="00C751CF" w:rsidRPr="00C751CF" w:rsidRDefault="00C751CF" w:rsidP="00C751CF">
      <w:pPr>
        <w:pStyle w:val="BodyText2"/>
        <w:rPr>
          <w:rFonts w:asciiTheme="majorBidi" w:hAnsiTheme="majorBidi" w:cstheme="majorBidi"/>
          <w:sz w:val="22"/>
          <w:szCs w:val="22"/>
        </w:rPr>
      </w:pPr>
      <w:r w:rsidRPr="00C751CF">
        <w:rPr>
          <w:rFonts w:asciiTheme="majorBidi" w:hAnsiTheme="majorBidi" w:cstheme="majorBidi"/>
          <w:sz w:val="22"/>
          <w:szCs w:val="22"/>
        </w:rPr>
        <w:t>UNDP has partnered with over Egyptian provate sector on CSR and business development opportunities for youth in the framework of UN the Global Compact.</w:t>
      </w:r>
    </w:p>
    <w:p w14:paraId="33EE9C3A" w14:textId="77777777" w:rsidR="00C751CF" w:rsidRDefault="00C751CF" w:rsidP="00C751CF">
      <w:pPr>
        <w:pStyle w:val="BodyText2"/>
        <w:rPr>
          <w:rFonts w:asciiTheme="majorBidi" w:hAnsiTheme="majorBidi" w:cstheme="majorBidi"/>
          <w:b/>
          <w:bCs/>
          <w:sz w:val="22"/>
          <w:szCs w:val="22"/>
        </w:rPr>
      </w:pPr>
    </w:p>
    <w:p w14:paraId="63EC2CF1" w14:textId="77777777" w:rsidR="00C751CF" w:rsidRPr="00C751CF" w:rsidRDefault="00C751CF" w:rsidP="00C751CF">
      <w:pPr>
        <w:pStyle w:val="BodyText2"/>
        <w:rPr>
          <w:rFonts w:asciiTheme="majorBidi" w:hAnsiTheme="majorBidi" w:cstheme="majorBidi"/>
          <w:sz w:val="22"/>
          <w:szCs w:val="22"/>
        </w:rPr>
      </w:pPr>
      <w:r w:rsidRPr="00C751CF">
        <w:rPr>
          <w:rFonts w:asciiTheme="majorBidi" w:hAnsiTheme="majorBidi" w:cstheme="majorBidi"/>
          <w:b/>
          <w:bCs/>
          <w:sz w:val="22"/>
          <w:szCs w:val="22"/>
        </w:rPr>
        <w:t>3) UNDP modality of work</w:t>
      </w:r>
    </w:p>
    <w:p w14:paraId="76850B84" w14:textId="77777777" w:rsidR="00C751CF" w:rsidRDefault="00C751CF" w:rsidP="00C751CF">
      <w:pPr>
        <w:pStyle w:val="BodyText2"/>
        <w:rPr>
          <w:rFonts w:asciiTheme="majorBidi" w:hAnsiTheme="majorBidi" w:cstheme="majorBidi"/>
          <w:sz w:val="22"/>
          <w:szCs w:val="22"/>
        </w:rPr>
      </w:pPr>
      <w:r w:rsidRPr="00C751CF">
        <w:rPr>
          <w:rFonts w:asciiTheme="majorBidi" w:hAnsiTheme="majorBidi" w:cstheme="majorBidi"/>
          <w:b/>
          <w:bCs/>
          <w:sz w:val="22"/>
          <w:szCs w:val="22"/>
        </w:rPr>
        <w:t xml:space="preserve">Evaluations point out to UNDP modality of work as driver for local knowledge, ownership and capacity strengthening. </w:t>
      </w:r>
      <w:r w:rsidRPr="00C751CF">
        <w:rPr>
          <w:rFonts w:asciiTheme="majorBidi" w:hAnsiTheme="majorBidi" w:cstheme="majorBidi"/>
          <w:sz w:val="22"/>
          <w:szCs w:val="22"/>
        </w:rPr>
        <w:t xml:space="preserve">Examples from Aswan, Siwa, Qena and Luxor point out working through national partners and community based organization enable UNDP to geographically reach out to the most in need. UNDP modality of work (NIM and engaging with CBOs) has a multiplier effect when combined with IT based solutions and digital tools that enable local partners to better respond to the development needs of the community. </w:t>
      </w:r>
    </w:p>
    <w:p w14:paraId="6917AB5B" w14:textId="77777777" w:rsidR="00C751CF" w:rsidRPr="00C751CF" w:rsidRDefault="00C751CF" w:rsidP="00C751CF">
      <w:pPr>
        <w:pStyle w:val="BodyText2"/>
        <w:rPr>
          <w:rFonts w:asciiTheme="majorBidi" w:hAnsiTheme="majorBidi" w:cstheme="majorBidi"/>
          <w:sz w:val="22"/>
          <w:szCs w:val="22"/>
        </w:rPr>
      </w:pPr>
    </w:p>
    <w:p w14:paraId="4C15AB2F" w14:textId="77777777" w:rsidR="00C751CF" w:rsidRPr="00C751CF" w:rsidRDefault="00C751CF" w:rsidP="00C751CF">
      <w:pPr>
        <w:pStyle w:val="BodyText2"/>
        <w:rPr>
          <w:rFonts w:asciiTheme="majorBidi" w:hAnsiTheme="majorBidi" w:cstheme="majorBidi"/>
          <w:sz w:val="22"/>
          <w:szCs w:val="22"/>
        </w:rPr>
      </w:pPr>
      <w:r w:rsidRPr="00C751CF">
        <w:rPr>
          <w:rFonts w:asciiTheme="majorBidi" w:hAnsiTheme="majorBidi" w:cstheme="majorBidi"/>
          <w:sz w:val="22"/>
          <w:szCs w:val="22"/>
        </w:rPr>
        <w:t>Evaluations also point out to UNDP introduction of new technologies and systems by conceiving innovative initiative/pilots that mature into national programme (example BioGas national project, protected areas management, efficient lightning, climate change adaptation, and others) have a higher potential for sustainability and scalability if they were not initiated by UNDP.</w:t>
      </w:r>
    </w:p>
    <w:p w14:paraId="7654FDD7" w14:textId="77777777" w:rsidR="00C751CF" w:rsidRPr="00C751CF" w:rsidRDefault="00C751CF" w:rsidP="00C751CF">
      <w:pPr>
        <w:pStyle w:val="BodyText2"/>
        <w:rPr>
          <w:rFonts w:asciiTheme="majorBidi" w:hAnsiTheme="majorBidi" w:cstheme="majorBidi"/>
          <w:sz w:val="22"/>
          <w:szCs w:val="22"/>
        </w:rPr>
      </w:pPr>
    </w:p>
    <w:p w14:paraId="359B2428" w14:textId="77777777" w:rsidR="00C751CF" w:rsidRPr="00AA352B" w:rsidRDefault="00C751CF" w:rsidP="00C751CF">
      <w:pPr>
        <w:pStyle w:val="BodyText2"/>
        <w:rPr>
          <w:rFonts w:asciiTheme="majorBidi" w:hAnsiTheme="majorBidi" w:cstheme="majorBidi"/>
          <w:b/>
          <w:sz w:val="22"/>
          <w:szCs w:val="22"/>
        </w:rPr>
      </w:pPr>
    </w:p>
    <w:p w14:paraId="1BC6E089" w14:textId="77777777" w:rsidR="0037523B" w:rsidRPr="00AA352B" w:rsidRDefault="0037523B" w:rsidP="006F0008">
      <w:pPr>
        <w:pStyle w:val="BodyText2"/>
        <w:rPr>
          <w:rFonts w:asciiTheme="majorBidi" w:hAnsiTheme="majorBidi" w:cstheme="majorBidi"/>
          <w:b/>
          <w:sz w:val="22"/>
          <w:szCs w:val="22"/>
        </w:rPr>
      </w:pPr>
    </w:p>
    <w:p w14:paraId="37A09E9E" w14:textId="77777777" w:rsidR="0037523B" w:rsidRPr="00AA352B" w:rsidRDefault="0037523B" w:rsidP="00975566">
      <w:pPr>
        <w:pStyle w:val="BodyText2"/>
        <w:jc w:val="center"/>
        <w:rPr>
          <w:rFonts w:asciiTheme="majorBidi" w:hAnsiTheme="majorBidi" w:cstheme="majorBidi"/>
          <w:b/>
          <w:sz w:val="22"/>
          <w:szCs w:val="22"/>
        </w:rPr>
        <w:sectPr w:rsidR="0037523B" w:rsidRPr="00AA352B">
          <w:footerReference w:type="default" r:id="rId13"/>
          <w:endnotePr>
            <w:numFmt w:val="decimal"/>
          </w:endnotePr>
          <w:pgSz w:w="11907" w:h="16840" w:code="9"/>
          <w:pgMar w:top="1440" w:right="1440" w:bottom="1440" w:left="1440" w:header="720" w:footer="720" w:gutter="0"/>
          <w:cols w:space="720"/>
        </w:sectPr>
      </w:pPr>
    </w:p>
    <w:p w14:paraId="27F1EBBE" w14:textId="77777777" w:rsidR="00975566" w:rsidRPr="00AA352B" w:rsidRDefault="006900FE" w:rsidP="008440D9">
      <w:pPr>
        <w:pStyle w:val="Heading3"/>
        <w:jc w:val="left"/>
        <w:rPr>
          <w:rFonts w:asciiTheme="majorBidi" w:hAnsiTheme="majorBidi" w:cstheme="majorBidi"/>
          <w:b/>
          <w:sz w:val="22"/>
          <w:szCs w:val="22"/>
        </w:rPr>
      </w:pPr>
      <w:r w:rsidRPr="00AA352B">
        <w:rPr>
          <w:rFonts w:asciiTheme="majorBidi" w:hAnsiTheme="majorBidi" w:cstheme="majorBidi"/>
          <w:b/>
          <w:sz w:val="22"/>
          <w:szCs w:val="22"/>
        </w:rPr>
        <w:lastRenderedPageBreak/>
        <w:t>II</w:t>
      </w:r>
      <w:r w:rsidR="0081403B" w:rsidRPr="00AA352B">
        <w:rPr>
          <w:rFonts w:asciiTheme="majorBidi" w:hAnsiTheme="majorBidi" w:cstheme="majorBidi"/>
          <w:b/>
          <w:sz w:val="22"/>
          <w:szCs w:val="22"/>
        </w:rPr>
        <w:t xml:space="preserve">: </w:t>
      </w:r>
      <w:r w:rsidR="000C09B4" w:rsidRPr="00AA352B">
        <w:rPr>
          <w:rFonts w:asciiTheme="majorBidi" w:hAnsiTheme="majorBidi" w:cstheme="majorBidi"/>
          <w:b/>
          <w:sz w:val="22"/>
          <w:szCs w:val="22"/>
        </w:rPr>
        <w:t xml:space="preserve">Country Programme Performance </w:t>
      </w:r>
      <w:r w:rsidR="00975566" w:rsidRPr="00AA352B">
        <w:rPr>
          <w:rFonts w:asciiTheme="majorBidi" w:hAnsiTheme="majorBidi" w:cstheme="majorBidi"/>
          <w:b/>
          <w:sz w:val="22"/>
          <w:szCs w:val="22"/>
        </w:rPr>
        <w:t>Summary</w:t>
      </w:r>
    </w:p>
    <w:p w14:paraId="06ED916C" w14:textId="77777777" w:rsidR="00DC7354" w:rsidRPr="00AA352B" w:rsidRDefault="00DC7354" w:rsidP="00975566">
      <w:pPr>
        <w:pStyle w:val="BodyText2"/>
        <w:jc w:val="center"/>
        <w:rPr>
          <w:rFonts w:asciiTheme="majorBidi" w:hAnsiTheme="majorBidi" w:cstheme="majorBidi"/>
          <w:b/>
          <w:sz w:val="22"/>
          <w:szCs w:val="22"/>
        </w:rPr>
      </w:pPr>
    </w:p>
    <w:tbl>
      <w:tblPr>
        <w:tblStyle w:val="TableGrid"/>
        <w:tblW w:w="13585" w:type="dxa"/>
        <w:tblLook w:val="04A0" w:firstRow="1" w:lastRow="0" w:firstColumn="1" w:lastColumn="0" w:noHBand="0" w:noVBand="1"/>
      </w:tblPr>
      <w:tblGrid>
        <w:gridCol w:w="2875"/>
        <w:gridCol w:w="3240"/>
        <w:gridCol w:w="7470"/>
      </w:tblGrid>
      <w:tr w:rsidR="000617C3" w14:paraId="428F41BD"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62F094F4" w14:textId="77777777" w:rsidR="000617C3" w:rsidRDefault="000617C3">
            <w:pPr>
              <w:pStyle w:val="BodyText2"/>
              <w:rPr>
                <w:rFonts w:asciiTheme="majorBidi" w:hAnsiTheme="majorBidi" w:cstheme="majorBidi"/>
                <w:b/>
              </w:rPr>
            </w:pPr>
            <w:r>
              <w:rPr>
                <w:rFonts w:asciiTheme="majorBidi" w:hAnsiTheme="majorBidi" w:cstheme="majorBidi"/>
                <w:b/>
              </w:rPr>
              <w:t>Country information</w:t>
            </w:r>
          </w:p>
        </w:tc>
      </w:tr>
      <w:tr w:rsidR="000617C3" w14:paraId="1706285A"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0CD9B51F" w14:textId="77777777" w:rsidR="000617C3" w:rsidRDefault="000617C3">
            <w:pPr>
              <w:pStyle w:val="BodyText2"/>
              <w:rPr>
                <w:rFonts w:asciiTheme="majorBidi" w:hAnsiTheme="majorBidi" w:cstheme="majorBidi"/>
                <w:b/>
              </w:rPr>
            </w:pPr>
            <w:r>
              <w:rPr>
                <w:rFonts w:asciiTheme="majorBidi" w:hAnsiTheme="majorBidi" w:cstheme="majorBidi"/>
                <w:b/>
              </w:rPr>
              <w:t>Country name: Egypt</w:t>
            </w:r>
          </w:p>
        </w:tc>
      </w:tr>
      <w:tr w:rsidR="000617C3" w14:paraId="4F44F3F2"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6246C01D" w14:textId="77777777" w:rsidR="000617C3" w:rsidRDefault="000617C3">
            <w:pPr>
              <w:rPr>
                <w:rFonts w:asciiTheme="majorBidi" w:hAnsiTheme="majorBidi" w:cstheme="majorBidi"/>
                <w:b/>
                <w:bCs/>
                <w:color w:val="000000"/>
                <w:sz w:val="20"/>
              </w:rPr>
            </w:pPr>
            <w:r>
              <w:rPr>
                <w:rFonts w:asciiTheme="majorBidi" w:hAnsiTheme="majorBidi" w:cstheme="majorBidi"/>
                <w:b/>
                <w:sz w:val="20"/>
              </w:rPr>
              <w:t>Current country programme period: 2013-2017</w:t>
            </w:r>
          </w:p>
        </w:tc>
      </w:tr>
      <w:tr w:rsidR="000617C3" w14:paraId="3B4E69F4"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34F7BD5" w14:textId="77777777" w:rsidR="000617C3" w:rsidRDefault="000617C3">
            <w:pPr>
              <w:rPr>
                <w:rFonts w:asciiTheme="majorBidi" w:hAnsiTheme="majorBidi" w:cstheme="majorBidi"/>
                <w:b/>
                <w:bCs/>
                <w:sz w:val="20"/>
              </w:rPr>
            </w:pPr>
            <w:r>
              <w:rPr>
                <w:rFonts w:asciiTheme="majorBidi" w:hAnsiTheme="majorBidi" w:cstheme="majorBidi"/>
                <w:b/>
                <w:bCs/>
                <w:color w:val="000000"/>
                <w:sz w:val="20"/>
              </w:rPr>
              <w:t xml:space="preserve">National priority or goal: </w:t>
            </w:r>
            <w:r>
              <w:rPr>
                <w:rFonts w:asciiTheme="majorBidi" w:hAnsiTheme="majorBidi" w:cstheme="majorBidi"/>
                <w:sz w:val="20"/>
              </w:rPr>
              <w:t>Reduce the number of poor people living below the national poverty line.</w:t>
            </w:r>
          </w:p>
        </w:tc>
      </w:tr>
      <w:tr w:rsidR="000617C3" w14:paraId="6FD254EA"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A438BBC" w14:textId="77777777" w:rsidR="000617C3" w:rsidRDefault="000617C3">
            <w:pPr>
              <w:rPr>
                <w:rFonts w:asciiTheme="majorBidi" w:hAnsiTheme="majorBidi" w:cstheme="majorBidi"/>
                <w:b/>
                <w:bCs/>
                <w:sz w:val="20"/>
              </w:rPr>
            </w:pPr>
            <w:r>
              <w:rPr>
                <w:rFonts w:asciiTheme="majorBidi" w:hAnsiTheme="majorBidi" w:cstheme="majorBidi"/>
                <w:b/>
                <w:bCs/>
                <w:sz w:val="20"/>
              </w:rPr>
              <w:t>Planned Budget: USD$ 151,567,059</w:t>
            </w:r>
          </w:p>
          <w:p w14:paraId="1C5479D3" w14:textId="77777777" w:rsidR="000617C3" w:rsidRDefault="000617C3">
            <w:pPr>
              <w:rPr>
                <w:rFonts w:asciiTheme="majorBidi" w:hAnsiTheme="majorBidi" w:cstheme="majorBidi"/>
                <w:b/>
                <w:bCs/>
                <w:sz w:val="20"/>
              </w:rPr>
            </w:pPr>
            <w:r>
              <w:rPr>
                <w:rFonts w:asciiTheme="majorBidi" w:hAnsiTheme="majorBidi" w:cstheme="majorBidi"/>
                <w:b/>
                <w:bCs/>
                <w:sz w:val="20"/>
              </w:rPr>
              <w:t>Delivery: USD$ 227,498,920</w:t>
            </w:r>
          </w:p>
        </w:tc>
      </w:tr>
      <w:tr w:rsidR="000617C3" w14:paraId="32692730" w14:textId="77777777" w:rsidTr="000617C3">
        <w:tc>
          <w:tcPr>
            <w:tcW w:w="2875" w:type="dxa"/>
            <w:tcBorders>
              <w:top w:val="single" w:sz="4" w:space="0" w:color="auto"/>
              <w:left w:val="single" w:sz="4" w:space="0" w:color="auto"/>
              <w:bottom w:val="single" w:sz="4" w:space="0" w:color="auto"/>
              <w:right w:val="single" w:sz="4" w:space="0" w:color="auto"/>
            </w:tcBorders>
            <w:hideMark/>
          </w:tcPr>
          <w:p w14:paraId="731076DD" w14:textId="77777777" w:rsidR="000617C3" w:rsidRDefault="000617C3">
            <w:pPr>
              <w:rPr>
                <w:rFonts w:asciiTheme="majorBidi" w:hAnsiTheme="majorBidi" w:cstheme="majorBidi"/>
                <w:b/>
                <w:bCs/>
                <w:sz w:val="20"/>
              </w:rPr>
            </w:pPr>
            <w:r>
              <w:rPr>
                <w:rFonts w:asciiTheme="majorBidi" w:hAnsiTheme="majorBidi" w:cstheme="majorBidi"/>
                <w:b/>
                <w:bCs/>
                <w:sz w:val="20"/>
              </w:rPr>
              <w:t>UNDP contributions</w:t>
            </w:r>
          </w:p>
        </w:tc>
        <w:tc>
          <w:tcPr>
            <w:tcW w:w="3240" w:type="dxa"/>
            <w:tcBorders>
              <w:top w:val="single" w:sz="4" w:space="0" w:color="auto"/>
              <w:left w:val="single" w:sz="4" w:space="0" w:color="auto"/>
              <w:bottom w:val="single" w:sz="4" w:space="0" w:color="auto"/>
              <w:right w:val="single" w:sz="4" w:space="0" w:color="auto"/>
            </w:tcBorders>
            <w:hideMark/>
          </w:tcPr>
          <w:p w14:paraId="59ACDED1" w14:textId="77777777" w:rsidR="000617C3" w:rsidRDefault="000617C3">
            <w:pPr>
              <w:rPr>
                <w:rFonts w:asciiTheme="majorBidi" w:hAnsiTheme="majorBidi" w:cstheme="majorBidi"/>
                <w:b/>
                <w:bCs/>
                <w:sz w:val="20"/>
              </w:rPr>
            </w:pPr>
            <w:r>
              <w:rPr>
                <w:rFonts w:asciiTheme="majorBidi" w:hAnsiTheme="majorBidi" w:cstheme="majorBidi"/>
                <w:b/>
                <w:bCs/>
                <w:sz w:val="20"/>
              </w:rPr>
              <w:t>Measurement</w:t>
            </w:r>
          </w:p>
        </w:tc>
        <w:tc>
          <w:tcPr>
            <w:tcW w:w="7470" w:type="dxa"/>
            <w:tcBorders>
              <w:top w:val="single" w:sz="4" w:space="0" w:color="auto"/>
              <w:left w:val="single" w:sz="4" w:space="0" w:color="auto"/>
              <w:bottom w:val="single" w:sz="4" w:space="0" w:color="auto"/>
              <w:right w:val="single" w:sz="4" w:space="0" w:color="auto"/>
            </w:tcBorders>
            <w:hideMark/>
          </w:tcPr>
          <w:p w14:paraId="57ECCC5E" w14:textId="77777777" w:rsidR="000617C3" w:rsidRDefault="000617C3">
            <w:pPr>
              <w:rPr>
                <w:rFonts w:asciiTheme="majorBidi" w:hAnsiTheme="majorBidi" w:cstheme="majorBidi"/>
                <w:b/>
                <w:bCs/>
                <w:sz w:val="20"/>
              </w:rPr>
            </w:pPr>
            <w:r>
              <w:rPr>
                <w:rFonts w:asciiTheme="majorBidi" w:hAnsiTheme="majorBidi" w:cstheme="majorBidi"/>
                <w:b/>
                <w:bCs/>
                <w:sz w:val="20"/>
              </w:rPr>
              <w:t>UNDP key results over CPD cycle</w:t>
            </w:r>
          </w:p>
        </w:tc>
      </w:tr>
      <w:tr w:rsidR="000617C3" w14:paraId="364B628D" w14:textId="77777777" w:rsidTr="000617C3">
        <w:tc>
          <w:tcPr>
            <w:tcW w:w="2875" w:type="dxa"/>
            <w:vMerge w:val="restart"/>
            <w:tcBorders>
              <w:top w:val="single" w:sz="4" w:space="0" w:color="auto"/>
              <w:left w:val="single" w:sz="4" w:space="0" w:color="auto"/>
              <w:bottom w:val="single" w:sz="4" w:space="0" w:color="auto"/>
              <w:right w:val="single" w:sz="4" w:space="0" w:color="auto"/>
            </w:tcBorders>
          </w:tcPr>
          <w:p w14:paraId="07112BA4" w14:textId="77777777" w:rsidR="000617C3" w:rsidRDefault="000617C3">
            <w:pPr>
              <w:rPr>
                <w:rFonts w:asciiTheme="majorBidi" w:hAnsiTheme="majorBidi" w:cstheme="majorBidi"/>
                <w:sz w:val="20"/>
              </w:rPr>
            </w:pPr>
            <w:r>
              <w:rPr>
                <w:rFonts w:asciiTheme="majorBidi" w:hAnsiTheme="majorBidi" w:cstheme="majorBidi"/>
                <w:sz w:val="20"/>
              </w:rPr>
              <w:t>UNDP will:</w:t>
            </w:r>
          </w:p>
          <w:p w14:paraId="38C3E5D4" w14:textId="77777777" w:rsidR="000617C3" w:rsidRDefault="000617C3">
            <w:pPr>
              <w:rPr>
                <w:rFonts w:asciiTheme="majorBidi" w:hAnsiTheme="majorBidi" w:cstheme="majorBidi"/>
                <w:sz w:val="20"/>
              </w:rPr>
            </w:pPr>
            <w:r>
              <w:rPr>
                <w:rFonts w:asciiTheme="majorBidi" w:hAnsiTheme="majorBidi" w:cstheme="majorBidi"/>
                <w:sz w:val="20"/>
              </w:rPr>
              <w:t>- build capacities of SFD to develop tools and services for easier and more sustainable MSME creation.</w:t>
            </w:r>
          </w:p>
          <w:p w14:paraId="4E54D925" w14:textId="77777777" w:rsidR="000617C3" w:rsidRDefault="000617C3">
            <w:pPr>
              <w:rPr>
                <w:rFonts w:asciiTheme="majorBidi" w:hAnsiTheme="majorBidi" w:cstheme="majorBidi"/>
                <w:sz w:val="20"/>
              </w:rPr>
            </w:pPr>
            <w:r>
              <w:rPr>
                <w:rFonts w:asciiTheme="majorBidi" w:hAnsiTheme="majorBidi" w:cstheme="majorBidi"/>
                <w:sz w:val="20"/>
              </w:rPr>
              <w:t>- support SFD and MOLD to develop local economic development strategies and frameworks</w:t>
            </w:r>
          </w:p>
          <w:p w14:paraId="281B4632" w14:textId="77777777" w:rsidR="000617C3" w:rsidRDefault="000617C3">
            <w:pPr>
              <w:rPr>
                <w:rFonts w:asciiTheme="majorBidi" w:hAnsiTheme="majorBidi" w:cstheme="majorBidi"/>
                <w:sz w:val="20"/>
              </w:rPr>
            </w:pPr>
            <w:r>
              <w:rPr>
                <w:rFonts w:asciiTheme="majorBidi" w:hAnsiTheme="majorBidi" w:cstheme="majorBidi"/>
                <w:sz w:val="20"/>
              </w:rPr>
              <w:t>- strengthen MOSS capacities for social protection as part of the implementation of new law on social protection.</w:t>
            </w:r>
          </w:p>
          <w:p w14:paraId="3960B944" w14:textId="77777777" w:rsidR="000617C3" w:rsidRDefault="000617C3">
            <w:pPr>
              <w:rPr>
                <w:rFonts w:asciiTheme="majorBidi" w:hAnsiTheme="majorBidi" w:cstheme="majorBidi"/>
                <w:sz w:val="20"/>
              </w:rPr>
            </w:pPr>
            <w:r>
              <w:rPr>
                <w:rFonts w:asciiTheme="majorBidi" w:hAnsiTheme="majorBidi" w:cstheme="majorBidi"/>
                <w:sz w:val="20"/>
              </w:rPr>
              <w:t>- produce poverty and MDG monitoring tools, including resilience studies, and promote their use for pro-poor policies.</w:t>
            </w:r>
          </w:p>
          <w:p w14:paraId="4EB03C05" w14:textId="77777777" w:rsidR="000617C3" w:rsidRDefault="000617C3">
            <w:pPr>
              <w:pStyle w:val="MediumGrid21"/>
              <w:rPr>
                <w:rFonts w:asciiTheme="majorBidi" w:hAnsiTheme="majorBidi" w:cstheme="majorBidi"/>
                <w:sz w:val="20"/>
                <w:szCs w:val="20"/>
              </w:rPr>
            </w:pPr>
            <w:r>
              <w:rPr>
                <w:rFonts w:asciiTheme="majorBidi" w:hAnsiTheme="majorBidi" w:cstheme="majorBidi"/>
                <w:sz w:val="20"/>
                <w:szCs w:val="20"/>
              </w:rPr>
              <w:t>- test and document inclusive market development models, and raise awareness and build capacity of product stewardship in corporate social responsibility</w:t>
            </w:r>
          </w:p>
          <w:p w14:paraId="59FB6F3F" w14:textId="77777777" w:rsidR="000617C3" w:rsidRDefault="000617C3">
            <w:pPr>
              <w:rPr>
                <w:rFonts w:asciiTheme="majorBidi" w:hAnsiTheme="majorBidi" w:cstheme="majorBidi"/>
                <w:sz w:val="20"/>
              </w:rPr>
            </w:pPr>
          </w:p>
        </w:tc>
        <w:tc>
          <w:tcPr>
            <w:tcW w:w="3240" w:type="dxa"/>
            <w:tcBorders>
              <w:top w:val="single" w:sz="4" w:space="0" w:color="auto"/>
              <w:left w:val="single" w:sz="4" w:space="0" w:color="auto"/>
              <w:bottom w:val="single" w:sz="4" w:space="0" w:color="auto"/>
              <w:right w:val="single" w:sz="4" w:space="0" w:color="auto"/>
            </w:tcBorders>
          </w:tcPr>
          <w:p w14:paraId="1DE79F27" w14:textId="77777777" w:rsidR="000617C3" w:rsidRDefault="000617C3">
            <w:pPr>
              <w:rPr>
                <w:rFonts w:asciiTheme="majorBidi" w:hAnsiTheme="majorBidi" w:cstheme="majorBidi"/>
                <w:bCs/>
                <w:sz w:val="20"/>
              </w:rPr>
            </w:pPr>
            <w:r>
              <w:rPr>
                <w:rFonts w:asciiTheme="majorBidi" w:hAnsiTheme="majorBidi" w:cstheme="majorBidi"/>
                <w:b/>
                <w:bCs/>
                <w:sz w:val="20"/>
              </w:rPr>
              <w:t xml:space="preserve">Indicator 1: </w:t>
            </w:r>
            <w:r>
              <w:rPr>
                <w:rFonts w:asciiTheme="majorBidi" w:hAnsiTheme="majorBidi" w:cstheme="majorBidi"/>
                <w:bCs/>
                <w:sz w:val="20"/>
              </w:rPr>
              <w:t xml:space="preserve"> Number of MSMEs benefitting from financial and/or non-financial services availed by SFD </w:t>
            </w:r>
          </w:p>
          <w:p w14:paraId="59D157C9" w14:textId="77777777" w:rsidR="000617C3" w:rsidRDefault="000617C3">
            <w:pPr>
              <w:rPr>
                <w:rFonts w:asciiTheme="majorBidi" w:hAnsiTheme="majorBidi" w:cstheme="majorBidi"/>
                <w:bCs/>
                <w:sz w:val="20"/>
              </w:rPr>
            </w:pPr>
            <w:r>
              <w:rPr>
                <w:rFonts w:asciiTheme="majorBidi" w:hAnsiTheme="majorBidi" w:cstheme="majorBidi"/>
                <w:b/>
                <w:sz w:val="20"/>
              </w:rPr>
              <w:t>Baseline</w:t>
            </w:r>
            <w:r>
              <w:rPr>
                <w:rFonts w:asciiTheme="majorBidi" w:hAnsiTheme="majorBidi" w:cstheme="majorBidi"/>
                <w:bCs/>
                <w:sz w:val="20"/>
              </w:rPr>
              <w:t xml:space="preserve">: 4.4 million MSMEs; </w:t>
            </w:r>
          </w:p>
          <w:p w14:paraId="4F2191D6" w14:textId="77777777" w:rsidR="000617C3" w:rsidRDefault="000617C3">
            <w:pPr>
              <w:rPr>
                <w:rFonts w:asciiTheme="majorBidi" w:hAnsiTheme="majorBidi" w:cstheme="majorBidi"/>
                <w:bCs/>
                <w:sz w:val="20"/>
              </w:rPr>
            </w:pPr>
            <w:r>
              <w:rPr>
                <w:rFonts w:asciiTheme="majorBidi" w:hAnsiTheme="majorBidi" w:cstheme="majorBidi"/>
                <w:b/>
                <w:sz w:val="20"/>
              </w:rPr>
              <w:t>Target</w:t>
            </w:r>
            <w:r>
              <w:rPr>
                <w:rFonts w:asciiTheme="majorBidi" w:hAnsiTheme="majorBidi" w:cstheme="majorBidi"/>
                <w:bCs/>
                <w:sz w:val="20"/>
              </w:rPr>
              <w:t>: 500,000 MSMEs (categorized by type of service)</w:t>
            </w:r>
          </w:p>
          <w:p w14:paraId="55E49416" w14:textId="77777777" w:rsidR="000617C3" w:rsidRDefault="000617C3">
            <w:pPr>
              <w:pStyle w:val="MediumGrid21"/>
              <w:rPr>
                <w:rFonts w:asciiTheme="majorBidi" w:hAnsiTheme="majorBidi" w:cstheme="majorBidi"/>
                <w:b/>
                <w:bCs/>
                <w:sz w:val="20"/>
                <w:szCs w:val="20"/>
              </w:rPr>
            </w:pPr>
          </w:p>
        </w:tc>
        <w:tc>
          <w:tcPr>
            <w:tcW w:w="7470" w:type="dxa"/>
            <w:tcBorders>
              <w:top w:val="single" w:sz="4" w:space="0" w:color="auto"/>
              <w:left w:val="single" w:sz="4" w:space="0" w:color="auto"/>
              <w:bottom w:val="single" w:sz="4" w:space="0" w:color="auto"/>
              <w:right w:val="single" w:sz="4" w:space="0" w:color="auto"/>
            </w:tcBorders>
            <w:hideMark/>
          </w:tcPr>
          <w:p w14:paraId="3D11E590"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Target reached and surpassed</w:t>
            </w:r>
          </w:p>
          <w:p w14:paraId="72A0896B"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sz w:val="20"/>
                <w:szCs w:val="20"/>
              </w:rPr>
            </w:pPr>
            <w:r>
              <w:rPr>
                <w:rFonts w:asciiTheme="majorBidi" w:hAnsiTheme="majorBidi" w:cstheme="majorBidi"/>
                <w:sz w:val="20"/>
                <w:szCs w:val="20"/>
                <w:shd w:val="clear" w:color="auto" w:fill="FFFFFF"/>
              </w:rPr>
              <w:t>Over 900 thousand</w:t>
            </w:r>
            <w:r>
              <w:rPr>
                <w:rFonts w:asciiTheme="majorBidi" w:eastAsia="Times New Roman" w:hAnsiTheme="majorBidi" w:cstheme="majorBidi"/>
                <w:sz w:val="20"/>
                <w:szCs w:val="20"/>
                <w:highlight w:val="white"/>
              </w:rPr>
              <w:t xml:space="preserve"> new full-time jobs were generated through the SFD, 47% of which were created for women</w:t>
            </w:r>
            <w:r>
              <w:rPr>
                <w:rFonts w:asciiTheme="majorBidi" w:eastAsia="Times New Roman" w:hAnsiTheme="majorBidi" w:cstheme="majorBidi"/>
                <w:sz w:val="20"/>
                <w:szCs w:val="20"/>
              </w:rPr>
              <w:t xml:space="preserve"> in small and micro enterprise</w:t>
            </w:r>
          </w:p>
          <w:p w14:paraId="13C4D259"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i/>
                <w:iCs/>
                <w:sz w:val="20"/>
                <w:szCs w:val="20"/>
              </w:rPr>
            </w:pPr>
            <w:r>
              <w:rPr>
                <w:rFonts w:asciiTheme="majorBidi" w:eastAsia="Times New Roman" w:hAnsiTheme="majorBidi" w:cstheme="majorBidi"/>
                <w:i/>
                <w:iCs/>
                <w:sz w:val="20"/>
                <w:szCs w:val="20"/>
              </w:rPr>
              <w:t>264,628 in small size enterprises</w:t>
            </w:r>
          </w:p>
          <w:p w14:paraId="00C65935"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sz w:val="20"/>
                <w:szCs w:val="20"/>
              </w:rPr>
            </w:pPr>
            <w:r>
              <w:rPr>
                <w:rFonts w:asciiTheme="majorBidi" w:eastAsia="Times New Roman" w:hAnsiTheme="majorBidi" w:cstheme="majorBidi"/>
                <w:i/>
                <w:iCs/>
                <w:sz w:val="20"/>
                <w:szCs w:val="20"/>
              </w:rPr>
              <w:t>637,340 in micro enterprise</w:t>
            </w:r>
            <w:r>
              <w:rPr>
                <w:rFonts w:asciiTheme="majorBidi" w:eastAsia="Times New Roman" w:hAnsiTheme="majorBidi" w:cstheme="majorBidi"/>
                <w:sz w:val="20"/>
                <w:szCs w:val="20"/>
              </w:rPr>
              <w:t xml:space="preserve"> </w:t>
            </w:r>
          </w:p>
          <w:p w14:paraId="5458F48F"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Around 8000 people benefited from non-financial services trainings.</w:t>
            </w:r>
          </w:p>
          <w:p w14:paraId="73AAF587"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sz w:val="20"/>
                <w:szCs w:val="20"/>
              </w:rPr>
            </w:pPr>
            <w:r>
              <w:rPr>
                <w:rFonts w:asciiTheme="majorBidi" w:hAnsiTheme="majorBidi" w:cstheme="majorBidi"/>
                <w:sz w:val="20"/>
                <w:szCs w:val="20"/>
                <w:shd w:val="clear" w:color="auto" w:fill="FFFFFF"/>
              </w:rPr>
              <w:t>Around 470,690 short and medium term employment created from public works programme (in # of working days)</w:t>
            </w:r>
          </w:p>
          <w:p w14:paraId="009A30B6" w14:textId="77777777" w:rsidR="000617C3" w:rsidRDefault="000617C3" w:rsidP="000617C3">
            <w:pPr>
              <w:pStyle w:val="ListParagraph"/>
              <w:numPr>
                <w:ilvl w:val="0"/>
                <w:numId w:val="24"/>
              </w:numPr>
              <w:spacing w:after="0" w:line="240" w:lineRule="auto"/>
              <w:rPr>
                <w:rFonts w:asciiTheme="majorBidi" w:eastAsia="Times New Roman" w:hAnsiTheme="majorBidi" w:cstheme="majorBidi"/>
                <w:sz w:val="20"/>
                <w:szCs w:val="20"/>
              </w:rPr>
            </w:pPr>
            <w:r>
              <w:rPr>
                <w:rFonts w:asciiTheme="majorBidi" w:hAnsiTheme="majorBidi" w:cstheme="majorBidi"/>
                <w:sz w:val="20"/>
                <w:szCs w:val="20"/>
                <w:shd w:val="clear" w:color="auto" w:fill="FFFFFF"/>
              </w:rPr>
              <w:t>Over 1 million indirect community members benefited from infrastructure services created through public works in various villages.</w:t>
            </w:r>
          </w:p>
        </w:tc>
      </w:tr>
      <w:tr w:rsidR="000617C3" w14:paraId="3CD74863"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05108A0D" w14:textId="77777777" w:rsidR="000617C3" w:rsidRDefault="000617C3">
            <w:pPr>
              <w:rPr>
                <w:rFonts w:asciiTheme="majorBidi" w:hAnsiTheme="majorBidi" w:cstheme="majorBidi"/>
                <w:sz w:val="20"/>
              </w:rPr>
            </w:pPr>
          </w:p>
        </w:tc>
        <w:tc>
          <w:tcPr>
            <w:tcW w:w="3240" w:type="dxa"/>
            <w:tcBorders>
              <w:top w:val="single" w:sz="4" w:space="0" w:color="auto"/>
              <w:left w:val="single" w:sz="4" w:space="0" w:color="auto"/>
              <w:bottom w:val="single" w:sz="4" w:space="0" w:color="auto"/>
              <w:right w:val="single" w:sz="4" w:space="0" w:color="auto"/>
            </w:tcBorders>
            <w:hideMark/>
          </w:tcPr>
          <w:p w14:paraId="668CD6F5" w14:textId="77777777" w:rsidR="000617C3" w:rsidRDefault="000617C3">
            <w:pPr>
              <w:rPr>
                <w:rFonts w:asciiTheme="majorBidi" w:eastAsiaTheme="minorHAnsi" w:hAnsiTheme="majorBidi" w:cstheme="majorBidi"/>
                <w:sz w:val="20"/>
              </w:rPr>
            </w:pPr>
            <w:r>
              <w:rPr>
                <w:rFonts w:asciiTheme="majorBidi" w:hAnsiTheme="majorBidi" w:cstheme="majorBidi"/>
                <w:b/>
                <w:bCs/>
                <w:sz w:val="20"/>
              </w:rPr>
              <w:t>Indicator 2</w:t>
            </w:r>
            <w:r>
              <w:rPr>
                <w:rFonts w:asciiTheme="majorBidi" w:hAnsiTheme="majorBidi" w:cstheme="majorBidi"/>
                <w:b/>
                <w:sz w:val="20"/>
              </w:rPr>
              <w:t>:</w:t>
            </w:r>
            <w:r>
              <w:rPr>
                <w:rFonts w:asciiTheme="majorBidi" w:hAnsiTheme="majorBidi" w:cstheme="majorBidi"/>
                <w:sz w:val="20"/>
              </w:rPr>
              <w:t xml:space="preserve"> MOISA implementing alternative social protection targeting system </w:t>
            </w:r>
          </w:p>
          <w:p w14:paraId="441F64B9" w14:textId="77777777" w:rsidR="000617C3" w:rsidRDefault="000617C3">
            <w:pPr>
              <w:rPr>
                <w:rFonts w:asciiTheme="majorBidi" w:hAnsiTheme="majorBidi" w:cstheme="majorBidi"/>
                <w:sz w:val="20"/>
              </w:rPr>
            </w:pPr>
            <w:r>
              <w:rPr>
                <w:rFonts w:asciiTheme="majorBidi" w:hAnsiTheme="majorBidi" w:cstheme="majorBidi"/>
                <w:b/>
                <w:bCs/>
                <w:sz w:val="20"/>
              </w:rPr>
              <w:t>Baseline</w:t>
            </w:r>
            <w:r>
              <w:rPr>
                <w:rFonts w:asciiTheme="majorBidi" w:hAnsiTheme="majorBidi" w:cstheme="majorBidi"/>
                <w:sz w:val="20"/>
              </w:rPr>
              <w:t xml:space="preserve">: conditional cash transfer piloted along with in-kind subsidy system but with substantive leakages </w:t>
            </w:r>
          </w:p>
          <w:p w14:paraId="0367E062"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sz w:val="20"/>
              </w:rPr>
              <w:t>: MOISA enhances social protection schemes and ensures better targeting through the design, testing and piloting of alternative social protection schemes to ensure equity and social justice.</w:t>
            </w:r>
          </w:p>
        </w:tc>
        <w:tc>
          <w:tcPr>
            <w:tcW w:w="7470" w:type="dxa"/>
            <w:tcBorders>
              <w:top w:val="single" w:sz="4" w:space="0" w:color="auto"/>
              <w:left w:val="single" w:sz="4" w:space="0" w:color="auto"/>
              <w:bottom w:val="single" w:sz="4" w:space="0" w:color="auto"/>
              <w:right w:val="single" w:sz="4" w:space="0" w:color="auto"/>
            </w:tcBorders>
            <w:hideMark/>
          </w:tcPr>
          <w:p w14:paraId="4317B48B" w14:textId="77777777" w:rsidR="000617C3" w:rsidRDefault="000617C3">
            <w:pPr>
              <w:rPr>
                <w:rFonts w:asciiTheme="majorBidi" w:hAnsiTheme="majorBidi" w:cstheme="majorBidi"/>
                <w:sz w:val="20"/>
              </w:rPr>
            </w:pPr>
            <w:r>
              <w:rPr>
                <w:rFonts w:asciiTheme="majorBidi" w:hAnsiTheme="majorBidi" w:cstheme="majorBidi"/>
                <w:sz w:val="20"/>
                <w:u w:val="single"/>
              </w:rPr>
              <w:t>Overall progress: Significant progress</w:t>
            </w:r>
          </w:p>
          <w:p w14:paraId="7F760106" w14:textId="77777777" w:rsidR="000617C3" w:rsidRDefault="000617C3" w:rsidP="000617C3">
            <w:pPr>
              <w:pStyle w:val="ListParagraph"/>
              <w:numPr>
                <w:ilvl w:val="0"/>
                <w:numId w:val="25"/>
              </w:numPr>
              <w:spacing w:after="0" w:line="240" w:lineRule="auto"/>
              <w:rPr>
                <w:rFonts w:asciiTheme="majorBidi" w:hAnsiTheme="majorBidi" w:cstheme="majorBidi"/>
                <w:sz w:val="20"/>
                <w:szCs w:val="20"/>
              </w:rPr>
            </w:pPr>
            <w:r>
              <w:rPr>
                <w:rFonts w:asciiTheme="majorBidi" w:hAnsiTheme="majorBidi" w:cstheme="majorBidi"/>
                <w:sz w:val="20"/>
                <w:szCs w:val="20"/>
              </w:rPr>
              <w:t>UNDP study on Conditional Cash Transfer were scaled up at the national level into Takaful and Karama Programme  .</w:t>
            </w:r>
          </w:p>
          <w:p w14:paraId="6D123CC9" w14:textId="77777777" w:rsidR="000617C3" w:rsidRDefault="000617C3" w:rsidP="000617C3">
            <w:pPr>
              <w:pStyle w:val="ListParagraph"/>
              <w:numPr>
                <w:ilvl w:val="0"/>
                <w:numId w:val="25"/>
              </w:numPr>
              <w:spacing w:after="0" w:line="240" w:lineRule="auto"/>
              <w:rPr>
                <w:rFonts w:asciiTheme="majorBidi" w:hAnsiTheme="majorBidi" w:cstheme="majorBidi"/>
                <w:sz w:val="20"/>
                <w:szCs w:val="20"/>
              </w:rPr>
            </w:pPr>
            <w:r>
              <w:rPr>
                <w:rFonts w:asciiTheme="majorBidi" w:hAnsiTheme="majorBidi" w:cstheme="majorBidi"/>
                <w:sz w:val="20"/>
                <w:szCs w:val="20"/>
              </w:rPr>
              <w:t xml:space="preserve">The national social protection programme. "Takaful&amp;Karama" is now fully operational targeting families with children (0-18 years) with a focus on nutrition, maternal &amp; child health &amp;school enrollment. Karama: social inclusion programme targets elderly 65+ and People with disability.  </w:t>
            </w:r>
          </w:p>
          <w:p w14:paraId="6FB2E3BA" w14:textId="77777777" w:rsidR="000617C3" w:rsidRDefault="000617C3" w:rsidP="000617C3">
            <w:pPr>
              <w:pStyle w:val="ListParagraph"/>
              <w:numPr>
                <w:ilvl w:val="0"/>
                <w:numId w:val="25"/>
              </w:numPr>
              <w:spacing w:after="0" w:line="240" w:lineRule="auto"/>
              <w:rPr>
                <w:rFonts w:asciiTheme="majorBidi" w:hAnsiTheme="majorBidi" w:cstheme="majorBidi"/>
                <w:sz w:val="20"/>
                <w:szCs w:val="20"/>
              </w:rPr>
            </w:pPr>
            <w:r>
              <w:rPr>
                <w:rFonts w:asciiTheme="majorBidi" w:hAnsiTheme="majorBidi" w:cstheme="majorBidi"/>
                <w:sz w:val="20"/>
                <w:szCs w:val="20"/>
              </w:rPr>
              <w:t>UNDP strengthened the institutional capacity of the Ministry of Social Solidarity to achieve its Social Protection mandate, setting up the gender unit, a volunteer’s unit, a communication unit and CSR unit. These steps are expected to improve targeting and reduce leakages in public resources.</w:t>
            </w:r>
          </w:p>
        </w:tc>
      </w:tr>
      <w:tr w:rsidR="000617C3" w14:paraId="00519F81"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2A00D482" w14:textId="77777777" w:rsidR="000617C3" w:rsidRDefault="000617C3">
            <w:pPr>
              <w:rPr>
                <w:rFonts w:asciiTheme="majorBidi" w:hAnsiTheme="majorBidi" w:cstheme="majorBidi"/>
                <w:sz w:val="20"/>
              </w:rPr>
            </w:pPr>
          </w:p>
        </w:tc>
        <w:tc>
          <w:tcPr>
            <w:tcW w:w="3240" w:type="dxa"/>
            <w:tcBorders>
              <w:top w:val="single" w:sz="4" w:space="0" w:color="auto"/>
              <w:left w:val="single" w:sz="4" w:space="0" w:color="auto"/>
              <w:bottom w:val="single" w:sz="4" w:space="0" w:color="auto"/>
              <w:right w:val="single" w:sz="4" w:space="0" w:color="auto"/>
            </w:tcBorders>
            <w:hideMark/>
          </w:tcPr>
          <w:p w14:paraId="7CE55132" w14:textId="77777777" w:rsidR="000617C3" w:rsidRDefault="000617C3">
            <w:pPr>
              <w:rPr>
                <w:rFonts w:asciiTheme="majorBidi" w:hAnsiTheme="majorBidi" w:cstheme="majorBidi"/>
                <w:sz w:val="20"/>
              </w:rPr>
            </w:pPr>
            <w:r>
              <w:rPr>
                <w:rFonts w:asciiTheme="majorBidi" w:hAnsiTheme="majorBidi" w:cstheme="majorBidi"/>
                <w:b/>
                <w:bCs/>
                <w:sz w:val="20"/>
              </w:rPr>
              <w:t xml:space="preserve">Indicator 3: </w:t>
            </w:r>
            <w:r>
              <w:rPr>
                <w:rFonts w:asciiTheme="majorBidi" w:hAnsiTheme="majorBidi" w:cstheme="majorBidi"/>
                <w:sz w:val="20"/>
              </w:rPr>
              <w:t xml:space="preserve">Policy references to UNDP-produced poverty monitoring tools </w:t>
            </w:r>
            <w:r>
              <w:rPr>
                <w:rFonts w:asciiTheme="majorBidi" w:hAnsiTheme="majorBidi" w:cstheme="majorBidi"/>
                <w:b/>
                <w:bCs/>
                <w:sz w:val="20"/>
              </w:rPr>
              <w:t>Baseline:</w:t>
            </w:r>
            <w:r>
              <w:rPr>
                <w:rFonts w:asciiTheme="majorBidi" w:hAnsiTheme="majorBidi" w:cstheme="majorBidi"/>
                <w:bCs/>
                <w:sz w:val="20"/>
              </w:rPr>
              <w:t xml:space="preserve"> Previous poverty monitoring tools produced by UNDP: 11 NHDRs, 5 MDGRs, and 26 GHDRs</w:t>
            </w:r>
            <w:r>
              <w:rPr>
                <w:rFonts w:asciiTheme="majorBidi" w:hAnsiTheme="majorBidi" w:cstheme="majorBidi"/>
                <w:sz w:val="20"/>
              </w:rPr>
              <w:t xml:space="preserve"> </w:t>
            </w:r>
            <w:r>
              <w:rPr>
                <w:rFonts w:asciiTheme="majorBidi" w:hAnsiTheme="majorBidi" w:cstheme="majorBidi"/>
                <w:b/>
                <w:bCs/>
                <w:sz w:val="20"/>
              </w:rPr>
              <w:t xml:space="preserve">Target: </w:t>
            </w:r>
            <w:r>
              <w:rPr>
                <w:rFonts w:asciiTheme="majorBidi" w:hAnsiTheme="majorBidi" w:cstheme="majorBidi"/>
                <w:sz w:val="20"/>
              </w:rPr>
              <w:t xml:space="preserve">National policies include references to poverty </w:t>
            </w:r>
            <w:r>
              <w:rPr>
                <w:rFonts w:asciiTheme="majorBidi" w:hAnsiTheme="majorBidi" w:cstheme="majorBidi"/>
                <w:sz w:val="20"/>
              </w:rPr>
              <w:lastRenderedPageBreak/>
              <w:t>monitoring tools produced by UNDP (2 NHDRs, 1 MDGR, at least 10 GHDRs and resilience studies produced)</w:t>
            </w:r>
          </w:p>
        </w:tc>
        <w:tc>
          <w:tcPr>
            <w:tcW w:w="7470" w:type="dxa"/>
            <w:tcBorders>
              <w:top w:val="single" w:sz="4" w:space="0" w:color="auto"/>
              <w:left w:val="single" w:sz="4" w:space="0" w:color="auto"/>
              <w:bottom w:val="single" w:sz="4" w:space="0" w:color="auto"/>
              <w:right w:val="single" w:sz="4" w:space="0" w:color="auto"/>
            </w:tcBorders>
          </w:tcPr>
          <w:p w14:paraId="0468E06E" w14:textId="77777777" w:rsidR="000617C3" w:rsidRDefault="000617C3">
            <w:pPr>
              <w:rPr>
                <w:rFonts w:asciiTheme="majorBidi" w:hAnsiTheme="majorBidi" w:cstheme="majorBidi"/>
                <w:sz w:val="20"/>
              </w:rPr>
            </w:pPr>
            <w:r>
              <w:rPr>
                <w:rFonts w:asciiTheme="majorBidi" w:hAnsiTheme="majorBidi" w:cstheme="majorBidi"/>
                <w:sz w:val="20"/>
                <w:u w:val="single"/>
              </w:rPr>
              <w:lastRenderedPageBreak/>
              <w:t>Overall progress: Significant progress</w:t>
            </w:r>
          </w:p>
          <w:p w14:paraId="467699C7" w14:textId="77777777" w:rsidR="000617C3" w:rsidRDefault="000617C3" w:rsidP="000617C3">
            <w:pPr>
              <w:pStyle w:val="ListParagraph"/>
              <w:widowControl w:val="0"/>
              <w:numPr>
                <w:ilvl w:val="0"/>
                <w:numId w:val="26"/>
              </w:numPr>
              <w:spacing w:after="0" w:line="276" w:lineRule="auto"/>
              <w:rPr>
                <w:rFonts w:asciiTheme="majorBidi" w:hAnsiTheme="majorBidi" w:cstheme="majorBidi"/>
                <w:sz w:val="20"/>
                <w:szCs w:val="20"/>
              </w:rPr>
            </w:pPr>
            <w:r>
              <w:rPr>
                <w:rFonts w:asciiTheme="majorBidi" w:hAnsiTheme="majorBidi" w:cstheme="majorBidi"/>
                <w:sz w:val="20"/>
                <w:szCs w:val="20"/>
              </w:rPr>
              <w:t>UNDP produced 1 National Human Development Reports (2016 to be launched), 6 Egypt Millennium Development Goals Reports. There were no Governorates Human Development Report.</w:t>
            </w:r>
          </w:p>
          <w:p w14:paraId="4EF63B83" w14:textId="77777777" w:rsidR="000617C3" w:rsidRDefault="000617C3" w:rsidP="000617C3">
            <w:pPr>
              <w:pStyle w:val="ListParagraph"/>
              <w:widowControl w:val="0"/>
              <w:numPr>
                <w:ilvl w:val="0"/>
                <w:numId w:val="26"/>
              </w:numPr>
              <w:spacing w:after="0" w:line="276" w:lineRule="auto"/>
              <w:rPr>
                <w:rFonts w:asciiTheme="majorBidi" w:hAnsiTheme="majorBidi" w:cstheme="majorBidi"/>
                <w:sz w:val="20"/>
                <w:szCs w:val="20"/>
              </w:rPr>
            </w:pPr>
            <w:r>
              <w:rPr>
                <w:rFonts w:asciiTheme="majorBidi" w:hAnsiTheme="majorBidi" w:cstheme="majorBidi"/>
                <w:sz w:val="20"/>
                <w:szCs w:val="20"/>
              </w:rPr>
              <w:t>UNDP in partnership with the Government of Egypt produced a study on “The Potential Impacts of Climate Change on the Egyptian Economy”, 2013</w:t>
            </w:r>
          </w:p>
          <w:p w14:paraId="5755F0B9" w14:textId="77777777" w:rsidR="000617C3" w:rsidRDefault="000617C3" w:rsidP="000617C3">
            <w:pPr>
              <w:pStyle w:val="ListParagraph"/>
              <w:widowControl w:val="0"/>
              <w:numPr>
                <w:ilvl w:val="0"/>
                <w:numId w:val="26"/>
              </w:numPr>
              <w:spacing w:after="0" w:line="276" w:lineRule="auto"/>
              <w:rPr>
                <w:rFonts w:asciiTheme="majorBidi" w:hAnsiTheme="majorBidi" w:cstheme="majorBidi"/>
                <w:sz w:val="20"/>
                <w:szCs w:val="20"/>
              </w:rPr>
            </w:pPr>
            <w:r>
              <w:rPr>
                <w:rFonts w:asciiTheme="majorBidi" w:hAnsiTheme="majorBidi" w:cstheme="majorBidi"/>
                <w:sz w:val="20"/>
                <w:szCs w:val="20"/>
              </w:rPr>
              <w:lastRenderedPageBreak/>
              <w:t>Egypt Vision 2030-SDS referenced UNDP data and indicators under the quantitative indicators listing,</w:t>
            </w:r>
          </w:p>
          <w:p w14:paraId="1700C4C6" w14:textId="77777777" w:rsidR="000617C3" w:rsidRDefault="000617C3">
            <w:pPr>
              <w:pStyle w:val="ListParagraph"/>
              <w:widowControl w:val="0"/>
              <w:spacing w:after="0" w:line="276" w:lineRule="auto"/>
              <w:rPr>
                <w:rFonts w:asciiTheme="majorBidi" w:hAnsiTheme="majorBidi" w:cstheme="majorBidi"/>
                <w:b/>
                <w:bCs/>
                <w:color w:val="1F497D"/>
                <w:sz w:val="20"/>
                <w:szCs w:val="20"/>
              </w:rPr>
            </w:pPr>
          </w:p>
          <w:p w14:paraId="1389920F" w14:textId="77777777" w:rsidR="000617C3" w:rsidRDefault="000617C3">
            <w:pPr>
              <w:spacing w:line="276" w:lineRule="auto"/>
              <w:contextualSpacing/>
              <w:rPr>
                <w:rFonts w:asciiTheme="majorBidi" w:hAnsiTheme="majorBidi" w:cstheme="majorBidi"/>
                <w:color w:val="1F497D"/>
                <w:sz w:val="20"/>
              </w:rPr>
            </w:pPr>
          </w:p>
          <w:p w14:paraId="1FB510C9" w14:textId="77777777" w:rsidR="000617C3" w:rsidRDefault="000617C3">
            <w:pPr>
              <w:rPr>
                <w:rFonts w:asciiTheme="majorBidi" w:hAnsiTheme="majorBidi" w:cstheme="majorBidi"/>
                <w:sz w:val="20"/>
              </w:rPr>
            </w:pPr>
          </w:p>
        </w:tc>
      </w:tr>
      <w:tr w:rsidR="000617C3" w14:paraId="2C0416B3"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5660B8FB" w14:textId="77777777" w:rsidR="000617C3" w:rsidRDefault="000617C3">
            <w:pPr>
              <w:rPr>
                <w:rFonts w:asciiTheme="majorBidi" w:hAnsiTheme="majorBidi" w:cstheme="majorBidi"/>
                <w:sz w:val="20"/>
              </w:rPr>
            </w:pPr>
          </w:p>
        </w:tc>
        <w:tc>
          <w:tcPr>
            <w:tcW w:w="3240" w:type="dxa"/>
            <w:tcBorders>
              <w:top w:val="single" w:sz="4" w:space="0" w:color="auto"/>
              <w:left w:val="single" w:sz="4" w:space="0" w:color="auto"/>
              <w:bottom w:val="single" w:sz="4" w:space="0" w:color="auto"/>
              <w:right w:val="single" w:sz="4" w:space="0" w:color="auto"/>
            </w:tcBorders>
            <w:hideMark/>
          </w:tcPr>
          <w:p w14:paraId="57A559F6" w14:textId="77777777" w:rsidR="000617C3" w:rsidRDefault="000617C3">
            <w:pPr>
              <w:rPr>
                <w:rFonts w:asciiTheme="majorBidi" w:hAnsiTheme="majorBidi" w:cstheme="majorBidi"/>
                <w:bCs/>
                <w:sz w:val="20"/>
              </w:rPr>
            </w:pPr>
            <w:r>
              <w:rPr>
                <w:rFonts w:asciiTheme="majorBidi" w:hAnsiTheme="majorBidi" w:cstheme="majorBidi"/>
                <w:b/>
                <w:bCs/>
                <w:sz w:val="20"/>
              </w:rPr>
              <w:t>Indicator 4</w:t>
            </w:r>
            <w:r>
              <w:rPr>
                <w:rFonts w:asciiTheme="majorBidi" w:hAnsiTheme="majorBidi" w:cstheme="majorBidi"/>
                <w:bCs/>
                <w:sz w:val="20"/>
              </w:rPr>
              <w:t xml:space="preserve">:  Egypt ICT-TF developed courses/modules to increase youth self-employment and employability  </w:t>
            </w:r>
          </w:p>
          <w:p w14:paraId="7D79265A" w14:textId="77777777" w:rsidR="000617C3" w:rsidRDefault="000617C3">
            <w:pPr>
              <w:rPr>
                <w:rFonts w:asciiTheme="majorBidi" w:hAnsiTheme="majorBidi" w:cstheme="majorBidi"/>
                <w:bCs/>
                <w:sz w:val="20"/>
              </w:rPr>
            </w:pPr>
            <w:r>
              <w:rPr>
                <w:rFonts w:asciiTheme="majorBidi" w:hAnsiTheme="majorBidi" w:cstheme="majorBidi"/>
                <w:b/>
                <w:bCs/>
                <w:sz w:val="20"/>
              </w:rPr>
              <w:t>Baseline:</w:t>
            </w:r>
            <w:r>
              <w:rPr>
                <w:rFonts w:asciiTheme="majorBidi" w:hAnsiTheme="majorBidi" w:cstheme="majorBidi"/>
                <w:bCs/>
                <w:sz w:val="20"/>
              </w:rPr>
              <w:t xml:space="preserve">  no courses/modules developed /available; </w:t>
            </w:r>
          </w:p>
          <w:p w14:paraId="2BC151CB"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bCs/>
                <w:sz w:val="20"/>
              </w:rPr>
              <w:t>  10 courses/modules developed to increase youth self-employment and employability</w:t>
            </w:r>
          </w:p>
        </w:tc>
        <w:tc>
          <w:tcPr>
            <w:tcW w:w="7470" w:type="dxa"/>
            <w:tcBorders>
              <w:top w:val="single" w:sz="4" w:space="0" w:color="auto"/>
              <w:left w:val="single" w:sz="4" w:space="0" w:color="auto"/>
              <w:bottom w:val="single" w:sz="4" w:space="0" w:color="auto"/>
              <w:right w:val="single" w:sz="4" w:space="0" w:color="auto"/>
            </w:tcBorders>
            <w:hideMark/>
          </w:tcPr>
          <w:p w14:paraId="326B9F68"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Target reached and surpassed</w:t>
            </w:r>
          </w:p>
          <w:p w14:paraId="65CF1745" w14:textId="77777777" w:rsidR="000617C3" w:rsidRDefault="000617C3" w:rsidP="000617C3">
            <w:pPr>
              <w:pStyle w:val="ListParagraph"/>
              <w:numPr>
                <w:ilvl w:val="0"/>
                <w:numId w:val="27"/>
              </w:num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650 training modules/courses developed with UNDP support reaching to </w:t>
            </w:r>
            <w:r>
              <w:rPr>
                <w:rFonts w:asciiTheme="majorBidi" w:hAnsiTheme="majorBidi" w:cstheme="majorBidi"/>
                <w:sz w:val="20"/>
                <w:szCs w:val="20"/>
              </w:rPr>
              <w:t xml:space="preserve">33 thousand </w:t>
            </w:r>
            <w:r>
              <w:rPr>
                <w:rStyle w:val="FootnoteReference"/>
                <w:rFonts w:asciiTheme="majorBidi" w:eastAsia="Times New Roman" w:hAnsiTheme="majorBidi" w:cstheme="majorBidi"/>
                <w:sz w:val="20"/>
                <w:szCs w:val="20"/>
              </w:rPr>
              <w:footnoteReference w:id="2"/>
            </w:r>
            <w:r>
              <w:rPr>
                <w:rFonts w:asciiTheme="majorBidi" w:hAnsiTheme="majorBidi" w:cstheme="majorBidi"/>
                <w:sz w:val="20"/>
                <w:szCs w:val="20"/>
              </w:rPr>
              <w:t xml:space="preserve"> </w:t>
            </w:r>
            <w:r>
              <w:rPr>
                <w:rFonts w:asciiTheme="majorBidi" w:eastAsia="Times New Roman" w:hAnsiTheme="majorBidi" w:cstheme="majorBidi"/>
                <w:sz w:val="20"/>
                <w:szCs w:val="20"/>
              </w:rPr>
              <w:t xml:space="preserve">youth in ICT skills and entrepreneurship delivered by the ICT Trust Fund </w:t>
            </w:r>
          </w:p>
          <w:p w14:paraId="54BC9EA3" w14:textId="77777777" w:rsidR="000617C3" w:rsidRDefault="000617C3" w:rsidP="000617C3">
            <w:pPr>
              <w:pStyle w:val="ListParagraph"/>
              <w:numPr>
                <w:ilvl w:val="0"/>
                <w:numId w:val="28"/>
              </w:numPr>
              <w:spacing w:after="0" w:line="240" w:lineRule="auto"/>
              <w:rPr>
                <w:rFonts w:asciiTheme="majorBidi" w:hAnsiTheme="majorBidi" w:cstheme="majorBidi"/>
                <w:sz w:val="20"/>
                <w:szCs w:val="20"/>
              </w:rPr>
            </w:pPr>
            <w:r>
              <w:rPr>
                <w:rFonts w:asciiTheme="majorBidi" w:eastAsia="Times New Roman" w:hAnsiTheme="majorBidi" w:cstheme="majorBidi"/>
                <w:sz w:val="20"/>
                <w:szCs w:val="20"/>
              </w:rPr>
              <w:t>Out of which 23,552 were young graduates (60% female) who received Microsoft training, in partnership with UNDP and the National Council for Women.</w:t>
            </w:r>
          </w:p>
          <w:p w14:paraId="631EB49F" w14:textId="77777777" w:rsidR="000617C3" w:rsidRDefault="000617C3" w:rsidP="000617C3">
            <w:pPr>
              <w:pStyle w:val="ListParagraph"/>
              <w:numPr>
                <w:ilvl w:val="0"/>
                <w:numId w:val="28"/>
              </w:numPr>
              <w:spacing w:after="0" w:line="240" w:lineRule="auto"/>
              <w:rPr>
                <w:rFonts w:asciiTheme="majorBidi" w:hAnsiTheme="majorBidi" w:cstheme="majorBidi"/>
                <w:sz w:val="20"/>
                <w:szCs w:val="20"/>
              </w:rPr>
            </w:pPr>
            <w:r>
              <w:rPr>
                <w:rFonts w:asciiTheme="majorBidi" w:eastAsia="Times New Roman" w:hAnsiTheme="majorBidi" w:cstheme="majorBidi"/>
                <w:sz w:val="20"/>
                <w:szCs w:val="20"/>
              </w:rPr>
              <w:t>UNDP partnered with private sector and academic institutions to tailor modules to market needs.</w:t>
            </w:r>
          </w:p>
        </w:tc>
      </w:tr>
      <w:tr w:rsidR="000617C3" w14:paraId="549F315A"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3E789D3" w14:textId="77777777" w:rsidR="000617C3" w:rsidRDefault="000617C3">
            <w:pPr>
              <w:rPr>
                <w:rFonts w:asciiTheme="majorBidi" w:hAnsiTheme="majorBidi" w:cstheme="majorBidi"/>
                <w:sz w:val="20"/>
              </w:rPr>
            </w:pPr>
            <w:r>
              <w:rPr>
                <w:rFonts w:asciiTheme="majorBidi" w:hAnsiTheme="majorBidi" w:cstheme="majorBidi"/>
                <w:b/>
                <w:bCs/>
                <w:color w:val="000000"/>
                <w:sz w:val="20"/>
              </w:rPr>
              <w:t xml:space="preserve">National priority or goal: </w:t>
            </w:r>
            <w:r>
              <w:rPr>
                <w:rFonts w:asciiTheme="majorBidi" w:hAnsiTheme="majorBidi" w:cstheme="majorBidi"/>
                <w:bCs/>
                <w:color w:val="000000"/>
                <w:sz w:val="20"/>
              </w:rPr>
              <w:t>Enhanced performance of democratic institutions for transparency, accountability, rule of law and higher citizen satisfaction with government services.</w:t>
            </w:r>
          </w:p>
        </w:tc>
      </w:tr>
      <w:tr w:rsidR="000617C3" w14:paraId="65E31E49"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A353165" w14:textId="77777777" w:rsidR="000617C3" w:rsidRDefault="000617C3">
            <w:pPr>
              <w:rPr>
                <w:rFonts w:asciiTheme="majorBidi" w:hAnsiTheme="majorBidi" w:cstheme="majorBidi"/>
                <w:b/>
                <w:bCs/>
                <w:color w:val="000000"/>
                <w:sz w:val="20"/>
              </w:rPr>
            </w:pPr>
            <w:r>
              <w:rPr>
                <w:rFonts w:asciiTheme="majorBidi" w:hAnsiTheme="majorBidi" w:cstheme="majorBidi"/>
                <w:b/>
                <w:bCs/>
                <w:color w:val="000000"/>
                <w:sz w:val="20"/>
              </w:rPr>
              <w:t>Planned budget: USD$ 69,073,000</w:t>
            </w:r>
          </w:p>
          <w:p w14:paraId="65B4D884" w14:textId="77777777" w:rsidR="000617C3" w:rsidRDefault="000617C3">
            <w:pPr>
              <w:rPr>
                <w:rFonts w:asciiTheme="majorBidi" w:hAnsiTheme="majorBidi" w:cstheme="majorBidi"/>
                <w:b/>
                <w:bCs/>
                <w:color w:val="000000"/>
                <w:sz w:val="20"/>
              </w:rPr>
            </w:pPr>
            <w:r>
              <w:rPr>
                <w:rFonts w:asciiTheme="majorBidi" w:hAnsiTheme="majorBidi" w:cstheme="majorBidi"/>
                <w:b/>
                <w:bCs/>
                <w:color w:val="000000"/>
                <w:sz w:val="20"/>
              </w:rPr>
              <w:t>Delivery: USD$ 58,164,103</w:t>
            </w:r>
          </w:p>
        </w:tc>
      </w:tr>
      <w:tr w:rsidR="000617C3" w14:paraId="4C6F1B3A" w14:textId="77777777" w:rsidTr="000617C3">
        <w:tc>
          <w:tcPr>
            <w:tcW w:w="2875" w:type="dxa"/>
            <w:vMerge w:val="restart"/>
            <w:tcBorders>
              <w:top w:val="single" w:sz="4" w:space="0" w:color="auto"/>
              <w:left w:val="single" w:sz="4" w:space="0" w:color="auto"/>
              <w:bottom w:val="single" w:sz="4" w:space="0" w:color="auto"/>
              <w:right w:val="single" w:sz="4" w:space="0" w:color="auto"/>
            </w:tcBorders>
          </w:tcPr>
          <w:p w14:paraId="550DCAA8"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UNDP will:</w:t>
            </w:r>
          </w:p>
          <w:p w14:paraId="0D247DB4"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provide technical and policy support to MOLD to formulate local development strategies and capacity development plan</w:t>
            </w:r>
          </w:p>
          <w:p w14:paraId="4BF720BB"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support GOPP in strategic urban planning and building urban observatories </w:t>
            </w:r>
          </w:p>
          <w:p w14:paraId="62AF8491"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support NCHR in follow-up to the  implementation of the UPR recommendations and in promoting economic and social rights </w:t>
            </w:r>
          </w:p>
          <w:p w14:paraId="027D9854"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provide technical assistance to strengthen knowledge and operational capacities of anti-corruption and oversight bodies </w:t>
            </w:r>
          </w:p>
          <w:p w14:paraId="27498657"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lastRenderedPageBreak/>
              <w:t xml:space="preserve">- strengthen voice and leadership skills and volunteerism for women and young people </w:t>
            </w:r>
          </w:p>
          <w:p w14:paraId="4AB37772"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provide technical backstopping for national and local youth forums</w:t>
            </w:r>
          </w:p>
          <w:p w14:paraId="61FA37F7"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strengthen national </w:t>
            </w:r>
          </w:p>
          <w:p w14:paraId="5741D99E"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capacities for conflict management, disaster risk reduction and mine action.</w:t>
            </w:r>
          </w:p>
          <w:p w14:paraId="144668E7"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assist national entities in designing and implementing policies in support of people with disabilities, and to combat FGM </w:t>
            </w:r>
          </w:p>
          <w:p w14:paraId="6C332BF9"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mobilize comparative experiences in transitional justice; transformations in policing; elections; democratic dialogue; parliamentary development,</w:t>
            </w:r>
          </w:p>
          <w:p w14:paraId="022AE94B"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provide technical assistance to electoral management authorities</w:t>
            </w:r>
          </w:p>
          <w:p w14:paraId="4344A336"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integrate human rights in higher education</w:t>
            </w:r>
          </w:p>
          <w:p w14:paraId="3B36149A"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pilot innovative ICT solutions to increase government efficiency.</w:t>
            </w:r>
          </w:p>
          <w:p w14:paraId="24C13B74" w14:textId="77777777" w:rsidR="000617C3" w:rsidRDefault="000617C3">
            <w:pPr>
              <w:rPr>
                <w:rFonts w:asciiTheme="majorBidi" w:hAnsiTheme="majorBidi" w:cstheme="majorBidi"/>
                <w:sz w:val="20"/>
              </w:rPr>
            </w:pPr>
          </w:p>
          <w:p w14:paraId="24128D03"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76B86495" w14:textId="77777777" w:rsidR="000617C3" w:rsidRDefault="000617C3">
            <w:pPr>
              <w:rPr>
                <w:rFonts w:asciiTheme="majorBidi" w:hAnsiTheme="majorBidi" w:cstheme="majorBidi"/>
                <w:sz w:val="20"/>
              </w:rPr>
            </w:pPr>
            <w:r>
              <w:rPr>
                <w:rFonts w:asciiTheme="majorBidi" w:hAnsiTheme="majorBidi" w:cstheme="majorBidi"/>
                <w:b/>
                <w:bCs/>
                <w:sz w:val="20"/>
              </w:rPr>
              <w:lastRenderedPageBreak/>
              <w:t>Indicator 1</w:t>
            </w:r>
            <w:r>
              <w:rPr>
                <w:rFonts w:asciiTheme="majorBidi" w:hAnsiTheme="majorBidi" w:cstheme="majorBidi"/>
                <w:b/>
                <w:sz w:val="20"/>
              </w:rPr>
              <w:t>:</w:t>
            </w:r>
            <w:r>
              <w:rPr>
                <w:rFonts w:asciiTheme="majorBidi" w:hAnsiTheme="majorBidi" w:cstheme="majorBidi"/>
                <w:sz w:val="20"/>
              </w:rPr>
              <w:t xml:space="preserve"> Number of local development strategies formulated and implemented at the governorate level </w:t>
            </w:r>
          </w:p>
          <w:p w14:paraId="1AF7A6AF" w14:textId="77777777" w:rsidR="000617C3" w:rsidRDefault="000617C3">
            <w:pPr>
              <w:rPr>
                <w:rFonts w:asciiTheme="majorBidi" w:hAnsiTheme="majorBidi" w:cstheme="majorBidi"/>
                <w:sz w:val="20"/>
              </w:rPr>
            </w:pPr>
            <w:r>
              <w:rPr>
                <w:rFonts w:asciiTheme="majorBidi" w:hAnsiTheme="majorBidi" w:cstheme="majorBidi"/>
                <w:b/>
                <w:bCs/>
                <w:sz w:val="20"/>
              </w:rPr>
              <w:t>Baseline</w:t>
            </w:r>
            <w:r>
              <w:rPr>
                <w:rFonts w:asciiTheme="majorBidi" w:hAnsiTheme="majorBidi" w:cstheme="majorBidi"/>
                <w:sz w:val="20"/>
              </w:rPr>
              <w:t xml:space="preserve">: No strategies available </w:t>
            </w:r>
          </w:p>
          <w:p w14:paraId="29C25979"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sz w:val="20"/>
              </w:rPr>
              <w:t>: Local development strategies formulated in 5 governorates and implemented in at least 2 governorates.</w:t>
            </w:r>
          </w:p>
        </w:tc>
        <w:tc>
          <w:tcPr>
            <w:tcW w:w="7470" w:type="dxa"/>
            <w:tcBorders>
              <w:top w:val="single" w:sz="4" w:space="0" w:color="auto"/>
              <w:left w:val="single" w:sz="4" w:space="0" w:color="auto"/>
              <w:bottom w:val="single" w:sz="4" w:space="0" w:color="auto"/>
              <w:right w:val="single" w:sz="4" w:space="0" w:color="auto"/>
            </w:tcBorders>
            <w:hideMark/>
          </w:tcPr>
          <w:p w14:paraId="1FEF3EE4"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384C72B1"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sz w:val="20"/>
                <w:szCs w:val="20"/>
              </w:rPr>
              <w:t xml:space="preserve">The governorates of Fayoum, Sohag, Ismailia and Minya adopted Economic Development models to generate income at the local level </w:t>
            </w:r>
            <w:r>
              <w:rPr>
                <w:rFonts w:asciiTheme="majorBidi" w:hAnsiTheme="majorBidi" w:cstheme="majorBidi"/>
                <w:i/>
                <w:iCs/>
                <w:sz w:val="20"/>
                <w:szCs w:val="20"/>
              </w:rPr>
              <w:t>(4 local development plans out 5 target, pending implementation</w:t>
            </w:r>
            <w:r>
              <w:rPr>
                <w:rFonts w:asciiTheme="majorBidi" w:hAnsiTheme="majorBidi" w:cstheme="majorBidi"/>
                <w:sz w:val="20"/>
                <w:szCs w:val="20"/>
              </w:rPr>
              <w:t>)</w:t>
            </w:r>
          </w:p>
          <w:p w14:paraId="67D8BD2D"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sz w:val="20"/>
                <w:szCs w:val="20"/>
              </w:rPr>
              <w:t>The National Strategic Urban Development Plan-2052, The Greater Cairo Urban Development Strategy, Strategic Urban Plan for Fayoum, Beni Suef, Minya, the Suez Canal Region and Northern Upper Egypt Region are completed (</w:t>
            </w:r>
            <w:r>
              <w:rPr>
                <w:rFonts w:asciiTheme="majorBidi" w:hAnsiTheme="majorBidi" w:cstheme="majorBidi"/>
                <w:i/>
                <w:iCs/>
                <w:sz w:val="20"/>
                <w:szCs w:val="20"/>
              </w:rPr>
              <w:t>7 out of 10 were prepared</w:t>
            </w:r>
            <w:r>
              <w:rPr>
                <w:rFonts w:asciiTheme="majorBidi" w:hAnsiTheme="majorBidi" w:cstheme="majorBidi"/>
                <w:sz w:val="20"/>
                <w:szCs w:val="20"/>
              </w:rPr>
              <w:t>).</w:t>
            </w:r>
          </w:p>
          <w:p w14:paraId="00DE4F21"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sz w:val="20"/>
                <w:szCs w:val="20"/>
              </w:rPr>
              <w:t xml:space="preserve">UNDP successfully tested and applied 1 integrated development model in Upper Egypt (Qena and Luxor) through ENID, provided 7000 </w:t>
            </w:r>
            <w:r>
              <w:rPr>
                <w:rFonts w:asciiTheme="majorBidi" w:hAnsiTheme="majorBidi" w:cstheme="majorBidi"/>
                <w:sz w:val="20"/>
                <w:szCs w:val="20"/>
                <w:shd w:val="clear" w:color="auto" w:fill="FFFFFF"/>
              </w:rPr>
              <w:t xml:space="preserve">youth and women. </w:t>
            </w:r>
            <w:r>
              <w:rPr>
                <w:rFonts w:asciiTheme="majorBidi" w:hAnsiTheme="majorBidi" w:cstheme="majorBidi"/>
                <w:sz w:val="20"/>
                <w:szCs w:val="20"/>
              </w:rPr>
              <w:t>The model is replicated and showcased as a model in international fora (GPEDC in Nairobi in Dec 2016).</w:t>
            </w:r>
          </w:p>
          <w:p w14:paraId="6B8E480D" w14:textId="77777777" w:rsidR="000617C3" w:rsidRDefault="000617C3" w:rsidP="000617C3">
            <w:pPr>
              <w:pStyle w:val="ListParagraph"/>
              <w:numPr>
                <w:ilvl w:val="0"/>
                <w:numId w:val="29"/>
              </w:num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UNDP supported the clearance of</w:t>
            </w:r>
            <w:r>
              <w:rPr>
                <w:rFonts w:asciiTheme="majorBidi" w:hAnsiTheme="majorBidi" w:cstheme="majorBidi"/>
                <w:sz w:val="20"/>
                <w:szCs w:val="20"/>
              </w:rPr>
              <w:t xml:space="preserve">  1,454 sq km in the North West Coast, which are now</w:t>
            </w:r>
            <w:r>
              <w:rPr>
                <w:rFonts w:asciiTheme="majorBidi" w:eastAsia="Times New Roman" w:hAnsiTheme="majorBidi" w:cstheme="majorBidi"/>
                <w:sz w:val="20"/>
                <w:szCs w:val="20"/>
              </w:rPr>
              <w:t xml:space="preserve"> ready for human settlement.</w:t>
            </w:r>
          </w:p>
        </w:tc>
      </w:tr>
      <w:tr w:rsidR="000617C3" w14:paraId="66F886F6"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5D7452DD"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529BDD79" w14:textId="77777777" w:rsidR="000617C3" w:rsidRDefault="000617C3">
            <w:pPr>
              <w:rPr>
                <w:rFonts w:asciiTheme="majorBidi" w:eastAsiaTheme="minorHAnsi" w:hAnsiTheme="majorBidi" w:cstheme="majorBidi"/>
                <w:sz w:val="20"/>
              </w:rPr>
            </w:pPr>
            <w:r>
              <w:rPr>
                <w:rFonts w:asciiTheme="majorBidi" w:hAnsiTheme="majorBidi" w:cstheme="majorBidi"/>
                <w:b/>
                <w:bCs/>
                <w:sz w:val="20"/>
              </w:rPr>
              <w:t>Indicator 2</w:t>
            </w:r>
            <w:r>
              <w:rPr>
                <w:rFonts w:asciiTheme="majorBidi" w:hAnsiTheme="majorBidi" w:cstheme="majorBidi"/>
                <w:b/>
                <w:sz w:val="20"/>
              </w:rPr>
              <w:t>:</w:t>
            </w:r>
            <w:r>
              <w:rPr>
                <w:rFonts w:asciiTheme="majorBidi" w:hAnsiTheme="majorBidi" w:cstheme="majorBidi"/>
                <w:sz w:val="20"/>
              </w:rPr>
              <w:t xml:space="preserve"> Number of strategic urban plans and slum upgrading initiatives completed using a </w:t>
            </w:r>
            <w:r>
              <w:rPr>
                <w:rFonts w:asciiTheme="majorBidi" w:hAnsiTheme="majorBidi" w:cstheme="majorBidi"/>
                <w:sz w:val="20"/>
              </w:rPr>
              <w:lastRenderedPageBreak/>
              <w:t xml:space="preserve">stakeholder approach </w:t>
            </w:r>
          </w:p>
          <w:p w14:paraId="408C4818" w14:textId="77777777" w:rsidR="000617C3" w:rsidRDefault="000617C3">
            <w:pPr>
              <w:rPr>
                <w:rFonts w:asciiTheme="majorBidi" w:hAnsiTheme="majorBidi" w:cstheme="majorBidi"/>
                <w:sz w:val="20"/>
              </w:rPr>
            </w:pPr>
            <w:r>
              <w:rPr>
                <w:rFonts w:asciiTheme="majorBidi" w:hAnsiTheme="majorBidi" w:cstheme="majorBidi"/>
                <w:b/>
                <w:bCs/>
                <w:sz w:val="20"/>
              </w:rPr>
              <w:t>Baseline</w:t>
            </w:r>
            <w:r>
              <w:rPr>
                <w:rFonts w:asciiTheme="majorBidi" w:hAnsiTheme="majorBidi" w:cstheme="majorBidi"/>
                <w:b/>
                <w:sz w:val="20"/>
              </w:rPr>
              <w:t>:</w:t>
            </w:r>
            <w:r>
              <w:rPr>
                <w:rFonts w:asciiTheme="majorBidi" w:hAnsiTheme="majorBidi" w:cstheme="majorBidi"/>
                <w:sz w:val="20"/>
              </w:rPr>
              <w:t xml:space="preserve"> No strategic urban plans in </w:t>
            </w:r>
          </w:p>
          <w:p w14:paraId="60B69217" w14:textId="77777777" w:rsidR="000617C3" w:rsidRDefault="000617C3">
            <w:pPr>
              <w:rPr>
                <w:rFonts w:asciiTheme="majorBidi" w:hAnsiTheme="majorBidi" w:cstheme="majorBidi"/>
                <w:sz w:val="20"/>
              </w:rPr>
            </w:pPr>
            <w:r>
              <w:rPr>
                <w:rFonts w:asciiTheme="majorBidi" w:hAnsiTheme="majorBidi" w:cstheme="majorBidi"/>
                <w:sz w:val="20"/>
              </w:rPr>
              <w:t xml:space="preserve">place and M&amp;E framework lacking </w:t>
            </w:r>
          </w:p>
          <w:p w14:paraId="570F603C"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b/>
                <w:sz w:val="20"/>
              </w:rPr>
              <w:t>:</w:t>
            </w:r>
            <w:r>
              <w:rPr>
                <w:rFonts w:asciiTheme="majorBidi" w:hAnsiTheme="majorBidi" w:cstheme="majorBidi"/>
                <w:sz w:val="20"/>
              </w:rPr>
              <w:t xml:space="preserve"> At least 10 strategic urban plans at regional, national and district levels finalized.</w:t>
            </w:r>
          </w:p>
        </w:tc>
        <w:tc>
          <w:tcPr>
            <w:tcW w:w="7470" w:type="dxa"/>
            <w:tcBorders>
              <w:top w:val="single" w:sz="4" w:space="0" w:color="auto"/>
              <w:left w:val="single" w:sz="4" w:space="0" w:color="auto"/>
              <w:bottom w:val="single" w:sz="4" w:space="0" w:color="auto"/>
              <w:right w:val="single" w:sz="4" w:space="0" w:color="auto"/>
            </w:tcBorders>
            <w:hideMark/>
          </w:tcPr>
          <w:p w14:paraId="03EBBC83" w14:textId="77777777" w:rsidR="000617C3" w:rsidRDefault="000617C3">
            <w:pPr>
              <w:rPr>
                <w:rFonts w:asciiTheme="majorBidi" w:hAnsiTheme="majorBidi" w:cstheme="majorBidi"/>
                <w:sz w:val="20"/>
                <w:u w:val="single"/>
              </w:rPr>
            </w:pPr>
            <w:r>
              <w:rPr>
                <w:rFonts w:asciiTheme="majorBidi" w:hAnsiTheme="majorBidi" w:cstheme="majorBidi"/>
                <w:sz w:val="20"/>
                <w:u w:val="single"/>
              </w:rPr>
              <w:lastRenderedPageBreak/>
              <w:t xml:space="preserve">Overall progress: Some progress </w:t>
            </w:r>
          </w:p>
          <w:p w14:paraId="05AB917C"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sz w:val="20"/>
                <w:szCs w:val="20"/>
              </w:rPr>
              <w:lastRenderedPageBreak/>
              <w:t>UNDP supported the development of the Greater Cairo Urban Development Strategy and 2 strategic Urban plans for the Suez Canal and Northern Upper Egypt (7</w:t>
            </w:r>
            <w:r>
              <w:rPr>
                <w:rFonts w:asciiTheme="majorBidi" w:hAnsiTheme="majorBidi" w:cstheme="majorBidi"/>
                <w:i/>
                <w:iCs/>
                <w:sz w:val="20"/>
                <w:szCs w:val="20"/>
              </w:rPr>
              <w:t>/10 completed).</w:t>
            </w:r>
          </w:p>
          <w:p w14:paraId="21F8F5C0"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sz w:val="20"/>
                <w:szCs w:val="20"/>
              </w:rPr>
              <w:t xml:space="preserve">UNDP supported the establishment of the National Urban Observatory </w:t>
            </w:r>
          </w:p>
        </w:tc>
      </w:tr>
      <w:tr w:rsidR="000617C3" w14:paraId="094B2C89"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675E7EC1"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2F31A7D4" w14:textId="77777777" w:rsidR="000617C3" w:rsidRDefault="000617C3">
            <w:pPr>
              <w:rPr>
                <w:rFonts w:asciiTheme="majorBidi" w:hAnsiTheme="majorBidi" w:cstheme="majorBidi"/>
                <w:bCs/>
                <w:iCs/>
                <w:color w:val="000000"/>
                <w:sz w:val="20"/>
              </w:rPr>
            </w:pPr>
            <w:r>
              <w:rPr>
                <w:rFonts w:asciiTheme="majorBidi" w:hAnsiTheme="majorBidi" w:cstheme="majorBidi"/>
                <w:b/>
                <w:iCs/>
                <w:color w:val="000000"/>
                <w:sz w:val="20"/>
              </w:rPr>
              <w:t>Indicator</w:t>
            </w:r>
            <w:r>
              <w:rPr>
                <w:rFonts w:asciiTheme="majorBidi" w:hAnsiTheme="majorBidi" w:cstheme="majorBidi"/>
                <w:bCs/>
                <w:iCs/>
                <w:color w:val="000000"/>
                <w:sz w:val="20"/>
              </w:rPr>
              <w:t xml:space="preserve"> </w:t>
            </w:r>
            <w:r>
              <w:rPr>
                <w:rFonts w:asciiTheme="majorBidi" w:hAnsiTheme="majorBidi" w:cstheme="majorBidi"/>
                <w:b/>
                <w:iCs/>
                <w:color w:val="000000"/>
                <w:sz w:val="20"/>
              </w:rPr>
              <w:t>3</w:t>
            </w:r>
            <w:r>
              <w:rPr>
                <w:rFonts w:asciiTheme="majorBidi" w:hAnsiTheme="majorBidi" w:cstheme="majorBidi"/>
                <w:b/>
                <w:bCs/>
                <w:iCs/>
                <w:color w:val="000000"/>
                <w:sz w:val="20"/>
              </w:rPr>
              <w:t>:</w:t>
            </w:r>
            <w:r>
              <w:rPr>
                <w:rFonts w:asciiTheme="majorBidi" w:hAnsiTheme="majorBidi" w:cstheme="majorBidi"/>
                <w:bCs/>
                <w:iCs/>
                <w:color w:val="000000"/>
                <w:sz w:val="20"/>
              </w:rPr>
              <w:t xml:space="preserve"> Implementation (%) of the UPR and CEDAW recommendations by the government; </w:t>
            </w:r>
          </w:p>
          <w:p w14:paraId="1F003135" w14:textId="77777777" w:rsidR="000617C3" w:rsidRDefault="000617C3">
            <w:pPr>
              <w:rPr>
                <w:rFonts w:asciiTheme="majorBidi" w:hAnsiTheme="majorBidi" w:cstheme="majorBidi"/>
                <w:bCs/>
                <w:iCs/>
                <w:color w:val="000000"/>
                <w:sz w:val="20"/>
              </w:rPr>
            </w:pPr>
            <w:r>
              <w:rPr>
                <w:rFonts w:asciiTheme="majorBidi" w:hAnsiTheme="majorBidi" w:cstheme="majorBidi"/>
                <w:b/>
                <w:iCs/>
                <w:color w:val="000000"/>
                <w:sz w:val="20"/>
              </w:rPr>
              <w:t>Baseline</w:t>
            </w:r>
            <w:r>
              <w:rPr>
                <w:rFonts w:asciiTheme="majorBidi" w:hAnsiTheme="majorBidi" w:cstheme="majorBidi"/>
                <w:bCs/>
                <w:iCs/>
                <w:color w:val="000000"/>
                <w:sz w:val="20"/>
              </w:rPr>
              <w:t xml:space="preserve">: The CEDAW Committee report (of 2010) and the 124 recommendations by the UPR (2010) were adopted by Egypt. </w:t>
            </w:r>
          </w:p>
          <w:p w14:paraId="656C72C7" w14:textId="77777777" w:rsidR="000617C3" w:rsidRDefault="000617C3">
            <w:pPr>
              <w:rPr>
                <w:rFonts w:asciiTheme="majorBidi" w:hAnsiTheme="majorBidi" w:cstheme="majorBidi"/>
                <w:bCs/>
                <w:iCs/>
                <w:color w:val="000000"/>
                <w:sz w:val="20"/>
              </w:rPr>
            </w:pPr>
            <w:r>
              <w:rPr>
                <w:rFonts w:asciiTheme="majorBidi" w:hAnsiTheme="majorBidi" w:cstheme="majorBidi"/>
                <w:b/>
                <w:iCs/>
                <w:color w:val="000000"/>
                <w:sz w:val="20"/>
              </w:rPr>
              <w:t>Target</w:t>
            </w:r>
            <w:r>
              <w:rPr>
                <w:rFonts w:asciiTheme="majorBidi" w:hAnsiTheme="majorBidi" w:cstheme="majorBidi"/>
                <w:b/>
                <w:bCs/>
                <w:iCs/>
                <w:color w:val="000000"/>
                <w:sz w:val="20"/>
              </w:rPr>
              <w:t>:</w:t>
            </w:r>
            <w:r>
              <w:rPr>
                <w:rFonts w:asciiTheme="majorBidi" w:hAnsiTheme="majorBidi" w:cstheme="majorBidi"/>
                <w:bCs/>
                <w:iCs/>
                <w:color w:val="000000"/>
                <w:sz w:val="20"/>
              </w:rPr>
              <w:t xml:space="preserve"> At least 50% of the recommendations are  implemented.</w:t>
            </w:r>
          </w:p>
        </w:tc>
        <w:tc>
          <w:tcPr>
            <w:tcW w:w="7470" w:type="dxa"/>
            <w:tcBorders>
              <w:top w:val="single" w:sz="4" w:space="0" w:color="auto"/>
              <w:left w:val="single" w:sz="4" w:space="0" w:color="auto"/>
              <w:bottom w:val="single" w:sz="4" w:space="0" w:color="auto"/>
              <w:right w:val="single" w:sz="4" w:space="0" w:color="auto"/>
            </w:tcBorders>
            <w:hideMark/>
          </w:tcPr>
          <w:p w14:paraId="0C7C22CC"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114FB22C" w14:textId="77777777" w:rsidR="000617C3" w:rsidRDefault="000617C3" w:rsidP="000617C3">
            <w:pPr>
              <w:numPr>
                <w:ilvl w:val="0"/>
                <w:numId w:val="30"/>
              </w:numPr>
              <w:spacing w:line="276" w:lineRule="auto"/>
              <w:ind w:hanging="360"/>
              <w:contextualSpacing/>
              <w:rPr>
                <w:rFonts w:asciiTheme="majorBidi" w:hAnsiTheme="majorBidi" w:cstheme="majorBidi"/>
                <w:sz w:val="20"/>
              </w:rPr>
            </w:pPr>
            <w:r>
              <w:rPr>
                <w:rFonts w:asciiTheme="majorBidi" w:hAnsiTheme="majorBidi" w:cstheme="majorBidi"/>
                <w:sz w:val="20"/>
                <w:highlight w:val="white"/>
              </w:rPr>
              <w:t>UNDP supported regulations to combat SGBV- FGM related laws</w:t>
            </w:r>
            <w:r>
              <w:rPr>
                <w:rFonts w:asciiTheme="majorBidi" w:hAnsiTheme="majorBidi" w:cstheme="majorBidi"/>
                <w:sz w:val="20"/>
              </w:rPr>
              <w:t>. The amendments of 2008 Anti FGM Law was endorsed by the Parliament following extensive advocacy efforts by UNDP Anti- FGM programme. The new law which intensified the penalty of FGM practice.</w:t>
            </w:r>
          </w:p>
          <w:p w14:paraId="3972EF18" w14:textId="77777777" w:rsidR="000617C3" w:rsidRDefault="000617C3" w:rsidP="000617C3">
            <w:pPr>
              <w:numPr>
                <w:ilvl w:val="0"/>
                <w:numId w:val="30"/>
              </w:numPr>
              <w:spacing w:line="276" w:lineRule="auto"/>
              <w:ind w:hanging="360"/>
              <w:contextualSpacing/>
              <w:rPr>
                <w:rFonts w:asciiTheme="majorBidi" w:hAnsiTheme="majorBidi" w:cstheme="majorBidi"/>
                <w:sz w:val="20"/>
              </w:rPr>
            </w:pPr>
            <w:r>
              <w:rPr>
                <w:rFonts w:asciiTheme="majorBidi" w:hAnsiTheme="majorBidi" w:cstheme="majorBidi"/>
                <w:sz w:val="20"/>
              </w:rPr>
              <w:t>On CEDAW: The National Council for Women (NCW) is expected to report back in 2018 on its progress towards the CEDAW recommendations. It is worth noting that Egypt has scored several gains in terms of gender equality and women’s empowerment during the last 3 years.</w:t>
            </w:r>
          </w:p>
        </w:tc>
      </w:tr>
      <w:tr w:rsidR="000617C3" w14:paraId="17A066D3"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23F83BD1"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051B95AC" w14:textId="77777777" w:rsidR="000617C3" w:rsidRDefault="000617C3">
            <w:pPr>
              <w:rPr>
                <w:rFonts w:asciiTheme="majorBidi" w:eastAsiaTheme="minorHAnsi" w:hAnsiTheme="majorBidi" w:cstheme="majorBidi"/>
                <w:sz w:val="20"/>
              </w:rPr>
            </w:pPr>
            <w:r>
              <w:rPr>
                <w:rFonts w:asciiTheme="majorBidi" w:hAnsiTheme="majorBidi" w:cstheme="majorBidi"/>
                <w:b/>
                <w:bCs/>
                <w:sz w:val="20"/>
              </w:rPr>
              <w:t>Indicator 4</w:t>
            </w:r>
            <w:r>
              <w:rPr>
                <w:rFonts w:asciiTheme="majorBidi" w:hAnsiTheme="majorBidi" w:cstheme="majorBidi"/>
                <w:b/>
                <w:sz w:val="20"/>
              </w:rPr>
              <w:t>:</w:t>
            </w:r>
            <w:r>
              <w:rPr>
                <w:rFonts w:asciiTheme="majorBidi" w:hAnsiTheme="majorBidi" w:cstheme="majorBidi"/>
                <w:sz w:val="20"/>
              </w:rPr>
              <w:t xml:space="preserve"> National framework for anti-corruption  indicators is developed and adopted </w:t>
            </w:r>
          </w:p>
          <w:p w14:paraId="0E49ABAC" w14:textId="77777777" w:rsidR="000617C3" w:rsidRDefault="000617C3">
            <w:pPr>
              <w:rPr>
                <w:rFonts w:asciiTheme="majorBidi" w:hAnsiTheme="majorBidi" w:cstheme="majorBidi"/>
                <w:b/>
                <w:bCs/>
                <w:sz w:val="20"/>
              </w:rPr>
            </w:pPr>
            <w:r>
              <w:rPr>
                <w:rFonts w:asciiTheme="majorBidi" w:hAnsiTheme="majorBidi" w:cstheme="majorBidi"/>
                <w:b/>
                <w:bCs/>
                <w:sz w:val="20"/>
              </w:rPr>
              <w:t>Baseline</w:t>
            </w:r>
            <w:r>
              <w:rPr>
                <w:rFonts w:asciiTheme="majorBidi" w:hAnsiTheme="majorBidi" w:cstheme="majorBidi"/>
                <w:sz w:val="20"/>
              </w:rPr>
              <w:t>: No national anti-corruption measurements are in place;</w:t>
            </w:r>
            <w:r>
              <w:rPr>
                <w:rFonts w:asciiTheme="majorBidi" w:hAnsiTheme="majorBidi" w:cstheme="majorBidi"/>
                <w:b/>
                <w:bCs/>
                <w:sz w:val="20"/>
              </w:rPr>
              <w:t xml:space="preserve"> </w:t>
            </w:r>
          </w:p>
          <w:p w14:paraId="3B4BA433"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b/>
                <w:sz w:val="20"/>
              </w:rPr>
              <w:t>:</w:t>
            </w:r>
            <w:r>
              <w:rPr>
                <w:rFonts w:asciiTheme="majorBidi" w:hAnsiTheme="majorBidi" w:cstheme="majorBidi"/>
                <w:sz w:val="20"/>
              </w:rPr>
              <w:t xml:space="preserve"> National framework for anticorruption indicators is finalized and adopted</w:t>
            </w:r>
          </w:p>
        </w:tc>
        <w:tc>
          <w:tcPr>
            <w:tcW w:w="7470" w:type="dxa"/>
            <w:tcBorders>
              <w:top w:val="single" w:sz="4" w:space="0" w:color="auto"/>
              <w:left w:val="single" w:sz="4" w:space="0" w:color="auto"/>
              <w:bottom w:val="single" w:sz="4" w:space="0" w:color="auto"/>
              <w:right w:val="single" w:sz="4" w:space="0" w:color="auto"/>
            </w:tcBorders>
            <w:hideMark/>
          </w:tcPr>
          <w:p w14:paraId="5FE713A3"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3EE94F9F" w14:textId="77777777" w:rsidR="000617C3" w:rsidRDefault="000617C3" w:rsidP="000617C3">
            <w:pPr>
              <w:pStyle w:val="ListParagraph"/>
              <w:numPr>
                <w:ilvl w:val="0"/>
                <w:numId w:val="29"/>
              </w:numPr>
              <w:spacing w:after="0" w:line="240" w:lineRule="auto"/>
              <w:rPr>
                <w:rFonts w:asciiTheme="majorBidi" w:hAnsiTheme="majorBidi" w:cstheme="majorBidi"/>
                <w:bCs/>
                <w:sz w:val="20"/>
                <w:szCs w:val="20"/>
              </w:rPr>
            </w:pPr>
            <w:r>
              <w:rPr>
                <w:rFonts w:asciiTheme="majorBidi" w:eastAsia="Times New Roman" w:hAnsiTheme="majorBidi" w:cstheme="majorBidi"/>
                <w:bCs/>
                <w:sz w:val="20"/>
                <w:szCs w:val="20"/>
                <w:highlight w:val="white"/>
              </w:rPr>
              <w:t>UNDP helped develop the Code of conduct for Civil Servants which was rolled out and the national anti-corruption strategy launched in 2014. The new Civil Service Law was endorsed by the parliament in 2016</w:t>
            </w:r>
          </w:p>
        </w:tc>
      </w:tr>
      <w:tr w:rsidR="000617C3" w14:paraId="18B5EF92"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7F955AE1"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1FCC6CB7" w14:textId="77777777" w:rsidR="000617C3" w:rsidRDefault="000617C3">
            <w:pPr>
              <w:rPr>
                <w:rFonts w:asciiTheme="majorBidi" w:hAnsiTheme="majorBidi" w:cstheme="majorBidi"/>
                <w:sz w:val="20"/>
              </w:rPr>
            </w:pPr>
            <w:r>
              <w:rPr>
                <w:rFonts w:asciiTheme="majorBidi" w:hAnsiTheme="majorBidi" w:cstheme="majorBidi"/>
                <w:b/>
                <w:bCs/>
                <w:sz w:val="20"/>
              </w:rPr>
              <w:t>Indicator 5</w:t>
            </w:r>
            <w:r>
              <w:rPr>
                <w:rFonts w:asciiTheme="majorBidi" w:hAnsiTheme="majorBidi" w:cstheme="majorBidi"/>
                <w:b/>
                <w:sz w:val="20"/>
              </w:rPr>
              <w:t>:</w:t>
            </w:r>
            <w:r>
              <w:rPr>
                <w:rFonts w:asciiTheme="majorBidi" w:hAnsiTheme="majorBidi" w:cstheme="majorBidi"/>
                <w:sz w:val="20"/>
              </w:rPr>
              <w:t xml:space="preserve"> RBM unit operational in MSAD and coordinating capacity development efforts on RBM with national partners </w:t>
            </w:r>
          </w:p>
          <w:p w14:paraId="00736F71" w14:textId="77777777" w:rsidR="000617C3" w:rsidRDefault="000617C3">
            <w:pPr>
              <w:rPr>
                <w:rFonts w:asciiTheme="majorBidi" w:hAnsiTheme="majorBidi" w:cstheme="majorBidi"/>
                <w:sz w:val="20"/>
              </w:rPr>
            </w:pPr>
            <w:r>
              <w:rPr>
                <w:rFonts w:asciiTheme="majorBidi" w:hAnsiTheme="majorBidi" w:cstheme="majorBidi"/>
                <w:b/>
                <w:bCs/>
                <w:sz w:val="20"/>
              </w:rPr>
              <w:t>Baseline</w:t>
            </w:r>
            <w:r>
              <w:rPr>
                <w:rFonts w:asciiTheme="majorBidi" w:hAnsiTheme="majorBidi" w:cstheme="majorBidi"/>
                <w:b/>
                <w:sz w:val="20"/>
              </w:rPr>
              <w:t>:</w:t>
            </w:r>
            <w:r>
              <w:rPr>
                <w:rFonts w:asciiTheme="majorBidi" w:hAnsiTheme="majorBidi" w:cstheme="majorBidi"/>
                <w:sz w:val="20"/>
              </w:rPr>
              <w:t xml:space="preserve"> No such centre currently exists, national capacities for RBM need upgrading </w:t>
            </w:r>
            <w:r>
              <w:rPr>
                <w:rFonts w:asciiTheme="majorBidi" w:hAnsiTheme="majorBidi" w:cstheme="majorBidi"/>
                <w:b/>
                <w:bCs/>
                <w:sz w:val="20"/>
              </w:rPr>
              <w:t>Target</w:t>
            </w:r>
            <w:r>
              <w:rPr>
                <w:rFonts w:asciiTheme="majorBidi" w:hAnsiTheme="majorBidi" w:cstheme="majorBidi"/>
                <w:b/>
                <w:sz w:val="20"/>
              </w:rPr>
              <w:t>: </w:t>
            </w:r>
            <w:r>
              <w:rPr>
                <w:rFonts w:asciiTheme="majorBidi" w:hAnsiTheme="majorBidi" w:cstheme="majorBidi"/>
                <w:sz w:val="20"/>
              </w:rPr>
              <w:t>RBM centre established and capacities of core MSAD and national entities’ staff on RBM systems and processes developed</w:t>
            </w:r>
          </w:p>
        </w:tc>
        <w:tc>
          <w:tcPr>
            <w:tcW w:w="7470" w:type="dxa"/>
            <w:tcBorders>
              <w:top w:val="single" w:sz="4" w:space="0" w:color="auto"/>
              <w:left w:val="single" w:sz="4" w:space="0" w:color="auto"/>
              <w:bottom w:val="single" w:sz="4" w:space="0" w:color="auto"/>
              <w:right w:val="single" w:sz="4" w:space="0" w:color="auto"/>
            </w:tcBorders>
            <w:hideMark/>
          </w:tcPr>
          <w:p w14:paraId="6786F60D"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3F9A2CD0" w14:textId="77777777" w:rsidR="000617C3" w:rsidRDefault="000617C3" w:rsidP="000617C3">
            <w:pPr>
              <w:pStyle w:val="ListParagraph"/>
              <w:numPr>
                <w:ilvl w:val="0"/>
                <w:numId w:val="29"/>
              </w:numPr>
              <w:spacing w:after="0" w:line="240" w:lineRule="auto"/>
              <w:rPr>
                <w:rFonts w:asciiTheme="majorBidi" w:hAnsiTheme="majorBidi" w:cstheme="majorBidi"/>
                <w:sz w:val="20"/>
                <w:szCs w:val="20"/>
              </w:rPr>
            </w:pPr>
            <w:r>
              <w:rPr>
                <w:rFonts w:asciiTheme="majorBidi" w:hAnsiTheme="majorBidi" w:cstheme="majorBidi"/>
                <w:color w:val="000000"/>
                <w:sz w:val="20"/>
                <w:szCs w:val="20"/>
              </w:rPr>
              <w:t>MSAD Strategic Results Framework (SRF) 2014-2018 (was developed through a participatory approach. The Strategy was endorsed by the Minister in June 2014. The SRF was further revised considering the new administrative and planning reform vision and the merger of MSAD within the Ministry of Planning, Monitoring and Administrative Reform.</w:t>
            </w:r>
          </w:p>
        </w:tc>
      </w:tr>
      <w:tr w:rsidR="000617C3" w14:paraId="0F702688"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16B47CDF"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tcPr>
          <w:p w14:paraId="25273FC5" w14:textId="77777777" w:rsidR="000617C3" w:rsidRDefault="000617C3">
            <w:pPr>
              <w:rPr>
                <w:rFonts w:asciiTheme="majorBidi" w:eastAsia="Calibri" w:hAnsiTheme="majorBidi" w:cstheme="majorBidi"/>
                <w:sz w:val="20"/>
              </w:rPr>
            </w:pPr>
            <w:r>
              <w:rPr>
                <w:rFonts w:asciiTheme="majorBidi" w:hAnsiTheme="majorBidi" w:cstheme="majorBidi"/>
                <w:b/>
                <w:bCs/>
                <w:sz w:val="20"/>
              </w:rPr>
              <w:t xml:space="preserve">Indicator 6: </w:t>
            </w:r>
            <w:r>
              <w:rPr>
                <w:rFonts w:asciiTheme="majorBidi" w:hAnsiTheme="majorBidi" w:cstheme="majorBidi"/>
                <w:sz w:val="20"/>
              </w:rPr>
              <w:t>Increase in the implementation of g</w:t>
            </w:r>
            <w:r>
              <w:rPr>
                <w:rFonts w:asciiTheme="majorBidi" w:eastAsia="Calibri" w:hAnsiTheme="majorBidi" w:cstheme="majorBidi"/>
                <w:sz w:val="20"/>
              </w:rPr>
              <w:t xml:space="preserve">ood electoral practices by electoral authorities in </w:t>
            </w:r>
            <w:r>
              <w:rPr>
                <w:rFonts w:asciiTheme="majorBidi" w:eastAsia="Calibri" w:hAnsiTheme="majorBidi" w:cstheme="majorBidi"/>
                <w:sz w:val="20"/>
              </w:rPr>
              <w:lastRenderedPageBreak/>
              <w:t xml:space="preserve">electoral events and in the setting up of the electoral management body </w:t>
            </w:r>
            <w:r>
              <w:rPr>
                <w:rFonts w:asciiTheme="majorBidi" w:eastAsia="Calibri" w:hAnsiTheme="majorBidi" w:cstheme="majorBidi"/>
                <w:b/>
                <w:bCs/>
                <w:sz w:val="20"/>
              </w:rPr>
              <w:t>Baseline:</w:t>
            </w:r>
            <w:r>
              <w:rPr>
                <w:rFonts w:asciiTheme="majorBidi" w:eastAsia="Calibri" w:hAnsiTheme="majorBidi" w:cstheme="majorBidi"/>
                <w:sz w:val="20"/>
              </w:rPr>
              <w:t xml:space="preserve"> Electoral management body is yet to be established and there has been some improvement in electoral practices, such as making explicit electoral procedures to ensure consistency throughout the electoral event. </w:t>
            </w:r>
            <w:r>
              <w:rPr>
                <w:rFonts w:asciiTheme="majorBidi" w:eastAsia="Calibri" w:hAnsiTheme="majorBidi" w:cstheme="majorBidi"/>
                <w:b/>
                <w:bCs/>
                <w:sz w:val="20"/>
              </w:rPr>
              <w:t>Target:</w:t>
            </w:r>
            <w:r>
              <w:rPr>
                <w:rFonts w:asciiTheme="majorBidi" w:eastAsia="Calibri" w:hAnsiTheme="majorBidi" w:cstheme="majorBidi"/>
                <w:sz w:val="20"/>
              </w:rPr>
              <w:t> Increase in the number of good electoral practices that are implemented based on international practices</w:t>
            </w:r>
          </w:p>
          <w:p w14:paraId="6DC62A5A" w14:textId="77777777" w:rsidR="000617C3" w:rsidRDefault="000617C3">
            <w:pPr>
              <w:rPr>
                <w:rFonts w:asciiTheme="majorBidi" w:eastAsia="Calibri" w:hAnsiTheme="majorBidi" w:cstheme="majorBidi"/>
                <w:sz w:val="20"/>
              </w:rPr>
            </w:pPr>
          </w:p>
          <w:p w14:paraId="6653AAF7" w14:textId="77777777" w:rsidR="000617C3" w:rsidRDefault="000617C3">
            <w:pPr>
              <w:rPr>
                <w:rFonts w:asciiTheme="majorBidi" w:eastAsiaTheme="minorHAnsi" w:hAnsiTheme="majorBidi" w:cstheme="majorBidi"/>
                <w:b/>
                <w:bCs/>
                <w:sz w:val="20"/>
              </w:rPr>
            </w:pPr>
          </w:p>
        </w:tc>
        <w:tc>
          <w:tcPr>
            <w:tcW w:w="7470" w:type="dxa"/>
            <w:tcBorders>
              <w:top w:val="single" w:sz="4" w:space="0" w:color="auto"/>
              <w:left w:val="single" w:sz="4" w:space="0" w:color="auto"/>
              <w:bottom w:val="single" w:sz="4" w:space="0" w:color="auto"/>
              <w:right w:val="single" w:sz="4" w:space="0" w:color="auto"/>
            </w:tcBorders>
            <w:hideMark/>
          </w:tcPr>
          <w:p w14:paraId="32D2B1B4" w14:textId="77777777" w:rsidR="000617C3" w:rsidRDefault="000617C3">
            <w:pPr>
              <w:rPr>
                <w:rFonts w:asciiTheme="majorBidi" w:hAnsiTheme="majorBidi" w:cstheme="majorBidi"/>
                <w:sz w:val="20"/>
                <w:u w:val="single"/>
              </w:rPr>
            </w:pPr>
            <w:r>
              <w:rPr>
                <w:rFonts w:asciiTheme="majorBidi" w:hAnsiTheme="majorBidi" w:cstheme="majorBidi"/>
                <w:sz w:val="20"/>
                <w:u w:val="single"/>
              </w:rPr>
              <w:lastRenderedPageBreak/>
              <w:t>Overall progress: some progress</w:t>
            </w:r>
          </w:p>
          <w:p w14:paraId="57F8166A" w14:textId="77777777" w:rsidR="000617C3" w:rsidRDefault="000617C3" w:rsidP="000617C3">
            <w:pPr>
              <w:pStyle w:val="ListParagraph"/>
              <w:numPr>
                <w:ilvl w:val="0"/>
                <w:numId w:val="31"/>
              </w:num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UNDP focused on the long-term institutional capacity building of electoral authorities, by introducing good electoral practices, through the organization of </w:t>
            </w:r>
            <w:r>
              <w:rPr>
                <w:rFonts w:asciiTheme="majorBidi" w:eastAsia="Times New Roman" w:hAnsiTheme="majorBidi" w:cstheme="majorBidi"/>
                <w:sz w:val="20"/>
                <w:szCs w:val="20"/>
              </w:rPr>
              <w:lastRenderedPageBreak/>
              <w:t>international conferences in Egypt and availing the opportunity for electoral authorities and civil society to participate in fora and study visits.</w:t>
            </w:r>
          </w:p>
          <w:p w14:paraId="6380BA0C" w14:textId="77777777" w:rsidR="000617C3" w:rsidRDefault="000617C3" w:rsidP="000617C3">
            <w:pPr>
              <w:pStyle w:val="ListParagraph"/>
              <w:numPr>
                <w:ilvl w:val="0"/>
                <w:numId w:val="31"/>
              </w:num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Positive results are marked by a sounder and more credible electoral administration process demonstrated in the Parliamentary Elections of December 2015.  </w:t>
            </w:r>
          </w:p>
          <w:p w14:paraId="5C6E3A85" w14:textId="77777777" w:rsidR="000617C3" w:rsidRDefault="000617C3" w:rsidP="000617C3">
            <w:pPr>
              <w:pStyle w:val="ListParagraph"/>
              <w:numPr>
                <w:ilvl w:val="0"/>
                <w:numId w:val="31"/>
              </w:num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UNDP support the procurement of data center to host the voter register and other IT services to allow High Electoral Committee and the future National Electoral Authority to operate more independently.</w:t>
            </w:r>
          </w:p>
          <w:p w14:paraId="0BC7EA32" w14:textId="77777777" w:rsidR="000617C3" w:rsidRDefault="000617C3" w:rsidP="000617C3">
            <w:pPr>
              <w:pStyle w:val="ListParagraph"/>
              <w:numPr>
                <w:ilvl w:val="0"/>
                <w:numId w:val="31"/>
              </w:num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While there isn’t an Elections Management Body (EMB) in place yet, the 2014 Constitution has the provision to establish an Independent EMB and for the time being the High Elections Committee remains in charge for overseeing Parliamentary Elections which have just been completed in December 2015</w:t>
            </w:r>
          </w:p>
        </w:tc>
      </w:tr>
      <w:tr w:rsidR="000617C3" w14:paraId="4DA874C2"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5C82E2E1" w14:textId="77777777" w:rsidR="000617C3" w:rsidRDefault="000617C3">
            <w:pPr>
              <w:rPr>
                <w:rFonts w:asciiTheme="majorBidi" w:hAnsiTheme="majorBidi" w:cstheme="majorBidi"/>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2446C9C7" w14:textId="77777777" w:rsidR="000617C3" w:rsidRDefault="000617C3">
            <w:pPr>
              <w:rPr>
                <w:rFonts w:asciiTheme="majorBidi" w:eastAsia="Calibri" w:hAnsiTheme="majorBidi" w:cstheme="majorBidi"/>
                <w:sz w:val="20"/>
              </w:rPr>
            </w:pPr>
            <w:r>
              <w:rPr>
                <w:rFonts w:asciiTheme="majorBidi" w:eastAsia="Calibri" w:hAnsiTheme="majorBidi" w:cstheme="majorBidi"/>
                <w:b/>
                <w:sz w:val="20"/>
              </w:rPr>
              <w:t>Indicator 7:</w:t>
            </w:r>
            <w:r>
              <w:rPr>
                <w:rFonts w:asciiTheme="majorBidi" w:eastAsia="Calibri" w:hAnsiTheme="majorBidi" w:cstheme="majorBidi"/>
                <w:sz w:val="20"/>
              </w:rPr>
              <w:t xml:space="preserve"> Number of government services accessible through mobile phones </w:t>
            </w:r>
          </w:p>
          <w:p w14:paraId="4AB78A52" w14:textId="77777777" w:rsidR="000617C3" w:rsidRDefault="000617C3">
            <w:pPr>
              <w:rPr>
                <w:rFonts w:asciiTheme="majorBidi" w:eastAsia="Calibri" w:hAnsiTheme="majorBidi" w:cstheme="majorBidi"/>
                <w:sz w:val="20"/>
              </w:rPr>
            </w:pPr>
            <w:r>
              <w:rPr>
                <w:rFonts w:asciiTheme="majorBidi" w:eastAsia="Calibri" w:hAnsiTheme="majorBidi" w:cstheme="majorBidi"/>
                <w:b/>
                <w:sz w:val="20"/>
              </w:rPr>
              <w:t>Baseline:</w:t>
            </w:r>
            <w:r>
              <w:rPr>
                <w:rFonts w:asciiTheme="majorBidi" w:eastAsia="Calibri" w:hAnsiTheme="majorBidi" w:cstheme="majorBidi"/>
                <w:sz w:val="20"/>
              </w:rPr>
              <w:t xml:space="preserve"> 150 ICT-based government services available through internet, 2 of them by mobile phone </w:t>
            </w:r>
          </w:p>
          <w:p w14:paraId="7E423A03" w14:textId="77777777" w:rsidR="000617C3" w:rsidRDefault="000617C3">
            <w:pPr>
              <w:rPr>
                <w:rFonts w:asciiTheme="majorBidi" w:eastAsiaTheme="minorHAnsi" w:hAnsiTheme="majorBidi" w:cstheme="majorBidi"/>
                <w:b/>
                <w:bCs/>
                <w:sz w:val="20"/>
                <w:lang w:val="fr-FR"/>
              </w:rPr>
            </w:pPr>
            <w:r>
              <w:rPr>
                <w:rFonts w:asciiTheme="majorBidi" w:eastAsia="Calibri" w:hAnsiTheme="majorBidi" w:cstheme="majorBidi"/>
                <w:b/>
                <w:sz w:val="20"/>
                <w:lang w:val="fr-FR"/>
              </w:rPr>
              <w:t>Target:</w:t>
            </w:r>
            <w:r>
              <w:rPr>
                <w:rFonts w:asciiTheme="majorBidi" w:eastAsia="Calibri" w:hAnsiTheme="majorBidi" w:cstheme="majorBidi"/>
                <w:sz w:val="20"/>
                <w:lang w:val="fr-FR"/>
              </w:rPr>
              <w:t xml:space="preserve"> 100 e-services accessible via mobile phone.</w:t>
            </w:r>
          </w:p>
        </w:tc>
        <w:tc>
          <w:tcPr>
            <w:tcW w:w="7470" w:type="dxa"/>
            <w:tcBorders>
              <w:top w:val="single" w:sz="4" w:space="0" w:color="auto"/>
              <w:left w:val="single" w:sz="4" w:space="0" w:color="auto"/>
              <w:bottom w:val="single" w:sz="4" w:space="0" w:color="auto"/>
              <w:right w:val="single" w:sz="4" w:space="0" w:color="auto"/>
            </w:tcBorders>
            <w:hideMark/>
          </w:tcPr>
          <w:p w14:paraId="4DB87735" w14:textId="77777777" w:rsidR="000617C3" w:rsidRDefault="000617C3">
            <w:pPr>
              <w:rPr>
                <w:rFonts w:asciiTheme="majorBidi" w:hAnsiTheme="majorBidi" w:cstheme="majorBidi"/>
                <w:sz w:val="20"/>
              </w:rPr>
            </w:pPr>
            <w:r>
              <w:rPr>
                <w:rFonts w:asciiTheme="majorBidi" w:hAnsiTheme="majorBidi" w:cstheme="majorBidi"/>
                <w:sz w:val="20"/>
                <w:u w:val="single"/>
              </w:rPr>
              <w:t>Overall progress: Target reached and surpassed</w:t>
            </w:r>
          </w:p>
          <w:p w14:paraId="38C1F84F" w14:textId="77777777" w:rsidR="000617C3" w:rsidRDefault="000617C3" w:rsidP="000617C3">
            <w:pPr>
              <w:pStyle w:val="ListParagraph"/>
              <w:numPr>
                <w:ilvl w:val="0"/>
                <w:numId w:val="32"/>
              </w:numPr>
              <w:spacing w:after="0" w:line="240" w:lineRule="auto"/>
              <w:rPr>
                <w:rFonts w:asciiTheme="majorBidi" w:hAnsiTheme="majorBidi" w:cstheme="majorBidi"/>
                <w:sz w:val="20"/>
                <w:szCs w:val="20"/>
              </w:rPr>
            </w:pPr>
            <w:r>
              <w:rPr>
                <w:rFonts w:asciiTheme="majorBidi" w:hAnsiTheme="majorBidi" w:cstheme="majorBidi"/>
                <w:sz w:val="20"/>
                <w:szCs w:val="20"/>
              </w:rPr>
              <w:t>UNDP helped establish 730 informational services: 220 online services and 70 services via the one stop shop and 3 via SMS.</w:t>
            </w:r>
          </w:p>
          <w:p w14:paraId="045FB031" w14:textId="77777777" w:rsidR="000617C3" w:rsidRDefault="000617C3">
            <w:pPr>
              <w:rPr>
                <w:rFonts w:asciiTheme="majorBidi" w:hAnsiTheme="majorBidi" w:cstheme="majorBidi"/>
                <w:sz w:val="20"/>
              </w:rPr>
            </w:pPr>
            <w:r>
              <w:rPr>
                <w:rFonts w:asciiTheme="majorBidi" w:hAnsiTheme="majorBidi" w:cstheme="majorBidi"/>
                <w:sz w:val="20"/>
              </w:rPr>
              <w:t>  </w:t>
            </w:r>
          </w:p>
          <w:p w14:paraId="65F6F1D5" w14:textId="77777777" w:rsidR="000617C3" w:rsidRDefault="000617C3">
            <w:pPr>
              <w:rPr>
                <w:rFonts w:asciiTheme="majorBidi" w:hAnsiTheme="majorBidi" w:cstheme="majorBidi"/>
                <w:sz w:val="20"/>
                <w:u w:val="single"/>
              </w:rPr>
            </w:pPr>
            <w:r>
              <w:rPr>
                <w:rFonts w:asciiTheme="majorBidi" w:hAnsiTheme="majorBidi" w:cstheme="majorBidi"/>
                <w:sz w:val="20"/>
                <w:u w:val="single"/>
              </w:rPr>
              <w:t xml:space="preserve"> </w:t>
            </w:r>
          </w:p>
        </w:tc>
      </w:tr>
      <w:tr w:rsidR="000617C3" w14:paraId="2F47042C"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942465" w14:textId="77777777" w:rsidR="000617C3" w:rsidRDefault="000617C3">
            <w:pPr>
              <w:rPr>
                <w:rFonts w:asciiTheme="majorBidi" w:eastAsiaTheme="minorHAnsi" w:hAnsiTheme="majorBidi" w:cstheme="majorBidi"/>
                <w:bCs/>
                <w:i/>
                <w:iCs/>
                <w:color w:val="000000"/>
                <w:sz w:val="20"/>
              </w:rPr>
            </w:pPr>
            <w:r>
              <w:rPr>
                <w:rFonts w:asciiTheme="majorBidi" w:hAnsiTheme="majorBidi" w:cstheme="majorBidi"/>
                <w:b/>
                <w:bCs/>
                <w:color w:val="000000"/>
                <w:sz w:val="20"/>
              </w:rPr>
              <w:t xml:space="preserve">National priority or goal: </w:t>
            </w:r>
            <w:r>
              <w:rPr>
                <w:rFonts w:asciiTheme="majorBidi" w:hAnsiTheme="majorBidi" w:cstheme="majorBidi"/>
                <w:bCs/>
                <w:color w:val="000000"/>
                <w:sz w:val="20"/>
              </w:rPr>
              <w:t>Climate change risks managed more effectively and the natural environment more sustainably managed.</w:t>
            </w:r>
            <w:r>
              <w:rPr>
                <w:rFonts w:asciiTheme="majorBidi" w:hAnsiTheme="majorBidi" w:cstheme="majorBidi"/>
                <w:bCs/>
                <w:i/>
                <w:iCs/>
                <w:color w:val="000000"/>
                <w:sz w:val="20"/>
              </w:rPr>
              <w:t xml:space="preserve">  </w:t>
            </w:r>
          </w:p>
          <w:p w14:paraId="18452271" w14:textId="77777777" w:rsidR="000617C3" w:rsidRDefault="000617C3">
            <w:pPr>
              <w:rPr>
                <w:rFonts w:asciiTheme="majorBidi" w:hAnsiTheme="majorBidi" w:cstheme="majorBidi"/>
                <w:color w:val="000000"/>
                <w:sz w:val="20"/>
              </w:rPr>
            </w:pPr>
          </w:p>
        </w:tc>
      </w:tr>
      <w:tr w:rsidR="000617C3" w14:paraId="7F8696EA" w14:textId="77777777" w:rsidTr="000617C3">
        <w:tc>
          <w:tcPr>
            <w:tcW w:w="13585"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277CB86" w14:textId="77777777" w:rsidR="000617C3" w:rsidRDefault="000617C3">
            <w:pPr>
              <w:rPr>
                <w:rFonts w:asciiTheme="majorBidi" w:hAnsiTheme="majorBidi" w:cstheme="majorBidi"/>
                <w:b/>
                <w:bCs/>
                <w:sz w:val="20"/>
              </w:rPr>
            </w:pPr>
            <w:r>
              <w:rPr>
                <w:rFonts w:asciiTheme="majorBidi" w:hAnsiTheme="majorBidi" w:cstheme="majorBidi"/>
                <w:b/>
                <w:bCs/>
                <w:sz w:val="20"/>
              </w:rPr>
              <w:t>Planned budget: USD$ 21,605,941</w:t>
            </w:r>
          </w:p>
          <w:p w14:paraId="58C7AEB7" w14:textId="77777777" w:rsidR="000617C3" w:rsidRDefault="000617C3">
            <w:pPr>
              <w:rPr>
                <w:rFonts w:asciiTheme="majorBidi" w:hAnsiTheme="majorBidi" w:cstheme="majorBidi"/>
                <w:sz w:val="20"/>
                <w:u w:val="single"/>
              </w:rPr>
            </w:pPr>
            <w:r>
              <w:rPr>
                <w:rFonts w:asciiTheme="majorBidi" w:hAnsiTheme="majorBidi" w:cstheme="majorBidi"/>
                <w:b/>
                <w:bCs/>
                <w:sz w:val="20"/>
              </w:rPr>
              <w:t>Delivery: USD$ 38,356,794</w:t>
            </w:r>
          </w:p>
        </w:tc>
      </w:tr>
      <w:tr w:rsidR="000617C3" w14:paraId="486B9457" w14:textId="77777777" w:rsidTr="000617C3">
        <w:tc>
          <w:tcPr>
            <w:tcW w:w="2875" w:type="dxa"/>
            <w:vMerge w:val="restart"/>
            <w:tcBorders>
              <w:top w:val="single" w:sz="4" w:space="0" w:color="auto"/>
              <w:left w:val="single" w:sz="4" w:space="0" w:color="auto"/>
              <w:bottom w:val="single" w:sz="4" w:space="0" w:color="auto"/>
              <w:right w:val="single" w:sz="4" w:space="0" w:color="auto"/>
            </w:tcBorders>
            <w:hideMark/>
          </w:tcPr>
          <w:p w14:paraId="6958998C" w14:textId="77777777" w:rsidR="000617C3" w:rsidRDefault="000617C3">
            <w:pPr>
              <w:rPr>
                <w:rFonts w:asciiTheme="majorBidi" w:eastAsiaTheme="minorHAnsi" w:hAnsiTheme="majorBidi" w:cstheme="majorBidi"/>
                <w:color w:val="000000"/>
                <w:sz w:val="20"/>
              </w:rPr>
            </w:pPr>
            <w:r>
              <w:rPr>
                <w:rFonts w:asciiTheme="majorBidi" w:hAnsiTheme="majorBidi" w:cstheme="majorBidi"/>
                <w:color w:val="000000"/>
                <w:sz w:val="20"/>
              </w:rPr>
              <w:t>UNDP will:</w:t>
            </w:r>
          </w:p>
          <w:p w14:paraId="07078A85"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introduce new climate change adaptation and mitigation measures.</w:t>
            </w:r>
          </w:p>
          <w:p w14:paraId="4759D10E"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pilot the conversion of 20 public buildings to energy-efficient lighting </w:t>
            </w:r>
          </w:p>
          <w:p w14:paraId="5BB5DD87" w14:textId="77777777" w:rsidR="000617C3" w:rsidRDefault="000617C3">
            <w:pPr>
              <w:rPr>
                <w:rFonts w:asciiTheme="majorBidi" w:hAnsiTheme="majorBidi" w:cstheme="majorBidi"/>
                <w:color w:val="000000"/>
                <w:sz w:val="20"/>
              </w:rPr>
            </w:pPr>
            <w:r>
              <w:rPr>
                <w:rFonts w:asciiTheme="majorBidi" w:hAnsiTheme="majorBidi" w:cstheme="majorBidi"/>
                <w:color w:val="000000"/>
                <w:sz w:val="20"/>
              </w:rPr>
              <w:t xml:space="preserve">- promote the financial sustainability model of protected areas and build capacities of EEAA to implement the model </w:t>
            </w:r>
          </w:p>
          <w:p w14:paraId="6B005CE8" w14:textId="77777777" w:rsidR="000617C3" w:rsidRDefault="000617C3">
            <w:pPr>
              <w:rPr>
                <w:rFonts w:asciiTheme="majorBidi" w:hAnsiTheme="majorBidi" w:cstheme="majorBidi"/>
                <w:b/>
                <w:bCs/>
                <w:color w:val="000000"/>
                <w:sz w:val="20"/>
              </w:rPr>
            </w:pPr>
            <w:r>
              <w:rPr>
                <w:rFonts w:asciiTheme="majorBidi" w:hAnsiTheme="majorBidi" w:cstheme="majorBidi"/>
                <w:color w:val="000000"/>
                <w:sz w:val="20"/>
              </w:rPr>
              <w:lastRenderedPageBreak/>
              <w:t>- strengthen government capacity in the areas of, renewable energy, solid waste management and the phasing out of ozone-depleting substances.</w:t>
            </w:r>
          </w:p>
        </w:tc>
        <w:tc>
          <w:tcPr>
            <w:tcW w:w="3240" w:type="dxa"/>
            <w:tcBorders>
              <w:top w:val="single" w:sz="4" w:space="0" w:color="auto"/>
              <w:left w:val="single" w:sz="4" w:space="0" w:color="auto"/>
              <w:bottom w:val="single" w:sz="4" w:space="0" w:color="auto"/>
              <w:right w:val="single" w:sz="4" w:space="0" w:color="auto"/>
            </w:tcBorders>
          </w:tcPr>
          <w:p w14:paraId="07F91A75" w14:textId="77777777" w:rsidR="000617C3" w:rsidRDefault="000617C3">
            <w:pPr>
              <w:contextualSpacing/>
              <w:rPr>
                <w:rFonts w:asciiTheme="majorBidi" w:hAnsiTheme="majorBidi" w:cstheme="majorBidi"/>
                <w:color w:val="000000"/>
                <w:sz w:val="20"/>
              </w:rPr>
            </w:pPr>
            <w:r>
              <w:rPr>
                <w:rFonts w:asciiTheme="majorBidi" w:hAnsiTheme="majorBidi" w:cstheme="majorBidi"/>
                <w:b/>
                <w:bCs/>
                <w:color w:val="000000"/>
                <w:sz w:val="20"/>
              </w:rPr>
              <w:lastRenderedPageBreak/>
              <w:t>Indicator 1</w:t>
            </w:r>
            <w:r>
              <w:rPr>
                <w:rFonts w:asciiTheme="majorBidi" w:hAnsiTheme="majorBidi" w:cstheme="majorBidi"/>
                <w:b/>
                <w:color w:val="000000"/>
                <w:sz w:val="20"/>
              </w:rPr>
              <w:t>:</w:t>
            </w:r>
            <w:r>
              <w:rPr>
                <w:rFonts w:asciiTheme="majorBidi" w:hAnsiTheme="majorBidi" w:cstheme="majorBidi"/>
                <w:color w:val="000000"/>
                <w:sz w:val="20"/>
              </w:rPr>
              <w:t xml:space="preserve"> Number of national policies developed and adopted that incorporate climate change adaptation measures </w:t>
            </w:r>
          </w:p>
          <w:p w14:paraId="7A78BCD0" w14:textId="77777777" w:rsidR="000617C3" w:rsidRDefault="000617C3">
            <w:pPr>
              <w:contextualSpacing/>
              <w:rPr>
                <w:rFonts w:asciiTheme="majorBidi" w:hAnsiTheme="majorBidi" w:cstheme="majorBidi"/>
                <w:color w:val="000000"/>
                <w:sz w:val="20"/>
              </w:rPr>
            </w:pPr>
            <w:r>
              <w:rPr>
                <w:rFonts w:asciiTheme="majorBidi" w:hAnsiTheme="majorBidi" w:cstheme="majorBidi"/>
                <w:b/>
                <w:bCs/>
                <w:color w:val="000000"/>
                <w:sz w:val="20"/>
              </w:rPr>
              <w:t>Baseline</w:t>
            </w:r>
            <w:r>
              <w:rPr>
                <w:rFonts w:asciiTheme="majorBidi" w:hAnsiTheme="majorBidi" w:cstheme="majorBidi"/>
                <w:b/>
                <w:color w:val="000000"/>
                <w:sz w:val="20"/>
              </w:rPr>
              <w:t>:</w:t>
            </w:r>
            <w:r>
              <w:rPr>
                <w:rFonts w:asciiTheme="majorBidi" w:hAnsiTheme="majorBidi" w:cstheme="majorBidi"/>
                <w:color w:val="000000"/>
                <w:sz w:val="20"/>
              </w:rPr>
              <w:t xml:space="preserve"> Climate change vulnerability assessments are not translated into policy measures </w:t>
            </w:r>
          </w:p>
          <w:p w14:paraId="04F06E41" w14:textId="77777777" w:rsidR="000617C3" w:rsidRDefault="000617C3" w:rsidP="0058360A">
            <w:pPr>
              <w:contextualSpacing/>
              <w:rPr>
                <w:rFonts w:asciiTheme="majorBidi" w:hAnsiTheme="majorBidi" w:cstheme="majorBidi"/>
                <w:sz w:val="20"/>
              </w:rPr>
            </w:pPr>
            <w:r>
              <w:rPr>
                <w:rFonts w:asciiTheme="majorBidi" w:hAnsiTheme="majorBidi" w:cstheme="majorBidi"/>
                <w:b/>
                <w:bCs/>
                <w:color w:val="000000"/>
                <w:sz w:val="20"/>
              </w:rPr>
              <w:t>Target</w:t>
            </w:r>
            <w:r>
              <w:rPr>
                <w:rFonts w:asciiTheme="majorBidi" w:hAnsiTheme="majorBidi" w:cstheme="majorBidi"/>
                <w:color w:val="000000"/>
                <w:sz w:val="20"/>
              </w:rPr>
              <w:t xml:space="preserve">: Climate change adaptation measures integrated </w:t>
            </w:r>
            <w:r w:rsidR="0058360A">
              <w:rPr>
                <w:rFonts w:asciiTheme="majorBidi" w:hAnsiTheme="majorBidi" w:cstheme="majorBidi"/>
                <w:color w:val="000000"/>
                <w:sz w:val="20"/>
              </w:rPr>
              <w:t>in at least one national policy.</w:t>
            </w:r>
          </w:p>
        </w:tc>
        <w:tc>
          <w:tcPr>
            <w:tcW w:w="7470" w:type="dxa"/>
            <w:tcBorders>
              <w:top w:val="single" w:sz="4" w:space="0" w:color="auto"/>
              <w:left w:val="single" w:sz="4" w:space="0" w:color="auto"/>
              <w:bottom w:val="single" w:sz="4" w:space="0" w:color="auto"/>
              <w:right w:val="single" w:sz="4" w:space="0" w:color="auto"/>
            </w:tcBorders>
            <w:hideMark/>
          </w:tcPr>
          <w:p w14:paraId="16C25C4D"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395BC1A7" w14:textId="77777777" w:rsidR="000617C3" w:rsidRDefault="000617C3" w:rsidP="000617C3">
            <w:pPr>
              <w:pStyle w:val="ListParagraph"/>
              <w:numPr>
                <w:ilvl w:val="0"/>
                <w:numId w:val="33"/>
              </w:numPr>
              <w:spacing w:after="0" w:line="240" w:lineRule="auto"/>
              <w:rPr>
                <w:rFonts w:asciiTheme="majorBidi" w:hAnsiTheme="majorBidi" w:cstheme="majorBidi"/>
                <w:sz w:val="20"/>
                <w:szCs w:val="20"/>
              </w:rPr>
            </w:pPr>
            <w:r>
              <w:rPr>
                <w:rFonts w:asciiTheme="majorBidi" w:hAnsiTheme="majorBidi" w:cstheme="majorBidi"/>
                <w:sz w:val="20"/>
                <w:szCs w:val="20"/>
              </w:rPr>
              <w:t>In fulfillment of the Paris agreement, UNDP enabled national capacities to quantify the reduced emissions through proper documentation meeting international standards.</w:t>
            </w:r>
          </w:p>
          <w:p w14:paraId="1020E8AE" w14:textId="77777777" w:rsidR="000617C3" w:rsidRDefault="000617C3" w:rsidP="000617C3">
            <w:pPr>
              <w:pStyle w:val="ListParagraph"/>
              <w:numPr>
                <w:ilvl w:val="0"/>
                <w:numId w:val="33"/>
              </w:numPr>
              <w:spacing w:after="0" w:line="240" w:lineRule="auto"/>
              <w:rPr>
                <w:rFonts w:asciiTheme="majorBidi" w:hAnsiTheme="majorBidi" w:cstheme="majorBidi"/>
                <w:sz w:val="20"/>
                <w:szCs w:val="20"/>
              </w:rPr>
            </w:pPr>
            <w:r>
              <w:rPr>
                <w:rFonts w:asciiTheme="majorBidi" w:hAnsiTheme="majorBidi" w:cstheme="majorBidi"/>
                <w:sz w:val="20"/>
                <w:szCs w:val="20"/>
              </w:rPr>
              <w:t xml:space="preserve">UNDP efforts resulted in an increased capacity to produce subsequent National Communication Reports that support climate change decision related national policies and measures at the strategic level.   </w:t>
            </w:r>
          </w:p>
          <w:p w14:paraId="598B19DA" w14:textId="77777777" w:rsidR="000617C3" w:rsidRDefault="000617C3" w:rsidP="000617C3">
            <w:pPr>
              <w:pStyle w:val="ListParagraph"/>
              <w:numPr>
                <w:ilvl w:val="0"/>
                <w:numId w:val="33"/>
              </w:numPr>
              <w:spacing w:after="0" w:line="240" w:lineRule="auto"/>
              <w:rPr>
                <w:rFonts w:asciiTheme="majorBidi" w:hAnsiTheme="majorBidi" w:cstheme="majorBidi"/>
                <w:sz w:val="20"/>
                <w:szCs w:val="20"/>
              </w:rPr>
            </w:pPr>
            <w:r>
              <w:rPr>
                <w:rFonts w:asciiTheme="majorBidi" w:hAnsiTheme="majorBidi" w:cstheme="majorBidi"/>
                <w:sz w:val="20"/>
                <w:szCs w:val="20"/>
              </w:rPr>
              <w:t xml:space="preserve">Construction of two soft innovative engineering solution completed which built capacity and supported the decision of scale up process to protect and manage the North Coast.  </w:t>
            </w:r>
          </w:p>
        </w:tc>
      </w:tr>
      <w:tr w:rsidR="000617C3" w14:paraId="5EF1E4E8" w14:textId="77777777" w:rsidTr="000617C3">
        <w:tc>
          <w:tcPr>
            <w:tcW w:w="0" w:type="auto"/>
            <w:vMerge/>
            <w:tcBorders>
              <w:top w:val="single" w:sz="4" w:space="0" w:color="auto"/>
              <w:left w:val="single" w:sz="4" w:space="0" w:color="auto"/>
              <w:bottom w:val="single" w:sz="4" w:space="0" w:color="auto"/>
              <w:right w:val="single" w:sz="4" w:space="0" w:color="auto"/>
            </w:tcBorders>
            <w:vAlign w:val="center"/>
            <w:hideMark/>
          </w:tcPr>
          <w:p w14:paraId="6226A6C5" w14:textId="77777777" w:rsidR="000617C3" w:rsidRDefault="000617C3">
            <w:pPr>
              <w:rPr>
                <w:rFonts w:asciiTheme="majorBidi" w:hAnsiTheme="majorBidi" w:cstheme="majorBidi"/>
                <w:b/>
                <w:bCs/>
                <w:color w:val="000000"/>
                <w:sz w:val="20"/>
              </w:rPr>
            </w:pPr>
          </w:p>
        </w:tc>
        <w:tc>
          <w:tcPr>
            <w:tcW w:w="3240" w:type="dxa"/>
            <w:tcBorders>
              <w:top w:val="single" w:sz="4" w:space="0" w:color="auto"/>
              <w:left w:val="single" w:sz="4" w:space="0" w:color="auto"/>
              <w:bottom w:val="single" w:sz="4" w:space="0" w:color="auto"/>
              <w:right w:val="single" w:sz="4" w:space="0" w:color="auto"/>
            </w:tcBorders>
          </w:tcPr>
          <w:p w14:paraId="7FD8B33F" w14:textId="77777777" w:rsidR="000617C3" w:rsidRDefault="000617C3">
            <w:pPr>
              <w:contextualSpacing/>
              <w:rPr>
                <w:rFonts w:asciiTheme="majorBidi" w:hAnsiTheme="majorBidi" w:cstheme="majorBidi"/>
                <w:sz w:val="20"/>
              </w:rPr>
            </w:pPr>
            <w:r>
              <w:rPr>
                <w:rFonts w:asciiTheme="majorBidi" w:hAnsiTheme="majorBidi" w:cstheme="majorBidi"/>
                <w:b/>
                <w:sz w:val="20"/>
              </w:rPr>
              <w:t xml:space="preserve">Indicator 2: </w:t>
            </w:r>
            <w:r>
              <w:rPr>
                <w:rFonts w:asciiTheme="majorBidi" w:hAnsiTheme="majorBidi" w:cstheme="majorBidi"/>
                <w:color w:val="000000"/>
                <w:sz w:val="20"/>
              </w:rPr>
              <w:t>Number</w:t>
            </w:r>
            <w:r>
              <w:rPr>
                <w:rFonts w:asciiTheme="majorBidi" w:hAnsiTheme="majorBidi" w:cstheme="majorBidi"/>
                <w:sz w:val="20"/>
              </w:rPr>
              <w:t xml:space="preserve"> of energy-</w:t>
            </w:r>
            <w:r>
              <w:rPr>
                <w:rFonts w:asciiTheme="majorBidi" w:hAnsiTheme="majorBidi" w:cstheme="majorBidi"/>
                <w:sz w:val="20"/>
              </w:rPr>
              <w:lastRenderedPageBreak/>
              <w:t xml:space="preserve">efficient public buildings </w:t>
            </w:r>
          </w:p>
          <w:p w14:paraId="3761765E" w14:textId="77777777" w:rsidR="000617C3" w:rsidRDefault="000617C3">
            <w:pPr>
              <w:contextualSpacing/>
              <w:rPr>
                <w:rFonts w:asciiTheme="majorBidi" w:hAnsiTheme="majorBidi" w:cstheme="majorBidi"/>
                <w:sz w:val="20"/>
              </w:rPr>
            </w:pPr>
            <w:r>
              <w:rPr>
                <w:rFonts w:asciiTheme="majorBidi" w:hAnsiTheme="majorBidi" w:cstheme="majorBidi"/>
                <w:b/>
                <w:color w:val="000000"/>
                <w:sz w:val="20"/>
              </w:rPr>
              <w:t>Baseline:</w:t>
            </w:r>
            <w:r>
              <w:rPr>
                <w:rFonts w:asciiTheme="majorBidi" w:hAnsiTheme="majorBidi" w:cstheme="majorBidi"/>
                <w:color w:val="000000"/>
                <w:sz w:val="20"/>
              </w:rPr>
              <w:t xml:space="preserve"> One public building converted by UNDP in previous cycle</w:t>
            </w:r>
            <w:r>
              <w:rPr>
                <w:rFonts w:asciiTheme="majorBidi" w:hAnsiTheme="majorBidi" w:cstheme="majorBidi"/>
                <w:sz w:val="20"/>
              </w:rPr>
              <w:t xml:space="preserve"> </w:t>
            </w:r>
          </w:p>
          <w:p w14:paraId="3106BF01" w14:textId="77777777" w:rsidR="000617C3" w:rsidRDefault="000617C3">
            <w:pPr>
              <w:contextualSpacing/>
              <w:rPr>
                <w:rFonts w:asciiTheme="majorBidi" w:hAnsiTheme="majorBidi" w:cstheme="majorBidi"/>
                <w:sz w:val="20"/>
              </w:rPr>
            </w:pPr>
            <w:r>
              <w:rPr>
                <w:rFonts w:asciiTheme="majorBidi" w:hAnsiTheme="majorBidi" w:cstheme="majorBidi"/>
                <w:b/>
                <w:color w:val="000000"/>
                <w:sz w:val="20"/>
              </w:rPr>
              <w:t>Target:</w:t>
            </w:r>
            <w:r>
              <w:rPr>
                <w:rFonts w:asciiTheme="majorBidi" w:hAnsiTheme="majorBidi" w:cstheme="majorBidi"/>
                <w:color w:val="000000"/>
                <w:sz w:val="20"/>
              </w:rPr>
              <w:t xml:space="preserve"> 20 energy-efficient public buildings</w:t>
            </w:r>
          </w:p>
          <w:p w14:paraId="6ADA4E72" w14:textId="77777777" w:rsidR="000617C3" w:rsidRDefault="000617C3">
            <w:pPr>
              <w:rPr>
                <w:rFonts w:asciiTheme="majorBidi" w:hAnsiTheme="majorBidi" w:cstheme="majorBidi"/>
                <w:sz w:val="20"/>
              </w:rPr>
            </w:pPr>
          </w:p>
        </w:tc>
        <w:tc>
          <w:tcPr>
            <w:tcW w:w="7470" w:type="dxa"/>
            <w:tcBorders>
              <w:top w:val="single" w:sz="4" w:space="0" w:color="auto"/>
              <w:left w:val="single" w:sz="4" w:space="0" w:color="auto"/>
              <w:bottom w:val="single" w:sz="4" w:space="0" w:color="auto"/>
              <w:right w:val="single" w:sz="4" w:space="0" w:color="auto"/>
            </w:tcBorders>
            <w:hideMark/>
          </w:tcPr>
          <w:p w14:paraId="54005763" w14:textId="77777777" w:rsidR="000617C3" w:rsidRDefault="000617C3">
            <w:pPr>
              <w:rPr>
                <w:rFonts w:asciiTheme="majorBidi" w:hAnsiTheme="majorBidi" w:cstheme="majorBidi"/>
                <w:sz w:val="20"/>
                <w:u w:val="single"/>
              </w:rPr>
            </w:pPr>
            <w:r>
              <w:rPr>
                <w:rFonts w:asciiTheme="majorBidi" w:hAnsiTheme="majorBidi" w:cstheme="majorBidi"/>
                <w:sz w:val="20"/>
                <w:u w:val="single"/>
              </w:rPr>
              <w:lastRenderedPageBreak/>
              <w:t>Overall progress: significant progress</w:t>
            </w:r>
          </w:p>
          <w:p w14:paraId="2C254111" w14:textId="77777777" w:rsidR="000617C3" w:rsidRDefault="000617C3" w:rsidP="000617C3">
            <w:pPr>
              <w:pStyle w:val="ListParagraph"/>
              <w:numPr>
                <w:ilvl w:val="0"/>
                <w:numId w:val="34"/>
              </w:numPr>
              <w:spacing w:after="0" w:line="240" w:lineRule="auto"/>
              <w:rPr>
                <w:rFonts w:asciiTheme="majorBidi" w:hAnsiTheme="majorBidi" w:cstheme="majorBidi"/>
                <w:sz w:val="20"/>
                <w:szCs w:val="20"/>
              </w:rPr>
            </w:pPr>
            <w:r>
              <w:rPr>
                <w:rFonts w:asciiTheme="majorBidi" w:hAnsiTheme="majorBidi" w:cstheme="majorBidi"/>
                <w:sz w:val="20"/>
                <w:szCs w:val="20"/>
              </w:rPr>
              <w:lastRenderedPageBreak/>
              <w:t>Three Ministries are transforming gradually all their buildings into LED while several other Ministries have changed the lighting systems in the HQs and at least four other Ministries will change their HQs buildings with project support</w:t>
            </w:r>
          </w:p>
          <w:p w14:paraId="2C3DE352" w14:textId="77777777" w:rsidR="000617C3" w:rsidRDefault="000617C3" w:rsidP="000617C3">
            <w:pPr>
              <w:pStyle w:val="ListParagraph"/>
              <w:numPr>
                <w:ilvl w:val="0"/>
                <w:numId w:val="34"/>
              </w:numPr>
              <w:spacing w:after="0" w:line="240" w:lineRule="auto"/>
              <w:rPr>
                <w:rFonts w:asciiTheme="majorBidi" w:hAnsiTheme="majorBidi" w:cstheme="majorBidi"/>
                <w:sz w:val="20"/>
                <w:szCs w:val="20"/>
              </w:rPr>
            </w:pPr>
            <w:r>
              <w:rPr>
                <w:rFonts w:asciiTheme="majorBidi" w:hAnsiTheme="majorBidi" w:cstheme="majorBidi"/>
                <w:sz w:val="20"/>
                <w:szCs w:val="20"/>
              </w:rPr>
              <w:t>UNDP helped the Government launch a national programme to convert street lighting to efficient lighting systems.</w:t>
            </w:r>
          </w:p>
          <w:p w14:paraId="5D4698D4" w14:textId="77777777" w:rsidR="000617C3" w:rsidRDefault="000617C3" w:rsidP="000617C3">
            <w:pPr>
              <w:pStyle w:val="ListParagraph"/>
              <w:numPr>
                <w:ilvl w:val="0"/>
                <w:numId w:val="34"/>
              </w:numPr>
              <w:spacing w:after="0" w:line="240" w:lineRule="auto"/>
              <w:rPr>
                <w:rFonts w:asciiTheme="majorBidi" w:hAnsiTheme="majorBidi" w:cstheme="majorBidi"/>
                <w:sz w:val="20"/>
                <w:szCs w:val="20"/>
              </w:rPr>
            </w:pPr>
            <w:r>
              <w:rPr>
                <w:rFonts w:asciiTheme="majorBidi" w:hAnsiTheme="majorBidi" w:cstheme="majorBidi"/>
                <w:sz w:val="20"/>
                <w:szCs w:val="20"/>
              </w:rPr>
              <w:t>The Minister of Electricity announced in October 2016 that the peak electricity load has not increased this year while it has shown an average increase between 5 to 10% over the last decade.</w:t>
            </w:r>
          </w:p>
          <w:p w14:paraId="7861E743" w14:textId="77777777" w:rsidR="000617C3" w:rsidRDefault="000617C3" w:rsidP="000617C3">
            <w:pPr>
              <w:pStyle w:val="ListParagraph"/>
              <w:numPr>
                <w:ilvl w:val="0"/>
                <w:numId w:val="34"/>
              </w:numPr>
              <w:spacing w:after="0" w:line="240" w:lineRule="auto"/>
              <w:rPr>
                <w:rFonts w:asciiTheme="majorBidi" w:hAnsiTheme="majorBidi" w:cstheme="majorBidi"/>
                <w:sz w:val="20"/>
                <w:szCs w:val="20"/>
              </w:rPr>
            </w:pPr>
            <w:r>
              <w:rPr>
                <w:rFonts w:asciiTheme="majorBidi" w:hAnsiTheme="majorBidi" w:cstheme="majorBidi"/>
                <w:sz w:val="20"/>
                <w:szCs w:val="20"/>
              </w:rPr>
              <w:t>The bioenergy pilot launched by UNDP is now nationally scaled up by the Ministry of Environment all over Egypt.</w:t>
            </w:r>
          </w:p>
        </w:tc>
      </w:tr>
      <w:tr w:rsidR="000617C3" w14:paraId="2126527E" w14:textId="77777777" w:rsidTr="000617C3">
        <w:tc>
          <w:tcPr>
            <w:tcW w:w="2875" w:type="dxa"/>
            <w:tcBorders>
              <w:top w:val="single" w:sz="4" w:space="0" w:color="auto"/>
              <w:left w:val="single" w:sz="4" w:space="0" w:color="auto"/>
              <w:bottom w:val="single" w:sz="4" w:space="0" w:color="auto"/>
              <w:right w:val="single" w:sz="4" w:space="0" w:color="auto"/>
            </w:tcBorders>
          </w:tcPr>
          <w:p w14:paraId="00E783F5" w14:textId="77777777" w:rsidR="000617C3" w:rsidRDefault="000617C3">
            <w:pPr>
              <w:jc w:val="center"/>
              <w:rPr>
                <w:rFonts w:asciiTheme="majorBidi" w:hAnsiTheme="majorBidi" w:cstheme="majorBidi"/>
                <w:b/>
                <w:bCs/>
                <w:color w:val="000000"/>
                <w:sz w:val="20"/>
              </w:rPr>
            </w:pPr>
          </w:p>
        </w:tc>
        <w:tc>
          <w:tcPr>
            <w:tcW w:w="3240" w:type="dxa"/>
            <w:tcBorders>
              <w:top w:val="single" w:sz="4" w:space="0" w:color="auto"/>
              <w:left w:val="single" w:sz="4" w:space="0" w:color="auto"/>
              <w:bottom w:val="single" w:sz="4" w:space="0" w:color="auto"/>
              <w:right w:val="single" w:sz="4" w:space="0" w:color="auto"/>
            </w:tcBorders>
            <w:hideMark/>
          </w:tcPr>
          <w:p w14:paraId="4CBE0227" w14:textId="77777777" w:rsidR="000617C3" w:rsidRDefault="000617C3">
            <w:pPr>
              <w:rPr>
                <w:rFonts w:asciiTheme="majorBidi" w:hAnsiTheme="majorBidi" w:cstheme="majorBidi"/>
                <w:sz w:val="20"/>
              </w:rPr>
            </w:pPr>
            <w:r>
              <w:rPr>
                <w:rFonts w:asciiTheme="majorBidi" w:hAnsiTheme="majorBidi" w:cstheme="majorBidi"/>
                <w:b/>
                <w:sz w:val="20"/>
              </w:rPr>
              <w:t xml:space="preserve">Indicator 3: </w:t>
            </w:r>
            <w:r>
              <w:rPr>
                <w:rFonts w:asciiTheme="majorBidi" w:hAnsiTheme="majorBidi" w:cstheme="majorBidi"/>
                <w:bCs/>
                <w:sz w:val="20"/>
              </w:rPr>
              <w:t>Increase in</w:t>
            </w:r>
            <w:r>
              <w:rPr>
                <w:rFonts w:asciiTheme="majorBidi" w:hAnsiTheme="majorBidi" w:cstheme="majorBidi"/>
                <w:b/>
                <w:sz w:val="20"/>
              </w:rPr>
              <w:t xml:space="preserve"> </w:t>
            </w:r>
            <w:r>
              <w:rPr>
                <w:rFonts w:asciiTheme="majorBidi" w:hAnsiTheme="majorBidi" w:cstheme="majorBidi"/>
                <w:sz w:val="20"/>
              </w:rPr>
              <w:t xml:space="preserve">revenues generated from the 5 protected areas supported by UNDP </w:t>
            </w:r>
            <w:r>
              <w:rPr>
                <w:rFonts w:asciiTheme="majorBidi" w:hAnsiTheme="majorBidi" w:cstheme="majorBidi"/>
                <w:b/>
                <w:bCs/>
                <w:sz w:val="20"/>
              </w:rPr>
              <w:t>Baseline</w:t>
            </w:r>
            <w:r>
              <w:rPr>
                <w:rFonts w:asciiTheme="majorBidi" w:hAnsiTheme="majorBidi" w:cstheme="majorBidi"/>
                <w:b/>
                <w:sz w:val="20"/>
              </w:rPr>
              <w:t>:</w:t>
            </w:r>
            <w:r>
              <w:rPr>
                <w:rFonts w:asciiTheme="majorBidi" w:hAnsiTheme="majorBidi" w:cstheme="majorBidi"/>
                <w:sz w:val="20"/>
              </w:rPr>
              <w:t xml:space="preserve"> To be provided upon selection of the 5 protected areas </w:t>
            </w:r>
          </w:p>
          <w:p w14:paraId="30657C32" w14:textId="77777777" w:rsidR="000617C3" w:rsidRDefault="000617C3">
            <w:pPr>
              <w:rPr>
                <w:rFonts w:asciiTheme="majorBidi" w:hAnsiTheme="majorBidi" w:cstheme="majorBidi"/>
                <w:sz w:val="20"/>
              </w:rPr>
            </w:pPr>
            <w:r>
              <w:rPr>
                <w:rFonts w:asciiTheme="majorBidi" w:hAnsiTheme="majorBidi" w:cstheme="majorBidi"/>
                <w:b/>
                <w:bCs/>
                <w:sz w:val="20"/>
              </w:rPr>
              <w:t>Target</w:t>
            </w:r>
            <w:r>
              <w:rPr>
                <w:rFonts w:asciiTheme="majorBidi" w:hAnsiTheme="majorBidi" w:cstheme="majorBidi"/>
                <w:b/>
                <w:sz w:val="20"/>
              </w:rPr>
              <w:t>:</w:t>
            </w:r>
            <w:r>
              <w:rPr>
                <w:rFonts w:asciiTheme="majorBidi" w:hAnsiTheme="majorBidi" w:cstheme="majorBidi"/>
                <w:sz w:val="20"/>
              </w:rPr>
              <w:t> Increase revenue generated by protected areas by 25%.</w:t>
            </w:r>
          </w:p>
        </w:tc>
        <w:tc>
          <w:tcPr>
            <w:tcW w:w="7470" w:type="dxa"/>
            <w:tcBorders>
              <w:top w:val="single" w:sz="4" w:space="0" w:color="auto"/>
              <w:left w:val="single" w:sz="4" w:space="0" w:color="auto"/>
              <w:bottom w:val="single" w:sz="4" w:space="0" w:color="auto"/>
              <w:right w:val="single" w:sz="4" w:space="0" w:color="auto"/>
            </w:tcBorders>
            <w:hideMark/>
          </w:tcPr>
          <w:p w14:paraId="405A49EE" w14:textId="77777777" w:rsidR="000617C3" w:rsidRDefault="000617C3">
            <w:pPr>
              <w:rPr>
                <w:rFonts w:asciiTheme="majorBidi" w:hAnsiTheme="majorBidi" w:cstheme="majorBidi"/>
                <w:sz w:val="20"/>
                <w:u w:val="single"/>
              </w:rPr>
            </w:pPr>
            <w:r>
              <w:rPr>
                <w:rFonts w:asciiTheme="majorBidi" w:hAnsiTheme="majorBidi" w:cstheme="majorBidi"/>
                <w:sz w:val="20"/>
                <w:u w:val="single"/>
              </w:rPr>
              <w:t>Overall progress: some progress</w:t>
            </w:r>
          </w:p>
          <w:p w14:paraId="62D2F90A" w14:textId="77777777" w:rsidR="000617C3" w:rsidRDefault="000617C3" w:rsidP="000617C3">
            <w:pPr>
              <w:pStyle w:val="ListParagraph"/>
              <w:numPr>
                <w:ilvl w:val="0"/>
                <w:numId w:val="35"/>
              </w:numPr>
              <w:spacing w:after="0" w:line="240" w:lineRule="auto"/>
              <w:rPr>
                <w:rFonts w:asciiTheme="majorBidi" w:hAnsiTheme="majorBidi" w:cstheme="majorBidi"/>
                <w:sz w:val="20"/>
                <w:szCs w:val="20"/>
              </w:rPr>
            </w:pPr>
            <w:r>
              <w:rPr>
                <w:rFonts w:asciiTheme="majorBidi" w:hAnsiTheme="majorBidi" w:cstheme="majorBidi"/>
                <w:sz w:val="20"/>
                <w:szCs w:val="20"/>
              </w:rPr>
              <w:t>UNDP supported the rehabilitation and management of 15 protected areas, out of 30 declared protected areas.</w:t>
            </w:r>
          </w:p>
          <w:p w14:paraId="52A8DCB5" w14:textId="77777777" w:rsidR="000617C3" w:rsidRDefault="000617C3" w:rsidP="000617C3">
            <w:pPr>
              <w:pStyle w:val="ListParagraph"/>
              <w:numPr>
                <w:ilvl w:val="0"/>
                <w:numId w:val="35"/>
              </w:numPr>
              <w:spacing w:after="0" w:line="240" w:lineRule="auto"/>
              <w:rPr>
                <w:rFonts w:asciiTheme="majorBidi" w:hAnsiTheme="majorBidi" w:cstheme="majorBidi"/>
                <w:sz w:val="20"/>
                <w:szCs w:val="20"/>
              </w:rPr>
            </w:pPr>
            <w:r>
              <w:rPr>
                <w:rFonts w:asciiTheme="majorBidi" w:hAnsiTheme="majorBidi" w:cstheme="majorBidi"/>
                <w:sz w:val="20"/>
                <w:szCs w:val="20"/>
              </w:rPr>
              <w:t>UNDP helped income generation for the local communities living in the Fayoum governorate.</w:t>
            </w:r>
          </w:p>
          <w:p w14:paraId="3327F10F" w14:textId="77777777" w:rsidR="000617C3" w:rsidRDefault="000617C3" w:rsidP="000617C3">
            <w:pPr>
              <w:pStyle w:val="ListParagraph"/>
              <w:numPr>
                <w:ilvl w:val="0"/>
                <w:numId w:val="35"/>
              </w:numPr>
              <w:spacing w:after="0" w:line="240" w:lineRule="auto"/>
              <w:rPr>
                <w:rFonts w:asciiTheme="majorBidi" w:hAnsiTheme="majorBidi" w:cstheme="majorBidi"/>
                <w:sz w:val="20"/>
                <w:szCs w:val="20"/>
              </w:rPr>
            </w:pPr>
            <w:r>
              <w:rPr>
                <w:rFonts w:asciiTheme="majorBidi" w:hAnsiTheme="majorBidi" w:cstheme="majorBidi"/>
                <w:sz w:val="20"/>
                <w:szCs w:val="20"/>
              </w:rPr>
              <w:t>The inaugurating the Wadi El Hitan Fossil and climate change museum in January 2016 the-first of its kind in the Middle East. Brought more than 100,000 tourists in 2016, supporting income generation for the local community.</w:t>
            </w:r>
          </w:p>
          <w:p w14:paraId="1E57961B" w14:textId="77777777" w:rsidR="000617C3" w:rsidRDefault="000617C3" w:rsidP="000617C3">
            <w:pPr>
              <w:pStyle w:val="ListParagraph"/>
              <w:numPr>
                <w:ilvl w:val="0"/>
                <w:numId w:val="35"/>
              </w:numPr>
              <w:spacing w:after="0" w:line="240" w:lineRule="auto"/>
              <w:rPr>
                <w:rFonts w:asciiTheme="majorBidi" w:hAnsiTheme="majorBidi" w:cstheme="majorBidi"/>
                <w:sz w:val="20"/>
                <w:szCs w:val="20"/>
              </w:rPr>
            </w:pPr>
            <w:r>
              <w:rPr>
                <w:rFonts w:asciiTheme="majorBidi" w:hAnsiTheme="majorBidi" w:cstheme="majorBidi"/>
                <w:sz w:val="20"/>
                <w:szCs w:val="20"/>
              </w:rPr>
              <w:t xml:space="preserve">UNDP help to the Government to complete a National Strategy on Biodiversity 2030.  </w:t>
            </w:r>
          </w:p>
        </w:tc>
      </w:tr>
    </w:tbl>
    <w:p w14:paraId="56376697" w14:textId="77777777" w:rsidR="000617C3" w:rsidRDefault="000617C3" w:rsidP="000617C3">
      <w:pPr>
        <w:rPr>
          <w:rFonts w:asciiTheme="majorBidi" w:hAnsiTheme="majorBidi" w:cstheme="majorBidi"/>
          <w:sz w:val="20"/>
        </w:rPr>
      </w:pPr>
    </w:p>
    <w:p w14:paraId="26679F40" w14:textId="77777777" w:rsidR="004B3911" w:rsidRPr="00AA352B" w:rsidRDefault="004B3911">
      <w:pPr>
        <w:pStyle w:val="BodyText2"/>
        <w:rPr>
          <w:rFonts w:asciiTheme="majorBidi" w:hAnsiTheme="majorBidi" w:cstheme="majorBidi"/>
          <w:sz w:val="22"/>
          <w:szCs w:val="22"/>
        </w:rPr>
      </w:pPr>
    </w:p>
    <w:p w14:paraId="70551F68" w14:textId="77777777" w:rsidR="00E37E7A" w:rsidRDefault="00EA7740" w:rsidP="00E37E7A">
      <w:pPr>
        <w:pStyle w:val="BodyText2"/>
        <w:jc w:val="center"/>
        <w:rPr>
          <w:rFonts w:asciiTheme="majorBidi" w:hAnsiTheme="majorBidi" w:cstheme="majorBidi"/>
          <w:sz w:val="22"/>
          <w:szCs w:val="22"/>
        </w:rPr>
      </w:pPr>
      <w:r w:rsidRPr="00AA352B">
        <w:rPr>
          <w:rFonts w:asciiTheme="majorBidi" w:hAnsiTheme="majorBidi" w:cstheme="majorBidi"/>
          <w:sz w:val="22"/>
          <w:szCs w:val="22"/>
        </w:rPr>
        <w:t xml:space="preserve">III. </w:t>
      </w:r>
      <w:r w:rsidR="00673710" w:rsidRPr="00AA352B">
        <w:rPr>
          <w:rFonts w:asciiTheme="majorBidi" w:hAnsiTheme="majorBidi" w:cstheme="majorBidi"/>
          <w:sz w:val="22"/>
          <w:szCs w:val="22"/>
        </w:rPr>
        <w:t xml:space="preserve">Country Programme </w:t>
      </w:r>
      <w:r w:rsidR="00E37E7A" w:rsidRPr="00AA352B">
        <w:rPr>
          <w:rFonts w:asciiTheme="majorBidi" w:hAnsiTheme="majorBidi" w:cstheme="majorBidi"/>
          <w:sz w:val="22"/>
          <w:szCs w:val="22"/>
        </w:rPr>
        <w:t>Resources</w:t>
      </w:r>
    </w:p>
    <w:p w14:paraId="0CA2CBBA" w14:textId="77777777" w:rsidR="0065187A" w:rsidRDefault="0065187A" w:rsidP="00E37E7A">
      <w:pPr>
        <w:pStyle w:val="BodyText2"/>
        <w:jc w:val="center"/>
        <w:rPr>
          <w:rFonts w:asciiTheme="majorBidi" w:hAnsiTheme="majorBidi" w:cstheme="majorBidi"/>
          <w:sz w:val="22"/>
          <w:szCs w:val="22"/>
        </w:rPr>
      </w:pPr>
    </w:p>
    <w:p w14:paraId="5C6E4442" w14:textId="77777777" w:rsidR="0065187A" w:rsidRDefault="0065187A" w:rsidP="0065187A">
      <w:pPr>
        <w:rPr>
          <w:rFonts w:asciiTheme="majorBidi" w:hAnsiTheme="majorBidi" w:cstheme="majorBidi"/>
          <w:b/>
          <w:bCs/>
          <w:sz w:val="20"/>
        </w:rPr>
      </w:pPr>
      <w:r>
        <w:rPr>
          <w:rFonts w:asciiTheme="majorBidi" w:hAnsiTheme="majorBidi" w:cstheme="majorBidi"/>
          <w:b/>
          <w:bCs/>
          <w:sz w:val="20"/>
        </w:rPr>
        <w:t>CPD financial overview (2013-2017)</w:t>
      </w:r>
    </w:p>
    <w:tbl>
      <w:tblPr>
        <w:tblStyle w:val="TableGrid"/>
        <w:tblW w:w="13950" w:type="dxa"/>
        <w:tblLook w:val="0600" w:firstRow="0" w:lastRow="0" w:firstColumn="0" w:lastColumn="0" w:noHBand="1" w:noVBand="1"/>
      </w:tblPr>
      <w:tblGrid>
        <w:gridCol w:w="2780"/>
        <w:gridCol w:w="1800"/>
        <w:gridCol w:w="1980"/>
        <w:gridCol w:w="1530"/>
        <w:gridCol w:w="5860"/>
      </w:tblGrid>
      <w:tr w:rsidR="005A05D3" w14:paraId="1C0D532C" w14:textId="77777777" w:rsidTr="005A05D3">
        <w:trPr>
          <w:gridAfter w:val="1"/>
          <w:wAfter w:w="5860" w:type="dxa"/>
          <w:trHeight w:val="713"/>
        </w:trPr>
        <w:tc>
          <w:tcPr>
            <w:tcW w:w="2780" w:type="dxa"/>
            <w:vMerge w:val="restart"/>
            <w:tcBorders>
              <w:top w:val="single" w:sz="4" w:space="0" w:color="auto"/>
              <w:left w:val="single" w:sz="4" w:space="0" w:color="auto"/>
              <w:bottom w:val="single" w:sz="4" w:space="0" w:color="auto"/>
              <w:right w:val="single" w:sz="4" w:space="0" w:color="auto"/>
            </w:tcBorders>
            <w:hideMark/>
          </w:tcPr>
          <w:p w14:paraId="0D3D7FD5"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National Priority</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0B5DB86B"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Expected (2013-2017 CPD)</w:t>
            </w:r>
          </w:p>
          <w:p w14:paraId="25789087"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(USD$)</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1D4D529A"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Total Delivery (2013-2017)</w:t>
            </w:r>
          </w:p>
          <w:p w14:paraId="3A66A354"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(USD$)</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0E94AF00"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Deviance</w:t>
            </w:r>
          </w:p>
          <w:p w14:paraId="790A5289"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(USD$)</w:t>
            </w:r>
          </w:p>
        </w:tc>
      </w:tr>
      <w:tr w:rsidR="005A05D3" w14:paraId="1B26BA66" w14:textId="77777777" w:rsidTr="005A05D3">
        <w:trPr>
          <w:gridAfter w:val="1"/>
          <w:wAfter w:w="5860" w:type="dxa"/>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C8D22" w14:textId="77777777" w:rsidR="005A05D3" w:rsidRDefault="005A05D3">
            <w:pPr>
              <w:rPr>
                <w:rFonts w:asciiTheme="majorBidi" w:hAnsiTheme="majorBidi" w:cstheme="majorBidi"/>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F3C80" w14:textId="77777777" w:rsidR="005A05D3" w:rsidRDefault="005A05D3">
            <w:pPr>
              <w:rPr>
                <w:rFonts w:asciiTheme="majorBidi" w:hAnsiTheme="majorBidi" w:cstheme="majorBidi"/>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0CA9A" w14:textId="77777777" w:rsidR="005A05D3" w:rsidRDefault="005A05D3">
            <w:pPr>
              <w:rPr>
                <w:rFonts w:asciiTheme="majorBidi" w:hAnsiTheme="majorBidi" w:cstheme="majorBidi"/>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93016" w14:textId="77777777" w:rsidR="005A05D3" w:rsidRDefault="005A05D3">
            <w:pPr>
              <w:rPr>
                <w:rFonts w:asciiTheme="majorBidi" w:hAnsiTheme="majorBidi" w:cstheme="majorBidi"/>
                <w:b/>
                <w:bCs/>
                <w:sz w:val="20"/>
              </w:rPr>
            </w:pPr>
          </w:p>
        </w:tc>
      </w:tr>
      <w:tr w:rsidR="005A05D3" w14:paraId="44D2A18A" w14:textId="77777777" w:rsidTr="005A05D3">
        <w:trPr>
          <w:gridAfter w:val="1"/>
          <w:wAfter w:w="5860" w:type="dxa"/>
          <w:trHeight w:val="997"/>
        </w:trPr>
        <w:tc>
          <w:tcPr>
            <w:tcW w:w="2780" w:type="dxa"/>
            <w:tcBorders>
              <w:top w:val="single" w:sz="4" w:space="0" w:color="auto"/>
              <w:left w:val="single" w:sz="4" w:space="0" w:color="auto"/>
              <w:bottom w:val="single" w:sz="4" w:space="0" w:color="auto"/>
              <w:right w:val="single" w:sz="4" w:space="0" w:color="auto"/>
            </w:tcBorders>
            <w:hideMark/>
          </w:tcPr>
          <w:p w14:paraId="37C99EF1" w14:textId="77777777" w:rsidR="005A05D3" w:rsidRDefault="005A05D3">
            <w:pPr>
              <w:rPr>
                <w:rFonts w:asciiTheme="majorBidi" w:hAnsiTheme="majorBidi" w:cstheme="majorBidi"/>
                <w:b/>
                <w:bCs/>
                <w:sz w:val="20"/>
              </w:rPr>
            </w:pPr>
            <w:r>
              <w:rPr>
                <w:rFonts w:asciiTheme="majorBidi" w:hAnsiTheme="majorBidi" w:cstheme="majorBidi"/>
                <w:b/>
                <w:bCs/>
                <w:sz w:val="20"/>
              </w:rPr>
              <w:t xml:space="preserve">National Priority 1: Poverty Reduction </w:t>
            </w:r>
          </w:p>
        </w:tc>
        <w:tc>
          <w:tcPr>
            <w:tcW w:w="1800" w:type="dxa"/>
            <w:tcBorders>
              <w:top w:val="single" w:sz="4" w:space="0" w:color="auto"/>
              <w:left w:val="single" w:sz="4" w:space="0" w:color="auto"/>
              <w:bottom w:val="single" w:sz="4" w:space="0" w:color="auto"/>
              <w:right w:val="single" w:sz="4" w:space="0" w:color="auto"/>
            </w:tcBorders>
            <w:hideMark/>
          </w:tcPr>
          <w:p w14:paraId="4CE34CC1"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151,567,059</w:t>
            </w:r>
          </w:p>
        </w:tc>
        <w:tc>
          <w:tcPr>
            <w:tcW w:w="1980" w:type="dxa"/>
            <w:tcBorders>
              <w:top w:val="single" w:sz="4" w:space="0" w:color="auto"/>
              <w:left w:val="single" w:sz="4" w:space="0" w:color="auto"/>
              <w:bottom w:val="single" w:sz="4" w:space="0" w:color="auto"/>
              <w:right w:val="single" w:sz="4" w:space="0" w:color="auto"/>
            </w:tcBorders>
            <w:hideMark/>
          </w:tcPr>
          <w:p w14:paraId="470473B6"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227,498,920</w:t>
            </w:r>
          </w:p>
        </w:tc>
        <w:tc>
          <w:tcPr>
            <w:tcW w:w="1530" w:type="dxa"/>
            <w:tcBorders>
              <w:top w:val="single" w:sz="4" w:space="0" w:color="auto"/>
              <w:left w:val="single" w:sz="4" w:space="0" w:color="auto"/>
              <w:bottom w:val="single" w:sz="4" w:space="0" w:color="auto"/>
              <w:right w:val="single" w:sz="4" w:space="0" w:color="auto"/>
            </w:tcBorders>
            <w:hideMark/>
          </w:tcPr>
          <w:p w14:paraId="10D7E0AA"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75,931,861</w:t>
            </w:r>
          </w:p>
        </w:tc>
      </w:tr>
      <w:tr w:rsidR="005A05D3" w14:paraId="13099933" w14:textId="77777777" w:rsidTr="005A05D3">
        <w:trPr>
          <w:gridAfter w:val="1"/>
          <w:wAfter w:w="5860" w:type="dxa"/>
          <w:trHeight w:val="931"/>
        </w:trPr>
        <w:tc>
          <w:tcPr>
            <w:tcW w:w="2780" w:type="dxa"/>
            <w:tcBorders>
              <w:top w:val="single" w:sz="4" w:space="0" w:color="auto"/>
              <w:left w:val="single" w:sz="4" w:space="0" w:color="auto"/>
              <w:bottom w:val="single" w:sz="4" w:space="0" w:color="auto"/>
              <w:right w:val="single" w:sz="4" w:space="0" w:color="auto"/>
            </w:tcBorders>
            <w:hideMark/>
          </w:tcPr>
          <w:p w14:paraId="5F8C056B" w14:textId="77777777" w:rsidR="005A05D3" w:rsidRDefault="005A05D3">
            <w:pPr>
              <w:rPr>
                <w:rFonts w:asciiTheme="majorBidi" w:hAnsiTheme="majorBidi" w:cstheme="majorBidi"/>
                <w:b/>
                <w:bCs/>
                <w:sz w:val="20"/>
              </w:rPr>
            </w:pPr>
            <w:r>
              <w:rPr>
                <w:rFonts w:asciiTheme="majorBidi" w:hAnsiTheme="majorBidi" w:cstheme="majorBidi"/>
                <w:b/>
                <w:bCs/>
                <w:sz w:val="20"/>
              </w:rPr>
              <w:lastRenderedPageBreak/>
              <w:t xml:space="preserve">National Priority 2:    Governance </w:t>
            </w:r>
          </w:p>
        </w:tc>
        <w:tc>
          <w:tcPr>
            <w:tcW w:w="1800" w:type="dxa"/>
            <w:tcBorders>
              <w:top w:val="single" w:sz="4" w:space="0" w:color="auto"/>
              <w:left w:val="single" w:sz="4" w:space="0" w:color="auto"/>
              <w:bottom w:val="single" w:sz="4" w:space="0" w:color="auto"/>
              <w:right w:val="single" w:sz="4" w:space="0" w:color="auto"/>
            </w:tcBorders>
            <w:hideMark/>
          </w:tcPr>
          <w:p w14:paraId="19B8D55B"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69,073,000</w:t>
            </w:r>
          </w:p>
        </w:tc>
        <w:tc>
          <w:tcPr>
            <w:tcW w:w="1980" w:type="dxa"/>
            <w:tcBorders>
              <w:top w:val="single" w:sz="4" w:space="0" w:color="auto"/>
              <w:left w:val="single" w:sz="4" w:space="0" w:color="auto"/>
              <w:bottom w:val="single" w:sz="4" w:space="0" w:color="auto"/>
              <w:right w:val="single" w:sz="4" w:space="0" w:color="auto"/>
            </w:tcBorders>
            <w:hideMark/>
          </w:tcPr>
          <w:p w14:paraId="62DDC4B8"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58,164,103</w:t>
            </w:r>
          </w:p>
        </w:tc>
        <w:tc>
          <w:tcPr>
            <w:tcW w:w="1530" w:type="dxa"/>
            <w:tcBorders>
              <w:top w:val="single" w:sz="4" w:space="0" w:color="auto"/>
              <w:left w:val="single" w:sz="4" w:space="0" w:color="auto"/>
              <w:bottom w:val="single" w:sz="4" w:space="0" w:color="auto"/>
              <w:right w:val="single" w:sz="4" w:space="0" w:color="auto"/>
            </w:tcBorders>
            <w:hideMark/>
          </w:tcPr>
          <w:p w14:paraId="70D0BDAD"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(10,908,897)</w:t>
            </w:r>
          </w:p>
        </w:tc>
      </w:tr>
      <w:tr w:rsidR="005A05D3" w14:paraId="38AB3CA1" w14:textId="77777777" w:rsidTr="005A05D3">
        <w:trPr>
          <w:gridAfter w:val="1"/>
          <w:wAfter w:w="5860" w:type="dxa"/>
          <w:trHeight w:val="948"/>
        </w:trPr>
        <w:tc>
          <w:tcPr>
            <w:tcW w:w="2780" w:type="dxa"/>
            <w:tcBorders>
              <w:top w:val="single" w:sz="4" w:space="0" w:color="auto"/>
              <w:left w:val="single" w:sz="4" w:space="0" w:color="auto"/>
              <w:bottom w:val="single" w:sz="4" w:space="0" w:color="auto"/>
              <w:right w:val="single" w:sz="4" w:space="0" w:color="auto"/>
            </w:tcBorders>
            <w:hideMark/>
          </w:tcPr>
          <w:p w14:paraId="7246FD09" w14:textId="77777777" w:rsidR="005A05D3" w:rsidRDefault="005A05D3">
            <w:pPr>
              <w:rPr>
                <w:rFonts w:asciiTheme="majorBidi" w:hAnsiTheme="majorBidi" w:cstheme="majorBidi"/>
                <w:b/>
                <w:bCs/>
                <w:sz w:val="20"/>
              </w:rPr>
            </w:pPr>
            <w:r>
              <w:rPr>
                <w:rFonts w:asciiTheme="majorBidi" w:hAnsiTheme="majorBidi" w:cstheme="majorBidi"/>
                <w:b/>
                <w:bCs/>
                <w:sz w:val="20"/>
              </w:rPr>
              <w:t xml:space="preserve">National Priority 3: Environment </w:t>
            </w:r>
          </w:p>
        </w:tc>
        <w:tc>
          <w:tcPr>
            <w:tcW w:w="1800" w:type="dxa"/>
            <w:tcBorders>
              <w:top w:val="single" w:sz="4" w:space="0" w:color="auto"/>
              <w:left w:val="single" w:sz="4" w:space="0" w:color="auto"/>
              <w:bottom w:val="single" w:sz="4" w:space="0" w:color="auto"/>
              <w:right w:val="single" w:sz="4" w:space="0" w:color="auto"/>
            </w:tcBorders>
            <w:hideMark/>
          </w:tcPr>
          <w:p w14:paraId="2866355C"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21,605,941</w:t>
            </w:r>
          </w:p>
        </w:tc>
        <w:tc>
          <w:tcPr>
            <w:tcW w:w="1980" w:type="dxa"/>
            <w:tcBorders>
              <w:top w:val="single" w:sz="4" w:space="0" w:color="auto"/>
              <w:left w:val="single" w:sz="4" w:space="0" w:color="auto"/>
              <w:bottom w:val="single" w:sz="4" w:space="0" w:color="auto"/>
              <w:right w:val="single" w:sz="4" w:space="0" w:color="auto"/>
            </w:tcBorders>
            <w:hideMark/>
          </w:tcPr>
          <w:p w14:paraId="7419E442"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38,356,794</w:t>
            </w:r>
          </w:p>
        </w:tc>
        <w:tc>
          <w:tcPr>
            <w:tcW w:w="1530" w:type="dxa"/>
            <w:tcBorders>
              <w:top w:val="single" w:sz="4" w:space="0" w:color="auto"/>
              <w:left w:val="single" w:sz="4" w:space="0" w:color="auto"/>
              <w:bottom w:val="single" w:sz="4" w:space="0" w:color="auto"/>
              <w:right w:val="single" w:sz="4" w:space="0" w:color="auto"/>
            </w:tcBorders>
            <w:hideMark/>
          </w:tcPr>
          <w:p w14:paraId="2056B004"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16,750,853</w:t>
            </w:r>
          </w:p>
        </w:tc>
      </w:tr>
      <w:tr w:rsidR="005A05D3" w14:paraId="4ACD19B7" w14:textId="77777777" w:rsidTr="005A05D3">
        <w:trPr>
          <w:gridAfter w:val="1"/>
          <w:wAfter w:w="5860" w:type="dxa"/>
          <w:trHeight w:val="1223"/>
        </w:trPr>
        <w:tc>
          <w:tcPr>
            <w:tcW w:w="2780" w:type="dxa"/>
            <w:tcBorders>
              <w:top w:val="single" w:sz="4" w:space="0" w:color="auto"/>
              <w:left w:val="single" w:sz="4" w:space="0" w:color="auto"/>
              <w:bottom w:val="single" w:sz="4" w:space="0" w:color="auto"/>
              <w:right w:val="single" w:sz="4" w:space="0" w:color="auto"/>
            </w:tcBorders>
            <w:hideMark/>
          </w:tcPr>
          <w:p w14:paraId="1C41C8A7" w14:textId="77777777" w:rsidR="005A05D3" w:rsidRDefault="005A05D3">
            <w:pPr>
              <w:rPr>
                <w:rFonts w:asciiTheme="majorBidi" w:hAnsiTheme="majorBidi" w:cstheme="majorBidi"/>
                <w:b/>
                <w:bCs/>
                <w:sz w:val="20"/>
              </w:rPr>
            </w:pPr>
            <w:r>
              <w:rPr>
                <w:rFonts w:asciiTheme="majorBidi" w:hAnsiTheme="majorBidi" w:cstheme="majorBidi"/>
                <w:b/>
                <w:bCs/>
                <w:sz w:val="20"/>
              </w:rPr>
              <w:t>Total</w:t>
            </w:r>
          </w:p>
        </w:tc>
        <w:tc>
          <w:tcPr>
            <w:tcW w:w="1800" w:type="dxa"/>
            <w:tcBorders>
              <w:top w:val="single" w:sz="4" w:space="0" w:color="auto"/>
              <w:left w:val="single" w:sz="4" w:space="0" w:color="auto"/>
              <w:bottom w:val="single" w:sz="4" w:space="0" w:color="auto"/>
              <w:right w:val="single" w:sz="4" w:space="0" w:color="auto"/>
            </w:tcBorders>
            <w:hideMark/>
          </w:tcPr>
          <w:p w14:paraId="22BB722E"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242,246,000</w:t>
            </w:r>
          </w:p>
        </w:tc>
        <w:tc>
          <w:tcPr>
            <w:tcW w:w="1980" w:type="dxa"/>
            <w:tcBorders>
              <w:top w:val="single" w:sz="4" w:space="0" w:color="auto"/>
              <w:left w:val="single" w:sz="4" w:space="0" w:color="auto"/>
              <w:bottom w:val="single" w:sz="4" w:space="0" w:color="auto"/>
              <w:right w:val="single" w:sz="4" w:space="0" w:color="auto"/>
            </w:tcBorders>
            <w:hideMark/>
          </w:tcPr>
          <w:p w14:paraId="0C181B71"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324,019,817</w:t>
            </w:r>
          </w:p>
        </w:tc>
        <w:tc>
          <w:tcPr>
            <w:tcW w:w="1530" w:type="dxa"/>
            <w:tcBorders>
              <w:top w:val="single" w:sz="4" w:space="0" w:color="auto"/>
              <w:left w:val="single" w:sz="4" w:space="0" w:color="auto"/>
              <w:bottom w:val="single" w:sz="4" w:space="0" w:color="auto"/>
              <w:right w:val="single" w:sz="4" w:space="0" w:color="auto"/>
            </w:tcBorders>
            <w:hideMark/>
          </w:tcPr>
          <w:p w14:paraId="13E17188" w14:textId="77777777" w:rsidR="005A05D3" w:rsidRDefault="005A05D3">
            <w:pPr>
              <w:jc w:val="center"/>
              <w:rPr>
                <w:rFonts w:asciiTheme="majorBidi" w:hAnsiTheme="majorBidi" w:cstheme="majorBidi"/>
                <w:b/>
                <w:bCs/>
                <w:sz w:val="20"/>
              </w:rPr>
            </w:pPr>
            <w:r>
              <w:rPr>
                <w:rFonts w:asciiTheme="majorBidi" w:hAnsiTheme="majorBidi" w:cstheme="majorBidi"/>
                <w:b/>
                <w:bCs/>
                <w:sz w:val="20"/>
              </w:rPr>
              <w:t>81,773,817</w:t>
            </w:r>
          </w:p>
        </w:tc>
      </w:tr>
      <w:tr w:rsidR="005A05D3" w:rsidRPr="00AA352B" w14:paraId="408AEB3D" w14:textId="77777777" w:rsidTr="005A05D3">
        <w:tblPrEx>
          <w:tblLook w:val="04A0" w:firstRow="1" w:lastRow="0" w:firstColumn="1" w:lastColumn="0" w:noHBand="0" w:noVBand="1"/>
        </w:tblPrEx>
        <w:tc>
          <w:tcPr>
            <w:tcW w:w="13950" w:type="dxa"/>
            <w:gridSpan w:val="5"/>
          </w:tcPr>
          <w:p w14:paraId="39605ADF" w14:textId="77777777" w:rsidR="005A05D3" w:rsidRPr="00AA352B" w:rsidRDefault="005A05D3" w:rsidP="00440870">
            <w:pPr>
              <w:pStyle w:val="BodyText2"/>
              <w:rPr>
                <w:rFonts w:asciiTheme="majorBidi" w:hAnsiTheme="majorBidi" w:cstheme="majorBidi"/>
                <w:b/>
                <w:sz w:val="22"/>
                <w:szCs w:val="22"/>
              </w:rPr>
            </w:pPr>
            <w:r w:rsidRPr="00AA352B">
              <w:rPr>
                <w:rFonts w:asciiTheme="majorBidi" w:hAnsiTheme="majorBidi" w:cstheme="majorBidi"/>
                <w:b/>
                <w:sz w:val="22"/>
                <w:szCs w:val="22"/>
              </w:rPr>
              <w:t xml:space="preserve">Data sources:  (please indicate the main sources from which data were obtained for this report.) </w:t>
            </w:r>
          </w:p>
        </w:tc>
      </w:tr>
      <w:tr w:rsidR="005A05D3" w:rsidRPr="00AA352B" w14:paraId="778C1253" w14:textId="77777777" w:rsidTr="005A05D3">
        <w:tblPrEx>
          <w:tblLook w:val="04A0" w:firstRow="1" w:lastRow="0" w:firstColumn="1" w:lastColumn="0" w:noHBand="0" w:noVBand="1"/>
        </w:tblPrEx>
        <w:trPr>
          <w:trHeight w:val="557"/>
        </w:trPr>
        <w:tc>
          <w:tcPr>
            <w:tcW w:w="13950" w:type="dxa"/>
            <w:gridSpan w:val="5"/>
          </w:tcPr>
          <w:p w14:paraId="2C6F4EEA" w14:textId="77777777" w:rsidR="005A05D3" w:rsidRDefault="005A05D3" w:rsidP="00440870">
            <w:pPr>
              <w:pStyle w:val="BodyText2"/>
              <w:rPr>
                <w:rFonts w:asciiTheme="majorBidi" w:hAnsiTheme="majorBidi" w:cstheme="majorBidi"/>
                <w:bCs/>
                <w:sz w:val="22"/>
                <w:szCs w:val="22"/>
              </w:rPr>
            </w:pPr>
            <w:r w:rsidRPr="0065187A">
              <w:rPr>
                <w:rFonts w:asciiTheme="majorBidi" w:hAnsiTheme="majorBidi" w:cstheme="majorBidi"/>
                <w:bCs/>
                <w:sz w:val="22"/>
                <w:szCs w:val="22"/>
              </w:rPr>
              <w:t>Evaluation reports, project progress reports, national data sources (Ministries and national official reports)</w:t>
            </w:r>
            <w:r>
              <w:rPr>
                <w:rFonts w:asciiTheme="majorBidi" w:hAnsiTheme="majorBidi" w:cstheme="majorBidi"/>
                <w:bCs/>
                <w:sz w:val="22"/>
                <w:szCs w:val="22"/>
              </w:rPr>
              <w:t>.</w:t>
            </w:r>
          </w:p>
          <w:p w14:paraId="453332FC" w14:textId="77777777" w:rsidR="005A05D3" w:rsidRPr="0065187A" w:rsidRDefault="005A05D3" w:rsidP="00440870">
            <w:pPr>
              <w:pStyle w:val="BodyText2"/>
              <w:rPr>
                <w:rFonts w:asciiTheme="majorBidi" w:hAnsiTheme="majorBidi" w:cstheme="majorBidi"/>
                <w:bCs/>
                <w:sz w:val="22"/>
                <w:szCs w:val="22"/>
              </w:rPr>
            </w:pPr>
            <w:r>
              <w:rPr>
                <w:rFonts w:asciiTheme="majorBidi" w:hAnsiTheme="majorBidi" w:cstheme="majorBidi"/>
                <w:bCs/>
                <w:sz w:val="22"/>
                <w:szCs w:val="22"/>
              </w:rPr>
              <w:t>UNDP ATLAS and monitoring systems.</w:t>
            </w:r>
          </w:p>
          <w:p w14:paraId="5837CE6E" w14:textId="77777777" w:rsidR="005A05D3" w:rsidRPr="00AA352B" w:rsidRDefault="005A05D3" w:rsidP="00440870">
            <w:pPr>
              <w:pStyle w:val="BodyText2"/>
              <w:rPr>
                <w:rFonts w:asciiTheme="majorBidi" w:hAnsiTheme="majorBidi" w:cstheme="majorBidi"/>
                <w:b/>
                <w:sz w:val="22"/>
                <w:szCs w:val="22"/>
              </w:rPr>
            </w:pPr>
          </w:p>
          <w:p w14:paraId="6FF7267A" w14:textId="77777777" w:rsidR="005A05D3" w:rsidRPr="00AA352B" w:rsidRDefault="005A05D3" w:rsidP="00440870">
            <w:pPr>
              <w:pStyle w:val="BodyText2"/>
              <w:rPr>
                <w:rFonts w:asciiTheme="majorBidi" w:hAnsiTheme="majorBidi" w:cstheme="majorBidi"/>
                <w:b/>
                <w:sz w:val="22"/>
                <w:szCs w:val="22"/>
              </w:rPr>
            </w:pPr>
          </w:p>
        </w:tc>
      </w:tr>
    </w:tbl>
    <w:p w14:paraId="53A7EBAB" w14:textId="77777777" w:rsidR="0065187A" w:rsidRPr="00AA352B" w:rsidRDefault="0065187A" w:rsidP="00E37E7A">
      <w:pPr>
        <w:pStyle w:val="BodyText2"/>
        <w:jc w:val="center"/>
        <w:rPr>
          <w:rFonts w:asciiTheme="majorBidi" w:hAnsiTheme="majorBidi" w:cstheme="majorBidi"/>
          <w:sz w:val="22"/>
          <w:szCs w:val="22"/>
        </w:rPr>
      </w:pPr>
    </w:p>
    <w:p w14:paraId="6C08E027" w14:textId="77777777" w:rsidR="00635929" w:rsidRPr="00AA352B" w:rsidRDefault="00635929" w:rsidP="002315A5">
      <w:pPr>
        <w:pStyle w:val="BodyText2"/>
        <w:rPr>
          <w:rFonts w:asciiTheme="majorBidi" w:hAnsiTheme="majorBidi" w:cstheme="majorBidi"/>
          <w:sz w:val="22"/>
          <w:szCs w:val="22"/>
        </w:rPr>
      </w:pPr>
    </w:p>
    <w:p w14:paraId="2B8C1AA0" w14:textId="77777777" w:rsidR="00635929" w:rsidRPr="00AA352B" w:rsidRDefault="00635929" w:rsidP="005E0C05">
      <w:pPr>
        <w:pStyle w:val="BodyText2"/>
        <w:rPr>
          <w:rFonts w:asciiTheme="majorBidi" w:hAnsiTheme="majorBidi" w:cstheme="majorBidi"/>
          <w:sz w:val="22"/>
          <w:szCs w:val="22"/>
        </w:rPr>
      </w:pPr>
    </w:p>
    <w:sectPr w:rsidR="00635929" w:rsidRPr="00AA352B"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DCCE" w14:textId="77777777" w:rsidR="00922730" w:rsidRDefault="00922730">
      <w:r>
        <w:separator/>
      </w:r>
    </w:p>
  </w:endnote>
  <w:endnote w:type="continuationSeparator" w:id="0">
    <w:p w14:paraId="39138C84" w14:textId="77777777" w:rsidR="00922730" w:rsidRDefault="0092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07"/>
      <w:docPartObj>
        <w:docPartGallery w:val="Page Numbers (Bottom of Page)"/>
        <w:docPartUnique/>
      </w:docPartObj>
    </w:sdtPr>
    <w:sdtEndPr/>
    <w:sdtContent>
      <w:p w14:paraId="17EABA78" w14:textId="236736F1" w:rsidR="00A210CD" w:rsidRDefault="00031266">
        <w:pPr>
          <w:pStyle w:val="Footer"/>
          <w:jc w:val="center"/>
        </w:pPr>
        <w:r>
          <w:fldChar w:fldCharType="begin"/>
        </w:r>
        <w:r>
          <w:instrText xml:space="preserve"> PAGE   \* MERGEFORMAT </w:instrText>
        </w:r>
        <w:r>
          <w:fldChar w:fldCharType="separate"/>
        </w:r>
        <w:r w:rsidR="008244EF">
          <w:rPr>
            <w:noProof/>
          </w:rPr>
          <w:t>1</w:t>
        </w:r>
        <w:r>
          <w:rPr>
            <w:noProof/>
          </w:rPr>
          <w:fldChar w:fldCharType="end"/>
        </w:r>
      </w:p>
    </w:sdtContent>
  </w:sdt>
  <w:p w14:paraId="2300518E" w14:textId="77777777" w:rsidR="00A210CD" w:rsidRDefault="00A2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82C0" w14:textId="77777777" w:rsidR="00922730" w:rsidRDefault="00922730">
      <w:r>
        <w:separator/>
      </w:r>
    </w:p>
  </w:footnote>
  <w:footnote w:type="continuationSeparator" w:id="0">
    <w:p w14:paraId="6F63D34F" w14:textId="77777777" w:rsidR="00922730" w:rsidRDefault="00922730">
      <w:r>
        <w:continuationSeparator/>
      </w:r>
    </w:p>
  </w:footnote>
  <w:footnote w:id="1">
    <w:p w14:paraId="076F7D90" w14:textId="77777777" w:rsidR="001F3524" w:rsidRPr="0064746F" w:rsidRDefault="001F3524">
      <w:pPr>
        <w:pStyle w:val="FootnoteText"/>
        <w:rPr>
          <w:rFonts w:asciiTheme="minorHAnsi" w:hAnsiTheme="minorHAnsi"/>
        </w:rPr>
      </w:pPr>
      <w:r w:rsidRPr="0064746F">
        <w:rPr>
          <w:rStyle w:val="FootnoteReference"/>
          <w:rFonts w:asciiTheme="minorHAnsi" w:hAnsiTheme="minorHAnsi"/>
        </w:rPr>
        <w:footnoteRef/>
      </w:r>
      <w:r w:rsidRPr="0064746F">
        <w:rPr>
          <w:rFonts w:asciiTheme="minorHAnsi" w:hAnsiTheme="minorHAnsi"/>
        </w:rPr>
        <w:t xml:space="preserve"> This assessment of results is to be</w:t>
      </w:r>
      <w:r w:rsidR="0064746F" w:rsidRPr="0064746F">
        <w:rPr>
          <w:rFonts w:asciiTheme="minorHAnsi" w:hAnsiTheme="minorHAnsi"/>
        </w:rPr>
        <w:t xml:space="preserve"> prepared</w:t>
      </w:r>
      <w:r w:rsidRPr="0064746F">
        <w:rPr>
          <w:rFonts w:asciiTheme="minorHAnsi" w:hAnsiTheme="minorHAnsi"/>
        </w:rPr>
        <w:t xml:space="preserve"> only in the absence of a completed Assessment of Development Results (ADR) for the cycle.</w:t>
      </w:r>
    </w:p>
  </w:footnote>
  <w:footnote w:id="2">
    <w:p w14:paraId="5B30C192" w14:textId="77777777" w:rsidR="000617C3" w:rsidRDefault="000617C3" w:rsidP="000617C3">
      <w:pPr>
        <w:pStyle w:val="FootnoteText"/>
        <w:rPr>
          <w:rFonts w:asciiTheme="minorHAnsi" w:hAnsiTheme="minorHAnsi" w:cstheme="minorBidi"/>
        </w:rPr>
      </w:pPr>
      <w:r>
        <w:rPr>
          <w:rStyle w:val="FootnoteReference"/>
        </w:rPr>
        <w:footnoteRef/>
      </w:r>
      <w:r>
        <w:t xml:space="preserve"> </w:t>
      </w:r>
      <w:r>
        <w:rPr>
          <w:rFonts w:asciiTheme="majorBidi" w:hAnsiTheme="majorBidi" w:cstheme="majorBidi"/>
          <w:b/>
          <w:bCs/>
          <w:sz w:val="24"/>
          <w:szCs w:val="24"/>
        </w:rPr>
        <w:t>33,518 people calculated from 2014 to 2016, UNDP Corporate Planning System platform.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381C"/>
    <w:multiLevelType w:val="hybridMultilevel"/>
    <w:tmpl w:val="7C007846"/>
    <w:lvl w:ilvl="0" w:tplc="A434DD38">
      <w:start w:val="1"/>
      <w:numFmt w:val="bullet"/>
      <w:lvlText w:val="•"/>
      <w:lvlJc w:val="left"/>
      <w:pPr>
        <w:tabs>
          <w:tab w:val="num" w:pos="720"/>
        </w:tabs>
        <w:ind w:left="720" w:hanging="360"/>
      </w:pPr>
      <w:rPr>
        <w:rFonts w:ascii="Arial" w:hAnsi="Arial" w:hint="default"/>
      </w:rPr>
    </w:lvl>
    <w:lvl w:ilvl="1" w:tplc="52026D5A" w:tentative="1">
      <w:start w:val="1"/>
      <w:numFmt w:val="bullet"/>
      <w:lvlText w:val="•"/>
      <w:lvlJc w:val="left"/>
      <w:pPr>
        <w:tabs>
          <w:tab w:val="num" w:pos="1440"/>
        </w:tabs>
        <w:ind w:left="1440" w:hanging="360"/>
      </w:pPr>
      <w:rPr>
        <w:rFonts w:ascii="Arial" w:hAnsi="Arial" w:hint="default"/>
      </w:rPr>
    </w:lvl>
    <w:lvl w:ilvl="2" w:tplc="8CAE522C" w:tentative="1">
      <w:start w:val="1"/>
      <w:numFmt w:val="bullet"/>
      <w:lvlText w:val="•"/>
      <w:lvlJc w:val="left"/>
      <w:pPr>
        <w:tabs>
          <w:tab w:val="num" w:pos="2160"/>
        </w:tabs>
        <w:ind w:left="2160" w:hanging="360"/>
      </w:pPr>
      <w:rPr>
        <w:rFonts w:ascii="Arial" w:hAnsi="Arial" w:hint="default"/>
      </w:rPr>
    </w:lvl>
    <w:lvl w:ilvl="3" w:tplc="C52833A0" w:tentative="1">
      <w:start w:val="1"/>
      <w:numFmt w:val="bullet"/>
      <w:lvlText w:val="•"/>
      <w:lvlJc w:val="left"/>
      <w:pPr>
        <w:tabs>
          <w:tab w:val="num" w:pos="2880"/>
        </w:tabs>
        <w:ind w:left="2880" w:hanging="360"/>
      </w:pPr>
      <w:rPr>
        <w:rFonts w:ascii="Arial" w:hAnsi="Arial" w:hint="default"/>
      </w:rPr>
    </w:lvl>
    <w:lvl w:ilvl="4" w:tplc="03AC552E" w:tentative="1">
      <w:start w:val="1"/>
      <w:numFmt w:val="bullet"/>
      <w:lvlText w:val="•"/>
      <w:lvlJc w:val="left"/>
      <w:pPr>
        <w:tabs>
          <w:tab w:val="num" w:pos="3600"/>
        </w:tabs>
        <w:ind w:left="3600" w:hanging="360"/>
      </w:pPr>
      <w:rPr>
        <w:rFonts w:ascii="Arial" w:hAnsi="Arial" w:hint="default"/>
      </w:rPr>
    </w:lvl>
    <w:lvl w:ilvl="5" w:tplc="53E29556" w:tentative="1">
      <w:start w:val="1"/>
      <w:numFmt w:val="bullet"/>
      <w:lvlText w:val="•"/>
      <w:lvlJc w:val="left"/>
      <w:pPr>
        <w:tabs>
          <w:tab w:val="num" w:pos="4320"/>
        </w:tabs>
        <w:ind w:left="4320" w:hanging="360"/>
      </w:pPr>
      <w:rPr>
        <w:rFonts w:ascii="Arial" w:hAnsi="Arial" w:hint="default"/>
      </w:rPr>
    </w:lvl>
    <w:lvl w:ilvl="6" w:tplc="92F09256" w:tentative="1">
      <w:start w:val="1"/>
      <w:numFmt w:val="bullet"/>
      <w:lvlText w:val="•"/>
      <w:lvlJc w:val="left"/>
      <w:pPr>
        <w:tabs>
          <w:tab w:val="num" w:pos="5040"/>
        </w:tabs>
        <w:ind w:left="5040" w:hanging="360"/>
      </w:pPr>
      <w:rPr>
        <w:rFonts w:ascii="Arial" w:hAnsi="Arial" w:hint="default"/>
      </w:rPr>
    </w:lvl>
    <w:lvl w:ilvl="7" w:tplc="855ED956" w:tentative="1">
      <w:start w:val="1"/>
      <w:numFmt w:val="bullet"/>
      <w:lvlText w:val="•"/>
      <w:lvlJc w:val="left"/>
      <w:pPr>
        <w:tabs>
          <w:tab w:val="num" w:pos="5760"/>
        </w:tabs>
        <w:ind w:left="5760" w:hanging="360"/>
      </w:pPr>
      <w:rPr>
        <w:rFonts w:ascii="Arial" w:hAnsi="Arial" w:hint="default"/>
      </w:rPr>
    </w:lvl>
    <w:lvl w:ilvl="8" w:tplc="5D6A4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461C3"/>
    <w:multiLevelType w:val="hybridMultilevel"/>
    <w:tmpl w:val="9D08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E76C8"/>
    <w:multiLevelType w:val="hybridMultilevel"/>
    <w:tmpl w:val="5A642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732CA8"/>
    <w:multiLevelType w:val="hybridMultilevel"/>
    <w:tmpl w:val="CFA8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004B7A"/>
    <w:multiLevelType w:val="hybridMultilevel"/>
    <w:tmpl w:val="A23ECF1E"/>
    <w:lvl w:ilvl="0" w:tplc="370AF548">
      <w:start w:val="1"/>
      <w:numFmt w:val="bullet"/>
      <w:lvlText w:val="•"/>
      <w:lvlJc w:val="left"/>
      <w:pPr>
        <w:tabs>
          <w:tab w:val="num" w:pos="720"/>
        </w:tabs>
        <w:ind w:left="720" w:hanging="360"/>
      </w:pPr>
      <w:rPr>
        <w:rFonts w:ascii="Arial" w:hAnsi="Arial" w:hint="default"/>
      </w:rPr>
    </w:lvl>
    <w:lvl w:ilvl="1" w:tplc="81D8BB64" w:tentative="1">
      <w:start w:val="1"/>
      <w:numFmt w:val="bullet"/>
      <w:lvlText w:val="•"/>
      <w:lvlJc w:val="left"/>
      <w:pPr>
        <w:tabs>
          <w:tab w:val="num" w:pos="1440"/>
        </w:tabs>
        <w:ind w:left="1440" w:hanging="360"/>
      </w:pPr>
      <w:rPr>
        <w:rFonts w:ascii="Arial" w:hAnsi="Arial" w:hint="default"/>
      </w:rPr>
    </w:lvl>
    <w:lvl w:ilvl="2" w:tplc="71A406EA" w:tentative="1">
      <w:start w:val="1"/>
      <w:numFmt w:val="bullet"/>
      <w:lvlText w:val="•"/>
      <w:lvlJc w:val="left"/>
      <w:pPr>
        <w:tabs>
          <w:tab w:val="num" w:pos="2160"/>
        </w:tabs>
        <w:ind w:left="2160" w:hanging="360"/>
      </w:pPr>
      <w:rPr>
        <w:rFonts w:ascii="Arial" w:hAnsi="Arial" w:hint="default"/>
      </w:rPr>
    </w:lvl>
    <w:lvl w:ilvl="3" w:tplc="7D767E4A" w:tentative="1">
      <w:start w:val="1"/>
      <w:numFmt w:val="bullet"/>
      <w:lvlText w:val="•"/>
      <w:lvlJc w:val="left"/>
      <w:pPr>
        <w:tabs>
          <w:tab w:val="num" w:pos="2880"/>
        </w:tabs>
        <w:ind w:left="2880" w:hanging="360"/>
      </w:pPr>
      <w:rPr>
        <w:rFonts w:ascii="Arial" w:hAnsi="Arial" w:hint="default"/>
      </w:rPr>
    </w:lvl>
    <w:lvl w:ilvl="4" w:tplc="3E16370E" w:tentative="1">
      <w:start w:val="1"/>
      <w:numFmt w:val="bullet"/>
      <w:lvlText w:val="•"/>
      <w:lvlJc w:val="left"/>
      <w:pPr>
        <w:tabs>
          <w:tab w:val="num" w:pos="3600"/>
        </w:tabs>
        <w:ind w:left="3600" w:hanging="360"/>
      </w:pPr>
      <w:rPr>
        <w:rFonts w:ascii="Arial" w:hAnsi="Arial" w:hint="default"/>
      </w:rPr>
    </w:lvl>
    <w:lvl w:ilvl="5" w:tplc="9FBEAA26" w:tentative="1">
      <w:start w:val="1"/>
      <w:numFmt w:val="bullet"/>
      <w:lvlText w:val="•"/>
      <w:lvlJc w:val="left"/>
      <w:pPr>
        <w:tabs>
          <w:tab w:val="num" w:pos="4320"/>
        </w:tabs>
        <w:ind w:left="4320" w:hanging="360"/>
      </w:pPr>
      <w:rPr>
        <w:rFonts w:ascii="Arial" w:hAnsi="Arial" w:hint="default"/>
      </w:rPr>
    </w:lvl>
    <w:lvl w:ilvl="6" w:tplc="24DEB3E8" w:tentative="1">
      <w:start w:val="1"/>
      <w:numFmt w:val="bullet"/>
      <w:lvlText w:val="•"/>
      <w:lvlJc w:val="left"/>
      <w:pPr>
        <w:tabs>
          <w:tab w:val="num" w:pos="5040"/>
        </w:tabs>
        <w:ind w:left="5040" w:hanging="360"/>
      </w:pPr>
      <w:rPr>
        <w:rFonts w:ascii="Arial" w:hAnsi="Arial" w:hint="default"/>
      </w:rPr>
    </w:lvl>
    <w:lvl w:ilvl="7" w:tplc="37FAF88A" w:tentative="1">
      <w:start w:val="1"/>
      <w:numFmt w:val="bullet"/>
      <w:lvlText w:val="•"/>
      <w:lvlJc w:val="left"/>
      <w:pPr>
        <w:tabs>
          <w:tab w:val="num" w:pos="5760"/>
        </w:tabs>
        <w:ind w:left="5760" w:hanging="360"/>
      </w:pPr>
      <w:rPr>
        <w:rFonts w:ascii="Arial" w:hAnsi="Arial" w:hint="default"/>
      </w:rPr>
    </w:lvl>
    <w:lvl w:ilvl="8" w:tplc="7C44E1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F1A03"/>
    <w:multiLevelType w:val="hybridMultilevel"/>
    <w:tmpl w:val="18108670"/>
    <w:lvl w:ilvl="0" w:tplc="06AAF71E">
      <w:start w:val="1"/>
      <w:numFmt w:val="bullet"/>
      <w:lvlText w:val="•"/>
      <w:lvlJc w:val="left"/>
      <w:pPr>
        <w:tabs>
          <w:tab w:val="num" w:pos="720"/>
        </w:tabs>
        <w:ind w:left="720" w:hanging="360"/>
      </w:pPr>
      <w:rPr>
        <w:rFonts w:ascii="Arial" w:hAnsi="Arial" w:hint="default"/>
      </w:rPr>
    </w:lvl>
    <w:lvl w:ilvl="1" w:tplc="E86627F0" w:tentative="1">
      <w:start w:val="1"/>
      <w:numFmt w:val="bullet"/>
      <w:lvlText w:val="•"/>
      <w:lvlJc w:val="left"/>
      <w:pPr>
        <w:tabs>
          <w:tab w:val="num" w:pos="1440"/>
        </w:tabs>
        <w:ind w:left="1440" w:hanging="360"/>
      </w:pPr>
      <w:rPr>
        <w:rFonts w:ascii="Arial" w:hAnsi="Arial" w:hint="default"/>
      </w:rPr>
    </w:lvl>
    <w:lvl w:ilvl="2" w:tplc="72245D86" w:tentative="1">
      <w:start w:val="1"/>
      <w:numFmt w:val="bullet"/>
      <w:lvlText w:val="•"/>
      <w:lvlJc w:val="left"/>
      <w:pPr>
        <w:tabs>
          <w:tab w:val="num" w:pos="2160"/>
        </w:tabs>
        <w:ind w:left="2160" w:hanging="360"/>
      </w:pPr>
      <w:rPr>
        <w:rFonts w:ascii="Arial" w:hAnsi="Arial" w:hint="default"/>
      </w:rPr>
    </w:lvl>
    <w:lvl w:ilvl="3" w:tplc="3E8281DC" w:tentative="1">
      <w:start w:val="1"/>
      <w:numFmt w:val="bullet"/>
      <w:lvlText w:val="•"/>
      <w:lvlJc w:val="left"/>
      <w:pPr>
        <w:tabs>
          <w:tab w:val="num" w:pos="2880"/>
        </w:tabs>
        <w:ind w:left="2880" w:hanging="360"/>
      </w:pPr>
      <w:rPr>
        <w:rFonts w:ascii="Arial" w:hAnsi="Arial" w:hint="default"/>
      </w:rPr>
    </w:lvl>
    <w:lvl w:ilvl="4" w:tplc="7BA015A8" w:tentative="1">
      <w:start w:val="1"/>
      <w:numFmt w:val="bullet"/>
      <w:lvlText w:val="•"/>
      <w:lvlJc w:val="left"/>
      <w:pPr>
        <w:tabs>
          <w:tab w:val="num" w:pos="3600"/>
        </w:tabs>
        <w:ind w:left="3600" w:hanging="360"/>
      </w:pPr>
      <w:rPr>
        <w:rFonts w:ascii="Arial" w:hAnsi="Arial" w:hint="default"/>
      </w:rPr>
    </w:lvl>
    <w:lvl w:ilvl="5" w:tplc="205CB9DE" w:tentative="1">
      <w:start w:val="1"/>
      <w:numFmt w:val="bullet"/>
      <w:lvlText w:val="•"/>
      <w:lvlJc w:val="left"/>
      <w:pPr>
        <w:tabs>
          <w:tab w:val="num" w:pos="4320"/>
        </w:tabs>
        <w:ind w:left="4320" w:hanging="360"/>
      </w:pPr>
      <w:rPr>
        <w:rFonts w:ascii="Arial" w:hAnsi="Arial" w:hint="default"/>
      </w:rPr>
    </w:lvl>
    <w:lvl w:ilvl="6" w:tplc="22C0A9D2" w:tentative="1">
      <w:start w:val="1"/>
      <w:numFmt w:val="bullet"/>
      <w:lvlText w:val="•"/>
      <w:lvlJc w:val="left"/>
      <w:pPr>
        <w:tabs>
          <w:tab w:val="num" w:pos="5040"/>
        </w:tabs>
        <w:ind w:left="5040" w:hanging="360"/>
      </w:pPr>
      <w:rPr>
        <w:rFonts w:ascii="Arial" w:hAnsi="Arial" w:hint="default"/>
      </w:rPr>
    </w:lvl>
    <w:lvl w:ilvl="7" w:tplc="78DE6F60" w:tentative="1">
      <w:start w:val="1"/>
      <w:numFmt w:val="bullet"/>
      <w:lvlText w:val="•"/>
      <w:lvlJc w:val="left"/>
      <w:pPr>
        <w:tabs>
          <w:tab w:val="num" w:pos="5760"/>
        </w:tabs>
        <w:ind w:left="5760" w:hanging="360"/>
      </w:pPr>
      <w:rPr>
        <w:rFonts w:ascii="Arial" w:hAnsi="Arial" w:hint="default"/>
      </w:rPr>
    </w:lvl>
    <w:lvl w:ilvl="8" w:tplc="182A7A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CE155DD"/>
    <w:multiLevelType w:val="hybridMultilevel"/>
    <w:tmpl w:val="6EF8B594"/>
    <w:lvl w:ilvl="0" w:tplc="954280B6">
      <w:start w:val="1"/>
      <w:numFmt w:val="bullet"/>
      <w:lvlText w:val="•"/>
      <w:lvlJc w:val="left"/>
      <w:pPr>
        <w:tabs>
          <w:tab w:val="num" w:pos="720"/>
        </w:tabs>
        <w:ind w:left="720" w:hanging="360"/>
      </w:pPr>
      <w:rPr>
        <w:rFonts w:ascii="Arial" w:hAnsi="Arial" w:hint="default"/>
      </w:rPr>
    </w:lvl>
    <w:lvl w:ilvl="1" w:tplc="492686AE" w:tentative="1">
      <w:start w:val="1"/>
      <w:numFmt w:val="bullet"/>
      <w:lvlText w:val="•"/>
      <w:lvlJc w:val="left"/>
      <w:pPr>
        <w:tabs>
          <w:tab w:val="num" w:pos="1440"/>
        </w:tabs>
        <w:ind w:left="1440" w:hanging="360"/>
      </w:pPr>
      <w:rPr>
        <w:rFonts w:ascii="Arial" w:hAnsi="Arial" w:hint="default"/>
      </w:rPr>
    </w:lvl>
    <w:lvl w:ilvl="2" w:tplc="467EC12E" w:tentative="1">
      <w:start w:val="1"/>
      <w:numFmt w:val="bullet"/>
      <w:lvlText w:val="•"/>
      <w:lvlJc w:val="left"/>
      <w:pPr>
        <w:tabs>
          <w:tab w:val="num" w:pos="2160"/>
        </w:tabs>
        <w:ind w:left="2160" w:hanging="360"/>
      </w:pPr>
      <w:rPr>
        <w:rFonts w:ascii="Arial" w:hAnsi="Arial" w:hint="default"/>
      </w:rPr>
    </w:lvl>
    <w:lvl w:ilvl="3" w:tplc="800485E0" w:tentative="1">
      <w:start w:val="1"/>
      <w:numFmt w:val="bullet"/>
      <w:lvlText w:val="•"/>
      <w:lvlJc w:val="left"/>
      <w:pPr>
        <w:tabs>
          <w:tab w:val="num" w:pos="2880"/>
        </w:tabs>
        <w:ind w:left="2880" w:hanging="360"/>
      </w:pPr>
      <w:rPr>
        <w:rFonts w:ascii="Arial" w:hAnsi="Arial" w:hint="default"/>
      </w:rPr>
    </w:lvl>
    <w:lvl w:ilvl="4" w:tplc="6E2C2ADA" w:tentative="1">
      <w:start w:val="1"/>
      <w:numFmt w:val="bullet"/>
      <w:lvlText w:val="•"/>
      <w:lvlJc w:val="left"/>
      <w:pPr>
        <w:tabs>
          <w:tab w:val="num" w:pos="3600"/>
        </w:tabs>
        <w:ind w:left="3600" w:hanging="360"/>
      </w:pPr>
      <w:rPr>
        <w:rFonts w:ascii="Arial" w:hAnsi="Arial" w:hint="default"/>
      </w:rPr>
    </w:lvl>
    <w:lvl w:ilvl="5" w:tplc="6EBCC598" w:tentative="1">
      <w:start w:val="1"/>
      <w:numFmt w:val="bullet"/>
      <w:lvlText w:val="•"/>
      <w:lvlJc w:val="left"/>
      <w:pPr>
        <w:tabs>
          <w:tab w:val="num" w:pos="4320"/>
        </w:tabs>
        <w:ind w:left="4320" w:hanging="360"/>
      </w:pPr>
      <w:rPr>
        <w:rFonts w:ascii="Arial" w:hAnsi="Arial" w:hint="default"/>
      </w:rPr>
    </w:lvl>
    <w:lvl w:ilvl="6" w:tplc="CD467630" w:tentative="1">
      <w:start w:val="1"/>
      <w:numFmt w:val="bullet"/>
      <w:lvlText w:val="•"/>
      <w:lvlJc w:val="left"/>
      <w:pPr>
        <w:tabs>
          <w:tab w:val="num" w:pos="5040"/>
        </w:tabs>
        <w:ind w:left="5040" w:hanging="360"/>
      </w:pPr>
      <w:rPr>
        <w:rFonts w:ascii="Arial" w:hAnsi="Arial" w:hint="default"/>
      </w:rPr>
    </w:lvl>
    <w:lvl w:ilvl="7" w:tplc="6CB6F56A" w:tentative="1">
      <w:start w:val="1"/>
      <w:numFmt w:val="bullet"/>
      <w:lvlText w:val="•"/>
      <w:lvlJc w:val="left"/>
      <w:pPr>
        <w:tabs>
          <w:tab w:val="num" w:pos="5760"/>
        </w:tabs>
        <w:ind w:left="5760" w:hanging="360"/>
      </w:pPr>
      <w:rPr>
        <w:rFonts w:ascii="Arial" w:hAnsi="Arial" w:hint="default"/>
      </w:rPr>
    </w:lvl>
    <w:lvl w:ilvl="8" w:tplc="8A6E1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6"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46F57"/>
    <w:multiLevelType w:val="hybridMultilevel"/>
    <w:tmpl w:val="8CD2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9C4940"/>
    <w:multiLevelType w:val="multilevel"/>
    <w:tmpl w:val="DAF2FB1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9" w15:restartNumberingAfterBreak="0">
    <w:nsid w:val="4CC26E06"/>
    <w:multiLevelType w:val="hybridMultilevel"/>
    <w:tmpl w:val="6BD2E8F2"/>
    <w:lvl w:ilvl="0" w:tplc="46F0CFBA">
      <w:start w:val="1"/>
      <w:numFmt w:val="bullet"/>
      <w:lvlText w:val="•"/>
      <w:lvlJc w:val="left"/>
      <w:pPr>
        <w:tabs>
          <w:tab w:val="num" w:pos="720"/>
        </w:tabs>
        <w:ind w:left="720" w:hanging="360"/>
      </w:pPr>
      <w:rPr>
        <w:rFonts w:ascii="Arial" w:hAnsi="Arial" w:hint="default"/>
      </w:rPr>
    </w:lvl>
    <w:lvl w:ilvl="1" w:tplc="936C434C" w:tentative="1">
      <w:start w:val="1"/>
      <w:numFmt w:val="bullet"/>
      <w:lvlText w:val="•"/>
      <w:lvlJc w:val="left"/>
      <w:pPr>
        <w:tabs>
          <w:tab w:val="num" w:pos="1440"/>
        </w:tabs>
        <w:ind w:left="1440" w:hanging="360"/>
      </w:pPr>
      <w:rPr>
        <w:rFonts w:ascii="Arial" w:hAnsi="Arial" w:hint="default"/>
      </w:rPr>
    </w:lvl>
    <w:lvl w:ilvl="2" w:tplc="295E730A" w:tentative="1">
      <w:start w:val="1"/>
      <w:numFmt w:val="bullet"/>
      <w:lvlText w:val="•"/>
      <w:lvlJc w:val="left"/>
      <w:pPr>
        <w:tabs>
          <w:tab w:val="num" w:pos="2160"/>
        </w:tabs>
        <w:ind w:left="2160" w:hanging="360"/>
      </w:pPr>
      <w:rPr>
        <w:rFonts w:ascii="Arial" w:hAnsi="Arial" w:hint="default"/>
      </w:rPr>
    </w:lvl>
    <w:lvl w:ilvl="3" w:tplc="D056FFB0" w:tentative="1">
      <w:start w:val="1"/>
      <w:numFmt w:val="bullet"/>
      <w:lvlText w:val="•"/>
      <w:lvlJc w:val="left"/>
      <w:pPr>
        <w:tabs>
          <w:tab w:val="num" w:pos="2880"/>
        </w:tabs>
        <w:ind w:left="2880" w:hanging="360"/>
      </w:pPr>
      <w:rPr>
        <w:rFonts w:ascii="Arial" w:hAnsi="Arial" w:hint="default"/>
      </w:rPr>
    </w:lvl>
    <w:lvl w:ilvl="4" w:tplc="A5F07B54" w:tentative="1">
      <w:start w:val="1"/>
      <w:numFmt w:val="bullet"/>
      <w:lvlText w:val="•"/>
      <w:lvlJc w:val="left"/>
      <w:pPr>
        <w:tabs>
          <w:tab w:val="num" w:pos="3600"/>
        </w:tabs>
        <w:ind w:left="3600" w:hanging="360"/>
      </w:pPr>
      <w:rPr>
        <w:rFonts w:ascii="Arial" w:hAnsi="Arial" w:hint="default"/>
      </w:rPr>
    </w:lvl>
    <w:lvl w:ilvl="5" w:tplc="DB362FE4" w:tentative="1">
      <w:start w:val="1"/>
      <w:numFmt w:val="bullet"/>
      <w:lvlText w:val="•"/>
      <w:lvlJc w:val="left"/>
      <w:pPr>
        <w:tabs>
          <w:tab w:val="num" w:pos="4320"/>
        </w:tabs>
        <w:ind w:left="4320" w:hanging="360"/>
      </w:pPr>
      <w:rPr>
        <w:rFonts w:ascii="Arial" w:hAnsi="Arial" w:hint="default"/>
      </w:rPr>
    </w:lvl>
    <w:lvl w:ilvl="6" w:tplc="A10CC4A8" w:tentative="1">
      <w:start w:val="1"/>
      <w:numFmt w:val="bullet"/>
      <w:lvlText w:val="•"/>
      <w:lvlJc w:val="left"/>
      <w:pPr>
        <w:tabs>
          <w:tab w:val="num" w:pos="5040"/>
        </w:tabs>
        <w:ind w:left="5040" w:hanging="360"/>
      </w:pPr>
      <w:rPr>
        <w:rFonts w:ascii="Arial" w:hAnsi="Arial" w:hint="default"/>
      </w:rPr>
    </w:lvl>
    <w:lvl w:ilvl="7" w:tplc="F1E6C528" w:tentative="1">
      <w:start w:val="1"/>
      <w:numFmt w:val="bullet"/>
      <w:lvlText w:val="•"/>
      <w:lvlJc w:val="left"/>
      <w:pPr>
        <w:tabs>
          <w:tab w:val="num" w:pos="5760"/>
        </w:tabs>
        <w:ind w:left="5760" w:hanging="360"/>
      </w:pPr>
      <w:rPr>
        <w:rFonts w:ascii="Arial" w:hAnsi="Arial" w:hint="default"/>
      </w:rPr>
    </w:lvl>
    <w:lvl w:ilvl="8" w:tplc="2FC63A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97EEC"/>
    <w:multiLevelType w:val="hybridMultilevel"/>
    <w:tmpl w:val="E2E298C2"/>
    <w:lvl w:ilvl="0" w:tplc="F452A32E">
      <w:start w:val="1"/>
      <w:numFmt w:val="decimal"/>
      <w:lvlText w:val="%1)"/>
      <w:lvlJc w:val="left"/>
      <w:pPr>
        <w:tabs>
          <w:tab w:val="num" w:pos="720"/>
        </w:tabs>
        <w:ind w:left="720" w:hanging="360"/>
      </w:pPr>
    </w:lvl>
    <w:lvl w:ilvl="1" w:tplc="A86605A8" w:tentative="1">
      <w:start w:val="1"/>
      <w:numFmt w:val="decimal"/>
      <w:lvlText w:val="%2)"/>
      <w:lvlJc w:val="left"/>
      <w:pPr>
        <w:tabs>
          <w:tab w:val="num" w:pos="1440"/>
        </w:tabs>
        <w:ind w:left="1440" w:hanging="360"/>
      </w:pPr>
    </w:lvl>
    <w:lvl w:ilvl="2" w:tplc="38D21EA6" w:tentative="1">
      <w:start w:val="1"/>
      <w:numFmt w:val="decimal"/>
      <w:lvlText w:val="%3)"/>
      <w:lvlJc w:val="left"/>
      <w:pPr>
        <w:tabs>
          <w:tab w:val="num" w:pos="2160"/>
        </w:tabs>
        <w:ind w:left="2160" w:hanging="360"/>
      </w:pPr>
    </w:lvl>
    <w:lvl w:ilvl="3" w:tplc="33A259DC" w:tentative="1">
      <w:start w:val="1"/>
      <w:numFmt w:val="decimal"/>
      <w:lvlText w:val="%4)"/>
      <w:lvlJc w:val="left"/>
      <w:pPr>
        <w:tabs>
          <w:tab w:val="num" w:pos="2880"/>
        </w:tabs>
        <w:ind w:left="2880" w:hanging="360"/>
      </w:pPr>
    </w:lvl>
    <w:lvl w:ilvl="4" w:tplc="E27C3EF8" w:tentative="1">
      <w:start w:val="1"/>
      <w:numFmt w:val="decimal"/>
      <w:lvlText w:val="%5)"/>
      <w:lvlJc w:val="left"/>
      <w:pPr>
        <w:tabs>
          <w:tab w:val="num" w:pos="3600"/>
        </w:tabs>
        <w:ind w:left="3600" w:hanging="360"/>
      </w:pPr>
    </w:lvl>
    <w:lvl w:ilvl="5" w:tplc="354039D2" w:tentative="1">
      <w:start w:val="1"/>
      <w:numFmt w:val="decimal"/>
      <w:lvlText w:val="%6)"/>
      <w:lvlJc w:val="left"/>
      <w:pPr>
        <w:tabs>
          <w:tab w:val="num" w:pos="4320"/>
        </w:tabs>
        <w:ind w:left="4320" w:hanging="360"/>
      </w:pPr>
    </w:lvl>
    <w:lvl w:ilvl="6" w:tplc="79820A3C" w:tentative="1">
      <w:start w:val="1"/>
      <w:numFmt w:val="decimal"/>
      <w:lvlText w:val="%7)"/>
      <w:lvlJc w:val="left"/>
      <w:pPr>
        <w:tabs>
          <w:tab w:val="num" w:pos="5040"/>
        </w:tabs>
        <w:ind w:left="5040" w:hanging="360"/>
      </w:pPr>
    </w:lvl>
    <w:lvl w:ilvl="7" w:tplc="15024D42" w:tentative="1">
      <w:start w:val="1"/>
      <w:numFmt w:val="decimal"/>
      <w:lvlText w:val="%8)"/>
      <w:lvlJc w:val="left"/>
      <w:pPr>
        <w:tabs>
          <w:tab w:val="num" w:pos="5760"/>
        </w:tabs>
        <w:ind w:left="5760" w:hanging="360"/>
      </w:pPr>
    </w:lvl>
    <w:lvl w:ilvl="8" w:tplc="4064AD24" w:tentative="1">
      <w:start w:val="1"/>
      <w:numFmt w:val="decimal"/>
      <w:lvlText w:val="%9)"/>
      <w:lvlJc w:val="left"/>
      <w:pPr>
        <w:tabs>
          <w:tab w:val="num" w:pos="6480"/>
        </w:tabs>
        <w:ind w:left="6480" w:hanging="360"/>
      </w:pPr>
    </w:lvl>
  </w:abstractNum>
  <w:abstractNum w:abstractNumId="22" w15:restartNumberingAfterBreak="0">
    <w:nsid w:val="51B315BE"/>
    <w:multiLevelType w:val="hybridMultilevel"/>
    <w:tmpl w:val="4C70CF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3" w15:restartNumberingAfterBreak="0">
    <w:nsid w:val="55403731"/>
    <w:multiLevelType w:val="hybridMultilevel"/>
    <w:tmpl w:val="0678A90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4" w15:restartNumberingAfterBreak="0">
    <w:nsid w:val="555722B5"/>
    <w:multiLevelType w:val="hybridMultilevel"/>
    <w:tmpl w:val="684206A0"/>
    <w:lvl w:ilvl="0" w:tplc="6A70EACE">
      <w:start w:val="1"/>
      <w:numFmt w:val="bullet"/>
      <w:lvlText w:val="•"/>
      <w:lvlJc w:val="left"/>
      <w:pPr>
        <w:tabs>
          <w:tab w:val="num" w:pos="720"/>
        </w:tabs>
        <w:ind w:left="720" w:hanging="360"/>
      </w:pPr>
      <w:rPr>
        <w:rFonts w:ascii="Arial" w:hAnsi="Arial" w:hint="default"/>
      </w:rPr>
    </w:lvl>
    <w:lvl w:ilvl="1" w:tplc="8036FA10" w:tentative="1">
      <w:start w:val="1"/>
      <w:numFmt w:val="bullet"/>
      <w:lvlText w:val="•"/>
      <w:lvlJc w:val="left"/>
      <w:pPr>
        <w:tabs>
          <w:tab w:val="num" w:pos="1440"/>
        </w:tabs>
        <w:ind w:left="1440" w:hanging="360"/>
      </w:pPr>
      <w:rPr>
        <w:rFonts w:ascii="Arial" w:hAnsi="Arial" w:hint="default"/>
      </w:rPr>
    </w:lvl>
    <w:lvl w:ilvl="2" w:tplc="C0A8A98A" w:tentative="1">
      <w:start w:val="1"/>
      <w:numFmt w:val="bullet"/>
      <w:lvlText w:val="•"/>
      <w:lvlJc w:val="left"/>
      <w:pPr>
        <w:tabs>
          <w:tab w:val="num" w:pos="2160"/>
        </w:tabs>
        <w:ind w:left="2160" w:hanging="360"/>
      </w:pPr>
      <w:rPr>
        <w:rFonts w:ascii="Arial" w:hAnsi="Arial" w:hint="default"/>
      </w:rPr>
    </w:lvl>
    <w:lvl w:ilvl="3" w:tplc="91F29688" w:tentative="1">
      <w:start w:val="1"/>
      <w:numFmt w:val="bullet"/>
      <w:lvlText w:val="•"/>
      <w:lvlJc w:val="left"/>
      <w:pPr>
        <w:tabs>
          <w:tab w:val="num" w:pos="2880"/>
        </w:tabs>
        <w:ind w:left="2880" w:hanging="360"/>
      </w:pPr>
      <w:rPr>
        <w:rFonts w:ascii="Arial" w:hAnsi="Arial" w:hint="default"/>
      </w:rPr>
    </w:lvl>
    <w:lvl w:ilvl="4" w:tplc="8034AF70" w:tentative="1">
      <w:start w:val="1"/>
      <w:numFmt w:val="bullet"/>
      <w:lvlText w:val="•"/>
      <w:lvlJc w:val="left"/>
      <w:pPr>
        <w:tabs>
          <w:tab w:val="num" w:pos="3600"/>
        </w:tabs>
        <w:ind w:left="3600" w:hanging="360"/>
      </w:pPr>
      <w:rPr>
        <w:rFonts w:ascii="Arial" w:hAnsi="Arial" w:hint="default"/>
      </w:rPr>
    </w:lvl>
    <w:lvl w:ilvl="5" w:tplc="06C65812" w:tentative="1">
      <w:start w:val="1"/>
      <w:numFmt w:val="bullet"/>
      <w:lvlText w:val="•"/>
      <w:lvlJc w:val="left"/>
      <w:pPr>
        <w:tabs>
          <w:tab w:val="num" w:pos="4320"/>
        </w:tabs>
        <w:ind w:left="4320" w:hanging="360"/>
      </w:pPr>
      <w:rPr>
        <w:rFonts w:ascii="Arial" w:hAnsi="Arial" w:hint="default"/>
      </w:rPr>
    </w:lvl>
    <w:lvl w:ilvl="6" w:tplc="0BDC78CC" w:tentative="1">
      <w:start w:val="1"/>
      <w:numFmt w:val="bullet"/>
      <w:lvlText w:val="•"/>
      <w:lvlJc w:val="left"/>
      <w:pPr>
        <w:tabs>
          <w:tab w:val="num" w:pos="5040"/>
        </w:tabs>
        <w:ind w:left="5040" w:hanging="360"/>
      </w:pPr>
      <w:rPr>
        <w:rFonts w:ascii="Arial" w:hAnsi="Arial" w:hint="default"/>
      </w:rPr>
    </w:lvl>
    <w:lvl w:ilvl="7" w:tplc="B2D87DE2" w:tentative="1">
      <w:start w:val="1"/>
      <w:numFmt w:val="bullet"/>
      <w:lvlText w:val="•"/>
      <w:lvlJc w:val="left"/>
      <w:pPr>
        <w:tabs>
          <w:tab w:val="num" w:pos="5760"/>
        </w:tabs>
        <w:ind w:left="5760" w:hanging="360"/>
      </w:pPr>
      <w:rPr>
        <w:rFonts w:ascii="Arial" w:hAnsi="Arial" w:hint="default"/>
      </w:rPr>
    </w:lvl>
    <w:lvl w:ilvl="8" w:tplc="ED48A9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A50C56"/>
    <w:multiLevelType w:val="hybridMultilevel"/>
    <w:tmpl w:val="DF88F4C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1" w15:restartNumberingAfterBreak="0">
    <w:nsid w:val="6A8E23F4"/>
    <w:multiLevelType w:val="hybridMultilevel"/>
    <w:tmpl w:val="E5F8154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2" w15:restartNumberingAfterBreak="0">
    <w:nsid w:val="6BBB3277"/>
    <w:multiLevelType w:val="hybridMultilevel"/>
    <w:tmpl w:val="6A4E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78A63EF0"/>
    <w:multiLevelType w:val="hybridMultilevel"/>
    <w:tmpl w:val="70D2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84608E"/>
    <w:multiLevelType w:val="hybridMultilevel"/>
    <w:tmpl w:val="E82C80D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5"/>
  </w:num>
  <w:num w:numId="2">
    <w:abstractNumId w:val="1"/>
  </w:num>
  <w:num w:numId="3">
    <w:abstractNumId w:val="11"/>
  </w:num>
  <w:num w:numId="4">
    <w:abstractNumId w:val="8"/>
  </w:num>
  <w:num w:numId="5">
    <w:abstractNumId w:val="25"/>
  </w:num>
  <w:num w:numId="6">
    <w:abstractNumId w:val="27"/>
  </w:num>
  <w:num w:numId="7">
    <w:abstractNumId w:val="4"/>
  </w:num>
  <w:num w:numId="8">
    <w:abstractNumId w:val="26"/>
  </w:num>
  <w:num w:numId="9">
    <w:abstractNumId w:val="9"/>
  </w:num>
  <w:num w:numId="10">
    <w:abstractNumId w:val="13"/>
  </w:num>
  <w:num w:numId="11">
    <w:abstractNumId w:val="33"/>
  </w:num>
  <w:num w:numId="12">
    <w:abstractNumId w:val="16"/>
  </w:num>
  <w:num w:numId="13">
    <w:abstractNumId w:val="20"/>
  </w:num>
  <w:num w:numId="14">
    <w:abstractNumId w:val="12"/>
  </w:num>
  <w:num w:numId="15">
    <w:abstractNumId w:val="0"/>
  </w:num>
  <w:num w:numId="16">
    <w:abstractNumId w:val="29"/>
  </w:num>
  <w:num w:numId="17">
    <w:abstractNumId w:val="28"/>
  </w:num>
  <w:num w:numId="18">
    <w:abstractNumId w:val="14"/>
  </w:num>
  <w:num w:numId="19">
    <w:abstractNumId w:val="10"/>
  </w:num>
  <w:num w:numId="20">
    <w:abstractNumId w:val="24"/>
  </w:num>
  <w:num w:numId="21">
    <w:abstractNumId w:val="2"/>
  </w:num>
  <w:num w:numId="22">
    <w:abstractNumId w:val="19"/>
  </w:num>
  <w:num w:numId="23">
    <w:abstractNumId w:val="7"/>
  </w:num>
  <w:num w:numId="24">
    <w:abstractNumId w:val="30"/>
  </w:num>
  <w:num w:numId="25">
    <w:abstractNumId w:val="31"/>
  </w:num>
  <w:num w:numId="26">
    <w:abstractNumId w:val="5"/>
  </w:num>
  <w:num w:numId="27">
    <w:abstractNumId w:val="35"/>
  </w:num>
  <w:num w:numId="28">
    <w:abstractNumId w:val="22"/>
  </w:num>
  <w:num w:numId="29">
    <w:abstractNumId w:val="6"/>
  </w:num>
  <w:num w:numId="30">
    <w:abstractNumId w:val="18"/>
  </w:num>
  <w:num w:numId="31">
    <w:abstractNumId w:val="17"/>
  </w:num>
  <w:num w:numId="32">
    <w:abstractNumId w:val="32"/>
  </w:num>
  <w:num w:numId="33">
    <w:abstractNumId w:val="3"/>
  </w:num>
  <w:num w:numId="34">
    <w:abstractNumId w:val="34"/>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7461"/>
    <w:rsid w:val="000079CC"/>
    <w:rsid w:val="00011A63"/>
    <w:rsid w:val="00031266"/>
    <w:rsid w:val="000502AD"/>
    <w:rsid w:val="000617C3"/>
    <w:rsid w:val="000823AC"/>
    <w:rsid w:val="000A049E"/>
    <w:rsid w:val="000C09B4"/>
    <w:rsid w:val="000C4457"/>
    <w:rsid w:val="000D6DE5"/>
    <w:rsid w:val="000F629D"/>
    <w:rsid w:val="000F77FD"/>
    <w:rsid w:val="0015409F"/>
    <w:rsid w:val="00157815"/>
    <w:rsid w:val="001663A4"/>
    <w:rsid w:val="00167DA9"/>
    <w:rsid w:val="00176076"/>
    <w:rsid w:val="001956C7"/>
    <w:rsid w:val="001A4D75"/>
    <w:rsid w:val="001B721D"/>
    <w:rsid w:val="001F3524"/>
    <w:rsid w:val="00230A0E"/>
    <w:rsid w:val="002315A5"/>
    <w:rsid w:val="00232597"/>
    <w:rsid w:val="002547CF"/>
    <w:rsid w:val="0026321D"/>
    <w:rsid w:val="002C4B80"/>
    <w:rsid w:val="002F7E65"/>
    <w:rsid w:val="0032175A"/>
    <w:rsid w:val="00322DEA"/>
    <w:rsid w:val="00346615"/>
    <w:rsid w:val="00354CB5"/>
    <w:rsid w:val="00357B0E"/>
    <w:rsid w:val="00363EC5"/>
    <w:rsid w:val="00366AD1"/>
    <w:rsid w:val="0037523B"/>
    <w:rsid w:val="003B037A"/>
    <w:rsid w:val="003B422F"/>
    <w:rsid w:val="003D653B"/>
    <w:rsid w:val="004004FC"/>
    <w:rsid w:val="00417008"/>
    <w:rsid w:val="00424E4F"/>
    <w:rsid w:val="00461D62"/>
    <w:rsid w:val="004B3911"/>
    <w:rsid w:val="004C595C"/>
    <w:rsid w:val="004D3DBE"/>
    <w:rsid w:val="00516AC8"/>
    <w:rsid w:val="00517955"/>
    <w:rsid w:val="00530FDE"/>
    <w:rsid w:val="005474ED"/>
    <w:rsid w:val="00580246"/>
    <w:rsid w:val="0058360A"/>
    <w:rsid w:val="005A05D3"/>
    <w:rsid w:val="005A7B65"/>
    <w:rsid w:val="005C6168"/>
    <w:rsid w:val="005E0C05"/>
    <w:rsid w:val="005F2E08"/>
    <w:rsid w:val="005F6261"/>
    <w:rsid w:val="00612159"/>
    <w:rsid w:val="00635929"/>
    <w:rsid w:val="0064746F"/>
    <w:rsid w:val="0065187A"/>
    <w:rsid w:val="00673710"/>
    <w:rsid w:val="00674B1A"/>
    <w:rsid w:val="006900FE"/>
    <w:rsid w:val="006E5A12"/>
    <w:rsid w:val="006F0008"/>
    <w:rsid w:val="00700521"/>
    <w:rsid w:val="00760E32"/>
    <w:rsid w:val="00764E41"/>
    <w:rsid w:val="00771515"/>
    <w:rsid w:val="00776056"/>
    <w:rsid w:val="00790C12"/>
    <w:rsid w:val="007C1B15"/>
    <w:rsid w:val="007E1663"/>
    <w:rsid w:val="008018C5"/>
    <w:rsid w:val="00813F1E"/>
    <w:rsid w:val="0081403B"/>
    <w:rsid w:val="008244EF"/>
    <w:rsid w:val="00826A24"/>
    <w:rsid w:val="00837C4B"/>
    <w:rsid w:val="00842737"/>
    <w:rsid w:val="00843006"/>
    <w:rsid w:val="008440D9"/>
    <w:rsid w:val="00845340"/>
    <w:rsid w:val="00867AAC"/>
    <w:rsid w:val="00882ECA"/>
    <w:rsid w:val="008B06DD"/>
    <w:rsid w:val="008D4556"/>
    <w:rsid w:val="008D791F"/>
    <w:rsid w:val="008F0A97"/>
    <w:rsid w:val="00920DBC"/>
    <w:rsid w:val="00922730"/>
    <w:rsid w:val="009353D7"/>
    <w:rsid w:val="00942B3B"/>
    <w:rsid w:val="0097197E"/>
    <w:rsid w:val="00975566"/>
    <w:rsid w:val="00990CED"/>
    <w:rsid w:val="009B76A1"/>
    <w:rsid w:val="009E7526"/>
    <w:rsid w:val="009F21FD"/>
    <w:rsid w:val="00A0001A"/>
    <w:rsid w:val="00A1786A"/>
    <w:rsid w:val="00A210CD"/>
    <w:rsid w:val="00A30EBB"/>
    <w:rsid w:val="00A40130"/>
    <w:rsid w:val="00A44F24"/>
    <w:rsid w:val="00A45528"/>
    <w:rsid w:val="00A57912"/>
    <w:rsid w:val="00A74149"/>
    <w:rsid w:val="00A85E34"/>
    <w:rsid w:val="00AA352B"/>
    <w:rsid w:val="00B00E5C"/>
    <w:rsid w:val="00B053BE"/>
    <w:rsid w:val="00B2050D"/>
    <w:rsid w:val="00B25B8C"/>
    <w:rsid w:val="00B32ADA"/>
    <w:rsid w:val="00B64ACA"/>
    <w:rsid w:val="00BC38E0"/>
    <w:rsid w:val="00BE2925"/>
    <w:rsid w:val="00C15C7B"/>
    <w:rsid w:val="00C66DE1"/>
    <w:rsid w:val="00C751CF"/>
    <w:rsid w:val="00C97E31"/>
    <w:rsid w:val="00CB647D"/>
    <w:rsid w:val="00D30BE3"/>
    <w:rsid w:val="00D80A4F"/>
    <w:rsid w:val="00D9192E"/>
    <w:rsid w:val="00DC4D86"/>
    <w:rsid w:val="00DC7354"/>
    <w:rsid w:val="00DD4368"/>
    <w:rsid w:val="00DF0357"/>
    <w:rsid w:val="00E06A4E"/>
    <w:rsid w:val="00E1547F"/>
    <w:rsid w:val="00E32ACA"/>
    <w:rsid w:val="00E37E7A"/>
    <w:rsid w:val="00E770DC"/>
    <w:rsid w:val="00EA7740"/>
    <w:rsid w:val="00EC7BBC"/>
    <w:rsid w:val="00EE1D60"/>
    <w:rsid w:val="00F01FDE"/>
    <w:rsid w:val="00F16195"/>
    <w:rsid w:val="00F21DEE"/>
    <w:rsid w:val="00F31949"/>
    <w:rsid w:val="00F37FA7"/>
    <w:rsid w:val="00F826EC"/>
    <w:rsid w:val="00F84FD4"/>
    <w:rsid w:val="00FB2C4C"/>
    <w:rsid w:val="00FB3DB2"/>
    <w:rsid w:val="00FE3711"/>
    <w:rsid w:val="00FF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2AD0A"/>
  <w15:docId w15:val="{DD143AA8-4A4D-4156-AAB5-49DF3141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link w:val="BodyText2Char"/>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uiPriority w:val="39"/>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basedOn w:val="Normal"/>
    <w:link w:val="FootnoteTextChar"/>
    <w:uiPriority w:val="99"/>
    <w:rsid w:val="001F3524"/>
    <w:rPr>
      <w:sz w:val="20"/>
    </w:rPr>
  </w:style>
  <w:style w:type="character" w:customStyle="1" w:styleId="FootnoteTextChar">
    <w:name w:val="Footnote Text Char"/>
    <w:basedOn w:val="DefaultParagraphFont"/>
    <w:link w:val="FootnoteText"/>
    <w:uiPriority w:val="99"/>
    <w:rsid w:val="001F3524"/>
  </w:style>
  <w:style w:type="character" w:styleId="FootnoteReference">
    <w:name w:val="footnote reference"/>
    <w:basedOn w:val="DefaultParagraphFont"/>
    <w:uiPriority w:val="99"/>
    <w:rsid w:val="001F3524"/>
    <w:rPr>
      <w:vertAlign w:val="superscript"/>
    </w:rPr>
  </w:style>
  <w:style w:type="paragraph" w:styleId="ListParagraph">
    <w:name w:val="List Paragraph"/>
    <w:basedOn w:val="Normal"/>
    <w:uiPriority w:val="34"/>
    <w:qFormat/>
    <w:rsid w:val="000617C3"/>
    <w:pPr>
      <w:widowControl/>
      <w:spacing w:after="160" w:line="25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0617C3"/>
    <w:rPr>
      <w:rFonts w:ascii="Arial" w:hAnsi="Arial"/>
    </w:rPr>
  </w:style>
  <w:style w:type="paragraph" w:customStyle="1" w:styleId="MediumGrid21">
    <w:name w:val="Medium Grid 21"/>
    <w:uiPriority w:val="99"/>
    <w:semiHidden/>
    <w:qFormat/>
    <w:rsid w:val="000617C3"/>
    <w:rPr>
      <w:rFonts w:ascii="Cambria" w:hAnsi="Cambria"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9457">
      <w:bodyDiv w:val="1"/>
      <w:marLeft w:val="0"/>
      <w:marRight w:val="0"/>
      <w:marTop w:val="0"/>
      <w:marBottom w:val="0"/>
      <w:divBdr>
        <w:top w:val="none" w:sz="0" w:space="0" w:color="auto"/>
        <w:left w:val="none" w:sz="0" w:space="0" w:color="auto"/>
        <w:bottom w:val="none" w:sz="0" w:space="0" w:color="auto"/>
        <w:right w:val="none" w:sz="0" w:space="0" w:color="auto"/>
      </w:divBdr>
      <w:divsChild>
        <w:div w:id="1769931383">
          <w:marLeft w:val="360"/>
          <w:marRight w:val="0"/>
          <w:marTop w:val="200"/>
          <w:marBottom w:val="0"/>
          <w:divBdr>
            <w:top w:val="none" w:sz="0" w:space="0" w:color="auto"/>
            <w:left w:val="none" w:sz="0" w:space="0" w:color="auto"/>
            <w:bottom w:val="none" w:sz="0" w:space="0" w:color="auto"/>
            <w:right w:val="none" w:sz="0" w:space="0" w:color="auto"/>
          </w:divBdr>
        </w:div>
        <w:div w:id="219707161">
          <w:marLeft w:val="360"/>
          <w:marRight w:val="0"/>
          <w:marTop w:val="200"/>
          <w:marBottom w:val="0"/>
          <w:divBdr>
            <w:top w:val="none" w:sz="0" w:space="0" w:color="auto"/>
            <w:left w:val="none" w:sz="0" w:space="0" w:color="auto"/>
            <w:bottom w:val="none" w:sz="0" w:space="0" w:color="auto"/>
            <w:right w:val="none" w:sz="0" w:space="0" w:color="auto"/>
          </w:divBdr>
        </w:div>
        <w:div w:id="1585651974">
          <w:marLeft w:val="360"/>
          <w:marRight w:val="0"/>
          <w:marTop w:val="200"/>
          <w:marBottom w:val="0"/>
          <w:divBdr>
            <w:top w:val="none" w:sz="0" w:space="0" w:color="auto"/>
            <w:left w:val="none" w:sz="0" w:space="0" w:color="auto"/>
            <w:bottom w:val="none" w:sz="0" w:space="0" w:color="auto"/>
            <w:right w:val="none" w:sz="0" w:space="0" w:color="auto"/>
          </w:divBdr>
        </w:div>
        <w:div w:id="578952517">
          <w:marLeft w:val="360"/>
          <w:marRight w:val="0"/>
          <w:marTop w:val="200"/>
          <w:marBottom w:val="0"/>
          <w:divBdr>
            <w:top w:val="none" w:sz="0" w:space="0" w:color="auto"/>
            <w:left w:val="none" w:sz="0" w:space="0" w:color="auto"/>
            <w:bottom w:val="none" w:sz="0" w:space="0" w:color="auto"/>
            <w:right w:val="none" w:sz="0" w:space="0" w:color="auto"/>
          </w:divBdr>
        </w:div>
        <w:div w:id="1867057556">
          <w:marLeft w:val="360"/>
          <w:marRight w:val="0"/>
          <w:marTop w:val="200"/>
          <w:marBottom w:val="0"/>
          <w:divBdr>
            <w:top w:val="none" w:sz="0" w:space="0" w:color="auto"/>
            <w:left w:val="none" w:sz="0" w:space="0" w:color="auto"/>
            <w:bottom w:val="none" w:sz="0" w:space="0" w:color="auto"/>
            <w:right w:val="none" w:sz="0" w:space="0" w:color="auto"/>
          </w:divBdr>
        </w:div>
      </w:divsChild>
    </w:div>
    <w:div w:id="302083660">
      <w:bodyDiv w:val="1"/>
      <w:marLeft w:val="0"/>
      <w:marRight w:val="0"/>
      <w:marTop w:val="0"/>
      <w:marBottom w:val="0"/>
      <w:divBdr>
        <w:top w:val="none" w:sz="0" w:space="0" w:color="auto"/>
        <w:left w:val="none" w:sz="0" w:space="0" w:color="auto"/>
        <w:bottom w:val="none" w:sz="0" w:space="0" w:color="auto"/>
        <w:right w:val="none" w:sz="0" w:space="0" w:color="auto"/>
      </w:divBdr>
      <w:divsChild>
        <w:div w:id="1933201419">
          <w:marLeft w:val="360"/>
          <w:marRight w:val="0"/>
          <w:marTop w:val="200"/>
          <w:marBottom w:val="0"/>
          <w:divBdr>
            <w:top w:val="none" w:sz="0" w:space="0" w:color="auto"/>
            <w:left w:val="none" w:sz="0" w:space="0" w:color="auto"/>
            <w:bottom w:val="none" w:sz="0" w:space="0" w:color="auto"/>
            <w:right w:val="none" w:sz="0" w:space="0" w:color="auto"/>
          </w:divBdr>
        </w:div>
        <w:div w:id="189681864">
          <w:marLeft w:val="360"/>
          <w:marRight w:val="0"/>
          <w:marTop w:val="200"/>
          <w:marBottom w:val="0"/>
          <w:divBdr>
            <w:top w:val="none" w:sz="0" w:space="0" w:color="auto"/>
            <w:left w:val="none" w:sz="0" w:space="0" w:color="auto"/>
            <w:bottom w:val="none" w:sz="0" w:space="0" w:color="auto"/>
            <w:right w:val="none" w:sz="0" w:space="0" w:color="auto"/>
          </w:divBdr>
        </w:div>
        <w:div w:id="1115638458">
          <w:marLeft w:val="360"/>
          <w:marRight w:val="0"/>
          <w:marTop w:val="200"/>
          <w:marBottom w:val="0"/>
          <w:divBdr>
            <w:top w:val="none" w:sz="0" w:space="0" w:color="auto"/>
            <w:left w:val="none" w:sz="0" w:space="0" w:color="auto"/>
            <w:bottom w:val="none" w:sz="0" w:space="0" w:color="auto"/>
            <w:right w:val="none" w:sz="0" w:space="0" w:color="auto"/>
          </w:divBdr>
        </w:div>
        <w:div w:id="1146049349">
          <w:marLeft w:val="360"/>
          <w:marRight w:val="0"/>
          <w:marTop w:val="200"/>
          <w:marBottom w:val="0"/>
          <w:divBdr>
            <w:top w:val="none" w:sz="0" w:space="0" w:color="auto"/>
            <w:left w:val="none" w:sz="0" w:space="0" w:color="auto"/>
            <w:bottom w:val="none" w:sz="0" w:space="0" w:color="auto"/>
            <w:right w:val="none" w:sz="0" w:space="0" w:color="auto"/>
          </w:divBdr>
        </w:div>
      </w:divsChild>
    </w:div>
    <w:div w:id="533856494">
      <w:bodyDiv w:val="1"/>
      <w:marLeft w:val="0"/>
      <w:marRight w:val="0"/>
      <w:marTop w:val="0"/>
      <w:marBottom w:val="0"/>
      <w:divBdr>
        <w:top w:val="none" w:sz="0" w:space="0" w:color="auto"/>
        <w:left w:val="none" w:sz="0" w:space="0" w:color="auto"/>
        <w:bottom w:val="none" w:sz="0" w:space="0" w:color="auto"/>
        <w:right w:val="none" w:sz="0" w:space="0" w:color="auto"/>
      </w:divBdr>
      <w:divsChild>
        <w:div w:id="1281959527">
          <w:marLeft w:val="360"/>
          <w:marRight w:val="0"/>
          <w:marTop w:val="200"/>
          <w:marBottom w:val="0"/>
          <w:divBdr>
            <w:top w:val="none" w:sz="0" w:space="0" w:color="auto"/>
            <w:left w:val="none" w:sz="0" w:space="0" w:color="auto"/>
            <w:bottom w:val="none" w:sz="0" w:space="0" w:color="auto"/>
            <w:right w:val="none" w:sz="0" w:space="0" w:color="auto"/>
          </w:divBdr>
        </w:div>
        <w:div w:id="1255675519">
          <w:marLeft w:val="360"/>
          <w:marRight w:val="0"/>
          <w:marTop w:val="200"/>
          <w:marBottom w:val="0"/>
          <w:divBdr>
            <w:top w:val="none" w:sz="0" w:space="0" w:color="auto"/>
            <w:left w:val="none" w:sz="0" w:space="0" w:color="auto"/>
            <w:bottom w:val="none" w:sz="0" w:space="0" w:color="auto"/>
            <w:right w:val="none" w:sz="0" w:space="0" w:color="auto"/>
          </w:divBdr>
        </w:div>
        <w:div w:id="1571502109">
          <w:marLeft w:val="360"/>
          <w:marRight w:val="0"/>
          <w:marTop w:val="200"/>
          <w:marBottom w:val="0"/>
          <w:divBdr>
            <w:top w:val="none" w:sz="0" w:space="0" w:color="auto"/>
            <w:left w:val="none" w:sz="0" w:space="0" w:color="auto"/>
            <w:bottom w:val="none" w:sz="0" w:space="0" w:color="auto"/>
            <w:right w:val="none" w:sz="0" w:space="0" w:color="auto"/>
          </w:divBdr>
        </w:div>
        <w:div w:id="2054035809">
          <w:marLeft w:val="360"/>
          <w:marRight w:val="0"/>
          <w:marTop w:val="200"/>
          <w:marBottom w:val="0"/>
          <w:divBdr>
            <w:top w:val="none" w:sz="0" w:space="0" w:color="auto"/>
            <w:left w:val="none" w:sz="0" w:space="0" w:color="auto"/>
            <w:bottom w:val="none" w:sz="0" w:space="0" w:color="auto"/>
            <w:right w:val="none" w:sz="0" w:space="0" w:color="auto"/>
          </w:divBdr>
        </w:div>
      </w:divsChild>
    </w:div>
    <w:div w:id="724640644">
      <w:bodyDiv w:val="1"/>
      <w:marLeft w:val="0"/>
      <w:marRight w:val="0"/>
      <w:marTop w:val="0"/>
      <w:marBottom w:val="0"/>
      <w:divBdr>
        <w:top w:val="none" w:sz="0" w:space="0" w:color="auto"/>
        <w:left w:val="none" w:sz="0" w:space="0" w:color="auto"/>
        <w:bottom w:val="none" w:sz="0" w:space="0" w:color="auto"/>
        <w:right w:val="none" w:sz="0" w:space="0" w:color="auto"/>
      </w:divBdr>
    </w:div>
    <w:div w:id="775519550">
      <w:bodyDiv w:val="1"/>
      <w:marLeft w:val="0"/>
      <w:marRight w:val="0"/>
      <w:marTop w:val="0"/>
      <w:marBottom w:val="0"/>
      <w:divBdr>
        <w:top w:val="none" w:sz="0" w:space="0" w:color="auto"/>
        <w:left w:val="none" w:sz="0" w:space="0" w:color="auto"/>
        <w:bottom w:val="none" w:sz="0" w:space="0" w:color="auto"/>
        <w:right w:val="none" w:sz="0" w:space="0" w:color="auto"/>
      </w:divBdr>
      <w:divsChild>
        <w:div w:id="234632893">
          <w:marLeft w:val="360"/>
          <w:marRight w:val="0"/>
          <w:marTop w:val="200"/>
          <w:marBottom w:val="0"/>
          <w:divBdr>
            <w:top w:val="none" w:sz="0" w:space="0" w:color="auto"/>
            <w:left w:val="none" w:sz="0" w:space="0" w:color="auto"/>
            <w:bottom w:val="none" w:sz="0" w:space="0" w:color="auto"/>
            <w:right w:val="none" w:sz="0" w:space="0" w:color="auto"/>
          </w:divBdr>
        </w:div>
        <w:div w:id="1863587528">
          <w:marLeft w:val="360"/>
          <w:marRight w:val="0"/>
          <w:marTop w:val="200"/>
          <w:marBottom w:val="0"/>
          <w:divBdr>
            <w:top w:val="none" w:sz="0" w:space="0" w:color="auto"/>
            <w:left w:val="none" w:sz="0" w:space="0" w:color="auto"/>
            <w:bottom w:val="none" w:sz="0" w:space="0" w:color="auto"/>
            <w:right w:val="none" w:sz="0" w:space="0" w:color="auto"/>
          </w:divBdr>
        </w:div>
        <w:div w:id="1134561344">
          <w:marLeft w:val="360"/>
          <w:marRight w:val="0"/>
          <w:marTop w:val="200"/>
          <w:marBottom w:val="0"/>
          <w:divBdr>
            <w:top w:val="none" w:sz="0" w:space="0" w:color="auto"/>
            <w:left w:val="none" w:sz="0" w:space="0" w:color="auto"/>
            <w:bottom w:val="none" w:sz="0" w:space="0" w:color="auto"/>
            <w:right w:val="none" w:sz="0" w:space="0" w:color="auto"/>
          </w:divBdr>
        </w:div>
        <w:div w:id="1357120075">
          <w:marLeft w:val="360"/>
          <w:marRight w:val="0"/>
          <w:marTop w:val="200"/>
          <w:marBottom w:val="0"/>
          <w:divBdr>
            <w:top w:val="none" w:sz="0" w:space="0" w:color="auto"/>
            <w:left w:val="none" w:sz="0" w:space="0" w:color="auto"/>
            <w:bottom w:val="none" w:sz="0" w:space="0" w:color="auto"/>
            <w:right w:val="none" w:sz="0" w:space="0" w:color="auto"/>
          </w:divBdr>
        </w:div>
        <w:div w:id="1510213084">
          <w:marLeft w:val="360"/>
          <w:marRight w:val="0"/>
          <w:marTop w:val="200"/>
          <w:marBottom w:val="0"/>
          <w:divBdr>
            <w:top w:val="none" w:sz="0" w:space="0" w:color="auto"/>
            <w:left w:val="none" w:sz="0" w:space="0" w:color="auto"/>
            <w:bottom w:val="none" w:sz="0" w:space="0" w:color="auto"/>
            <w:right w:val="none" w:sz="0" w:space="0" w:color="auto"/>
          </w:divBdr>
        </w:div>
        <w:div w:id="1736779072">
          <w:marLeft w:val="360"/>
          <w:marRight w:val="0"/>
          <w:marTop w:val="200"/>
          <w:marBottom w:val="0"/>
          <w:divBdr>
            <w:top w:val="none" w:sz="0" w:space="0" w:color="auto"/>
            <w:left w:val="none" w:sz="0" w:space="0" w:color="auto"/>
            <w:bottom w:val="none" w:sz="0" w:space="0" w:color="auto"/>
            <w:right w:val="none" w:sz="0" w:space="0" w:color="auto"/>
          </w:divBdr>
        </w:div>
        <w:div w:id="1182430084">
          <w:marLeft w:val="360"/>
          <w:marRight w:val="0"/>
          <w:marTop w:val="200"/>
          <w:marBottom w:val="0"/>
          <w:divBdr>
            <w:top w:val="none" w:sz="0" w:space="0" w:color="auto"/>
            <w:left w:val="none" w:sz="0" w:space="0" w:color="auto"/>
            <w:bottom w:val="none" w:sz="0" w:space="0" w:color="auto"/>
            <w:right w:val="none" w:sz="0" w:space="0" w:color="auto"/>
          </w:divBdr>
        </w:div>
      </w:divsChild>
    </w:div>
    <w:div w:id="901214414">
      <w:bodyDiv w:val="1"/>
      <w:marLeft w:val="0"/>
      <w:marRight w:val="0"/>
      <w:marTop w:val="0"/>
      <w:marBottom w:val="0"/>
      <w:divBdr>
        <w:top w:val="none" w:sz="0" w:space="0" w:color="auto"/>
        <w:left w:val="none" w:sz="0" w:space="0" w:color="auto"/>
        <w:bottom w:val="none" w:sz="0" w:space="0" w:color="auto"/>
        <w:right w:val="none" w:sz="0" w:space="0" w:color="auto"/>
      </w:divBdr>
      <w:divsChild>
        <w:div w:id="1770273908">
          <w:marLeft w:val="806"/>
          <w:marRight w:val="0"/>
          <w:marTop w:val="200"/>
          <w:marBottom w:val="0"/>
          <w:divBdr>
            <w:top w:val="none" w:sz="0" w:space="0" w:color="auto"/>
            <w:left w:val="none" w:sz="0" w:space="0" w:color="auto"/>
            <w:bottom w:val="none" w:sz="0" w:space="0" w:color="auto"/>
            <w:right w:val="none" w:sz="0" w:space="0" w:color="auto"/>
          </w:divBdr>
        </w:div>
      </w:divsChild>
    </w:div>
    <w:div w:id="1055734276">
      <w:bodyDiv w:val="1"/>
      <w:marLeft w:val="0"/>
      <w:marRight w:val="0"/>
      <w:marTop w:val="0"/>
      <w:marBottom w:val="0"/>
      <w:divBdr>
        <w:top w:val="none" w:sz="0" w:space="0" w:color="auto"/>
        <w:left w:val="none" w:sz="0" w:space="0" w:color="auto"/>
        <w:bottom w:val="none" w:sz="0" w:space="0" w:color="auto"/>
        <w:right w:val="none" w:sz="0" w:space="0" w:color="auto"/>
      </w:divBdr>
    </w:div>
    <w:div w:id="1068696373">
      <w:bodyDiv w:val="1"/>
      <w:marLeft w:val="0"/>
      <w:marRight w:val="0"/>
      <w:marTop w:val="0"/>
      <w:marBottom w:val="0"/>
      <w:divBdr>
        <w:top w:val="none" w:sz="0" w:space="0" w:color="auto"/>
        <w:left w:val="none" w:sz="0" w:space="0" w:color="auto"/>
        <w:bottom w:val="none" w:sz="0" w:space="0" w:color="auto"/>
        <w:right w:val="none" w:sz="0" w:space="0" w:color="auto"/>
      </w:divBdr>
    </w:div>
    <w:div w:id="1319505132">
      <w:bodyDiv w:val="1"/>
      <w:marLeft w:val="0"/>
      <w:marRight w:val="0"/>
      <w:marTop w:val="0"/>
      <w:marBottom w:val="0"/>
      <w:divBdr>
        <w:top w:val="none" w:sz="0" w:space="0" w:color="auto"/>
        <w:left w:val="none" w:sz="0" w:space="0" w:color="auto"/>
        <w:bottom w:val="none" w:sz="0" w:space="0" w:color="auto"/>
        <w:right w:val="none" w:sz="0" w:space="0" w:color="auto"/>
      </w:divBdr>
      <w:divsChild>
        <w:div w:id="1826773603">
          <w:marLeft w:val="360"/>
          <w:marRight w:val="0"/>
          <w:marTop w:val="200"/>
          <w:marBottom w:val="0"/>
          <w:divBdr>
            <w:top w:val="none" w:sz="0" w:space="0" w:color="auto"/>
            <w:left w:val="none" w:sz="0" w:space="0" w:color="auto"/>
            <w:bottom w:val="none" w:sz="0" w:space="0" w:color="auto"/>
            <w:right w:val="none" w:sz="0" w:space="0" w:color="auto"/>
          </w:divBdr>
        </w:div>
        <w:div w:id="1079211360">
          <w:marLeft w:val="360"/>
          <w:marRight w:val="0"/>
          <w:marTop w:val="200"/>
          <w:marBottom w:val="0"/>
          <w:divBdr>
            <w:top w:val="none" w:sz="0" w:space="0" w:color="auto"/>
            <w:left w:val="none" w:sz="0" w:space="0" w:color="auto"/>
            <w:bottom w:val="none" w:sz="0" w:space="0" w:color="auto"/>
            <w:right w:val="none" w:sz="0" w:space="0" w:color="auto"/>
          </w:divBdr>
        </w:div>
        <w:div w:id="557471916">
          <w:marLeft w:val="360"/>
          <w:marRight w:val="0"/>
          <w:marTop w:val="200"/>
          <w:marBottom w:val="0"/>
          <w:divBdr>
            <w:top w:val="none" w:sz="0" w:space="0" w:color="auto"/>
            <w:left w:val="none" w:sz="0" w:space="0" w:color="auto"/>
            <w:bottom w:val="none" w:sz="0" w:space="0" w:color="auto"/>
            <w:right w:val="none" w:sz="0" w:space="0" w:color="auto"/>
          </w:divBdr>
        </w:div>
        <w:div w:id="308941447">
          <w:marLeft w:val="360"/>
          <w:marRight w:val="0"/>
          <w:marTop w:val="200"/>
          <w:marBottom w:val="0"/>
          <w:divBdr>
            <w:top w:val="none" w:sz="0" w:space="0" w:color="auto"/>
            <w:left w:val="none" w:sz="0" w:space="0" w:color="auto"/>
            <w:bottom w:val="none" w:sz="0" w:space="0" w:color="auto"/>
            <w:right w:val="none" w:sz="0" w:space="0" w:color="auto"/>
          </w:divBdr>
        </w:div>
      </w:divsChild>
    </w:div>
    <w:div w:id="1403602173">
      <w:bodyDiv w:val="1"/>
      <w:marLeft w:val="0"/>
      <w:marRight w:val="0"/>
      <w:marTop w:val="0"/>
      <w:marBottom w:val="0"/>
      <w:divBdr>
        <w:top w:val="none" w:sz="0" w:space="0" w:color="auto"/>
        <w:left w:val="none" w:sz="0" w:space="0" w:color="auto"/>
        <w:bottom w:val="none" w:sz="0" w:space="0" w:color="auto"/>
        <w:right w:val="none" w:sz="0" w:space="0" w:color="auto"/>
      </w:divBdr>
    </w:div>
    <w:div w:id="1417744411">
      <w:bodyDiv w:val="1"/>
      <w:marLeft w:val="0"/>
      <w:marRight w:val="0"/>
      <w:marTop w:val="0"/>
      <w:marBottom w:val="0"/>
      <w:divBdr>
        <w:top w:val="none" w:sz="0" w:space="0" w:color="auto"/>
        <w:left w:val="none" w:sz="0" w:space="0" w:color="auto"/>
        <w:bottom w:val="none" w:sz="0" w:space="0" w:color="auto"/>
        <w:right w:val="none" w:sz="0" w:space="0" w:color="auto"/>
      </w:divBdr>
    </w:div>
    <w:div w:id="1617524601">
      <w:bodyDiv w:val="1"/>
      <w:marLeft w:val="0"/>
      <w:marRight w:val="0"/>
      <w:marTop w:val="0"/>
      <w:marBottom w:val="0"/>
      <w:divBdr>
        <w:top w:val="none" w:sz="0" w:space="0" w:color="auto"/>
        <w:left w:val="none" w:sz="0" w:space="0" w:color="auto"/>
        <w:bottom w:val="none" w:sz="0" w:space="0" w:color="auto"/>
        <w:right w:val="none" w:sz="0" w:space="0" w:color="auto"/>
      </w:divBdr>
    </w:div>
    <w:div w:id="2087414871">
      <w:bodyDiv w:val="1"/>
      <w:marLeft w:val="0"/>
      <w:marRight w:val="0"/>
      <w:marTop w:val="0"/>
      <w:marBottom w:val="0"/>
      <w:divBdr>
        <w:top w:val="none" w:sz="0" w:space="0" w:color="auto"/>
        <w:left w:val="none" w:sz="0" w:space="0" w:color="auto"/>
        <w:bottom w:val="none" w:sz="0" w:space="0" w:color="auto"/>
        <w:right w:val="none" w:sz="0" w:space="0" w:color="auto"/>
      </w:divBdr>
      <w:divsChild>
        <w:div w:id="1767260938">
          <w:marLeft w:val="360"/>
          <w:marRight w:val="0"/>
          <w:marTop w:val="200"/>
          <w:marBottom w:val="0"/>
          <w:divBdr>
            <w:top w:val="none" w:sz="0" w:space="0" w:color="auto"/>
            <w:left w:val="none" w:sz="0" w:space="0" w:color="auto"/>
            <w:bottom w:val="none" w:sz="0" w:space="0" w:color="auto"/>
            <w:right w:val="none" w:sz="0" w:space="0" w:color="auto"/>
          </w:divBdr>
        </w:div>
        <w:div w:id="503981464">
          <w:marLeft w:val="360"/>
          <w:marRight w:val="0"/>
          <w:marTop w:val="200"/>
          <w:marBottom w:val="0"/>
          <w:divBdr>
            <w:top w:val="none" w:sz="0" w:space="0" w:color="auto"/>
            <w:left w:val="none" w:sz="0" w:space="0" w:color="auto"/>
            <w:bottom w:val="none" w:sz="0" w:space="0" w:color="auto"/>
            <w:right w:val="none" w:sz="0" w:space="0" w:color="auto"/>
          </w:divBdr>
        </w:div>
        <w:div w:id="1512451916">
          <w:marLeft w:val="360"/>
          <w:marRight w:val="0"/>
          <w:marTop w:val="200"/>
          <w:marBottom w:val="0"/>
          <w:divBdr>
            <w:top w:val="none" w:sz="0" w:space="0" w:color="auto"/>
            <w:left w:val="none" w:sz="0" w:space="0" w:color="auto"/>
            <w:bottom w:val="none" w:sz="0" w:space="0" w:color="auto"/>
            <w:right w:val="none" w:sz="0" w:space="0" w:color="auto"/>
          </w:divBdr>
        </w:div>
        <w:div w:id="1014500146">
          <w:marLeft w:val="360"/>
          <w:marRight w:val="0"/>
          <w:marTop w:val="200"/>
          <w:marBottom w:val="0"/>
          <w:divBdr>
            <w:top w:val="none" w:sz="0" w:space="0" w:color="auto"/>
            <w:left w:val="none" w:sz="0" w:space="0" w:color="auto"/>
            <w:bottom w:val="none" w:sz="0" w:space="0" w:color="auto"/>
            <w:right w:val="none" w:sz="0" w:space="0" w:color="auto"/>
          </w:divBdr>
        </w:div>
        <w:div w:id="1211570153">
          <w:marLeft w:val="360"/>
          <w:marRight w:val="0"/>
          <w:marTop w:val="200"/>
          <w:marBottom w:val="0"/>
          <w:divBdr>
            <w:top w:val="none" w:sz="0" w:space="0" w:color="auto"/>
            <w:left w:val="none" w:sz="0" w:space="0" w:color="auto"/>
            <w:bottom w:val="none" w:sz="0" w:space="0" w:color="auto"/>
            <w:right w:val="none" w:sz="0" w:space="0" w:color="auto"/>
          </w:divBdr>
        </w:div>
        <w:div w:id="284850197">
          <w:marLeft w:val="360"/>
          <w:marRight w:val="0"/>
          <w:marTop w:val="200"/>
          <w:marBottom w:val="0"/>
          <w:divBdr>
            <w:top w:val="none" w:sz="0" w:space="0" w:color="auto"/>
            <w:left w:val="none" w:sz="0" w:space="0" w:color="auto"/>
            <w:bottom w:val="none" w:sz="0" w:space="0" w:color="auto"/>
            <w:right w:val="none" w:sz="0" w:space="0" w:color="auto"/>
          </w:divBdr>
        </w:div>
        <w:div w:id="19990686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2.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e6de6f4a163210476040df223df441e8">
  <xsd:schema xmlns:xsd="http://www.w3.org/2001/XMLSchema" xmlns:xs="http://www.w3.org/2001/XMLSchema" xmlns:p="http://schemas.microsoft.com/office/2006/metadata/properties" xmlns:ns2="83ed2304-0f0e-45ba-b0cc-7d360cbc1769" targetNamespace="http://schemas.microsoft.com/office/2006/metadata/properties" ma:root="true" ma:fieldsID="75b7e553a872fe2836fe2ecc2b8c7ab0"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2.xml><?xml version="1.0" encoding="utf-8"?>
<ds:datastoreItem xmlns:ds="http://schemas.openxmlformats.org/officeDocument/2006/customXml" ds:itemID="{BBF204ED-984C-407A-92BA-8E5AD42E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4.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5.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6.xml><?xml version="1.0" encoding="utf-8"?>
<ds:datastoreItem xmlns:ds="http://schemas.openxmlformats.org/officeDocument/2006/customXml" ds:itemID="{3AB80316-FEDF-4CB9-9092-FC8E2FB8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subject/>
  <dc:creator>DGO</dc:creator>
  <cp:keywords/>
  <dc:description/>
  <cp:lastModifiedBy>Svetlana Iazykova</cp:lastModifiedBy>
  <cp:revision>2</cp:revision>
  <cp:lastPrinted>2008-06-06T15:39:00Z</cp:lastPrinted>
  <dcterms:created xsi:type="dcterms:W3CDTF">2017-10-16T21:32:00Z</dcterms:created>
  <dcterms:modified xsi:type="dcterms:W3CDTF">2017-10-16T21:32:00Z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