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83801" w14:textId="77777777" w:rsidR="005C6168" w:rsidRPr="00F61CCD" w:rsidRDefault="006A542A" w:rsidP="006A542A">
      <w:pPr>
        <w:pStyle w:val="Heading3"/>
        <w:jc w:val="left"/>
        <w:rPr>
          <w:rFonts w:asciiTheme="minorHAnsi" w:hAnsiTheme="minorHAnsi"/>
          <w:sz w:val="22"/>
          <w:szCs w:val="22"/>
        </w:rPr>
      </w:pPr>
      <w:bookmarkStart w:id="0" w:name="_GoBack"/>
      <w:bookmarkEnd w:id="0"/>
      <w:r w:rsidRPr="00F61CCD">
        <w:rPr>
          <w:rFonts w:asciiTheme="minorHAnsi" w:hAnsiTheme="minorHAnsi"/>
          <w:sz w:val="22"/>
          <w:szCs w:val="22"/>
        </w:rPr>
        <w:t>Country:</w:t>
      </w:r>
      <w:r w:rsidRPr="00F61CCD">
        <w:rPr>
          <w:rFonts w:asciiTheme="minorHAnsi" w:hAnsiTheme="minorHAnsi"/>
          <w:sz w:val="22"/>
          <w:szCs w:val="22"/>
        </w:rPr>
        <w:tab/>
      </w:r>
      <w:r w:rsidRPr="00F61CCD">
        <w:rPr>
          <w:rFonts w:asciiTheme="minorHAnsi" w:hAnsiTheme="minorHAnsi"/>
          <w:sz w:val="22"/>
          <w:szCs w:val="22"/>
        </w:rPr>
        <w:tab/>
        <w:t>LESOTHO</w:t>
      </w:r>
    </w:p>
    <w:p w14:paraId="4A9936DC" w14:textId="77777777" w:rsidR="005C6168" w:rsidRPr="00F61CCD" w:rsidRDefault="00BC38E0">
      <w:pPr>
        <w:pStyle w:val="Heading3"/>
        <w:rPr>
          <w:rFonts w:asciiTheme="minorHAnsi" w:hAnsiTheme="minorHAnsi"/>
          <w:b/>
          <w:bCs w:val="0"/>
          <w:sz w:val="22"/>
          <w:szCs w:val="22"/>
        </w:rPr>
      </w:pPr>
      <w:r w:rsidRPr="00F61CCD">
        <w:rPr>
          <w:rFonts w:asciiTheme="minorHAnsi" w:hAnsiTheme="minorHAnsi"/>
          <w:b/>
          <w:bCs w:val="0"/>
          <w:sz w:val="22"/>
          <w:szCs w:val="22"/>
        </w:rPr>
        <w:t>COUNTRY PROGRAMME</w:t>
      </w:r>
      <w:r w:rsidR="00B32ADA" w:rsidRPr="00F61CCD">
        <w:rPr>
          <w:rFonts w:asciiTheme="minorHAnsi" w:hAnsiTheme="minorHAnsi"/>
          <w:b/>
          <w:bCs w:val="0"/>
          <w:sz w:val="22"/>
          <w:szCs w:val="22"/>
        </w:rPr>
        <w:t xml:space="preserve"> PERFORMANCE SUMMARY</w:t>
      </w:r>
      <w:r w:rsidR="001F3524" w:rsidRPr="00F61CCD">
        <w:rPr>
          <w:rStyle w:val="FootnoteReference"/>
          <w:rFonts w:asciiTheme="minorHAnsi" w:hAnsiTheme="minorHAnsi"/>
          <w:b/>
          <w:bCs w:val="0"/>
          <w:sz w:val="22"/>
          <w:szCs w:val="22"/>
        </w:rPr>
        <w:footnoteReference w:id="1"/>
      </w:r>
    </w:p>
    <w:p w14:paraId="72DA6E1C" w14:textId="77777777" w:rsidR="005C6168" w:rsidRPr="00F61CCD" w:rsidRDefault="005C6168">
      <w:pPr>
        <w:pStyle w:val="Heading3"/>
        <w:rPr>
          <w:rFonts w:asciiTheme="minorHAnsi" w:hAnsiTheme="minorHAnsi"/>
          <w:b/>
          <w:sz w:val="22"/>
          <w:szCs w:val="22"/>
        </w:rPr>
      </w:pPr>
    </w:p>
    <w:p w14:paraId="40BF2BD2" w14:textId="13306F0C" w:rsidR="005C6168" w:rsidRPr="00F61CCD" w:rsidRDefault="006A542A" w:rsidP="006A542A">
      <w:pPr>
        <w:pStyle w:val="Heading3"/>
        <w:jc w:val="left"/>
        <w:rPr>
          <w:rFonts w:asciiTheme="minorHAnsi" w:hAnsiTheme="minorHAnsi"/>
          <w:sz w:val="22"/>
          <w:szCs w:val="22"/>
        </w:rPr>
      </w:pPr>
      <w:r w:rsidRPr="00F61CCD">
        <w:rPr>
          <w:rFonts w:asciiTheme="minorHAnsi" w:hAnsiTheme="minorHAnsi"/>
          <w:sz w:val="22"/>
          <w:szCs w:val="22"/>
        </w:rPr>
        <w:t xml:space="preserve">Reporting period: </w:t>
      </w:r>
      <w:r w:rsidRPr="00F61CCD">
        <w:rPr>
          <w:rFonts w:asciiTheme="minorHAnsi" w:hAnsiTheme="minorHAnsi"/>
          <w:sz w:val="22"/>
          <w:szCs w:val="22"/>
        </w:rPr>
        <w:tab/>
        <w:t>2013 -201</w:t>
      </w:r>
      <w:r w:rsidR="001B5A59">
        <w:rPr>
          <w:rFonts w:asciiTheme="minorHAnsi" w:hAnsiTheme="minorHAnsi"/>
          <w:sz w:val="22"/>
          <w:szCs w:val="22"/>
        </w:rPr>
        <w:t>8</w:t>
      </w:r>
    </w:p>
    <w:p w14:paraId="0100F6AD" w14:textId="77777777" w:rsidR="005C6168" w:rsidRPr="00F61CCD" w:rsidRDefault="005C6168">
      <w:pPr>
        <w:rPr>
          <w:rFonts w:asciiTheme="minorHAnsi" w:hAnsiTheme="minorHAnsi"/>
          <w:sz w:val="22"/>
          <w:szCs w:val="22"/>
        </w:rPr>
      </w:pPr>
    </w:p>
    <w:p w14:paraId="1D040718" w14:textId="77777777" w:rsidR="005C6168" w:rsidRPr="00F61CCD" w:rsidRDefault="005C6168" w:rsidP="00547893">
      <w:pPr>
        <w:pStyle w:val="Heading3"/>
        <w:jc w:val="left"/>
        <w:rPr>
          <w:rFonts w:asciiTheme="minorHAnsi" w:hAnsiTheme="minorHAnsi"/>
          <w:b/>
          <w:bCs w:val="0"/>
          <w:sz w:val="22"/>
          <w:szCs w:val="22"/>
        </w:rPr>
      </w:pPr>
      <w:r w:rsidRPr="00F61CCD">
        <w:rPr>
          <w:rFonts w:asciiTheme="minorHAnsi" w:hAnsiTheme="minorHAnsi"/>
          <w:b/>
          <w:bCs w:val="0"/>
          <w:sz w:val="22"/>
          <w:szCs w:val="22"/>
        </w:rPr>
        <w:t xml:space="preserve">I.  </w:t>
      </w:r>
      <w:r w:rsidR="0064746F" w:rsidRPr="00F61CCD">
        <w:rPr>
          <w:rFonts w:asciiTheme="minorHAnsi" w:hAnsiTheme="minorHAnsi"/>
          <w:b/>
          <w:bCs w:val="0"/>
          <w:sz w:val="22"/>
          <w:szCs w:val="22"/>
        </w:rPr>
        <w:t>EXECUTIVE SUMMARY</w:t>
      </w:r>
      <w:r w:rsidR="00760E32" w:rsidRPr="00F61CCD">
        <w:rPr>
          <w:rFonts w:asciiTheme="minorHAnsi" w:hAnsiTheme="minorHAnsi"/>
          <w:b/>
          <w:bCs w:val="0"/>
          <w:sz w:val="22"/>
          <w:szCs w:val="22"/>
        </w:rPr>
        <w:t xml:space="preserve"> </w:t>
      </w:r>
    </w:p>
    <w:p w14:paraId="3E90D8B2" w14:textId="77777777" w:rsidR="00547893" w:rsidRPr="00F61CCD" w:rsidRDefault="00547893" w:rsidP="00547893">
      <w:pPr>
        <w:widowControl/>
        <w:jc w:val="both"/>
        <w:rPr>
          <w:rFonts w:asciiTheme="minorHAnsi" w:hAnsiTheme="minorHAnsi"/>
          <w:sz w:val="22"/>
          <w:szCs w:val="22"/>
          <w:lang w:val="en-GB"/>
        </w:rPr>
      </w:pPr>
    </w:p>
    <w:p w14:paraId="55D5F3C0" w14:textId="77777777" w:rsidR="00547893" w:rsidRPr="00F61CCD" w:rsidRDefault="00547893" w:rsidP="00547893">
      <w:pPr>
        <w:widowControl/>
        <w:jc w:val="both"/>
        <w:rPr>
          <w:rFonts w:asciiTheme="minorHAnsi" w:hAnsiTheme="minorHAnsi"/>
          <w:b/>
          <w:sz w:val="22"/>
          <w:szCs w:val="22"/>
          <w:lang w:val="en-GB"/>
        </w:rPr>
      </w:pPr>
      <w:r w:rsidRPr="00F61CCD">
        <w:rPr>
          <w:rFonts w:asciiTheme="minorHAnsi" w:hAnsiTheme="minorHAnsi"/>
          <w:b/>
          <w:sz w:val="22"/>
          <w:szCs w:val="22"/>
          <w:lang w:val="en-GB"/>
        </w:rPr>
        <w:t>INTRODUCTION</w:t>
      </w:r>
    </w:p>
    <w:p w14:paraId="4E83D1EA" w14:textId="6298AE5F" w:rsidR="00234529" w:rsidRPr="00F61CCD" w:rsidRDefault="00234529" w:rsidP="00547893">
      <w:pPr>
        <w:widowControl/>
        <w:jc w:val="both"/>
        <w:rPr>
          <w:rFonts w:asciiTheme="minorHAnsi" w:hAnsiTheme="minorHAnsi"/>
          <w:sz w:val="22"/>
          <w:szCs w:val="22"/>
        </w:rPr>
      </w:pPr>
      <w:r w:rsidRPr="00F61CCD">
        <w:rPr>
          <w:rFonts w:asciiTheme="minorHAnsi" w:hAnsiTheme="minorHAnsi"/>
          <w:sz w:val="22"/>
          <w:szCs w:val="22"/>
          <w:lang w:val="en-GB"/>
        </w:rPr>
        <w:t xml:space="preserve">Lesotho </w:t>
      </w:r>
      <w:r w:rsidRPr="00F61CCD">
        <w:rPr>
          <w:rFonts w:asciiTheme="minorHAnsi" w:hAnsiTheme="minorHAnsi"/>
          <w:sz w:val="22"/>
          <w:szCs w:val="22"/>
        </w:rPr>
        <w:t xml:space="preserve">is classified as a low human development country with a HDI value 0.497 ranking it </w:t>
      </w:r>
      <w:r w:rsidR="00C51780">
        <w:rPr>
          <w:rFonts w:asciiTheme="minorHAnsi" w:hAnsiTheme="minorHAnsi"/>
          <w:sz w:val="22"/>
          <w:szCs w:val="22"/>
        </w:rPr>
        <w:t>160 out of 188 countries in 2016 (UNDP HDR, 2017</w:t>
      </w:r>
      <w:r w:rsidRPr="00F61CCD">
        <w:rPr>
          <w:rFonts w:asciiTheme="minorHAnsi" w:hAnsiTheme="minorHAnsi"/>
          <w:sz w:val="22"/>
          <w:szCs w:val="22"/>
        </w:rPr>
        <w:t xml:space="preserve">). </w:t>
      </w:r>
      <w:r w:rsidR="00424EC8" w:rsidRPr="00F61CCD">
        <w:rPr>
          <w:rFonts w:asciiTheme="minorHAnsi" w:hAnsiTheme="minorHAnsi"/>
          <w:sz w:val="22"/>
          <w:szCs w:val="22"/>
        </w:rPr>
        <w:t>The country has</w:t>
      </w:r>
      <w:r w:rsidR="00FB0137">
        <w:rPr>
          <w:rFonts w:asciiTheme="minorHAnsi" w:hAnsiTheme="minorHAnsi"/>
          <w:sz w:val="22"/>
          <w:szCs w:val="22"/>
        </w:rPr>
        <w:t xml:space="preserve"> persistently </w:t>
      </w:r>
      <w:r w:rsidR="00424EC8" w:rsidRPr="00F61CCD">
        <w:rPr>
          <w:rFonts w:asciiTheme="minorHAnsi" w:hAnsiTheme="minorHAnsi"/>
          <w:sz w:val="22"/>
          <w:szCs w:val="22"/>
        </w:rPr>
        <w:t xml:space="preserve"> faced a number of challenges </w:t>
      </w:r>
      <w:r w:rsidR="00EF6CC7" w:rsidRPr="00F61CCD">
        <w:rPr>
          <w:rFonts w:asciiTheme="minorHAnsi" w:hAnsiTheme="minorHAnsi"/>
          <w:sz w:val="22"/>
          <w:szCs w:val="22"/>
        </w:rPr>
        <w:t>major being</w:t>
      </w:r>
      <w:r w:rsidR="00424EC8" w:rsidRPr="00F61CCD">
        <w:rPr>
          <w:rFonts w:asciiTheme="minorHAnsi" w:hAnsiTheme="minorHAnsi"/>
          <w:sz w:val="22"/>
          <w:szCs w:val="22"/>
        </w:rPr>
        <w:t xml:space="preserve">, </w:t>
      </w:r>
      <w:r w:rsidR="00B0434E" w:rsidRPr="00F61CCD">
        <w:rPr>
          <w:rFonts w:asciiTheme="minorHAnsi" w:hAnsiTheme="minorHAnsi"/>
          <w:sz w:val="22"/>
          <w:szCs w:val="22"/>
          <w:lang w:val="en-GB"/>
        </w:rPr>
        <w:t xml:space="preserve"> insecurity and political uncertainty with implications for stability, a slowdown of the economy as a result of low investor confidence, declining revenues and disenchantment of international development partners with Lesotho’s governance and </w:t>
      </w:r>
      <w:r w:rsidR="00B0434E" w:rsidRPr="00F61CCD">
        <w:rPr>
          <w:rFonts w:asciiTheme="minorHAnsi" w:hAnsiTheme="minorHAnsi"/>
          <w:sz w:val="22"/>
          <w:szCs w:val="22"/>
        </w:rPr>
        <w:t xml:space="preserve">a humanitarian emergency </w:t>
      </w:r>
      <w:r w:rsidR="00EF6CC7" w:rsidRPr="00F61CCD">
        <w:rPr>
          <w:rFonts w:asciiTheme="minorHAnsi" w:hAnsiTheme="minorHAnsi"/>
          <w:sz w:val="22"/>
          <w:szCs w:val="22"/>
        </w:rPr>
        <w:t xml:space="preserve">compounded by </w:t>
      </w:r>
      <w:r w:rsidR="00B0434E" w:rsidRPr="00F61CCD">
        <w:rPr>
          <w:rFonts w:asciiTheme="minorHAnsi" w:hAnsiTheme="minorHAnsi"/>
          <w:sz w:val="22"/>
          <w:szCs w:val="22"/>
        </w:rPr>
        <w:t>an El Niño-induced drought</w:t>
      </w:r>
      <w:r w:rsidR="00FB0137">
        <w:rPr>
          <w:rFonts w:asciiTheme="minorHAnsi" w:hAnsiTheme="minorHAnsi"/>
          <w:sz w:val="22"/>
          <w:szCs w:val="22"/>
        </w:rPr>
        <w:t xml:space="preserve"> </w:t>
      </w:r>
      <w:r w:rsidR="00D71412" w:rsidRPr="00F61CCD">
        <w:rPr>
          <w:rFonts w:asciiTheme="minorHAnsi" w:hAnsiTheme="minorHAnsi"/>
          <w:sz w:val="22"/>
          <w:szCs w:val="22"/>
        </w:rPr>
        <w:t xml:space="preserve">in </w:t>
      </w:r>
      <w:r w:rsidR="00081490" w:rsidRPr="00F61CCD">
        <w:rPr>
          <w:rFonts w:asciiTheme="minorHAnsi" w:hAnsiTheme="minorHAnsi"/>
          <w:sz w:val="22"/>
          <w:szCs w:val="22"/>
        </w:rPr>
        <w:t>mid-</w:t>
      </w:r>
      <w:r w:rsidR="00EF6CC7" w:rsidRPr="00F61CCD">
        <w:rPr>
          <w:rFonts w:asciiTheme="minorHAnsi" w:hAnsiTheme="minorHAnsi"/>
          <w:sz w:val="22"/>
          <w:szCs w:val="22"/>
        </w:rPr>
        <w:t>2015</w:t>
      </w:r>
      <w:r w:rsidR="00B0434E" w:rsidRPr="00F61CCD">
        <w:rPr>
          <w:rFonts w:asciiTheme="minorHAnsi" w:hAnsiTheme="minorHAnsi"/>
          <w:sz w:val="22"/>
          <w:szCs w:val="22"/>
        </w:rPr>
        <w:t>.</w:t>
      </w:r>
      <w:r w:rsidR="00DD2DF0" w:rsidRPr="00F61CCD">
        <w:rPr>
          <w:rFonts w:asciiTheme="minorHAnsi" w:hAnsiTheme="minorHAnsi"/>
          <w:sz w:val="22"/>
          <w:szCs w:val="22"/>
        </w:rPr>
        <w:t xml:space="preserve"> </w:t>
      </w:r>
      <w:r w:rsidR="004D438B" w:rsidRPr="00F61CCD">
        <w:rPr>
          <w:rFonts w:asciiTheme="minorHAnsi" w:hAnsiTheme="minorHAnsi"/>
          <w:sz w:val="22"/>
          <w:szCs w:val="22"/>
        </w:rPr>
        <w:t xml:space="preserve">The </w:t>
      </w:r>
      <w:r w:rsidR="004D438B" w:rsidRPr="00F61CCD">
        <w:rPr>
          <w:rFonts w:asciiTheme="minorHAnsi" w:hAnsiTheme="minorHAnsi"/>
          <w:sz w:val="22"/>
          <w:szCs w:val="22"/>
          <w:lang w:val="en-GB"/>
        </w:rPr>
        <w:t>2013-201</w:t>
      </w:r>
      <w:r w:rsidR="00AA288A">
        <w:rPr>
          <w:rFonts w:asciiTheme="minorHAnsi" w:hAnsiTheme="minorHAnsi"/>
          <w:sz w:val="22"/>
          <w:szCs w:val="22"/>
          <w:lang w:val="en-GB"/>
        </w:rPr>
        <w:t>8</w:t>
      </w:r>
      <w:r w:rsidR="004D438B" w:rsidRPr="00F61CCD">
        <w:rPr>
          <w:rFonts w:asciiTheme="minorHAnsi" w:hAnsiTheme="minorHAnsi"/>
          <w:sz w:val="22"/>
          <w:szCs w:val="22"/>
          <w:lang w:val="en-GB"/>
        </w:rPr>
        <w:t xml:space="preserve"> Country Programme Document (CPD) was developed within the </w:t>
      </w:r>
      <w:r w:rsidR="00527524">
        <w:rPr>
          <w:rFonts w:asciiTheme="minorHAnsi" w:hAnsiTheme="minorHAnsi"/>
          <w:sz w:val="22"/>
          <w:szCs w:val="22"/>
          <w:lang w:val="en-GB"/>
        </w:rPr>
        <w:t xml:space="preserve">framework of the </w:t>
      </w:r>
      <w:r w:rsidR="00FB0137">
        <w:rPr>
          <w:rFonts w:asciiTheme="minorHAnsi" w:hAnsiTheme="minorHAnsi"/>
          <w:sz w:val="22"/>
          <w:szCs w:val="22"/>
          <w:lang w:val="en-GB"/>
        </w:rPr>
        <w:t xml:space="preserve">Lesotho </w:t>
      </w:r>
      <w:r w:rsidR="004D438B" w:rsidRPr="00F61CCD">
        <w:rPr>
          <w:rFonts w:asciiTheme="minorHAnsi" w:hAnsiTheme="minorHAnsi"/>
          <w:sz w:val="22"/>
          <w:szCs w:val="22"/>
          <w:lang w:val="en-GB"/>
        </w:rPr>
        <w:t>United Nations Development Assistance Framework</w:t>
      </w:r>
      <w:r w:rsidR="008D0E3C">
        <w:rPr>
          <w:rFonts w:asciiTheme="minorHAnsi" w:hAnsiTheme="minorHAnsi"/>
          <w:sz w:val="22"/>
          <w:szCs w:val="22"/>
          <w:lang w:val="en-GB"/>
        </w:rPr>
        <w:t>(</w:t>
      </w:r>
      <w:r w:rsidR="00FB0137">
        <w:rPr>
          <w:rFonts w:asciiTheme="minorHAnsi" w:hAnsiTheme="minorHAnsi"/>
          <w:sz w:val="22"/>
          <w:szCs w:val="22"/>
          <w:lang w:val="en-GB"/>
        </w:rPr>
        <w:t>L</w:t>
      </w:r>
      <w:r w:rsidR="008D0E3C">
        <w:rPr>
          <w:rFonts w:asciiTheme="minorHAnsi" w:hAnsiTheme="minorHAnsi"/>
          <w:sz w:val="22"/>
          <w:szCs w:val="22"/>
          <w:lang w:val="en-GB"/>
        </w:rPr>
        <w:t>UNDAF)</w:t>
      </w:r>
      <w:r w:rsidR="004D438B" w:rsidRPr="00F61CCD">
        <w:rPr>
          <w:rFonts w:asciiTheme="minorHAnsi" w:hAnsiTheme="minorHAnsi"/>
          <w:sz w:val="22"/>
          <w:szCs w:val="22"/>
          <w:lang w:val="en-GB"/>
        </w:rPr>
        <w:t xml:space="preserve"> </w:t>
      </w:r>
      <w:r w:rsidR="002676D5">
        <w:rPr>
          <w:rFonts w:asciiTheme="minorHAnsi" w:hAnsiTheme="minorHAnsi"/>
          <w:sz w:val="22"/>
          <w:szCs w:val="22"/>
          <w:lang w:val="en-GB"/>
        </w:rPr>
        <w:t xml:space="preserve">and </w:t>
      </w:r>
      <w:r w:rsidR="004D438B" w:rsidRPr="00F61CCD">
        <w:rPr>
          <w:rFonts w:asciiTheme="minorHAnsi" w:hAnsiTheme="minorHAnsi"/>
          <w:sz w:val="22"/>
          <w:szCs w:val="22"/>
          <w:lang w:val="en-GB"/>
        </w:rPr>
        <w:t>converging towards a Delivery as One programme. The country office has implemented th</w:t>
      </w:r>
      <w:r w:rsidR="00DD71DC">
        <w:rPr>
          <w:rFonts w:asciiTheme="minorHAnsi" w:hAnsiTheme="minorHAnsi"/>
          <w:sz w:val="22"/>
          <w:szCs w:val="22"/>
          <w:lang w:val="en-GB"/>
        </w:rPr>
        <w:t>e</w:t>
      </w:r>
      <w:r w:rsidR="004D438B" w:rsidRPr="00F61CCD">
        <w:rPr>
          <w:rFonts w:asciiTheme="minorHAnsi" w:hAnsiTheme="minorHAnsi"/>
          <w:sz w:val="22"/>
          <w:szCs w:val="22"/>
          <w:lang w:val="en-GB"/>
        </w:rPr>
        <w:t xml:space="preserve"> CPD </w:t>
      </w:r>
      <w:r w:rsidR="005D147A">
        <w:rPr>
          <w:rFonts w:asciiTheme="minorHAnsi" w:hAnsiTheme="minorHAnsi"/>
          <w:sz w:val="22"/>
          <w:szCs w:val="22"/>
          <w:lang w:val="en-GB"/>
        </w:rPr>
        <w:t xml:space="preserve">through </w:t>
      </w:r>
      <w:r w:rsidR="004D438B" w:rsidRPr="00F61CCD">
        <w:rPr>
          <w:rFonts w:asciiTheme="minorHAnsi" w:hAnsiTheme="minorHAnsi"/>
          <w:sz w:val="22"/>
          <w:szCs w:val="22"/>
          <w:lang w:val="en-GB"/>
        </w:rPr>
        <w:t xml:space="preserve">strong partnerships </w:t>
      </w:r>
      <w:r w:rsidR="005D147A">
        <w:rPr>
          <w:rFonts w:asciiTheme="minorHAnsi" w:hAnsiTheme="minorHAnsi"/>
          <w:sz w:val="22"/>
          <w:szCs w:val="22"/>
          <w:lang w:val="en-GB"/>
        </w:rPr>
        <w:t xml:space="preserve">with </w:t>
      </w:r>
      <w:r w:rsidR="004D438B" w:rsidRPr="00F61CCD">
        <w:rPr>
          <w:rFonts w:asciiTheme="minorHAnsi" w:hAnsiTheme="minorHAnsi"/>
          <w:sz w:val="22"/>
          <w:szCs w:val="22"/>
          <w:lang w:val="en-GB"/>
        </w:rPr>
        <w:t xml:space="preserve">the </w:t>
      </w:r>
      <w:r w:rsidR="002676D5">
        <w:rPr>
          <w:rFonts w:asciiTheme="minorHAnsi" w:hAnsiTheme="minorHAnsi"/>
          <w:sz w:val="22"/>
          <w:szCs w:val="22"/>
          <w:lang w:val="en-GB"/>
        </w:rPr>
        <w:t xml:space="preserve">government of Lesotho, development partners, </w:t>
      </w:r>
      <w:r w:rsidR="004D438B" w:rsidRPr="00F61CCD">
        <w:rPr>
          <w:rFonts w:asciiTheme="minorHAnsi" w:hAnsiTheme="minorHAnsi"/>
          <w:sz w:val="22"/>
          <w:szCs w:val="22"/>
          <w:lang w:val="en-GB"/>
        </w:rPr>
        <w:t xml:space="preserve">UN </w:t>
      </w:r>
      <w:r w:rsidR="00043443">
        <w:rPr>
          <w:rFonts w:asciiTheme="minorHAnsi" w:hAnsiTheme="minorHAnsi"/>
          <w:sz w:val="22"/>
          <w:szCs w:val="22"/>
          <w:lang w:val="en-GB"/>
        </w:rPr>
        <w:t xml:space="preserve">Agencies </w:t>
      </w:r>
      <w:r w:rsidR="002676D5">
        <w:rPr>
          <w:rFonts w:asciiTheme="minorHAnsi" w:hAnsiTheme="minorHAnsi"/>
          <w:sz w:val="22"/>
          <w:szCs w:val="22"/>
          <w:lang w:val="en-GB"/>
        </w:rPr>
        <w:t xml:space="preserve">and </w:t>
      </w:r>
      <w:r w:rsidR="00C22C0C">
        <w:rPr>
          <w:rFonts w:asciiTheme="minorHAnsi" w:hAnsiTheme="minorHAnsi"/>
          <w:sz w:val="22"/>
          <w:szCs w:val="22"/>
          <w:lang w:val="en-GB"/>
        </w:rPr>
        <w:t>civil society</w:t>
      </w:r>
      <w:r w:rsidR="004D438B" w:rsidRPr="00F61CCD">
        <w:rPr>
          <w:rFonts w:asciiTheme="minorHAnsi" w:hAnsiTheme="minorHAnsi"/>
          <w:sz w:val="22"/>
          <w:szCs w:val="22"/>
          <w:lang w:val="en-GB"/>
        </w:rPr>
        <w:t xml:space="preserve">. </w:t>
      </w:r>
    </w:p>
    <w:p w14:paraId="3218D214" w14:textId="77777777" w:rsidR="00424EC8" w:rsidRPr="00F61CCD" w:rsidRDefault="00424EC8" w:rsidP="00547893">
      <w:pPr>
        <w:widowControl/>
        <w:jc w:val="both"/>
        <w:rPr>
          <w:rFonts w:asciiTheme="minorHAnsi" w:hAnsiTheme="minorHAnsi"/>
          <w:sz w:val="22"/>
          <w:szCs w:val="22"/>
          <w:lang w:val="en-GB"/>
        </w:rPr>
      </w:pPr>
    </w:p>
    <w:p w14:paraId="7D401B75" w14:textId="186C8F5F" w:rsidR="00424EC8" w:rsidRPr="00F61CCD" w:rsidRDefault="00081490" w:rsidP="00547893">
      <w:pPr>
        <w:widowControl/>
        <w:jc w:val="both"/>
        <w:rPr>
          <w:rFonts w:asciiTheme="minorHAnsi" w:hAnsiTheme="minorHAnsi"/>
          <w:sz w:val="22"/>
          <w:szCs w:val="22"/>
          <w:lang w:val="en-GB"/>
        </w:rPr>
      </w:pPr>
      <w:r w:rsidRPr="00F61CCD">
        <w:rPr>
          <w:rFonts w:asciiTheme="minorHAnsi" w:hAnsiTheme="minorHAnsi"/>
          <w:sz w:val="22"/>
          <w:szCs w:val="22"/>
          <w:lang w:val="en-GB"/>
        </w:rPr>
        <w:t>Notwithstanding the above operating environment</w:t>
      </w:r>
      <w:r w:rsidR="00546947" w:rsidRPr="00F61CCD">
        <w:rPr>
          <w:rFonts w:asciiTheme="minorHAnsi" w:hAnsiTheme="minorHAnsi"/>
          <w:sz w:val="22"/>
          <w:szCs w:val="22"/>
          <w:lang w:val="en-GB"/>
        </w:rPr>
        <w:t xml:space="preserve">, </w:t>
      </w:r>
      <w:r w:rsidR="005B0473" w:rsidRPr="00F61CCD">
        <w:rPr>
          <w:rFonts w:asciiTheme="minorHAnsi" w:hAnsiTheme="minorHAnsi"/>
          <w:sz w:val="22"/>
          <w:szCs w:val="22"/>
          <w:lang w:val="en-GB"/>
        </w:rPr>
        <w:t xml:space="preserve">UNDP CO has </w:t>
      </w:r>
      <w:r w:rsidR="00424EC8" w:rsidRPr="00F61CCD">
        <w:rPr>
          <w:rFonts w:asciiTheme="minorHAnsi" w:hAnsiTheme="minorHAnsi"/>
          <w:sz w:val="22"/>
          <w:szCs w:val="22"/>
          <w:lang w:val="en-GB"/>
        </w:rPr>
        <w:t xml:space="preserve">contributed positively </w:t>
      </w:r>
      <w:r w:rsidR="00353462" w:rsidRPr="00F61CCD">
        <w:rPr>
          <w:rFonts w:asciiTheme="minorHAnsi" w:hAnsiTheme="minorHAnsi"/>
          <w:sz w:val="22"/>
          <w:szCs w:val="22"/>
          <w:lang w:val="en-GB"/>
        </w:rPr>
        <w:t xml:space="preserve">to </w:t>
      </w:r>
      <w:r w:rsidR="00424EC8" w:rsidRPr="00F61CCD">
        <w:rPr>
          <w:rFonts w:asciiTheme="minorHAnsi" w:hAnsiTheme="minorHAnsi"/>
          <w:sz w:val="22"/>
          <w:szCs w:val="22"/>
          <w:lang w:val="en-GB"/>
        </w:rPr>
        <w:t xml:space="preserve">sustainable development </w:t>
      </w:r>
      <w:r w:rsidR="00712999" w:rsidRPr="00F61CCD">
        <w:rPr>
          <w:rFonts w:asciiTheme="minorHAnsi" w:hAnsiTheme="minorHAnsi"/>
          <w:sz w:val="22"/>
          <w:szCs w:val="22"/>
          <w:lang w:val="en-GB"/>
        </w:rPr>
        <w:t xml:space="preserve">in Lesotho </w:t>
      </w:r>
      <w:r w:rsidR="00424EC8" w:rsidRPr="00F61CCD">
        <w:rPr>
          <w:rFonts w:asciiTheme="minorHAnsi" w:hAnsiTheme="minorHAnsi"/>
          <w:sz w:val="22"/>
          <w:szCs w:val="22"/>
          <w:lang w:val="en-GB"/>
        </w:rPr>
        <w:t xml:space="preserve">in </w:t>
      </w:r>
      <w:r w:rsidR="005F3672" w:rsidRPr="00F61CCD">
        <w:rPr>
          <w:rFonts w:asciiTheme="minorHAnsi" w:hAnsiTheme="minorHAnsi"/>
          <w:sz w:val="22"/>
          <w:szCs w:val="22"/>
          <w:lang w:val="en-GB"/>
        </w:rPr>
        <w:t>four</w:t>
      </w:r>
      <w:r w:rsidR="00424EC8" w:rsidRPr="00F61CCD">
        <w:rPr>
          <w:rFonts w:asciiTheme="minorHAnsi" w:hAnsiTheme="minorHAnsi"/>
          <w:sz w:val="22"/>
          <w:szCs w:val="22"/>
          <w:lang w:val="en-GB"/>
        </w:rPr>
        <w:t xml:space="preserve"> </w:t>
      </w:r>
      <w:r w:rsidR="00CB49BA">
        <w:rPr>
          <w:rFonts w:asciiTheme="minorHAnsi" w:hAnsiTheme="minorHAnsi"/>
          <w:sz w:val="22"/>
          <w:szCs w:val="22"/>
          <w:lang w:val="en-GB"/>
        </w:rPr>
        <w:t xml:space="preserve">(4) </w:t>
      </w:r>
      <w:r w:rsidR="00424EC8" w:rsidRPr="00F61CCD">
        <w:rPr>
          <w:rFonts w:asciiTheme="minorHAnsi" w:hAnsiTheme="minorHAnsi"/>
          <w:sz w:val="22"/>
          <w:szCs w:val="22"/>
          <w:lang w:val="en-GB"/>
        </w:rPr>
        <w:t>broad programme areas: (i) Acceleration of Inclusive Growth, (ii) Environmental Management for Sustainable Development, (ii</w:t>
      </w:r>
      <w:r w:rsidR="005F3672" w:rsidRPr="00F61CCD">
        <w:rPr>
          <w:rFonts w:asciiTheme="minorHAnsi" w:hAnsiTheme="minorHAnsi"/>
          <w:sz w:val="22"/>
          <w:szCs w:val="22"/>
          <w:lang w:val="en-GB"/>
        </w:rPr>
        <w:t>i</w:t>
      </w:r>
      <w:r w:rsidR="00424EC8" w:rsidRPr="00F61CCD">
        <w:rPr>
          <w:rFonts w:asciiTheme="minorHAnsi" w:hAnsiTheme="minorHAnsi"/>
          <w:sz w:val="22"/>
          <w:szCs w:val="22"/>
          <w:lang w:val="en-GB"/>
        </w:rPr>
        <w:t>) Good Governance and Accountable Institutions</w:t>
      </w:r>
      <w:r w:rsidR="005F3672" w:rsidRPr="00F61CCD">
        <w:rPr>
          <w:rFonts w:asciiTheme="minorHAnsi" w:hAnsiTheme="minorHAnsi"/>
          <w:sz w:val="22"/>
          <w:szCs w:val="22"/>
          <w:lang w:val="en-GB"/>
        </w:rPr>
        <w:t xml:space="preserve"> and (iv) Evidence-based policy decisions making. </w:t>
      </w:r>
    </w:p>
    <w:p w14:paraId="1F6A61AD" w14:textId="77777777" w:rsidR="00424EC8" w:rsidRPr="00F61CCD" w:rsidRDefault="00424EC8" w:rsidP="00547893">
      <w:pPr>
        <w:widowControl/>
        <w:jc w:val="both"/>
        <w:rPr>
          <w:rFonts w:asciiTheme="minorHAnsi" w:hAnsiTheme="minorHAnsi"/>
          <w:sz w:val="22"/>
          <w:szCs w:val="22"/>
          <w:lang w:val="en-GB"/>
        </w:rPr>
      </w:pPr>
    </w:p>
    <w:p w14:paraId="4F31DB3A" w14:textId="2CAD5143" w:rsidR="000425FA" w:rsidRPr="00F61CCD" w:rsidRDefault="00424EC8" w:rsidP="00547893">
      <w:pPr>
        <w:widowControl/>
        <w:jc w:val="both"/>
        <w:rPr>
          <w:rFonts w:asciiTheme="minorHAnsi" w:hAnsiTheme="minorHAnsi"/>
          <w:sz w:val="22"/>
          <w:szCs w:val="22"/>
          <w:lang w:val="en-GB"/>
        </w:rPr>
      </w:pPr>
      <w:r w:rsidRPr="00F61CCD">
        <w:rPr>
          <w:rFonts w:asciiTheme="minorHAnsi" w:hAnsiTheme="minorHAnsi"/>
          <w:sz w:val="22"/>
          <w:szCs w:val="22"/>
          <w:lang w:val="en-GB"/>
        </w:rPr>
        <w:t xml:space="preserve">In the first area, </w:t>
      </w:r>
      <w:r w:rsidR="00671B5C" w:rsidRPr="00F61CCD">
        <w:rPr>
          <w:rFonts w:asciiTheme="minorHAnsi" w:hAnsiTheme="minorHAnsi"/>
          <w:b/>
          <w:sz w:val="22"/>
          <w:szCs w:val="22"/>
          <w:lang w:val="en-GB"/>
        </w:rPr>
        <w:t>A</w:t>
      </w:r>
      <w:r w:rsidRPr="00F61CCD">
        <w:rPr>
          <w:rFonts w:asciiTheme="minorHAnsi" w:hAnsiTheme="minorHAnsi"/>
          <w:b/>
          <w:sz w:val="22"/>
          <w:szCs w:val="22"/>
          <w:lang w:val="en-GB"/>
        </w:rPr>
        <w:t xml:space="preserve">cceleration of </w:t>
      </w:r>
      <w:r w:rsidR="00671B5C" w:rsidRPr="00F61CCD">
        <w:rPr>
          <w:rFonts w:asciiTheme="minorHAnsi" w:hAnsiTheme="minorHAnsi"/>
          <w:b/>
          <w:sz w:val="22"/>
          <w:szCs w:val="22"/>
          <w:lang w:val="en-GB"/>
        </w:rPr>
        <w:t>I</w:t>
      </w:r>
      <w:r w:rsidRPr="00F61CCD">
        <w:rPr>
          <w:rFonts w:asciiTheme="minorHAnsi" w:hAnsiTheme="minorHAnsi"/>
          <w:b/>
          <w:sz w:val="22"/>
          <w:szCs w:val="22"/>
          <w:lang w:val="en-GB"/>
        </w:rPr>
        <w:t xml:space="preserve">nclusive </w:t>
      </w:r>
      <w:r w:rsidR="00671B5C" w:rsidRPr="00F61CCD">
        <w:rPr>
          <w:rFonts w:asciiTheme="minorHAnsi" w:hAnsiTheme="minorHAnsi"/>
          <w:b/>
          <w:sz w:val="22"/>
          <w:szCs w:val="22"/>
          <w:lang w:val="en-GB"/>
        </w:rPr>
        <w:t>G</w:t>
      </w:r>
      <w:r w:rsidRPr="00F61CCD">
        <w:rPr>
          <w:rFonts w:asciiTheme="minorHAnsi" w:hAnsiTheme="minorHAnsi"/>
          <w:b/>
          <w:sz w:val="22"/>
          <w:szCs w:val="22"/>
          <w:lang w:val="en-GB"/>
        </w:rPr>
        <w:t>rowth</w:t>
      </w:r>
      <w:r w:rsidR="00081541">
        <w:rPr>
          <w:rFonts w:asciiTheme="minorHAnsi" w:hAnsiTheme="minorHAnsi"/>
          <w:sz w:val="22"/>
          <w:szCs w:val="22"/>
          <w:lang w:val="en-GB"/>
        </w:rPr>
        <w:t xml:space="preserve">: UNDP </w:t>
      </w:r>
      <w:r w:rsidRPr="00F61CCD">
        <w:rPr>
          <w:rFonts w:asciiTheme="minorHAnsi" w:hAnsiTheme="minorHAnsi"/>
          <w:sz w:val="22"/>
          <w:szCs w:val="22"/>
          <w:lang w:val="en-GB"/>
        </w:rPr>
        <w:t xml:space="preserve">support </w:t>
      </w:r>
      <w:r w:rsidR="0056532F" w:rsidRPr="00F61CCD">
        <w:rPr>
          <w:rFonts w:asciiTheme="minorHAnsi" w:hAnsiTheme="minorHAnsi"/>
          <w:sz w:val="22"/>
          <w:szCs w:val="22"/>
          <w:lang w:val="en-GB"/>
        </w:rPr>
        <w:t xml:space="preserve">aimed at making </w:t>
      </w:r>
      <w:r w:rsidR="00081541">
        <w:rPr>
          <w:rFonts w:asciiTheme="minorHAnsi" w:hAnsiTheme="minorHAnsi"/>
          <w:sz w:val="22"/>
          <w:szCs w:val="22"/>
          <w:lang w:val="en-GB"/>
        </w:rPr>
        <w:t xml:space="preserve">Lesotho’s </w:t>
      </w:r>
      <w:r w:rsidRPr="00F61CCD">
        <w:rPr>
          <w:rFonts w:asciiTheme="minorHAnsi" w:hAnsiTheme="minorHAnsi"/>
          <w:sz w:val="22"/>
          <w:szCs w:val="22"/>
          <w:lang w:val="en-GB"/>
        </w:rPr>
        <w:t>economy  more resilient to external shocks</w:t>
      </w:r>
      <w:r w:rsidR="0056532F" w:rsidRPr="00F61CCD">
        <w:rPr>
          <w:rFonts w:asciiTheme="minorHAnsi" w:hAnsiTheme="minorHAnsi"/>
          <w:sz w:val="22"/>
          <w:szCs w:val="22"/>
          <w:lang w:val="en-GB"/>
        </w:rPr>
        <w:t xml:space="preserve"> and </w:t>
      </w:r>
      <w:r w:rsidRPr="00F61CCD">
        <w:rPr>
          <w:rFonts w:asciiTheme="minorHAnsi" w:hAnsiTheme="minorHAnsi"/>
          <w:sz w:val="22"/>
          <w:szCs w:val="22"/>
          <w:lang w:val="en-GB"/>
        </w:rPr>
        <w:t>volatility through generation of inclusive employment</w:t>
      </w:r>
      <w:r w:rsidR="0056532F" w:rsidRPr="00F61CCD">
        <w:rPr>
          <w:rFonts w:asciiTheme="minorHAnsi" w:hAnsiTheme="minorHAnsi"/>
          <w:b/>
          <w:sz w:val="22"/>
          <w:szCs w:val="22"/>
          <w:lang w:val="en-GB"/>
        </w:rPr>
        <w:t xml:space="preserve">. </w:t>
      </w:r>
      <w:r w:rsidR="00E57C94" w:rsidRPr="00F61CCD">
        <w:rPr>
          <w:rFonts w:asciiTheme="minorHAnsi" w:hAnsiTheme="minorHAnsi"/>
          <w:b/>
          <w:sz w:val="22"/>
          <w:szCs w:val="22"/>
          <w:lang w:val="en-GB"/>
        </w:rPr>
        <w:t>Achievements include</w:t>
      </w:r>
      <w:r w:rsidR="00E57C94" w:rsidRPr="00F61CCD">
        <w:rPr>
          <w:rFonts w:asciiTheme="minorHAnsi" w:hAnsiTheme="minorHAnsi"/>
          <w:sz w:val="22"/>
          <w:szCs w:val="22"/>
          <w:lang w:val="en-GB"/>
        </w:rPr>
        <w:t xml:space="preserve">: </w:t>
      </w:r>
      <w:r w:rsidR="00003F40" w:rsidRPr="00F61CCD">
        <w:rPr>
          <w:rFonts w:asciiTheme="minorHAnsi" w:hAnsiTheme="minorHAnsi"/>
          <w:sz w:val="22"/>
          <w:szCs w:val="22"/>
          <w:lang w:val="en-GB"/>
        </w:rPr>
        <w:t xml:space="preserve">a. </w:t>
      </w:r>
      <w:r w:rsidR="00457463" w:rsidRPr="00F61CCD">
        <w:rPr>
          <w:rFonts w:asciiTheme="minorHAnsi" w:hAnsiTheme="minorHAnsi"/>
          <w:sz w:val="22"/>
          <w:szCs w:val="22"/>
          <w:lang w:val="en-GB"/>
        </w:rPr>
        <w:t xml:space="preserve">development of </w:t>
      </w:r>
      <w:r w:rsidR="0056532F" w:rsidRPr="00F61CCD">
        <w:rPr>
          <w:rFonts w:asciiTheme="minorHAnsi" w:hAnsiTheme="minorHAnsi"/>
          <w:sz w:val="22"/>
          <w:szCs w:val="22"/>
          <w:lang w:val="en-GB"/>
        </w:rPr>
        <w:t>a number of key sectorial policies and strategies</w:t>
      </w:r>
      <w:r w:rsidR="00043443">
        <w:rPr>
          <w:rFonts w:asciiTheme="minorHAnsi" w:hAnsiTheme="minorHAnsi"/>
          <w:sz w:val="22"/>
          <w:szCs w:val="22"/>
          <w:lang w:val="en-GB"/>
        </w:rPr>
        <w:t xml:space="preserve"> on business development and financial services </w:t>
      </w:r>
      <w:r w:rsidR="00457463" w:rsidRPr="00F61CCD">
        <w:rPr>
          <w:rFonts w:asciiTheme="minorHAnsi" w:hAnsiTheme="minorHAnsi"/>
          <w:sz w:val="22"/>
          <w:szCs w:val="22"/>
          <w:lang w:val="en-GB"/>
        </w:rPr>
        <w:t xml:space="preserve">which </w:t>
      </w:r>
      <w:r w:rsidR="0056532F" w:rsidRPr="00F61CCD">
        <w:rPr>
          <w:rFonts w:asciiTheme="minorHAnsi" w:hAnsiTheme="minorHAnsi"/>
          <w:sz w:val="22"/>
          <w:szCs w:val="22"/>
          <w:lang w:val="en-GB"/>
        </w:rPr>
        <w:t>enabled Lesotho to improve the environment for business development</w:t>
      </w:r>
      <w:r w:rsidR="001F725C" w:rsidRPr="00F61CCD">
        <w:rPr>
          <w:rFonts w:asciiTheme="minorHAnsi" w:hAnsiTheme="minorHAnsi"/>
          <w:sz w:val="22"/>
          <w:szCs w:val="22"/>
          <w:lang w:val="en-GB"/>
        </w:rPr>
        <w:t xml:space="preserve">, evidenced by </w:t>
      </w:r>
      <w:r w:rsidR="00421F2F" w:rsidRPr="00F61CCD">
        <w:rPr>
          <w:rFonts w:asciiTheme="minorHAnsi" w:hAnsiTheme="minorHAnsi"/>
          <w:sz w:val="22"/>
          <w:szCs w:val="22"/>
          <w:lang w:val="en-GB"/>
        </w:rPr>
        <w:t xml:space="preserve">the country improving its ranking in the </w:t>
      </w:r>
      <w:r w:rsidR="0056532F" w:rsidRPr="00F61CCD">
        <w:rPr>
          <w:rFonts w:asciiTheme="minorHAnsi" w:hAnsiTheme="minorHAnsi"/>
          <w:sz w:val="22"/>
          <w:szCs w:val="22"/>
          <w:lang w:val="en-GB"/>
        </w:rPr>
        <w:t xml:space="preserve">World Bank Ease of Doing Business Index from 153 in 2012 to </w:t>
      </w:r>
      <w:r w:rsidR="00AA1C0D">
        <w:rPr>
          <w:rFonts w:asciiTheme="minorHAnsi" w:hAnsiTheme="minorHAnsi"/>
          <w:sz w:val="22"/>
          <w:szCs w:val="22"/>
          <w:lang w:val="en-GB"/>
        </w:rPr>
        <w:t>104 in 2018</w:t>
      </w:r>
      <w:r w:rsidR="00247599">
        <w:rPr>
          <w:rFonts w:asciiTheme="minorHAnsi" w:hAnsiTheme="minorHAnsi"/>
          <w:sz w:val="22"/>
          <w:szCs w:val="22"/>
          <w:lang w:val="en-GB"/>
        </w:rPr>
        <w:t xml:space="preserve">. </w:t>
      </w:r>
      <w:r w:rsidR="007656C4">
        <w:rPr>
          <w:rFonts w:asciiTheme="minorHAnsi" w:hAnsiTheme="minorHAnsi"/>
          <w:sz w:val="22"/>
          <w:szCs w:val="22"/>
          <w:lang w:val="en-GB"/>
        </w:rPr>
        <w:t xml:space="preserve">b. Youth Tracer study on impact of </w:t>
      </w:r>
      <w:r w:rsidR="00043443">
        <w:rPr>
          <w:rFonts w:asciiTheme="minorHAnsi" w:hAnsiTheme="minorHAnsi"/>
          <w:sz w:val="22"/>
          <w:szCs w:val="22"/>
          <w:lang w:val="en-GB"/>
        </w:rPr>
        <w:t xml:space="preserve">UNDP supported </w:t>
      </w:r>
      <w:r w:rsidR="007656C4">
        <w:rPr>
          <w:rFonts w:asciiTheme="minorHAnsi" w:hAnsiTheme="minorHAnsi"/>
          <w:sz w:val="22"/>
          <w:szCs w:val="22"/>
          <w:lang w:val="en-GB"/>
        </w:rPr>
        <w:t>youth empowerment programmes</w:t>
      </w:r>
      <w:r w:rsidR="00043443">
        <w:rPr>
          <w:rFonts w:asciiTheme="minorHAnsi" w:hAnsiTheme="minorHAnsi"/>
          <w:sz w:val="22"/>
          <w:szCs w:val="22"/>
          <w:lang w:val="en-GB"/>
        </w:rPr>
        <w:t xml:space="preserve">. </w:t>
      </w:r>
      <w:r w:rsidR="007656C4">
        <w:rPr>
          <w:rFonts w:asciiTheme="minorHAnsi" w:hAnsiTheme="minorHAnsi"/>
          <w:sz w:val="22"/>
          <w:szCs w:val="22"/>
          <w:lang w:val="en-GB"/>
        </w:rPr>
        <w:t xml:space="preserve"> This has </w:t>
      </w:r>
      <w:r w:rsidR="007656C4" w:rsidRPr="00756E5D">
        <w:rPr>
          <w:rFonts w:asciiTheme="minorHAnsi" w:hAnsiTheme="minorHAnsi"/>
          <w:szCs w:val="22"/>
          <w:lang w:val="en-GB"/>
        </w:rPr>
        <w:t xml:space="preserve">created a greater understanding of the challenges faced by </w:t>
      </w:r>
      <w:r w:rsidR="00043443">
        <w:rPr>
          <w:rFonts w:asciiTheme="minorHAnsi" w:hAnsiTheme="minorHAnsi"/>
          <w:szCs w:val="22"/>
          <w:lang w:val="en-GB"/>
        </w:rPr>
        <w:t xml:space="preserve">the </w:t>
      </w:r>
      <w:r w:rsidR="007656C4" w:rsidRPr="00756E5D">
        <w:rPr>
          <w:rFonts w:asciiTheme="minorHAnsi" w:hAnsiTheme="minorHAnsi"/>
          <w:szCs w:val="22"/>
          <w:lang w:val="en-GB"/>
        </w:rPr>
        <w:t xml:space="preserve">youth in empowerment and employment programmes. The </w:t>
      </w:r>
      <w:r w:rsidR="007656C4">
        <w:rPr>
          <w:rFonts w:asciiTheme="minorHAnsi" w:hAnsiTheme="minorHAnsi"/>
          <w:szCs w:val="22"/>
          <w:lang w:val="en-GB"/>
        </w:rPr>
        <w:t xml:space="preserve">study </w:t>
      </w:r>
      <w:r w:rsidR="007656C4" w:rsidRPr="00756E5D">
        <w:rPr>
          <w:rFonts w:asciiTheme="minorHAnsi" w:hAnsiTheme="minorHAnsi"/>
          <w:szCs w:val="22"/>
          <w:lang w:val="en-GB"/>
        </w:rPr>
        <w:t>has recommended the integration of innovations and support for job creation</w:t>
      </w:r>
      <w:r w:rsidR="002946BB">
        <w:rPr>
          <w:rFonts w:asciiTheme="minorHAnsi" w:hAnsiTheme="minorHAnsi"/>
          <w:szCs w:val="22"/>
          <w:lang w:val="en-GB"/>
        </w:rPr>
        <w:t xml:space="preserve"> to enhance the impact of such programmes. </w:t>
      </w:r>
      <w:r w:rsidR="007656C4" w:rsidRPr="00756E5D">
        <w:rPr>
          <w:rFonts w:asciiTheme="minorHAnsi" w:hAnsiTheme="minorHAnsi"/>
          <w:szCs w:val="22"/>
          <w:lang w:val="en-GB"/>
        </w:rPr>
        <w:t xml:space="preserve"> </w:t>
      </w:r>
      <w:r w:rsidR="007656C4">
        <w:rPr>
          <w:rFonts w:asciiTheme="minorHAnsi" w:hAnsiTheme="minorHAnsi"/>
          <w:sz w:val="22"/>
          <w:szCs w:val="22"/>
          <w:lang w:val="en-GB"/>
        </w:rPr>
        <w:t>c</w:t>
      </w:r>
      <w:r w:rsidR="00003F40" w:rsidRPr="00F61CCD">
        <w:rPr>
          <w:rFonts w:asciiTheme="minorHAnsi" w:hAnsiTheme="minorHAnsi"/>
          <w:sz w:val="22"/>
          <w:szCs w:val="22"/>
          <w:lang w:val="en-GB"/>
        </w:rPr>
        <w:t xml:space="preserve">. </w:t>
      </w:r>
      <w:r w:rsidR="000C2889">
        <w:rPr>
          <w:rFonts w:asciiTheme="minorHAnsi" w:hAnsiTheme="minorHAnsi"/>
          <w:color w:val="000000"/>
          <w:szCs w:val="22"/>
          <w:lang w:val="en-GB"/>
        </w:rPr>
        <w:t xml:space="preserve">Joint action plan between the Ministry of Finance, FinMark </w:t>
      </w:r>
      <w:r w:rsidR="00FB0137">
        <w:rPr>
          <w:rFonts w:asciiTheme="minorHAnsi" w:hAnsiTheme="minorHAnsi"/>
          <w:color w:val="000000"/>
          <w:szCs w:val="22"/>
          <w:lang w:val="en-GB"/>
        </w:rPr>
        <w:t xml:space="preserve">Trust </w:t>
      </w:r>
      <w:r w:rsidR="000C2889">
        <w:rPr>
          <w:rFonts w:asciiTheme="minorHAnsi" w:hAnsiTheme="minorHAnsi"/>
          <w:color w:val="000000"/>
          <w:szCs w:val="22"/>
          <w:lang w:val="en-GB"/>
        </w:rPr>
        <w:t>and private sector for</w:t>
      </w:r>
      <w:r w:rsidR="002946BB">
        <w:rPr>
          <w:rFonts w:asciiTheme="minorHAnsi" w:hAnsiTheme="minorHAnsi"/>
          <w:color w:val="000000"/>
          <w:szCs w:val="22"/>
          <w:lang w:val="en-GB"/>
        </w:rPr>
        <w:t xml:space="preserve"> the </w:t>
      </w:r>
      <w:r w:rsidR="000C2889">
        <w:rPr>
          <w:rFonts w:asciiTheme="minorHAnsi" w:hAnsiTheme="minorHAnsi"/>
          <w:color w:val="000000"/>
          <w:szCs w:val="22"/>
          <w:lang w:val="en-GB"/>
        </w:rPr>
        <w:t>promotion of inclusive business to address challenges of access</w:t>
      </w:r>
      <w:r w:rsidR="002946BB">
        <w:rPr>
          <w:rFonts w:asciiTheme="minorHAnsi" w:hAnsiTheme="minorHAnsi"/>
          <w:color w:val="000000"/>
          <w:szCs w:val="22"/>
          <w:lang w:val="en-GB"/>
        </w:rPr>
        <w:t xml:space="preserve"> to </w:t>
      </w:r>
      <w:r w:rsidR="000C2889">
        <w:rPr>
          <w:rFonts w:asciiTheme="minorHAnsi" w:hAnsiTheme="minorHAnsi"/>
          <w:color w:val="000000"/>
          <w:szCs w:val="22"/>
          <w:lang w:val="en-GB"/>
        </w:rPr>
        <w:t>finance and financial services in Lesotho</w:t>
      </w:r>
      <w:r w:rsidR="000C2889">
        <w:rPr>
          <w:rFonts w:asciiTheme="minorHAnsi" w:hAnsiTheme="minorHAnsi"/>
          <w:sz w:val="22"/>
          <w:szCs w:val="22"/>
          <w:lang w:val="en-GB"/>
        </w:rPr>
        <w:t xml:space="preserve"> </w:t>
      </w:r>
      <w:r w:rsidR="00F77B29">
        <w:rPr>
          <w:rFonts w:asciiTheme="minorHAnsi" w:hAnsiTheme="minorHAnsi"/>
          <w:sz w:val="22"/>
          <w:szCs w:val="22"/>
          <w:lang w:val="en-GB"/>
        </w:rPr>
        <w:t xml:space="preserve">and </w:t>
      </w:r>
      <w:r w:rsidR="000C2889">
        <w:rPr>
          <w:rFonts w:asciiTheme="minorHAnsi" w:hAnsiTheme="minorHAnsi"/>
          <w:sz w:val="22"/>
          <w:szCs w:val="22"/>
          <w:lang w:val="en-GB"/>
        </w:rPr>
        <w:t xml:space="preserve">d. </w:t>
      </w:r>
      <w:r w:rsidR="0056532F" w:rsidRPr="00F61CCD">
        <w:rPr>
          <w:rFonts w:asciiTheme="minorHAnsi" w:hAnsiTheme="minorHAnsi"/>
          <w:sz w:val="22"/>
          <w:szCs w:val="22"/>
        </w:rPr>
        <w:t xml:space="preserve">At the micro-level, </w:t>
      </w:r>
      <w:r w:rsidR="002946BB">
        <w:rPr>
          <w:rFonts w:asciiTheme="minorHAnsi" w:hAnsiTheme="minorHAnsi"/>
          <w:sz w:val="22"/>
          <w:szCs w:val="22"/>
        </w:rPr>
        <w:t xml:space="preserve">increased </w:t>
      </w:r>
      <w:r w:rsidR="000A552C" w:rsidRPr="00F61CCD">
        <w:rPr>
          <w:rFonts w:asciiTheme="minorHAnsi" w:hAnsiTheme="minorHAnsi"/>
          <w:sz w:val="22"/>
          <w:szCs w:val="22"/>
        </w:rPr>
        <w:t xml:space="preserve">employment </w:t>
      </w:r>
      <w:r w:rsidR="000A552C" w:rsidRPr="00F61CCD">
        <w:rPr>
          <w:rFonts w:asciiTheme="minorHAnsi" w:hAnsiTheme="minorHAnsi"/>
          <w:sz w:val="22"/>
          <w:szCs w:val="22"/>
          <w:lang w:val="en-GB"/>
        </w:rPr>
        <w:t>opportunities especially amongst the youth and women</w:t>
      </w:r>
      <w:r w:rsidR="002946BB">
        <w:rPr>
          <w:rFonts w:asciiTheme="minorHAnsi" w:hAnsiTheme="minorHAnsi"/>
          <w:sz w:val="22"/>
          <w:szCs w:val="22"/>
        </w:rPr>
        <w:t xml:space="preserve">, </w:t>
      </w:r>
      <w:r w:rsidR="00D329EC" w:rsidRPr="00F61CCD">
        <w:rPr>
          <w:rFonts w:asciiTheme="minorHAnsi" w:hAnsiTheme="minorHAnsi"/>
          <w:sz w:val="22"/>
          <w:szCs w:val="22"/>
        </w:rPr>
        <w:t>with</w:t>
      </w:r>
      <w:r w:rsidR="000A552C" w:rsidRPr="00F61CCD">
        <w:rPr>
          <w:rFonts w:asciiTheme="minorHAnsi" w:hAnsiTheme="minorHAnsi"/>
          <w:sz w:val="22"/>
          <w:szCs w:val="22"/>
        </w:rPr>
        <w:t xml:space="preserve"> </w:t>
      </w:r>
      <w:r w:rsidR="0056532F" w:rsidRPr="00F61CCD">
        <w:rPr>
          <w:rFonts w:asciiTheme="minorHAnsi" w:hAnsiTheme="minorHAnsi"/>
          <w:sz w:val="22"/>
          <w:szCs w:val="22"/>
        </w:rPr>
        <w:t>more than 1,000 women and youth benefitt</w:t>
      </w:r>
      <w:r w:rsidR="000A552C" w:rsidRPr="00F61CCD">
        <w:rPr>
          <w:rFonts w:asciiTheme="minorHAnsi" w:hAnsiTheme="minorHAnsi"/>
          <w:sz w:val="22"/>
          <w:szCs w:val="22"/>
        </w:rPr>
        <w:t xml:space="preserve">ing </w:t>
      </w:r>
      <w:r w:rsidR="0056532F" w:rsidRPr="00F61CCD">
        <w:rPr>
          <w:rFonts w:asciiTheme="minorHAnsi" w:hAnsiTheme="minorHAnsi"/>
          <w:sz w:val="22"/>
          <w:szCs w:val="22"/>
        </w:rPr>
        <w:t xml:space="preserve">from UNDP funded entrepreneurship skills and business development </w:t>
      </w:r>
      <w:r w:rsidR="00C25D8A" w:rsidRPr="00F61CCD">
        <w:rPr>
          <w:rFonts w:asciiTheme="minorHAnsi" w:hAnsiTheme="minorHAnsi"/>
          <w:sz w:val="22"/>
          <w:szCs w:val="22"/>
        </w:rPr>
        <w:t>training</w:t>
      </w:r>
      <w:r w:rsidR="00003F40" w:rsidRPr="00F61CCD">
        <w:rPr>
          <w:rFonts w:asciiTheme="minorHAnsi" w:hAnsiTheme="minorHAnsi"/>
          <w:sz w:val="22"/>
          <w:szCs w:val="22"/>
        </w:rPr>
        <w:t xml:space="preserve"> </w:t>
      </w:r>
      <w:r w:rsidR="00D329EC" w:rsidRPr="00F61CCD">
        <w:rPr>
          <w:rFonts w:asciiTheme="minorHAnsi" w:hAnsiTheme="minorHAnsi"/>
          <w:sz w:val="22"/>
          <w:szCs w:val="22"/>
        </w:rPr>
        <w:t xml:space="preserve">which </w:t>
      </w:r>
      <w:r w:rsidR="0056532F" w:rsidRPr="00F61CCD">
        <w:rPr>
          <w:rFonts w:asciiTheme="minorHAnsi" w:hAnsiTheme="minorHAnsi"/>
          <w:sz w:val="22"/>
          <w:szCs w:val="22"/>
        </w:rPr>
        <w:t xml:space="preserve">led to </w:t>
      </w:r>
      <w:r w:rsidR="00C25D8A" w:rsidRPr="00F61CCD">
        <w:rPr>
          <w:rFonts w:asciiTheme="minorHAnsi" w:hAnsiTheme="minorHAnsi"/>
          <w:sz w:val="22"/>
          <w:szCs w:val="22"/>
        </w:rPr>
        <w:t>a</w:t>
      </w:r>
      <w:r w:rsidR="0056532F" w:rsidRPr="00F61CCD">
        <w:rPr>
          <w:rFonts w:asciiTheme="minorHAnsi" w:hAnsiTheme="minorHAnsi"/>
          <w:sz w:val="22"/>
          <w:szCs w:val="22"/>
        </w:rPr>
        <w:t xml:space="preserve"> creation </w:t>
      </w:r>
      <w:r w:rsidR="0056532F" w:rsidRPr="00AA288A">
        <w:rPr>
          <w:rFonts w:asciiTheme="minorHAnsi" w:hAnsiTheme="minorHAnsi"/>
          <w:sz w:val="22"/>
          <w:szCs w:val="22"/>
        </w:rPr>
        <w:t xml:space="preserve">of </w:t>
      </w:r>
      <w:r w:rsidR="00DA6C5D">
        <w:rPr>
          <w:rFonts w:asciiTheme="minorHAnsi" w:hAnsiTheme="minorHAnsi"/>
          <w:sz w:val="22"/>
          <w:szCs w:val="22"/>
        </w:rPr>
        <w:t>1218</w:t>
      </w:r>
      <w:r w:rsidR="0056532F" w:rsidRPr="00AA288A">
        <w:rPr>
          <w:rFonts w:asciiTheme="minorHAnsi" w:hAnsiTheme="minorHAnsi"/>
          <w:sz w:val="22"/>
          <w:szCs w:val="22"/>
        </w:rPr>
        <w:t xml:space="preserve"> jobs</w:t>
      </w:r>
      <w:r w:rsidR="0056532F" w:rsidRPr="00F61CCD">
        <w:rPr>
          <w:rFonts w:asciiTheme="minorHAnsi" w:hAnsiTheme="minorHAnsi"/>
          <w:sz w:val="22"/>
          <w:szCs w:val="22"/>
        </w:rPr>
        <w:t xml:space="preserve">, relative to the planned </w:t>
      </w:r>
      <w:r w:rsidR="00DA6C5D">
        <w:rPr>
          <w:rFonts w:asciiTheme="minorHAnsi" w:hAnsiTheme="minorHAnsi"/>
          <w:sz w:val="22"/>
          <w:szCs w:val="22"/>
        </w:rPr>
        <w:t>2</w:t>
      </w:r>
      <w:r w:rsidR="0056532F" w:rsidRPr="00F61CCD">
        <w:rPr>
          <w:rFonts w:asciiTheme="minorHAnsi" w:hAnsiTheme="minorHAnsi"/>
          <w:sz w:val="22"/>
          <w:szCs w:val="22"/>
        </w:rPr>
        <w:t>000 by end of 2017</w:t>
      </w:r>
      <w:r w:rsidR="00DA6C5D">
        <w:rPr>
          <w:rFonts w:asciiTheme="minorHAnsi" w:hAnsiTheme="minorHAnsi"/>
          <w:sz w:val="22"/>
          <w:szCs w:val="22"/>
        </w:rPr>
        <w:t xml:space="preserve"> [IRRF, 2017]</w:t>
      </w:r>
      <w:r w:rsidR="0056532F" w:rsidRPr="00F61CCD">
        <w:rPr>
          <w:rFonts w:asciiTheme="minorHAnsi" w:hAnsiTheme="minorHAnsi"/>
          <w:sz w:val="22"/>
          <w:szCs w:val="22"/>
        </w:rPr>
        <w:t>.</w:t>
      </w:r>
      <w:r w:rsidR="00671B5C" w:rsidRPr="00F61CCD">
        <w:rPr>
          <w:rFonts w:asciiTheme="minorHAnsi" w:hAnsiTheme="minorHAnsi"/>
          <w:sz w:val="22"/>
          <w:szCs w:val="22"/>
        </w:rPr>
        <w:t xml:space="preserve"> </w:t>
      </w:r>
      <w:r w:rsidR="002D0857" w:rsidRPr="00F61CCD">
        <w:rPr>
          <w:rFonts w:asciiTheme="minorHAnsi" w:hAnsiTheme="minorHAnsi"/>
          <w:b/>
          <w:sz w:val="22"/>
          <w:szCs w:val="22"/>
          <w:lang w:val="en-GB"/>
        </w:rPr>
        <w:t>Challenges</w:t>
      </w:r>
      <w:r w:rsidR="002D0857" w:rsidRPr="00F61CCD">
        <w:rPr>
          <w:rFonts w:asciiTheme="minorHAnsi" w:hAnsiTheme="minorHAnsi"/>
          <w:sz w:val="22"/>
          <w:szCs w:val="22"/>
          <w:lang w:val="en-GB"/>
        </w:rPr>
        <w:t xml:space="preserve"> cited under the outcome area is the absence of data for baselines and progress monitoring to </w:t>
      </w:r>
      <w:r w:rsidR="004664C6">
        <w:rPr>
          <w:rFonts w:asciiTheme="minorHAnsi" w:hAnsiTheme="minorHAnsi"/>
          <w:sz w:val="22"/>
          <w:szCs w:val="22"/>
          <w:lang w:val="en-GB"/>
        </w:rPr>
        <w:t xml:space="preserve">clearly </w:t>
      </w:r>
      <w:r w:rsidR="002D0857" w:rsidRPr="00F61CCD">
        <w:rPr>
          <w:rFonts w:asciiTheme="minorHAnsi" w:hAnsiTheme="minorHAnsi"/>
          <w:sz w:val="22"/>
          <w:szCs w:val="22"/>
          <w:lang w:val="en-GB"/>
        </w:rPr>
        <w:t xml:space="preserve">attribute UNDP contribution.  </w:t>
      </w:r>
    </w:p>
    <w:p w14:paraId="46B40E72" w14:textId="77777777" w:rsidR="002D0857" w:rsidRPr="00F61CCD" w:rsidRDefault="002D0857" w:rsidP="00547893">
      <w:pPr>
        <w:widowControl/>
        <w:jc w:val="both"/>
        <w:rPr>
          <w:rFonts w:asciiTheme="minorHAnsi" w:hAnsiTheme="minorHAnsi"/>
          <w:sz w:val="22"/>
          <w:szCs w:val="22"/>
          <w:lang w:val="en-GB"/>
        </w:rPr>
      </w:pPr>
    </w:p>
    <w:p w14:paraId="4A1FA08B" w14:textId="3630C875" w:rsidR="0056532F" w:rsidRPr="00F61CCD" w:rsidRDefault="00671B5C" w:rsidP="000867BF">
      <w:pPr>
        <w:pStyle w:val="BodyText2"/>
        <w:jc w:val="both"/>
        <w:rPr>
          <w:rFonts w:asciiTheme="minorHAnsi" w:hAnsiTheme="minorHAnsi"/>
          <w:sz w:val="22"/>
          <w:szCs w:val="22"/>
          <w:lang w:val="en-GB"/>
        </w:rPr>
      </w:pPr>
      <w:r w:rsidRPr="00F61CCD">
        <w:rPr>
          <w:rFonts w:asciiTheme="minorHAnsi" w:hAnsiTheme="minorHAnsi"/>
          <w:sz w:val="22"/>
          <w:szCs w:val="22"/>
          <w:lang w:val="en-GB"/>
        </w:rPr>
        <w:t xml:space="preserve">In the second area </w:t>
      </w:r>
      <w:r w:rsidRPr="00F61CCD">
        <w:rPr>
          <w:rFonts w:asciiTheme="minorHAnsi" w:hAnsiTheme="minorHAnsi"/>
          <w:b/>
          <w:sz w:val="22"/>
          <w:szCs w:val="22"/>
          <w:lang w:val="en-GB"/>
        </w:rPr>
        <w:t>Environmental Management for Sustainable Development</w:t>
      </w:r>
      <w:r w:rsidRPr="00F61CCD">
        <w:rPr>
          <w:rFonts w:asciiTheme="minorHAnsi" w:hAnsiTheme="minorHAnsi"/>
          <w:sz w:val="22"/>
          <w:szCs w:val="22"/>
          <w:lang w:val="en-GB"/>
        </w:rPr>
        <w:t xml:space="preserve">, </w:t>
      </w:r>
      <w:r w:rsidR="00D77DF6" w:rsidRPr="00F61CCD">
        <w:rPr>
          <w:rFonts w:asciiTheme="minorHAnsi" w:hAnsiTheme="minorHAnsi"/>
          <w:sz w:val="22"/>
          <w:szCs w:val="22"/>
          <w:lang w:val="en-GB"/>
        </w:rPr>
        <w:t>UNDP assistance emphasise</w:t>
      </w:r>
      <w:r w:rsidR="00BD481D" w:rsidRPr="00F61CCD">
        <w:rPr>
          <w:rFonts w:asciiTheme="minorHAnsi" w:hAnsiTheme="minorHAnsi"/>
          <w:sz w:val="22"/>
          <w:szCs w:val="22"/>
          <w:lang w:val="en-GB"/>
        </w:rPr>
        <w:t>d</w:t>
      </w:r>
      <w:r w:rsidR="00D77DF6" w:rsidRPr="00F61CCD">
        <w:rPr>
          <w:rFonts w:asciiTheme="minorHAnsi" w:hAnsiTheme="minorHAnsi"/>
          <w:sz w:val="22"/>
          <w:szCs w:val="22"/>
          <w:lang w:val="en-GB"/>
        </w:rPr>
        <w:t xml:space="preserve"> three inter-locking issues that enable</w:t>
      </w:r>
      <w:r w:rsidR="00BD481D" w:rsidRPr="00F61CCD">
        <w:rPr>
          <w:rFonts w:asciiTheme="minorHAnsi" w:hAnsiTheme="minorHAnsi"/>
          <w:sz w:val="22"/>
          <w:szCs w:val="22"/>
          <w:lang w:val="en-GB"/>
        </w:rPr>
        <w:t>d</w:t>
      </w:r>
      <w:r w:rsidR="00D77DF6" w:rsidRPr="00F61CCD">
        <w:rPr>
          <w:rFonts w:asciiTheme="minorHAnsi" w:hAnsiTheme="minorHAnsi"/>
          <w:sz w:val="22"/>
          <w:szCs w:val="22"/>
          <w:lang w:val="en-GB"/>
        </w:rPr>
        <w:t xml:space="preserve"> adaptation to climate change and increase resilience</w:t>
      </w:r>
      <w:r w:rsidR="002946BB">
        <w:rPr>
          <w:rFonts w:asciiTheme="minorHAnsi" w:hAnsiTheme="minorHAnsi"/>
          <w:sz w:val="22"/>
          <w:szCs w:val="22"/>
          <w:lang w:val="en-GB"/>
        </w:rPr>
        <w:t xml:space="preserve">: </w:t>
      </w:r>
      <w:r w:rsidR="00D77DF6" w:rsidRPr="00F61CCD">
        <w:rPr>
          <w:rFonts w:asciiTheme="minorHAnsi" w:hAnsiTheme="minorHAnsi"/>
          <w:sz w:val="22"/>
          <w:szCs w:val="22"/>
          <w:lang w:val="en-GB"/>
        </w:rPr>
        <w:t>a low-carbon economy, conserv</w:t>
      </w:r>
      <w:r w:rsidR="002946BB">
        <w:rPr>
          <w:rFonts w:asciiTheme="minorHAnsi" w:hAnsiTheme="minorHAnsi"/>
          <w:sz w:val="22"/>
          <w:szCs w:val="22"/>
          <w:lang w:val="en-GB"/>
        </w:rPr>
        <w:t xml:space="preserve">ation of </w:t>
      </w:r>
      <w:r w:rsidR="00D77DF6" w:rsidRPr="00F61CCD">
        <w:rPr>
          <w:rFonts w:asciiTheme="minorHAnsi" w:hAnsiTheme="minorHAnsi"/>
          <w:sz w:val="22"/>
          <w:szCs w:val="22"/>
          <w:lang w:val="en-GB"/>
        </w:rPr>
        <w:t>natural resources to secure livelihoods and production, and better manage</w:t>
      </w:r>
      <w:r w:rsidR="002946BB">
        <w:rPr>
          <w:rFonts w:asciiTheme="minorHAnsi" w:hAnsiTheme="minorHAnsi"/>
          <w:sz w:val="22"/>
          <w:szCs w:val="22"/>
          <w:lang w:val="en-GB"/>
        </w:rPr>
        <w:t>ment of</w:t>
      </w:r>
      <w:r w:rsidR="00D77DF6" w:rsidRPr="00F61CCD">
        <w:rPr>
          <w:rFonts w:asciiTheme="minorHAnsi" w:hAnsiTheme="minorHAnsi"/>
          <w:sz w:val="22"/>
          <w:szCs w:val="22"/>
          <w:lang w:val="en-GB"/>
        </w:rPr>
        <w:t xml:space="preserve"> risks related to natural disasters. </w:t>
      </w:r>
      <w:r w:rsidR="00742C70" w:rsidRPr="00F61CCD">
        <w:rPr>
          <w:rFonts w:asciiTheme="minorHAnsi" w:hAnsiTheme="minorHAnsi"/>
          <w:b/>
          <w:sz w:val="22"/>
          <w:szCs w:val="22"/>
          <w:lang w:val="en-GB"/>
        </w:rPr>
        <w:t>Achievements include</w:t>
      </w:r>
      <w:r w:rsidR="00742C70" w:rsidRPr="00F61CCD">
        <w:rPr>
          <w:rFonts w:asciiTheme="minorHAnsi" w:hAnsiTheme="minorHAnsi"/>
          <w:sz w:val="22"/>
          <w:szCs w:val="22"/>
          <w:lang w:val="en-GB"/>
        </w:rPr>
        <w:t xml:space="preserve"> </w:t>
      </w:r>
      <w:r w:rsidR="00071AC7">
        <w:rPr>
          <w:rFonts w:asciiTheme="minorHAnsi" w:hAnsiTheme="minorHAnsi"/>
          <w:sz w:val="22"/>
          <w:szCs w:val="22"/>
          <w:lang w:val="en-GB"/>
        </w:rPr>
        <w:t>a.</w:t>
      </w:r>
      <w:r w:rsidR="00071AC7" w:rsidRPr="00071AC7">
        <w:rPr>
          <w:rFonts w:asciiTheme="minorHAnsi" w:hAnsiTheme="minorHAnsi"/>
          <w:sz w:val="22"/>
          <w:szCs w:val="22"/>
          <w:lang w:val="en-GB"/>
        </w:rPr>
        <w:t xml:space="preserve"> </w:t>
      </w:r>
      <w:r w:rsidR="002946BB">
        <w:rPr>
          <w:rFonts w:asciiTheme="minorHAnsi" w:hAnsiTheme="minorHAnsi"/>
          <w:sz w:val="22"/>
          <w:szCs w:val="22"/>
          <w:lang w:val="en-GB"/>
        </w:rPr>
        <w:t>F</w:t>
      </w:r>
      <w:r w:rsidR="00071AC7" w:rsidRPr="00071AC7">
        <w:rPr>
          <w:rFonts w:asciiTheme="minorHAnsi" w:hAnsiTheme="minorHAnsi"/>
          <w:sz w:val="22"/>
          <w:szCs w:val="22"/>
          <w:lang w:val="en-GB"/>
        </w:rPr>
        <w:t xml:space="preserve">ormulation of the National Strategic Resilience Framework </w:t>
      </w:r>
      <w:r w:rsidR="00F36F59">
        <w:rPr>
          <w:rFonts w:asciiTheme="minorHAnsi" w:hAnsiTheme="minorHAnsi"/>
          <w:sz w:val="22"/>
          <w:szCs w:val="22"/>
          <w:lang w:val="en-GB"/>
        </w:rPr>
        <w:t xml:space="preserve">  to ensure the</w:t>
      </w:r>
      <w:r w:rsidR="003F57BE">
        <w:rPr>
          <w:rFonts w:asciiTheme="minorHAnsi" w:hAnsiTheme="minorHAnsi"/>
          <w:sz w:val="22"/>
          <w:szCs w:val="22"/>
          <w:lang w:val="en-GB"/>
        </w:rPr>
        <w:t xml:space="preserve"> country</w:t>
      </w:r>
      <w:r w:rsidR="00F36F59">
        <w:rPr>
          <w:rFonts w:asciiTheme="minorHAnsi" w:hAnsiTheme="minorHAnsi"/>
          <w:sz w:val="22"/>
          <w:szCs w:val="22"/>
          <w:lang w:val="en-GB"/>
        </w:rPr>
        <w:t xml:space="preserve"> pro-actively integrates  </w:t>
      </w:r>
      <w:r w:rsidR="00071AC7" w:rsidRPr="00071AC7">
        <w:rPr>
          <w:rFonts w:asciiTheme="minorHAnsi" w:hAnsiTheme="minorHAnsi"/>
          <w:sz w:val="22"/>
          <w:szCs w:val="22"/>
          <w:lang w:val="en-GB"/>
        </w:rPr>
        <w:t xml:space="preserve"> resilience and adaptation measures to natural shocks and</w:t>
      </w:r>
      <w:r w:rsidR="00071AC7">
        <w:rPr>
          <w:rFonts w:asciiTheme="minorHAnsi" w:hAnsiTheme="minorHAnsi"/>
          <w:sz w:val="22"/>
          <w:szCs w:val="22"/>
          <w:lang w:val="en-GB"/>
        </w:rPr>
        <w:t xml:space="preserve"> disasters</w:t>
      </w:r>
      <w:r w:rsidR="00F36F59">
        <w:rPr>
          <w:rFonts w:asciiTheme="minorHAnsi" w:hAnsiTheme="minorHAnsi"/>
          <w:sz w:val="22"/>
          <w:szCs w:val="22"/>
          <w:lang w:val="en-GB"/>
        </w:rPr>
        <w:t xml:space="preserve"> in key national, </w:t>
      </w:r>
      <w:r w:rsidR="00F36F59">
        <w:rPr>
          <w:rFonts w:asciiTheme="minorHAnsi" w:hAnsiTheme="minorHAnsi"/>
          <w:sz w:val="22"/>
          <w:szCs w:val="22"/>
          <w:lang w:val="en-GB"/>
        </w:rPr>
        <w:lastRenderedPageBreak/>
        <w:t>sectorial plans and strategies</w:t>
      </w:r>
      <w:r w:rsidR="003F57BE" w:rsidRPr="003F57BE">
        <w:rPr>
          <w:rFonts w:asciiTheme="minorHAnsi" w:hAnsiTheme="minorHAnsi"/>
          <w:sz w:val="22"/>
          <w:szCs w:val="22"/>
          <w:lang w:val="en-GB"/>
        </w:rPr>
        <w:t xml:space="preserve"> </w:t>
      </w:r>
      <w:r w:rsidR="003F57BE">
        <w:rPr>
          <w:rFonts w:asciiTheme="minorHAnsi" w:hAnsiTheme="minorHAnsi"/>
          <w:sz w:val="22"/>
          <w:szCs w:val="22"/>
          <w:lang w:val="en-GB"/>
        </w:rPr>
        <w:t xml:space="preserve"> to address the </w:t>
      </w:r>
      <w:r w:rsidR="003F57BE" w:rsidRPr="003F57BE">
        <w:rPr>
          <w:rFonts w:asciiTheme="minorHAnsi" w:hAnsiTheme="minorHAnsi"/>
          <w:sz w:val="22"/>
          <w:szCs w:val="22"/>
          <w:lang w:val="en-GB"/>
        </w:rPr>
        <w:t>multi-faceted challenges posed by climate induced shocks.</w:t>
      </w:r>
      <w:r w:rsidR="00071AC7">
        <w:rPr>
          <w:rFonts w:asciiTheme="minorHAnsi" w:hAnsiTheme="minorHAnsi"/>
          <w:sz w:val="22"/>
          <w:szCs w:val="22"/>
          <w:lang w:val="en-GB"/>
        </w:rPr>
        <w:t xml:space="preserve">, b. </w:t>
      </w:r>
      <w:r w:rsidR="00071AC7" w:rsidRPr="00071AC7">
        <w:rPr>
          <w:rFonts w:asciiTheme="minorHAnsi" w:hAnsiTheme="minorHAnsi"/>
          <w:sz w:val="22"/>
          <w:szCs w:val="22"/>
          <w:lang w:val="en-GB"/>
        </w:rPr>
        <w:t>Cooperation Strategy on Community Management of Protected Areas Conservations between South Africa and Lesotho developed to strengthening local communities’ capacities in promoting sustainable conservation of natural resources</w:t>
      </w:r>
      <w:r w:rsidR="00071AC7">
        <w:rPr>
          <w:rFonts w:asciiTheme="minorHAnsi" w:hAnsiTheme="minorHAnsi"/>
          <w:sz w:val="22"/>
          <w:szCs w:val="22"/>
          <w:lang w:val="en-GB"/>
        </w:rPr>
        <w:t xml:space="preserve">, </w:t>
      </w:r>
      <w:r w:rsidR="00860FC7">
        <w:rPr>
          <w:rFonts w:asciiTheme="minorHAnsi" w:hAnsiTheme="minorHAnsi"/>
          <w:sz w:val="22"/>
          <w:szCs w:val="22"/>
          <w:lang w:val="en-GB"/>
        </w:rPr>
        <w:t>c. Communities supported to implement climate smart sustainable land management initiatives which has improved livelihoods in the targeted areas, d</w:t>
      </w:r>
      <w:r w:rsidR="00512786">
        <w:rPr>
          <w:rFonts w:asciiTheme="minorHAnsi" w:hAnsiTheme="minorHAnsi"/>
          <w:sz w:val="22"/>
          <w:szCs w:val="22"/>
          <w:lang w:val="en-GB"/>
        </w:rPr>
        <w:t xml:space="preserve">. </w:t>
      </w:r>
      <w:r w:rsidR="004D1F88" w:rsidRPr="00F61CCD">
        <w:rPr>
          <w:rFonts w:asciiTheme="minorHAnsi" w:hAnsiTheme="minorHAnsi"/>
          <w:sz w:val="22"/>
          <w:szCs w:val="22"/>
          <w:lang w:val="en-GB"/>
        </w:rPr>
        <w:t>mobiliz</w:t>
      </w:r>
      <w:r w:rsidR="00742C70" w:rsidRPr="00F61CCD">
        <w:rPr>
          <w:rFonts w:asciiTheme="minorHAnsi" w:hAnsiTheme="minorHAnsi"/>
          <w:sz w:val="22"/>
          <w:szCs w:val="22"/>
          <w:lang w:val="en-GB"/>
        </w:rPr>
        <w:t xml:space="preserve">ation of </w:t>
      </w:r>
      <w:r w:rsidR="004D1F88" w:rsidRPr="00F61CCD">
        <w:rPr>
          <w:rFonts w:asciiTheme="minorHAnsi" w:hAnsiTheme="minorHAnsi"/>
          <w:sz w:val="22"/>
          <w:szCs w:val="22"/>
          <w:lang w:val="en-GB"/>
        </w:rPr>
        <w:t>USD 11,998,172</w:t>
      </w:r>
      <w:r w:rsidR="00D52AC4" w:rsidRPr="00F61CCD">
        <w:rPr>
          <w:rFonts w:asciiTheme="minorHAnsi" w:hAnsiTheme="minorHAnsi"/>
          <w:sz w:val="22"/>
          <w:szCs w:val="22"/>
          <w:lang w:val="en-GB"/>
        </w:rPr>
        <w:t xml:space="preserve"> </w:t>
      </w:r>
      <w:r w:rsidR="004D1F88" w:rsidRPr="00F61CCD">
        <w:rPr>
          <w:rFonts w:asciiTheme="minorHAnsi" w:hAnsiTheme="minorHAnsi"/>
          <w:sz w:val="22"/>
          <w:szCs w:val="22"/>
          <w:lang w:val="en-GB"/>
        </w:rPr>
        <w:t xml:space="preserve">from GEF </w:t>
      </w:r>
      <w:r w:rsidR="00880465" w:rsidRPr="00F61CCD">
        <w:rPr>
          <w:rFonts w:asciiTheme="minorHAnsi" w:hAnsiTheme="minorHAnsi"/>
          <w:sz w:val="22"/>
          <w:szCs w:val="22"/>
          <w:lang w:val="en-GB"/>
        </w:rPr>
        <w:t xml:space="preserve">covering 2016- 2021 </w:t>
      </w:r>
      <w:r w:rsidR="004D1F88" w:rsidRPr="00F61CCD">
        <w:rPr>
          <w:rFonts w:asciiTheme="minorHAnsi" w:hAnsiTheme="minorHAnsi"/>
          <w:sz w:val="22"/>
          <w:szCs w:val="22"/>
          <w:lang w:val="en-GB"/>
        </w:rPr>
        <w:t xml:space="preserve">to promote sound environmental and natural resource management, enhance access to renewable energy </w:t>
      </w:r>
      <w:r w:rsidR="007244C7" w:rsidRPr="00F61CCD">
        <w:rPr>
          <w:rFonts w:asciiTheme="minorHAnsi" w:hAnsiTheme="minorHAnsi"/>
          <w:sz w:val="22"/>
          <w:szCs w:val="22"/>
          <w:lang w:val="en-GB"/>
        </w:rPr>
        <w:t>and reduce</w:t>
      </w:r>
      <w:r w:rsidR="004D1F88" w:rsidRPr="00F61CCD">
        <w:rPr>
          <w:rFonts w:asciiTheme="minorHAnsi" w:hAnsiTheme="minorHAnsi"/>
          <w:sz w:val="22"/>
          <w:szCs w:val="22"/>
          <w:lang w:val="en-GB"/>
        </w:rPr>
        <w:t xml:space="preserve"> the country’s vulnerability </w:t>
      </w:r>
      <w:r w:rsidR="007244C7" w:rsidRPr="00F61CCD">
        <w:rPr>
          <w:rFonts w:asciiTheme="minorHAnsi" w:hAnsiTheme="minorHAnsi"/>
          <w:sz w:val="22"/>
          <w:szCs w:val="22"/>
          <w:lang w:val="en-GB"/>
        </w:rPr>
        <w:t>to climate</w:t>
      </w:r>
      <w:r w:rsidR="004D1F88" w:rsidRPr="00F61CCD">
        <w:rPr>
          <w:rFonts w:asciiTheme="minorHAnsi" w:hAnsiTheme="minorHAnsi"/>
          <w:sz w:val="22"/>
          <w:szCs w:val="22"/>
          <w:lang w:val="en-GB"/>
        </w:rPr>
        <w:t xml:space="preserve"> </w:t>
      </w:r>
      <w:r w:rsidR="007244C7" w:rsidRPr="00F61CCD">
        <w:rPr>
          <w:rFonts w:asciiTheme="minorHAnsi" w:hAnsiTheme="minorHAnsi"/>
          <w:sz w:val="22"/>
          <w:szCs w:val="22"/>
          <w:lang w:val="en-GB"/>
        </w:rPr>
        <w:t>change and</w:t>
      </w:r>
      <w:r w:rsidR="004D1F88" w:rsidRPr="00F61CCD">
        <w:rPr>
          <w:rFonts w:asciiTheme="minorHAnsi" w:hAnsiTheme="minorHAnsi"/>
          <w:sz w:val="22"/>
          <w:szCs w:val="22"/>
          <w:lang w:val="en-GB"/>
        </w:rPr>
        <w:t xml:space="preserve"> disasters</w:t>
      </w:r>
      <w:r w:rsidR="00DB0FA8">
        <w:rPr>
          <w:rFonts w:asciiTheme="minorHAnsi" w:hAnsiTheme="minorHAnsi"/>
          <w:sz w:val="22"/>
          <w:szCs w:val="22"/>
          <w:lang w:val="en-GB"/>
        </w:rPr>
        <w:t>, e</w:t>
      </w:r>
      <w:r w:rsidR="005A3BFD">
        <w:rPr>
          <w:rFonts w:asciiTheme="minorHAnsi" w:hAnsiTheme="minorHAnsi"/>
          <w:sz w:val="22"/>
          <w:szCs w:val="22"/>
          <w:lang w:val="en-GB"/>
        </w:rPr>
        <w:t xml:space="preserve">. </w:t>
      </w:r>
      <w:r w:rsidR="00DB0FA8" w:rsidRPr="00DB0FA8">
        <w:rPr>
          <w:rFonts w:asciiTheme="minorHAnsi" w:hAnsiTheme="minorHAnsi"/>
          <w:sz w:val="22"/>
          <w:szCs w:val="22"/>
          <w:lang w:val="en-GB"/>
        </w:rPr>
        <w:t xml:space="preserve">Investments in renewable energy and community empowerment for range and environmental management improved livelihoods for more than 2,500 people, majority of whom were women, through increased productivity and household food security . </w:t>
      </w:r>
      <w:r w:rsidR="000867BF" w:rsidRPr="00F61CCD">
        <w:rPr>
          <w:rFonts w:asciiTheme="minorHAnsi" w:hAnsiTheme="minorHAnsi"/>
          <w:b/>
          <w:sz w:val="22"/>
          <w:szCs w:val="22"/>
          <w:lang w:val="en-GB"/>
        </w:rPr>
        <w:t>Challenges</w:t>
      </w:r>
      <w:r w:rsidR="000867BF" w:rsidRPr="00F61CCD">
        <w:rPr>
          <w:rFonts w:asciiTheme="minorHAnsi" w:hAnsiTheme="minorHAnsi"/>
          <w:sz w:val="22"/>
          <w:szCs w:val="22"/>
          <w:lang w:val="en-GB"/>
        </w:rPr>
        <w:t xml:space="preserve">- Coordination amongst partners continue to pose a huge challenge and </w:t>
      </w:r>
      <w:r w:rsidR="001D03FB">
        <w:rPr>
          <w:rFonts w:asciiTheme="minorHAnsi" w:hAnsiTheme="minorHAnsi"/>
          <w:sz w:val="22"/>
          <w:szCs w:val="22"/>
          <w:lang w:val="en-GB"/>
        </w:rPr>
        <w:t xml:space="preserve">has </w:t>
      </w:r>
      <w:r w:rsidR="002344F0" w:rsidRPr="00F61CCD">
        <w:rPr>
          <w:rFonts w:asciiTheme="minorHAnsi" w:hAnsiTheme="minorHAnsi"/>
          <w:sz w:val="22"/>
          <w:szCs w:val="22"/>
          <w:lang w:val="en-GB"/>
        </w:rPr>
        <w:t xml:space="preserve">impacted on rate of </w:t>
      </w:r>
      <w:r w:rsidR="000867BF" w:rsidRPr="00F61CCD">
        <w:rPr>
          <w:rFonts w:asciiTheme="minorHAnsi" w:hAnsiTheme="minorHAnsi"/>
          <w:sz w:val="22"/>
          <w:szCs w:val="22"/>
          <w:lang w:val="en-GB"/>
        </w:rPr>
        <w:t>programme implementation</w:t>
      </w:r>
      <w:r w:rsidR="00B41DD2">
        <w:rPr>
          <w:rFonts w:asciiTheme="minorHAnsi" w:hAnsiTheme="minorHAnsi"/>
          <w:sz w:val="22"/>
          <w:szCs w:val="22"/>
          <w:lang w:val="en-GB"/>
        </w:rPr>
        <w:t xml:space="preserve"> and delivery</w:t>
      </w:r>
      <w:r w:rsidR="000867BF" w:rsidRPr="00F61CCD">
        <w:rPr>
          <w:rFonts w:asciiTheme="minorHAnsi" w:hAnsiTheme="minorHAnsi"/>
          <w:sz w:val="22"/>
          <w:szCs w:val="22"/>
          <w:lang w:val="en-GB"/>
        </w:rPr>
        <w:t xml:space="preserve">. </w:t>
      </w:r>
    </w:p>
    <w:p w14:paraId="4780D030" w14:textId="77777777" w:rsidR="000867BF" w:rsidRPr="00F61CCD" w:rsidRDefault="000867BF" w:rsidP="000867BF">
      <w:pPr>
        <w:pStyle w:val="BodyText2"/>
        <w:jc w:val="both"/>
        <w:rPr>
          <w:rFonts w:asciiTheme="minorHAnsi" w:hAnsiTheme="minorHAnsi"/>
          <w:sz w:val="22"/>
          <w:szCs w:val="22"/>
          <w:lang w:val="en-GB"/>
        </w:rPr>
      </w:pPr>
      <w:bookmarkStart w:id="1" w:name="_Hlk511640596"/>
    </w:p>
    <w:p w14:paraId="3A5ED621" w14:textId="1155497F" w:rsidR="00A12A9B" w:rsidRPr="00F61CCD" w:rsidRDefault="00871EE0" w:rsidP="001A05B1">
      <w:pPr>
        <w:jc w:val="both"/>
        <w:rPr>
          <w:rFonts w:asciiTheme="minorHAnsi" w:hAnsiTheme="minorHAnsi"/>
          <w:b/>
          <w:sz w:val="22"/>
          <w:szCs w:val="22"/>
        </w:rPr>
      </w:pPr>
      <w:r w:rsidRPr="00871EE0">
        <w:t xml:space="preserve"> </w:t>
      </w:r>
      <w:r w:rsidRPr="00871EE0">
        <w:rPr>
          <w:rFonts w:asciiTheme="minorHAnsi" w:hAnsiTheme="minorHAnsi"/>
          <w:sz w:val="22"/>
          <w:szCs w:val="22"/>
          <w:lang w:val="en-GB"/>
        </w:rPr>
        <w:t xml:space="preserve">In the third area </w:t>
      </w:r>
      <w:r w:rsidRPr="00A52A5D">
        <w:rPr>
          <w:rFonts w:asciiTheme="minorHAnsi" w:hAnsiTheme="minorHAnsi"/>
          <w:b/>
          <w:sz w:val="22"/>
          <w:szCs w:val="22"/>
          <w:lang w:val="en-GB"/>
        </w:rPr>
        <w:t>Good Governance and Accountable Institutions</w:t>
      </w:r>
      <w:r w:rsidRPr="00871EE0">
        <w:rPr>
          <w:rFonts w:asciiTheme="minorHAnsi" w:hAnsiTheme="minorHAnsi"/>
          <w:sz w:val="22"/>
          <w:szCs w:val="22"/>
          <w:lang w:val="en-GB"/>
        </w:rPr>
        <w:t xml:space="preserve">, emphasis was placed on performance and accountability, citizen participation and mechanisms for maintaining social peace. </w:t>
      </w:r>
      <w:r w:rsidRPr="00A52A5D">
        <w:rPr>
          <w:rFonts w:asciiTheme="minorHAnsi" w:hAnsiTheme="minorHAnsi"/>
          <w:b/>
          <w:sz w:val="22"/>
          <w:szCs w:val="22"/>
          <w:lang w:val="en-GB"/>
        </w:rPr>
        <w:t>Achievements include</w:t>
      </w:r>
      <w:r w:rsidRPr="00871EE0">
        <w:rPr>
          <w:rFonts w:asciiTheme="minorHAnsi" w:hAnsiTheme="minorHAnsi"/>
          <w:sz w:val="22"/>
          <w:szCs w:val="22"/>
          <w:lang w:val="en-GB"/>
        </w:rPr>
        <w:t xml:space="preserve">: a. Development of a National Reform Framework and Roadmap to guide  the  implementation  of planned national  reforms with a key focus on inclusive and participatory  national dialogue processes.    b. strengthening of governance institutions key being the Independent Electoral Commission by providing financial and technical support which enabled free and fair national elections in 2017 resulting in all parties accepting the elections results,  c. improved legislative and policy environment for decentralization,  resulting in increased transfer of functions from central to local governments, with 5 out of 8 pilot line ministries formalizing their transfer of functions to the local level;  d; establishment of an inter-ministerial mechanism for Human Rights Treaty Bodies and improved compliance to state party reporting, e. Development and implementation of the National Anti-Corruption Strategy as a coherent, forward-looking and integrated national  framework to address challenges combating corruption. This has also led to increased awareness of corruption and importance of the  declaration of assets by public officers  f.  Another achievement was the roll-out of an Assets Declaration System for public officers facilitated by a UNDP  sponsored south- south co—operation between   the Lesotho and Ugandan Anti Ugandan Anti-Corruption Bodies, resulting in the first ever public declaration of assets by the current Members of the Lesotho Cabinet. g .Establishment and operationalization of District Anti-corruption Committees and Systems Integrity Committees in 12 out of 26 government ministries which was a major step towards achieving greater accountability for resources and ensuring better service delivery.  and h. establishment of the Research Unit in Parliament to serve as a resource for parliamentarians and stimulate debates which are informed by research. </w:t>
      </w:r>
      <w:r w:rsidR="00F11488" w:rsidRPr="00A242A0">
        <w:rPr>
          <w:rFonts w:asciiTheme="minorHAnsi" w:hAnsiTheme="minorHAnsi"/>
          <w:b/>
          <w:sz w:val="22"/>
          <w:szCs w:val="22"/>
        </w:rPr>
        <w:t>Challenges</w:t>
      </w:r>
      <w:r w:rsidR="00044260" w:rsidRPr="00F61CCD">
        <w:rPr>
          <w:rFonts w:asciiTheme="minorHAnsi" w:hAnsiTheme="minorHAnsi"/>
          <w:b/>
          <w:sz w:val="22"/>
          <w:szCs w:val="22"/>
        </w:rPr>
        <w:t xml:space="preserve"> -</w:t>
      </w:r>
      <w:r w:rsidR="00044260" w:rsidRPr="00F61CCD">
        <w:rPr>
          <w:rFonts w:asciiTheme="minorHAnsi" w:hAnsiTheme="minorHAnsi"/>
          <w:sz w:val="22"/>
          <w:szCs w:val="22"/>
        </w:rPr>
        <w:t xml:space="preserve"> Instability in government and politicization of the public service, especially at the senior management level has resulted in frequent changes undermining continuity, effective decision making and overall development programming</w:t>
      </w:r>
      <w:r w:rsidR="009270B2">
        <w:rPr>
          <w:rFonts w:asciiTheme="minorHAnsi" w:hAnsiTheme="minorHAnsi"/>
          <w:sz w:val="22"/>
          <w:szCs w:val="22"/>
        </w:rPr>
        <w:t xml:space="preserve">, </w:t>
      </w:r>
      <w:r w:rsidR="00044260" w:rsidRPr="00F61CCD">
        <w:rPr>
          <w:rFonts w:asciiTheme="minorHAnsi" w:hAnsiTheme="minorHAnsi"/>
          <w:sz w:val="22"/>
          <w:szCs w:val="22"/>
        </w:rPr>
        <w:t xml:space="preserve"> </w:t>
      </w:r>
      <w:r w:rsidR="009270B2">
        <w:rPr>
          <w:rFonts w:asciiTheme="minorHAnsi" w:hAnsiTheme="minorHAnsi"/>
          <w:sz w:val="22"/>
          <w:szCs w:val="22"/>
        </w:rPr>
        <w:t>i</w:t>
      </w:r>
      <w:r w:rsidR="00044260" w:rsidRPr="00F61CCD">
        <w:rPr>
          <w:rFonts w:asciiTheme="minorHAnsi" w:hAnsiTheme="minorHAnsi"/>
          <w:sz w:val="22"/>
          <w:szCs w:val="22"/>
        </w:rPr>
        <w:t>mplementation</w:t>
      </w:r>
      <w:r w:rsidR="009270B2">
        <w:rPr>
          <w:rFonts w:asciiTheme="minorHAnsi" w:hAnsiTheme="minorHAnsi"/>
          <w:sz w:val="22"/>
          <w:szCs w:val="22"/>
        </w:rPr>
        <w:t xml:space="preserve"> and management</w:t>
      </w:r>
      <w:r w:rsidR="00044260" w:rsidRPr="00F61CCD">
        <w:rPr>
          <w:rFonts w:asciiTheme="minorHAnsi" w:hAnsiTheme="minorHAnsi"/>
          <w:sz w:val="22"/>
          <w:szCs w:val="22"/>
        </w:rPr>
        <w:t>.</w:t>
      </w:r>
    </w:p>
    <w:bookmarkEnd w:id="1"/>
    <w:p w14:paraId="63497D76" w14:textId="77777777" w:rsidR="00216A4A" w:rsidRPr="00F61CCD" w:rsidRDefault="00216A4A" w:rsidP="00A12A9B">
      <w:pPr>
        <w:jc w:val="both"/>
        <w:rPr>
          <w:rFonts w:asciiTheme="minorHAnsi" w:hAnsiTheme="minorHAnsi"/>
          <w:b/>
          <w:sz w:val="22"/>
          <w:szCs w:val="22"/>
        </w:rPr>
      </w:pPr>
    </w:p>
    <w:p w14:paraId="155F1107" w14:textId="23A19398" w:rsidR="00A17E43" w:rsidRPr="00F61CCD" w:rsidRDefault="006466E1" w:rsidP="00A17E43">
      <w:pPr>
        <w:jc w:val="both"/>
        <w:rPr>
          <w:rFonts w:asciiTheme="minorHAnsi" w:hAnsiTheme="minorHAnsi"/>
          <w:color w:val="000000"/>
          <w:sz w:val="22"/>
          <w:szCs w:val="22"/>
          <w:lang w:val="en-GB"/>
        </w:rPr>
      </w:pPr>
      <w:r>
        <w:rPr>
          <w:rFonts w:asciiTheme="minorHAnsi" w:hAnsiTheme="minorHAnsi"/>
          <w:sz w:val="22"/>
          <w:szCs w:val="22"/>
        </w:rPr>
        <w:t>The f</w:t>
      </w:r>
      <w:r w:rsidR="00216A4A" w:rsidRPr="00F61CCD">
        <w:rPr>
          <w:rFonts w:asciiTheme="minorHAnsi" w:hAnsiTheme="minorHAnsi"/>
          <w:sz w:val="22"/>
          <w:szCs w:val="22"/>
        </w:rPr>
        <w:t xml:space="preserve">ourth </w:t>
      </w:r>
      <w:r w:rsidR="009270B2">
        <w:rPr>
          <w:rFonts w:asciiTheme="minorHAnsi" w:hAnsiTheme="minorHAnsi"/>
          <w:sz w:val="22"/>
          <w:szCs w:val="22"/>
        </w:rPr>
        <w:t xml:space="preserve">area </w:t>
      </w:r>
      <w:r w:rsidR="00216A4A" w:rsidRPr="00F61CCD">
        <w:rPr>
          <w:rFonts w:asciiTheme="minorHAnsi" w:hAnsiTheme="minorHAnsi"/>
          <w:b/>
          <w:sz w:val="22"/>
          <w:szCs w:val="22"/>
          <w:lang w:val="en-GB"/>
        </w:rPr>
        <w:t xml:space="preserve">Evidence-based policy decisions making- </w:t>
      </w:r>
      <w:r w:rsidR="00A17E43" w:rsidRPr="00F61CCD">
        <w:rPr>
          <w:rFonts w:asciiTheme="minorHAnsi" w:hAnsiTheme="minorHAnsi"/>
          <w:sz w:val="22"/>
          <w:szCs w:val="22"/>
          <w:lang w:val="en-GB"/>
        </w:rPr>
        <w:t>aimed</w:t>
      </w:r>
      <w:r w:rsidR="00A17E43" w:rsidRPr="00F61CCD">
        <w:rPr>
          <w:rFonts w:asciiTheme="minorHAnsi" w:hAnsiTheme="minorHAnsi"/>
          <w:b/>
          <w:sz w:val="22"/>
          <w:szCs w:val="22"/>
          <w:lang w:val="en-GB"/>
        </w:rPr>
        <w:t xml:space="preserve"> </w:t>
      </w:r>
      <w:r w:rsidR="00BE4BE4" w:rsidRPr="00F61CCD">
        <w:rPr>
          <w:rFonts w:asciiTheme="minorHAnsi" w:hAnsiTheme="minorHAnsi"/>
          <w:sz w:val="22"/>
          <w:szCs w:val="22"/>
          <w:lang w:val="en-GB"/>
        </w:rPr>
        <w:t xml:space="preserve">at </w:t>
      </w:r>
      <w:r w:rsidR="00A17E43" w:rsidRPr="00F61CCD">
        <w:rPr>
          <w:rFonts w:asciiTheme="minorHAnsi" w:hAnsiTheme="minorHAnsi"/>
          <w:color w:val="000000"/>
          <w:sz w:val="22"/>
          <w:szCs w:val="22"/>
          <w:lang w:val="en-GB"/>
        </w:rPr>
        <w:t xml:space="preserve">ensuring that </w:t>
      </w:r>
      <w:r w:rsidR="00CD1D9D" w:rsidRPr="00F61CCD">
        <w:rPr>
          <w:rFonts w:asciiTheme="minorHAnsi" w:hAnsiTheme="minorHAnsi"/>
          <w:color w:val="000000"/>
          <w:sz w:val="22"/>
          <w:szCs w:val="22"/>
          <w:lang w:val="en-GB"/>
        </w:rPr>
        <w:t>decision making was based on sound policy analysis and promot</w:t>
      </w:r>
      <w:r w:rsidR="009270B2">
        <w:rPr>
          <w:rFonts w:asciiTheme="minorHAnsi" w:hAnsiTheme="minorHAnsi"/>
          <w:color w:val="000000"/>
          <w:sz w:val="22"/>
          <w:szCs w:val="22"/>
          <w:lang w:val="en-GB"/>
        </w:rPr>
        <w:t xml:space="preserve">ed inclusivity of </w:t>
      </w:r>
      <w:r w:rsidR="00A17E43" w:rsidRPr="00F61CCD">
        <w:rPr>
          <w:rFonts w:asciiTheme="minorHAnsi" w:hAnsiTheme="minorHAnsi"/>
          <w:color w:val="000000"/>
          <w:sz w:val="22"/>
          <w:szCs w:val="22"/>
          <w:lang w:val="en-GB"/>
        </w:rPr>
        <w:t>all key stakeholders</w:t>
      </w:r>
      <w:r w:rsidR="00385B33">
        <w:rPr>
          <w:rFonts w:asciiTheme="minorHAnsi" w:hAnsiTheme="minorHAnsi"/>
          <w:color w:val="000000"/>
          <w:sz w:val="22"/>
          <w:szCs w:val="22"/>
          <w:lang w:val="en-GB"/>
        </w:rPr>
        <w:t xml:space="preserve"> - </w:t>
      </w:r>
      <w:r w:rsidR="00A17E43" w:rsidRPr="00F61CCD">
        <w:rPr>
          <w:rFonts w:asciiTheme="minorHAnsi" w:hAnsiTheme="minorHAnsi"/>
          <w:color w:val="000000"/>
          <w:sz w:val="22"/>
          <w:szCs w:val="22"/>
          <w:lang w:val="en-GB"/>
        </w:rPr>
        <w:t>government, decentralised local government authorities, civil society organisations, community based organisations (CBOs) private sector</w:t>
      </w:r>
      <w:r w:rsidR="00E91C8B">
        <w:rPr>
          <w:rFonts w:asciiTheme="minorHAnsi" w:hAnsiTheme="minorHAnsi"/>
          <w:color w:val="000000"/>
          <w:sz w:val="22"/>
          <w:szCs w:val="22"/>
          <w:lang w:val="en-GB"/>
        </w:rPr>
        <w:t xml:space="preserve"> and the citizenry</w:t>
      </w:r>
      <w:r w:rsidR="00A17E43" w:rsidRPr="00F61CCD">
        <w:rPr>
          <w:rFonts w:asciiTheme="minorHAnsi" w:hAnsiTheme="minorHAnsi"/>
          <w:color w:val="000000"/>
          <w:sz w:val="22"/>
          <w:szCs w:val="22"/>
          <w:lang w:val="en-GB"/>
        </w:rPr>
        <w:t xml:space="preserve">. </w:t>
      </w:r>
      <w:r w:rsidR="00A17E43" w:rsidRPr="00F61CCD">
        <w:rPr>
          <w:rFonts w:asciiTheme="minorHAnsi" w:hAnsiTheme="minorHAnsi"/>
          <w:b/>
          <w:color w:val="000000"/>
          <w:sz w:val="22"/>
          <w:szCs w:val="22"/>
          <w:lang w:val="en-GB"/>
        </w:rPr>
        <w:t>Achievement</w:t>
      </w:r>
      <w:r w:rsidR="00AF67F7" w:rsidRPr="00F61CCD">
        <w:rPr>
          <w:rFonts w:asciiTheme="minorHAnsi" w:hAnsiTheme="minorHAnsi"/>
          <w:b/>
          <w:color w:val="000000"/>
          <w:sz w:val="22"/>
          <w:szCs w:val="22"/>
          <w:lang w:val="en-GB"/>
        </w:rPr>
        <w:t>s</w:t>
      </w:r>
      <w:r w:rsidR="00A17E43" w:rsidRPr="00F61CCD">
        <w:rPr>
          <w:rFonts w:asciiTheme="minorHAnsi" w:hAnsiTheme="minorHAnsi"/>
          <w:b/>
          <w:color w:val="000000"/>
          <w:sz w:val="22"/>
          <w:szCs w:val="22"/>
          <w:lang w:val="en-GB"/>
        </w:rPr>
        <w:t xml:space="preserve"> include</w:t>
      </w:r>
      <w:r w:rsidR="00A17E43" w:rsidRPr="00F61CCD">
        <w:rPr>
          <w:rFonts w:asciiTheme="minorHAnsi" w:hAnsiTheme="minorHAnsi"/>
          <w:color w:val="000000"/>
          <w:sz w:val="22"/>
          <w:szCs w:val="22"/>
          <w:lang w:val="en-GB"/>
        </w:rPr>
        <w:t xml:space="preserve">- </w:t>
      </w:r>
      <w:r w:rsidR="000E67A8">
        <w:rPr>
          <w:rFonts w:asciiTheme="minorHAnsi" w:hAnsiTheme="minorHAnsi"/>
          <w:color w:val="000000"/>
          <w:sz w:val="22"/>
          <w:szCs w:val="22"/>
          <w:lang w:val="en-GB"/>
        </w:rPr>
        <w:t>a.</w:t>
      </w:r>
      <w:r w:rsidR="00FB0137">
        <w:rPr>
          <w:rFonts w:asciiTheme="minorHAnsi" w:hAnsiTheme="minorHAnsi"/>
          <w:color w:val="000000"/>
          <w:sz w:val="22"/>
          <w:szCs w:val="22"/>
          <w:lang w:val="en-GB"/>
        </w:rPr>
        <w:t xml:space="preserve"> Increased</w:t>
      </w:r>
      <w:r w:rsidR="000E67A8">
        <w:rPr>
          <w:rFonts w:asciiTheme="minorHAnsi" w:hAnsiTheme="minorHAnsi"/>
          <w:color w:val="000000"/>
          <w:sz w:val="22"/>
          <w:szCs w:val="22"/>
          <w:lang w:val="en-GB"/>
        </w:rPr>
        <w:t xml:space="preserve"> </w:t>
      </w:r>
      <w:r w:rsidR="00FB0137">
        <w:rPr>
          <w:rFonts w:asciiTheme="minorHAnsi" w:hAnsiTheme="minorHAnsi"/>
          <w:color w:val="000000"/>
          <w:sz w:val="22"/>
          <w:szCs w:val="22"/>
          <w:lang w:val="en-GB"/>
        </w:rPr>
        <w:t>a</w:t>
      </w:r>
      <w:r w:rsidR="006F59CE">
        <w:rPr>
          <w:rFonts w:asciiTheme="minorHAnsi" w:hAnsiTheme="minorHAnsi"/>
          <w:color w:val="000000"/>
          <w:sz w:val="22"/>
          <w:szCs w:val="22"/>
          <w:lang w:val="en-GB"/>
        </w:rPr>
        <w:t xml:space="preserve">wareness on the Sustainable Development Goals (SDGs) </w:t>
      </w:r>
      <w:r w:rsidR="00FB0137">
        <w:rPr>
          <w:rFonts w:asciiTheme="minorHAnsi" w:hAnsiTheme="minorHAnsi"/>
          <w:color w:val="000000"/>
          <w:sz w:val="22"/>
          <w:szCs w:val="22"/>
          <w:lang w:val="en-GB"/>
        </w:rPr>
        <w:t xml:space="preserve">resulting in </w:t>
      </w:r>
      <w:r w:rsidR="006F59CE">
        <w:rPr>
          <w:rFonts w:asciiTheme="minorHAnsi" w:hAnsiTheme="minorHAnsi"/>
          <w:color w:val="000000"/>
          <w:sz w:val="22"/>
          <w:szCs w:val="22"/>
          <w:lang w:val="en-GB"/>
        </w:rPr>
        <w:t xml:space="preserve"> understanding on what each </w:t>
      </w:r>
      <w:r w:rsidR="00D8363B">
        <w:rPr>
          <w:rFonts w:asciiTheme="minorHAnsi" w:hAnsiTheme="minorHAnsi"/>
          <w:color w:val="000000"/>
          <w:sz w:val="22"/>
          <w:szCs w:val="22"/>
          <w:lang w:val="en-GB"/>
        </w:rPr>
        <w:t>stakeholder</w:t>
      </w:r>
      <w:r w:rsidR="006F59CE">
        <w:rPr>
          <w:rFonts w:asciiTheme="minorHAnsi" w:hAnsiTheme="minorHAnsi"/>
          <w:color w:val="000000"/>
          <w:sz w:val="22"/>
          <w:szCs w:val="22"/>
          <w:lang w:val="en-GB"/>
        </w:rPr>
        <w:t xml:space="preserve"> [private sector, academia etc,</w:t>
      </w:r>
      <w:r w:rsidR="00FB0137">
        <w:rPr>
          <w:rFonts w:asciiTheme="minorHAnsi" w:hAnsiTheme="minorHAnsi"/>
          <w:color w:val="000000"/>
          <w:sz w:val="22"/>
          <w:szCs w:val="22"/>
          <w:lang w:val="en-GB"/>
        </w:rPr>
        <w:t>]</w:t>
      </w:r>
      <w:r w:rsidR="006F59CE">
        <w:rPr>
          <w:rFonts w:asciiTheme="minorHAnsi" w:hAnsiTheme="minorHAnsi"/>
          <w:color w:val="000000"/>
          <w:sz w:val="22"/>
          <w:szCs w:val="22"/>
          <w:lang w:val="en-GB"/>
        </w:rPr>
        <w:t xml:space="preserve"> can play in implementing the goals. Notable was the translation of the SDGs into braille which </w:t>
      </w:r>
      <w:r w:rsidR="00D8363B">
        <w:rPr>
          <w:rFonts w:asciiTheme="minorHAnsi" w:hAnsiTheme="minorHAnsi"/>
          <w:color w:val="000000"/>
          <w:sz w:val="22"/>
          <w:szCs w:val="22"/>
          <w:lang w:val="en-GB"/>
        </w:rPr>
        <w:t>assisted the visually impaired to join stakeholders in advocating for SDG implementation</w:t>
      </w:r>
      <w:r w:rsidR="00E91C8B">
        <w:rPr>
          <w:rFonts w:asciiTheme="minorHAnsi" w:hAnsiTheme="minorHAnsi"/>
          <w:color w:val="000000"/>
          <w:sz w:val="22"/>
          <w:szCs w:val="22"/>
          <w:lang w:val="en-GB"/>
        </w:rPr>
        <w:t xml:space="preserve"> and into Sesotho to enhance  citizens knowledge</w:t>
      </w:r>
      <w:r w:rsidR="000E58E0">
        <w:rPr>
          <w:rFonts w:asciiTheme="minorHAnsi" w:hAnsiTheme="minorHAnsi"/>
          <w:color w:val="000000"/>
          <w:sz w:val="22"/>
          <w:szCs w:val="22"/>
          <w:lang w:val="en-GB"/>
        </w:rPr>
        <w:t xml:space="preserve"> of the SDGs</w:t>
      </w:r>
      <w:r w:rsidR="00E91C8B">
        <w:rPr>
          <w:rFonts w:asciiTheme="minorHAnsi" w:hAnsiTheme="minorHAnsi"/>
          <w:color w:val="000000"/>
          <w:sz w:val="22"/>
          <w:szCs w:val="22"/>
          <w:lang w:val="en-GB"/>
        </w:rPr>
        <w:t xml:space="preserve"> </w:t>
      </w:r>
      <w:r w:rsidR="00D8363B">
        <w:rPr>
          <w:rFonts w:asciiTheme="minorHAnsi" w:hAnsiTheme="minorHAnsi"/>
          <w:color w:val="000000"/>
          <w:sz w:val="22"/>
          <w:szCs w:val="22"/>
          <w:lang w:val="en-GB"/>
        </w:rPr>
        <w:t xml:space="preserve">, </w:t>
      </w:r>
      <w:r w:rsidR="00187656">
        <w:rPr>
          <w:rFonts w:asciiTheme="minorHAnsi" w:hAnsiTheme="minorHAnsi"/>
          <w:color w:val="000000"/>
          <w:sz w:val="22"/>
          <w:szCs w:val="22"/>
          <w:lang w:val="en-GB"/>
        </w:rPr>
        <w:t xml:space="preserve">b. </w:t>
      </w:r>
      <w:r w:rsidR="00DF7CCE">
        <w:rPr>
          <w:rFonts w:asciiTheme="minorHAnsi" w:hAnsiTheme="minorHAnsi"/>
          <w:color w:val="000000"/>
          <w:sz w:val="22"/>
          <w:szCs w:val="22"/>
          <w:lang w:val="en-GB"/>
        </w:rPr>
        <w:t>Integration of the SDGs in</w:t>
      </w:r>
      <w:r>
        <w:rPr>
          <w:rFonts w:asciiTheme="minorHAnsi" w:hAnsiTheme="minorHAnsi"/>
          <w:color w:val="000000"/>
          <w:sz w:val="22"/>
          <w:szCs w:val="22"/>
          <w:lang w:val="en-GB"/>
        </w:rPr>
        <w:t xml:space="preserve">to </w:t>
      </w:r>
      <w:r w:rsidR="00DF7CCE">
        <w:rPr>
          <w:rFonts w:asciiTheme="minorHAnsi" w:hAnsiTheme="minorHAnsi"/>
          <w:color w:val="000000"/>
          <w:sz w:val="22"/>
          <w:szCs w:val="22"/>
          <w:lang w:val="en-GB"/>
        </w:rPr>
        <w:t xml:space="preserve"> the National  Strateg</w:t>
      </w:r>
      <w:r>
        <w:rPr>
          <w:rFonts w:asciiTheme="minorHAnsi" w:hAnsiTheme="minorHAnsi"/>
          <w:color w:val="000000"/>
          <w:sz w:val="22"/>
          <w:szCs w:val="22"/>
          <w:lang w:val="en-GB"/>
        </w:rPr>
        <w:t>ic Development Plan</w:t>
      </w:r>
      <w:r w:rsidR="00DF7CCE">
        <w:rPr>
          <w:rFonts w:asciiTheme="minorHAnsi" w:hAnsiTheme="minorHAnsi"/>
          <w:color w:val="000000"/>
          <w:sz w:val="22"/>
          <w:szCs w:val="22"/>
          <w:lang w:val="en-GB"/>
        </w:rPr>
        <w:t xml:space="preserve"> [NSDP II], and c. </w:t>
      </w:r>
      <w:r w:rsidR="00B00A53" w:rsidRPr="00F61CCD">
        <w:rPr>
          <w:rFonts w:asciiTheme="minorHAnsi" w:hAnsiTheme="minorHAnsi"/>
          <w:color w:val="000000"/>
          <w:sz w:val="22"/>
          <w:szCs w:val="22"/>
          <w:lang w:val="en-GB"/>
        </w:rPr>
        <w:t>improving data availability, statistical evidence and use in policy and research through technical and financial support to various national institutions</w:t>
      </w:r>
      <w:r w:rsidR="00DF7CCE">
        <w:rPr>
          <w:rFonts w:asciiTheme="minorHAnsi" w:hAnsiTheme="minorHAnsi"/>
          <w:color w:val="000000"/>
          <w:sz w:val="22"/>
          <w:szCs w:val="22"/>
          <w:lang w:val="en-GB"/>
        </w:rPr>
        <w:t xml:space="preserve"> for effective data collection, use, analysis and dissemination. </w:t>
      </w:r>
      <w:r w:rsidR="00E866A7" w:rsidRPr="00F61CCD">
        <w:rPr>
          <w:rFonts w:asciiTheme="minorHAnsi" w:hAnsiTheme="minorHAnsi"/>
          <w:b/>
          <w:color w:val="000000"/>
          <w:sz w:val="22"/>
          <w:szCs w:val="22"/>
          <w:lang w:val="en-GB"/>
        </w:rPr>
        <w:t>Challenges-</w:t>
      </w:r>
      <w:r w:rsidR="00E866A7" w:rsidRPr="00F61CCD">
        <w:rPr>
          <w:rFonts w:asciiTheme="minorHAnsi" w:hAnsiTheme="minorHAnsi"/>
          <w:color w:val="000000"/>
          <w:sz w:val="22"/>
          <w:szCs w:val="22"/>
          <w:lang w:val="en-GB"/>
        </w:rPr>
        <w:t xml:space="preserve"> The</w:t>
      </w:r>
      <w:r>
        <w:rPr>
          <w:rFonts w:asciiTheme="minorHAnsi" w:hAnsiTheme="minorHAnsi"/>
          <w:color w:val="000000"/>
          <w:sz w:val="22"/>
          <w:szCs w:val="22"/>
          <w:lang w:val="en-GB"/>
        </w:rPr>
        <w:t>re</w:t>
      </w:r>
      <w:r w:rsidR="00E866A7" w:rsidRPr="00F61CCD">
        <w:rPr>
          <w:rFonts w:asciiTheme="minorHAnsi" w:hAnsiTheme="minorHAnsi"/>
          <w:color w:val="000000"/>
          <w:sz w:val="22"/>
          <w:szCs w:val="22"/>
          <w:lang w:val="en-GB"/>
        </w:rPr>
        <w:t xml:space="preserve"> is still </w:t>
      </w:r>
      <w:r>
        <w:rPr>
          <w:rFonts w:asciiTheme="minorHAnsi" w:hAnsiTheme="minorHAnsi"/>
          <w:color w:val="000000"/>
          <w:sz w:val="22"/>
          <w:szCs w:val="22"/>
          <w:lang w:val="en-GB"/>
        </w:rPr>
        <w:t xml:space="preserve">the </w:t>
      </w:r>
      <w:r w:rsidR="00E866A7" w:rsidRPr="00F61CCD">
        <w:rPr>
          <w:rFonts w:asciiTheme="minorHAnsi" w:hAnsiTheme="minorHAnsi"/>
          <w:color w:val="000000"/>
          <w:sz w:val="22"/>
          <w:szCs w:val="22"/>
          <w:lang w:val="en-GB"/>
        </w:rPr>
        <w:t>need to improve timeliness</w:t>
      </w:r>
      <w:r w:rsidR="000E58E0">
        <w:rPr>
          <w:rFonts w:asciiTheme="minorHAnsi" w:hAnsiTheme="minorHAnsi"/>
          <w:color w:val="000000"/>
          <w:sz w:val="22"/>
          <w:szCs w:val="22"/>
          <w:lang w:val="en-GB"/>
        </w:rPr>
        <w:t xml:space="preserve"> and quality</w:t>
      </w:r>
      <w:r w:rsidR="00E866A7" w:rsidRPr="00F61CCD">
        <w:rPr>
          <w:rFonts w:asciiTheme="minorHAnsi" w:hAnsiTheme="minorHAnsi"/>
          <w:color w:val="000000"/>
          <w:sz w:val="22"/>
          <w:szCs w:val="22"/>
          <w:lang w:val="en-GB"/>
        </w:rPr>
        <w:t xml:space="preserve"> of data collection, analysis and dissemination to</w:t>
      </w:r>
      <w:r w:rsidR="000E58E0">
        <w:rPr>
          <w:rFonts w:asciiTheme="minorHAnsi" w:hAnsiTheme="minorHAnsi"/>
          <w:color w:val="000000"/>
          <w:sz w:val="22"/>
          <w:szCs w:val="22"/>
          <w:lang w:val="en-GB"/>
        </w:rPr>
        <w:t xml:space="preserve"> effectively </w:t>
      </w:r>
      <w:r w:rsidR="00E866A7" w:rsidRPr="00F61CCD">
        <w:rPr>
          <w:rFonts w:asciiTheme="minorHAnsi" w:hAnsiTheme="minorHAnsi"/>
          <w:color w:val="000000"/>
          <w:sz w:val="22"/>
          <w:szCs w:val="22"/>
          <w:lang w:val="en-GB"/>
        </w:rPr>
        <w:t xml:space="preserve">inform policy and evidence based decision making.  </w:t>
      </w:r>
    </w:p>
    <w:p w14:paraId="7B1D085D" w14:textId="77777777" w:rsidR="00216A4A" w:rsidRPr="00F61CCD" w:rsidRDefault="00216A4A" w:rsidP="00A12A9B">
      <w:pPr>
        <w:jc w:val="both"/>
        <w:rPr>
          <w:rFonts w:asciiTheme="minorHAnsi" w:hAnsiTheme="minorHAnsi"/>
          <w:color w:val="000000"/>
          <w:sz w:val="22"/>
          <w:szCs w:val="22"/>
          <w:lang w:val="en-GB"/>
        </w:rPr>
      </w:pPr>
    </w:p>
    <w:p w14:paraId="23D6DB49" w14:textId="67E55E83" w:rsidR="00FE0F0C" w:rsidRPr="001B5A59" w:rsidRDefault="00312688" w:rsidP="003A70F8">
      <w:pPr>
        <w:pStyle w:val="BodyText"/>
        <w:jc w:val="both"/>
        <w:rPr>
          <w:rFonts w:asciiTheme="minorHAnsi" w:hAnsiTheme="minorHAnsi"/>
          <w:szCs w:val="22"/>
          <w:lang w:val="en-GB"/>
        </w:rPr>
      </w:pPr>
      <w:r w:rsidRPr="00F61CCD">
        <w:rPr>
          <w:rFonts w:asciiTheme="minorHAnsi" w:hAnsiTheme="minorHAnsi"/>
          <w:color w:val="000000"/>
          <w:szCs w:val="22"/>
          <w:lang w:val="en-GB"/>
        </w:rPr>
        <w:t xml:space="preserve">While key targeted achievements were made by UNDP </w:t>
      </w:r>
      <w:r w:rsidR="00F32E3A">
        <w:rPr>
          <w:rFonts w:asciiTheme="minorHAnsi" w:hAnsiTheme="minorHAnsi"/>
          <w:color w:val="000000"/>
          <w:szCs w:val="22"/>
          <w:lang w:val="en-GB"/>
        </w:rPr>
        <w:t xml:space="preserve">towards the </w:t>
      </w:r>
      <w:r w:rsidRPr="00F61CCD">
        <w:rPr>
          <w:rFonts w:asciiTheme="minorHAnsi" w:hAnsiTheme="minorHAnsi"/>
          <w:color w:val="000000"/>
          <w:szCs w:val="22"/>
          <w:lang w:val="en-GB"/>
        </w:rPr>
        <w:t xml:space="preserve"> outcomes as outlined above, implementation of t</w:t>
      </w:r>
      <w:r w:rsidR="00FC7C9F" w:rsidRPr="00F61CCD">
        <w:rPr>
          <w:rFonts w:asciiTheme="minorHAnsi" w:hAnsiTheme="minorHAnsi"/>
          <w:color w:val="000000"/>
          <w:szCs w:val="22"/>
          <w:lang w:val="en-GB"/>
        </w:rPr>
        <w:t xml:space="preserve">he Country Programme </w:t>
      </w:r>
      <w:r w:rsidR="00216A4A" w:rsidRPr="00F61CCD">
        <w:rPr>
          <w:rFonts w:asciiTheme="minorHAnsi" w:hAnsiTheme="minorHAnsi"/>
          <w:color w:val="000000"/>
          <w:szCs w:val="22"/>
          <w:lang w:val="en-GB"/>
        </w:rPr>
        <w:t xml:space="preserve">Document </w:t>
      </w:r>
      <w:r w:rsidRPr="00F61CCD">
        <w:rPr>
          <w:rFonts w:asciiTheme="minorHAnsi" w:hAnsiTheme="minorHAnsi"/>
          <w:color w:val="000000"/>
          <w:szCs w:val="22"/>
          <w:lang w:val="en-GB"/>
        </w:rPr>
        <w:t xml:space="preserve">also focused on </w:t>
      </w:r>
      <w:r w:rsidR="00AF6367" w:rsidRPr="00F61CCD">
        <w:rPr>
          <w:rFonts w:asciiTheme="minorHAnsi" w:hAnsiTheme="minorHAnsi"/>
          <w:color w:val="000000"/>
          <w:szCs w:val="22"/>
          <w:lang w:val="en-GB"/>
        </w:rPr>
        <w:t>four</w:t>
      </w:r>
      <w:r w:rsidR="00D25CB3">
        <w:rPr>
          <w:rFonts w:asciiTheme="minorHAnsi" w:hAnsiTheme="minorHAnsi"/>
          <w:color w:val="000000"/>
          <w:szCs w:val="22"/>
          <w:lang w:val="en-GB"/>
        </w:rPr>
        <w:t xml:space="preserve"> (4)</w:t>
      </w:r>
      <w:r w:rsidR="002A259C" w:rsidRPr="00F61CCD">
        <w:rPr>
          <w:rFonts w:asciiTheme="minorHAnsi" w:hAnsiTheme="minorHAnsi"/>
          <w:color w:val="000000"/>
          <w:szCs w:val="22"/>
          <w:lang w:val="en-GB"/>
        </w:rPr>
        <w:t xml:space="preserve"> </w:t>
      </w:r>
      <w:r w:rsidR="00A52C9A" w:rsidRPr="00F61CCD">
        <w:rPr>
          <w:rFonts w:asciiTheme="minorHAnsi" w:hAnsiTheme="minorHAnsi"/>
          <w:color w:val="000000"/>
          <w:szCs w:val="22"/>
          <w:lang w:val="en-GB"/>
        </w:rPr>
        <w:t xml:space="preserve">broad themes </w:t>
      </w:r>
      <w:r w:rsidR="0080722C" w:rsidRPr="00F61CCD">
        <w:rPr>
          <w:rFonts w:asciiTheme="minorHAnsi" w:hAnsiTheme="minorHAnsi"/>
          <w:color w:val="000000"/>
          <w:szCs w:val="22"/>
          <w:lang w:val="en-GB"/>
        </w:rPr>
        <w:t xml:space="preserve">which </w:t>
      </w:r>
      <w:r w:rsidR="00BB4F6A" w:rsidRPr="00F61CCD">
        <w:rPr>
          <w:rFonts w:asciiTheme="minorHAnsi" w:hAnsiTheme="minorHAnsi"/>
          <w:color w:val="000000"/>
          <w:szCs w:val="22"/>
          <w:lang w:val="en-GB"/>
        </w:rPr>
        <w:t xml:space="preserve">cut across </w:t>
      </w:r>
      <w:r w:rsidR="00216A4A" w:rsidRPr="00F61CCD">
        <w:rPr>
          <w:rFonts w:asciiTheme="minorHAnsi" w:hAnsiTheme="minorHAnsi"/>
          <w:color w:val="000000"/>
          <w:szCs w:val="22"/>
          <w:lang w:val="en-GB"/>
        </w:rPr>
        <w:t xml:space="preserve">all the outcomes </w:t>
      </w:r>
      <w:r w:rsidR="00B0434E" w:rsidRPr="00F61CCD">
        <w:rPr>
          <w:rFonts w:asciiTheme="minorHAnsi" w:hAnsiTheme="minorHAnsi"/>
          <w:color w:val="000000"/>
          <w:szCs w:val="22"/>
          <w:lang w:val="en-GB"/>
        </w:rPr>
        <w:t xml:space="preserve">(i) </w:t>
      </w:r>
      <w:r w:rsidR="00B0434E" w:rsidRPr="00F61CCD">
        <w:rPr>
          <w:rFonts w:asciiTheme="minorHAnsi" w:hAnsiTheme="minorHAnsi"/>
          <w:b/>
          <w:color w:val="000000"/>
          <w:szCs w:val="22"/>
          <w:lang w:val="en-GB"/>
        </w:rPr>
        <w:t>gender equality and empowerment of women, (ii) capacity development, (</w:t>
      </w:r>
      <w:r w:rsidR="00AF6367" w:rsidRPr="00F61CCD">
        <w:rPr>
          <w:rFonts w:asciiTheme="minorHAnsi" w:hAnsiTheme="minorHAnsi"/>
          <w:b/>
          <w:color w:val="000000"/>
          <w:szCs w:val="22"/>
          <w:lang w:val="en-GB"/>
        </w:rPr>
        <w:t>i</w:t>
      </w:r>
      <w:r w:rsidR="00B0434E" w:rsidRPr="00F61CCD">
        <w:rPr>
          <w:rFonts w:asciiTheme="minorHAnsi" w:hAnsiTheme="minorHAnsi"/>
          <w:b/>
          <w:color w:val="000000"/>
          <w:szCs w:val="22"/>
          <w:lang w:val="en-GB"/>
        </w:rPr>
        <w:t>ii) policy support</w:t>
      </w:r>
      <w:r w:rsidR="00AF6367" w:rsidRPr="00F61CCD">
        <w:rPr>
          <w:rFonts w:asciiTheme="minorHAnsi" w:hAnsiTheme="minorHAnsi"/>
          <w:b/>
          <w:color w:val="000000"/>
          <w:szCs w:val="22"/>
          <w:lang w:val="en-GB"/>
        </w:rPr>
        <w:t xml:space="preserve"> and </w:t>
      </w:r>
      <w:r w:rsidR="00E661B5" w:rsidRPr="00F61CCD">
        <w:rPr>
          <w:rFonts w:asciiTheme="minorHAnsi" w:hAnsiTheme="minorHAnsi"/>
          <w:b/>
          <w:color w:val="000000"/>
          <w:szCs w:val="22"/>
          <w:lang w:val="en-GB"/>
        </w:rPr>
        <w:t>(iv) p</w:t>
      </w:r>
      <w:r w:rsidR="00867B70" w:rsidRPr="00F61CCD">
        <w:rPr>
          <w:rFonts w:asciiTheme="minorHAnsi" w:hAnsiTheme="minorHAnsi"/>
          <w:b/>
          <w:color w:val="000000"/>
          <w:szCs w:val="22"/>
          <w:lang w:val="en-GB"/>
        </w:rPr>
        <w:t>artnership building</w:t>
      </w:r>
      <w:r w:rsidR="00B0434E" w:rsidRPr="00F61CCD">
        <w:rPr>
          <w:rFonts w:asciiTheme="minorHAnsi" w:hAnsiTheme="minorHAnsi"/>
          <w:b/>
          <w:color w:val="000000"/>
          <w:szCs w:val="22"/>
          <w:lang w:val="en-GB"/>
        </w:rPr>
        <w:t>.</w:t>
      </w:r>
      <w:r w:rsidR="00B0434E" w:rsidRPr="00F61CCD">
        <w:rPr>
          <w:rFonts w:asciiTheme="minorHAnsi" w:hAnsiTheme="minorHAnsi"/>
          <w:color w:val="000000"/>
          <w:szCs w:val="22"/>
          <w:lang w:val="en-GB"/>
        </w:rPr>
        <w:t xml:space="preserve">  </w:t>
      </w:r>
      <w:r w:rsidR="006F5C13" w:rsidRPr="00F61CCD">
        <w:rPr>
          <w:rFonts w:asciiTheme="minorHAnsi" w:hAnsiTheme="minorHAnsi"/>
          <w:color w:val="000000"/>
          <w:szCs w:val="22"/>
          <w:lang w:val="en-GB"/>
        </w:rPr>
        <w:t xml:space="preserve">On </w:t>
      </w:r>
      <w:r w:rsidR="00B0434E" w:rsidRPr="00F61CCD">
        <w:rPr>
          <w:rFonts w:asciiTheme="minorHAnsi" w:hAnsiTheme="minorHAnsi"/>
          <w:b/>
          <w:color w:val="000000"/>
          <w:szCs w:val="22"/>
          <w:lang w:val="en-GB"/>
        </w:rPr>
        <w:t>Ge</w:t>
      </w:r>
      <w:r w:rsidR="00526482" w:rsidRPr="00F61CCD">
        <w:rPr>
          <w:rFonts w:asciiTheme="minorHAnsi" w:hAnsiTheme="minorHAnsi"/>
          <w:b/>
          <w:color w:val="000000"/>
          <w:szCs w:val="22"/>
          <w:lang w:val="en-GB"/>
        </w:rPr>
        <w:t>nder equality and empowerment of women</w:t>
      </w:r>
      <w:r w:rsidR="006F5C13" w:rsidRPr="00F61CCD">
        <w:rPr>
          <w:rFonts w:asciiTheme="minorHAnsi" w:hAnsiTheme="minorHAnsi"/>
          <w:color w:val="000000"/>
          <w:szCs w:val="22"/>
          <w:lang w:val="en-GB"/>
        </w:rPr>
        <w:t xml:space="preserve">- </w:t>
      </w:r>
      <w:r w:rsidR="00F32E3A">
        <w:rPr>
          <w:rFonts w:asciiTheme="minorHAnsi" w:hAnsiTheme="minorHAnsi"/>
          <w:color w:val="000000"/>
          <w:szCs w:val="22"/>
          <w:lang w:val="en-GB"/>
        </w:rPr>
        <w:t xml:space="preserve"> UNDP </w:t>
      </w:r>
      <w:r w:rsidR="00791596">
        <w:rPr>
          <w:rFonts w:asciiTheme="minorHAnsi" w:hAnsiTheme="minorHAnsi"/>
          <w:color w:val="000000"/>
          <w:szCs w:val="22"/>
          <w:lang w:val="en-GB"/>
        </w:rPr>
        <w:t>support resulted in</w:t>
      </w:r>
      <w:r w:rsidR="00F32E3A">
        <w:rPr>
          <w:rFonts w:asciiTheme="minorHAnsi" w:hAnsiTheme="minorHAnsi"/>
          <w:color w:val="000000"/>
          <w:szCs w:val="22"/>
          <w:lang w:val="en-GB"/>
        </w:rPr>
        <w:t xml:space="preserve"> </w:t>
      </w:r>
      <w:r w:rsidR="00DB0FA8">
        <w:rPr>
          <w:rFonts w:asciiTheme="minorHAnsi" w:hAnsiTheme="minorHAnsi"/>
          <w:color w:val="000000"/>
          <w:szCs w:val="22"/>
          <w:lang w:val="en-GB"/>
        </w:rPr>
        <w:t xml:space="preserve">  a. </w:t>
      </w:r>
      <w:r w:rsidR="00F32E3A">
        <w:rPr>
          <w:rFonts w:asciiTheme="minorHAnsi" w:hAnsiTheme="minorHAnsi"/>
          <w:color w:val="000000"/>
          <w:szCs w:val="22"/>
          <w:lang w:val="en-GB"/>
        </w:rPr>
        <w:t xml:space="preserve">the </w:t>
      </w:r>
      <w:r w:rsidR="00791596">
        <w:rPr>
          <w:rFonts w:asciiTheme="minorHAnsi" w:hAnsiTheme="minorHAnsi"/>
          <w:color w:val="000000"/>
          <w:szCs w:val="22"/>
          <w:lang w:val="en-GB"/>
        </w:rPr>
        <w:t xml:space="preserve"> formulation </w:t>
      </w:r>
      <w:r w:rsidR="00E5160E">
        <w:rPr>
          <w:rFonts w:asciiTheme="minorHAnsi" w:hAnsiTheme="minorHAnsi"/>
          <w:color w:val="000000"/>
          <w:szCs w:val="22"/>
          <w:lang w:val="en-GB"/>
        </w:rPr>
        <w:t xml:space="preserve"> of a </w:t>
      </w:r>
      <w:r w:rsidR="00F32E3A">
        <w:rPr>
          <w:rFonts w:asciiTheme="minorHAnsi" w:hAnsiTheme="minorHAnsi"/>
          <w:color w:val="000000"/>
          <w:szCs w:val="22"/>
          <w:lang w:val="en-GB"/>
        </w:rPr>
        <w:t xml:space="preserve"> National </w:t>
      </w:r>
      <w:r w:rsidR="007762C0">
        <w:rPr>
          <w:rFonts w:asciiTheme="minorHAnsi" w:hAnsiTheme="minorHAnsi"/>
          <w:color w:val="000000"/>
          <w:szCs w:val="22"/>
          <w:lang w:val="en-GB"/>
        </w:rPr>
        <w:t xml:space="preserve">Gender and Development Policy </w:t>
      </w:r>
      <w:r w:rsidR="00E5160E">
        <w:rPr>
          <w:rFonts w:asciiTheme="minorHAnsi" w:hAnsiTheme="minorHAnsi"/>
          <w:color w:val="000000"/>
          <w:szCs w:val="22"/>
          <w:lang w:val="en-GB"/>
        </w:rPr>
        <w:t xml:space="preserve"> </w:t>
      </w:r>
      <w:r w:rsidR="002E02F3">
        <w:rPr>
          <w:rFonts w:asciiTheme="minorHAnsi" w:hAnsiTheme="minorHAnsi"/>
          <w:szCs w:val="22"/>
          <w:lang w:val="en-GB"/>
        </w:rPr>
        <w:t>to put in place mechanisms to promote gender equality and empowerment of women</w:t>
      </w:r>
      <w:r w:rsidR="00F32E3A">
        <w:rPr>
          <w:rFonts w:asciiTheme="minorHAnsi" w:hAnsiTheme="minorHAnsi"/>
          <w:szCs w:val="22"/>
          <w:lang w:val="en-GB"/>
        </w:rPr>
        <w:t xml:space="preserve">; </w:t>
      </w:r>
      <w:r w:rsidR="00DB0FA8">
        <w:rPr>
          <w:rFonts w:asciiTheme="minorHAnsi" w:hAnsiTheme="minorHAnsi"/>
          <w:szCs w:val="22"/>
          <w:lang w:val="en-GB"/>
        </w:rPr>
        <w:t xml:space="preserve">b. </w:t>
      </w:r>
      <w:r w:rsidR="00F32E3A">
        <w:rPr>
          <w:rFonts w:asciiTheme="minorHAnsi" w:hAnsiTheme="minorHAnsi"/>
          <w:color w:val="000000"/>
          <w:szCs w:val="22"/>
          <w:lang w:val="en-GB"/>
        </w:rPr>
        <w:t>t</w:t>
      </w:r>
      <w:r w:rsidR="007762C0">
        <w:rPr>
          <w:rFonts w:asciiTheme="minorHAnsi" w:hAnsiTheme="minorHAnsi"/>
          <w:color w:val="000000"/>
          <w:szCs w:val="22"/>
          <w:lang w:val="en-GB"/>
        </w:rPr>
        <w:t xml:space="preserve">he </w:t>
      </w:r>
      <w:r w:rsidR="006F5C13" w:rsidRPr="00F61CCD">
        <w:rPr>
          <w:rFonts w:asciiTheme="minorHAnsi" w:hAnsiTheme="minorHAnsi"/>
          <w:color w:val="000000"/>
          <w:szCs w:val="22"/>
          <w:lang w:val="en-GB"/>
        </w:rPr>
        <w:t>establishment of a district peace committee with nearly 50% women participation and membership</w:t>
      </w:r>
      <w:r w:rsidR="00F32E3A">
        <w:rPr>
          <w:rFonts w:asciiTheme="minorHAnsi" w:hAnsiTheme="minorHAnsi"/>
          <w:color w:val="000000"/>
          <w:szCs w:val="22"/>
          <w:lang w:val="en-GB"/>
        </w:rPr>
        <w:t xml:space="preserve"> which </w:t>
      </w:r>
      <w:r w:rsidR="006F5C13" w:rsidRPr="00F61CCD">
        <w:rPr>
          <w:rFonts w:asciiTheme="minorHAnsi" w:hAnsiTheme="minorHAnsi"/>
          <w:color w:val="000000"/>
          <w:szCs w:val="22"/>
          <w:lang w:val="en-GB"/>
        </w:rPr>
        <w:t xml:space="preserve"> directly contribute</w:t>
      </w:r>
      <w:r w:rsidRPr="00F61CCD">
        <w:rPr>
          <w:rFonts w:asciiTheme="minorHAnsi" w:hAnsiTheme="minorHAnsi"/>
          <w:color w:val="000000"/>
          <w:szCs w:val="22"/>
          <w:lang w:val="en-GB"/>
        </w:rPr>
        <w:t>d</w:t>
      </w:r>
      <w:r w:rsidR="006F5C13" w:rsidRPr="00F61CCD">
        <w:rPr>
          <w:rFonts w:asciiTheme="minorHAnsi" w:hAnsiTheme="minorHAnsi"/>
          <w:color w:val="000000"/>
          <w:szCs w:val="22"/>
          <w:lang w:val="en-GB"/>
        </w:rPr>
        <w:t xml:space="preserve"> to mitigating conflict in </w:t>
      </w:r>
      <w:r w:rsidRPr="00F61CCD">
        <w:rPr>
          <w:rFonts w:asciiTheme="minorHAnsi" w:hAnsiTheme="minorHAnsi"/>
          <w:color w:val="000000"/>
          <w:szCs w:val="22"/>
          <w:lang w:val="en-GB"/>
        </w:rPr>
        <w:t xml:space="preserve">some of the </w:t>
      </w:r>
      <w:r w:rsidR="00791596">
        <w:rPr>
          <w:rFonts w:asciiTheme="minorHAnsi" w:hAnsiTheme="minorHAnsi"/>
          <w:color w:val="000000"/>
          <w:szCs w:val="22"/>
          <w:lang w:val="en-GB"/>
        </w:rPr>
        <w:t xml:space="preserve">conflict -prone </w:t>
      </w:r>
      <w:r w:rsidRPr="00F61CCD">
        <w:rPr>
          <w:rFonts w:asciiTheme="minorHAnsi" w:hAnsiTheme="minorHAnsi"/>
          <w:color w:val="000000"/>
          <w:szCs w:val="22"/>
          <w:lang w:val="en-GB"/>
        </w:rPr>
        <w:t>district</w:t>
      </w:r>
      <w:r w:rsidR="00F32E3A">
        <w:rPr>
          <w:rFonts w:asciiTheme="minorHAnsi" w:hAnsiTheme="minorHAnsi"/>
          <w:color w:val="000000"/>
          <w:szCs w:val="22"/>
          <w:lang w:val="en-GB"/>
        </w:rPr>
        <w:t>s</w:t>
      </w:r>
      <w:r w:rsidRPr="00F61CCD">
        <w:rPr>
          <w:rFonts w:asciiTheme="minorHAnsi" w:hAnsiTheme="minorHAnsi"/>
          <w:color w:val="000000"/>
          <w:szCs w:val="22"/>
          <w:lang w:val="en-GB"/>
        </w:rPr>
        <w:t xml:space="preserve"> in the country, notably in </w:t>
      </w:r>
      <w:r w:rsidR="006F5C13" w:rsidRPr="00F61CCD">
        <w:rPr>
          <w:rFonts w:asciiTheme="minorHAnsi" w:hAnsiTheme="minorHAnsi"/>
          <w:color w:val="000000"/>
          <w:szCs w:val="22"/>
          <w:lang w:val="en-GB"/>
        </w:rPr>
        <w:t>Mafeteng</w:t>
      </w:r>
      <w:r w:rsidR="00836F7F" w:rsidRPr="00F61CCD">
        <w:rPr>
          <w:rFonts w:asciiTheme="minorHAnsi" w:hAnsiTheme="minorHAnsi"/>
          <w:color w:val="000000"/>
          <w:szCs w:val="22"/>
          <w:lang w:val="en-GB"/>
        </w:rPr>
        <w:t xml:space="preserve">. </w:t>
      </w:r>
      <w:r w:rsidR="00DB0FA8">
        <w:rPr>
          <w:rFonts w:asciiTheme="minorHAnsi" w:hAnsiTheme="minorHAnsi"/>
          <w:color w:val="000000"/>
          <w:szCs w:val="22"/>
          <w:lang w:val="en-GB"/>
        </w:rPr>
        <w:t xml:space="preserve"> c. </w:t>
      </w:r>
      <w:r w:rsidR="00836F7F" w:rsidRPr="00F61CCD">
        <w:rPr>
          <w:rFonts w:asciiTheme="minorHAnsi" w:hAnsiTheme="minorHAnsi"/>
          <w:color w:val="000000"/>
          <w:szCs w:val="22"/>
          <w:lang w:val="en-GB"/>
        </w:rPr>
        <w:t>C</w:t>
      </w:r>
      <w:r w:rsidR="006F5C13" w:rsidRPr="00F61CCD">
        <w:rPr>
          <w:rFonts w:asciiTheme="minorHAnsi" w:hAnsiTheme="minorHAnsi"/>
          <w:color w:val="000000"/>
          <w:szCs w:val="22"/>
          <w:lang w:val="en-GB"/>
        </w:rPr>
        <w:t>ollaboration with the government recognise</w:t>
      </w:r>
      <w:r w:rsidR="00997313" w:rsidRPr="00F61CCD">
        <w:rPr>
          <w:rFonts w:asciiTheme="minorHAnsi" w:hAnsiTheme="minorHAnsi"/>
          <w:color w:val="000000"/>
          <w:szCs w:val="22"/>
          <w:lang w:val="en-GB"/>
        </w:rPr>
        <w:t>d women leadership</w:t>
      </w:r>
      <w:r w:rsidR="003502B2" w:rsidRPr="00F61CCD">
        <w:rPr>
          <w:rFonts w:asciiTheme="minorHAnsi" w:hAnsiTheme="minorHAnsi"/>
          <w:color w:val="000000"/>
          <w:szCs w:val="22"/>
          <w:lang w:val="en-GB"/>
        </w:rPr>
        <w:t xml:space="preserve"> </w:t>
      </w:r>
      <w:r w:rsidR="00997313" w:rsidRPr="00F61CCD">
        <w:rPr>
          <w:rFonts w:asciiTheme="minorHAnsi" w:hAnsiTheme="minorHAnsi"/>
          <w:color w:val="000000"/>
          <w:szCs w:val="22"/>
          <w:lang w:val="en-GB"/>
        </w:rPr>
        <w:t xml:space="preserve">role </w:t>
      </w:r>
      <w:r w:rsidR="003502B2" w:rsidRPr="00F61CCD">
        <w:rPr>
          <w:rFonts w:asciiTheme="minorHAnsi" w:hAnsiTheme="minorHAnsi"/>
          <w:color w:val="000000"/>
          <w:szCs w:val="22"/>
          <w:lang w:val="en-GB"/>
        </w:rPr>
        <w:t xml:space="preserve">in promoting innovations </w:t>
      </w:r>
      <w:r w:rsidR="006F5C13" w:rsidRPr="00F61CCD">
        <w:rPr>
          <w:rFonts w:asciiTheme="minorHAnsi" w:hAnsiTheme="minorHAnsi"/>
          <w:color w:val="000000"/>
          <w:szCs w:val="22"/>
          <w:lang w:val="en-GB"/>
        </w:rPr>
        <w:t>in energy and climate change initiatives resulted in more females engaging in a sector that was</w:t>
      </w:r>
      <w:r w:rsidR="003F57BE">
        <w:rPr>
          <w:rFonts w:asciiTheme="minorHAnsi" w:hAnsiTheme="minorHAnsi"/>
          <w:color w:val="000000"/>
          <w:szCs w:val="22"/>
          <w:lang w:val="en-GB"/>
        </w:rPr>
        <w:t xml:space="preserve"> traditionally dominated by men, d</w:t>
      </w:r>
      <w:r w:rsidR="00DB0FA8">
        <w:rPr>
          <w:rFonts w:asciiTheme="minorHAnsi" w:hAnsiTheme="minorHAnsi"/>
          <w:color w:val="000000"/>
          <w:szCs w:val="22"/>
          <w:lang w:val="en-GB"/>
        </w:rPr>
        <w:t>.</w:t>
      </w:r>
      <w:r w:rsidR="006F5C13" w:rsidRPr="00F61CCD">
        <w:rPr>
          <w:rFonts w:asciiTheme="minorHAnsi" w:hAnsiTheme="minorHAnsi"/>
          <w:color w:val="000000"/>
          <w:szCs w:val="22"/>
          <w:lang w:val="en-GB"/>
        </w:rPr>
        <w:t xml:space="preserve"> </w:t>
      </w:r>
      <w:r w:rsidR="003502B2" w:rsidRPr="00F61CCD">
        <w:rPr>
          <w:rFonts w:asciiTheme="minorHAnsi" w:hAnsiTheme="minorHAnsi"/>
          <w:color w:val="000000"/>
          <w:szCs w:val="22"/>
          <w:lang w:val="en-GB"/>
        </w:rPr>
        <w:t xml:space="preserve">Provision </w:t>
      </w:r>
      <w:r w:rsidR="006F5C13" w:rsidRPr="00F61CCD">
        <w:rPr>
          <w:rFonts w:asciiTheme="minorHAnsi" w:hAnsiTheme="minorHAnsi"/>
          <w:color w:val="000000"/>
          <w:szCs w:val="22"/>
          <w:lang w:val="en-GB"/>
        </w:rPr>
        <w:t>of business development training and loan</w:t>
      </w:r>
      <w:r w:rsidR="00997313" w:rsidRPr="00F61CCD">
        <w:rPr>
          <w:rFonts w:asciiTheme="minorHAnsi" w:hAnsiTheme="minorHAnsi"/>
          <w:color w:val="000000"/>
          <w:szCs w:val="22"/>
          <w:lang w:val="en-GB"/>
        </w:rPr>
        <w:t>s</w:t>
      </w:r>
      <w:r w:rsidR="006F5C13" w:rsidRPr="00F61CCD">
        <w:rPr>
          <w:rFonts w:asciiTheme="minorHAnsi" w:hAnsiTheme="minorHAnsi"/>
          <w:color w:val="000000"/>
          <w:szCs w:val="22"/>
          <w:lang w:val="en-GB"/>
        </w:rPr>
        <w:t xml:space="preserve"> </w:t>
      </w:r>
      <w:r w:rsidR="003502B2" w:rsidRPr="00F61CCD">
        <w:rPr>
          <w:rFonts w:asciiTheme="minorHAnsi" w:hAnsiTheme="minorHAnsi"/>
          <w:color w:val="000000"/>
          <w:szCs w:val="22"/>
          <w:lang w:val="en-GB"/>
        </w:rPr>
        <w:t>to female</w:t>
      </w:r>
      <w:r w:rsidR="006F5C13" w:rsidRPr="00F61CCD">
        <w:rPr>
          <w:rFonts w:asciiTheme="minorHAnsi" w:hAnsiTheme="minorHAnsi"/>
          <w:color w:val="000000"/>
          <w:szCs w:val="22"/>
          <w:lang w:val="en-GB"/>
        </w:rPr>
        <w:t xml:space="preserve"> entrepreneurs enhance</w:t>
      </w:r>
      <w:r w:rsidR="00997313" w:rsidRPr="00F61CCD">
        <w:rPr>
          <w:rFonts w:asciiTheme="minorHAnsi" w:hAnsiTheme="minorHAnsi"/>
          <w:color w:val="000000"/>
          <w:szCs w:val="22"/>
          <w:lang w:val="en-GB"/>
        </w:rPr>
        <w:t>d</w:t>
      </w:r>
      <w:r w:rsidR="006F5C13" w:rsidRPr="00F61CCD">
        <w:rPr>
          <w:rFonts w:asciiTheme="minorHAnsi" w:hAnsiTheme="minorHAnsi"/>
          <w:color w:val="000000"/>
          <w:szCs w:val="22"/>
          <w:lang w:val="en-GB"/>
        </w:rPr>
        <w:t xml:space="preserve"> growth of their businesses.</w:t>
      </w:r>
      <w:r w:rsidR="003502B2" w:rsidRPr="00F61CCD">
        <w:rPr>
          <w:rFonts w:asciiTheme="minorHAnsi" w:hAnsiTheme="minorHAnsi"/>
          <w:color w:val="000000"/>
          <w:szCs w:val="22"/>
          <w:lang w:val="en-GB"/>
        </w:rPr>
        <w:t xml:space="preserve"> </w:t>
      </w:r>
      <w:r w:rsidR="00DB0FA8">
        <w:rPr>
          <w:rFonts w:asciiTheme="minorHAnsi" w:hAnsiTheme="minorHAnsi"/>
          <w:color w:val="000000"/>
          <w:szCs w:val="22"/>
          <w:lang w:val="en-GB"/>
        </w:rPr>
        <w:t xml:space="preserve"> </w:t>
      </w:r>
      <w:r w:rsidR="00DB0FA8" w:rsidRPr="00DB0FA8">
        <w:rPr>
          <w:rFonts w:asciiTheme="minorHAnsi" w:hAnsiTheme="minorHAnsi"/>
          <w:color w:val="000000"/>
          <w:szCs w:val="22"/>
          <w:lang w:val="en-GB"/>
        </w:rPr>
        <w:t>Investments in renewable energy and community empowerment for range and environmental management improved livelihoods for more than 2,500 people, majority of whom were women, through increased productivit</w:t>
      </w:r>
      <w:r w:rsidR="00DB0FA8">
        <w:rPr>
          <w:rFonts w:asciiTheme="minorHAnsi" w:hAnsiTheme="minorHAnsi"/>
          <w:color w:val="000000"/>
          <w:szCs w:val="22"/>
          <w:lang w:val="en-GB"/>
        </w:rPr>
        <w:t xml:space="preserve">y and household food security.  </w:t>
      </w:r>
      <w:r w:rsidR="003F57BE">
        <w:rPr>
          <w:rFonts w:asciiTheme="minorHAnsi" w:hAnsiTheme="minorHAnsi"/>
          <w:color w:val="000000"/>
          <w:szCs w:val="22"/>
          <w:lang w:val="en-GB"/>
        </w:rPr>
        <w:t>Challenge:</w:t>
      </w:r>
      <w:r w:rsidR="00DB0FA8">
        <w:rPr>
          <w:rFonts w:asciiTheme="minorHAnsi" w:hAnsiTheme="minorHAnsi"/>
          <w:color w:val="000000"/>
          <w:szCs w:val="22"/>
          <w:lang w:val="en-GB"/>
        </w:rPr>
        <w:t xml:space="preserve"> </w:t>
      </w:r>
      <w:r w:rsidR="003502B2" w:rsidRPr="001B5A59">
        <w:rPr>
          <w:rFonts w:asciiTheme="minorHAnsi" w:hAnsiTheme="minorHAnsi"/>
          <w:szCs w:val="22"/>
          <w:lang w:val="en-GB"/>
        </w:rPr>
        <w:t xml:space="preserve">While most of </w:t>
      </w:r>
      <w:r w:rsidR="003F57BE">
        <w:rPr>
          <w:rFonts w:asciiTheme="minorHAnsi" w:hAnsiTheme="minorHAnsi"/>
          <w:szCs w:val="22"/>
          <w:lang w:val="en-GB"/>
        </w:rPr>
        <w:t xml:space="preserve">the </w:t>
      </w:r>
      <w:r w:rsidR="003502B2" w:rsidRPr="001B5A59">
        <w:rPr>
          <w:rFonts w:asciiTheme="minorHAnsi" w:hAnsiTheme="minorHAnsi"/>
          <w:szCs w:val="22"/>
          <w:lang w:val="en-GB"/>
        </w:rPr>
        <w:t>CO initiatives have elements of promoting gender equality and empowerment, engagement with the Ministry for Gender was limited, resulting in women’s empowerment initiatives being project based and un-coordinated minimizing its impact</w:t>
      </w:r>
      <w:r w:rsidR="002A259C" w:rsidRPr="001B5A59">
        <w:rPr>
          <w:rFonts w:asciiTheme="minorHAnsi" w:hAnsiTheme="minorHAnsi"/>
          <w:szCs w:val="22"/>
          <w:lang w:val="en-GB"/>
        </w:rPr>
        <w:t xml:space="preserve">. </w:t>
      </w:r>
    </w:p>
    <w:p w14:paraId="04A750F8" w14:textId="77777777" w:rsidR="00FE0F0C" w:rsidRPr="00F61CCD" w:rsidRDefault="00FE0F0C" w:rsidP="003A70F8">
      <w:pPr>
        <w:pStyle w:val="BodyText"/>
        <w:jc w:val="both"/>
        <w:rPr>
          <w:rFonts w:asciiTheme="minorHAnsi" w:hAnsiTheme="minorHAnsi"/>
          <w:color w:val="000000"/>
          <w:szCs w:val="22"/>
          <w:lang w:val="en-GB"/>
        </w:rPr>
      </w:pPr>
    </w:p>
    <w:p w14:paraId="21D9FE95" w14:textId="1E0C301B" w:rsidR="00FE0F0C" w:rsidRPr="00F61CCD" w:rsidRDefault="002A259C" w:rsidP="003A70F8">
      <w:pPr>
        <w:pStyle w:val="BodyText"/>
        <w:jc w:val="both"/>
        <w:rPr>
          <w:rFonts w:asciiTheme="minorHAnsi" w:hAnsiTheme="minorHAnsi"/>
          <w:color w:val="000000"/>
          <w:szCs w:val="22"/>
          <w:lang w:val="en-GB"/>
        </w:rPr>
      </w:pPr>
      <w:r w:rsidRPr="00F61CCD">
        <w:rPr>
          <w:rFonts w:asciiTheme="minorHAnsi" w:hAnsiTheme="minorHAnsi"/>
          <w:b/>
          <w:color w:val="000000"/>
          <w:szCs w:val="22"/>
          <w:lang w:val="en-GB"/>
        </w:rPr>
        <w:t>Capacity development</w:t>
      </w:r>
      <w:r w:rsidRPr="00F61CCD">
        <w:rPr>
          <w:rFonts w:asciiTheme="minorHAnsi" w:hAnsiTheme="minorHAnsi"/>
          <w:color w:val="000000"/>
          <w:szCs w:val="22"/>
          <w:lang w:val="en-GB"/>
        </w:rPr>
        <w:t>-</w:t>
      </w:r>
      <w:r w:rsidR="00FE0F0C" w:rsidRPr="00F61CCD">
        <w:rPr>
          <w:rFonts w:asciiTheme="minorHAnsi" w:hAnsiTheme="minorHAnsi"/>
          <w:color w:val="000000"/>
          <w:szCs w:val="22"/>
          <w:lang w:val="en-GB"/>
        </w:rPr>
        <w:t xml:space="preserve"> various capacity building initiatives were undertak</w:t>
      </w:r>
      <w:r w:rsidR="00656B1D" w:rsidRPr="00F61CCD">
        <w:rPr>
          <w:rFonts w:asciiTheme="minorHAnsi" w:hAnsiTheme="minorHAnsi"/>
          <w:color w:val="000000"/>
          <w:szCs w:val="22"/>
          <w:lang w:val="en-GB"/>
        </w:rPr>
        <w:t>en</w:t>
      </w:r>
      <w:r w:rsidRPr="00F61CCD">
        <w:rPr>
          <w:rFonts w:asciiTheme="minorHAnsi" w:hAnsiTheme="minorHAnsi"/>
          <w:color w:val="000000"/>
          <w:szCs w:val="22"/>
          <w:lang w:val="en-GB"/>
        </w:rPr>
        <w:t xml:space="preserve"> </w:t>
      </w:r>
      <w:r w:rsidR="00FE0F0C" w:rsidRPr="00F61CCD">
        <w:rPr>
          <w:rFonts w:asciiTheme="minorHAnsi" w:hAnsiTheme="minorHAnsi"/>
          <w:color w:val="000000"/>
          <w:szCs w:val="22"/>
          <w:lang w:val="en-GB"/>
        </w:rPr>
        <w:t>a. t</w:t>
      </w:r>
      <w:r w:rsidR="00F865DA" w:rsidRPr="00F61CCD">
        <w:rPr>
          <w:rFonts w:asciiTheme="minorHAnsi" w:hAnsiTheme="minorHAnsi"/>
          <w:color w:val="000000"/>
          <w:szCs w:val="22"/>
          <w:lang w:val="en-GB"/>
        </w:rPr>
        <w:t>raining on SDGs for MPs enhanced MPs' awareness of the SDGs and the roles of legislators in scrutinizing development policies and plans, interrogation of government budget allocations; and ensuring regular progress reports are sub</w:t>
      </w:r>
      <w:r w:rsidR="00FE0F0C" w:rsidRPr="00F61CCD">
        <w:rPr>
          <w:rFonts w:asciiTheme="minorHAnsi" w:hAnsiTheme="minorHAnsi"/>
          <w:color w:val="000000"/>
          <w:szCs w:val="22"/>
          <w:lang w:val="en-GB"/>
        </w:rPr>
        <w:t xml:space="preserve">mitted to Parliament for review, b. </w:t>
      </w:r>
      <w:r w:rsidR="00F865DA" w:rsidRPr="00F61CCD">
        <w:rPr>
          <w:rFonts w:asciiTheme="minorHAnsi" w:hAnsiTheme="minorHAnsi"/>
          <w:color w:val="000000"/>
          <w:szCs w:val="22"/>
          <w:lang w:val="en-GB"/>
        </w:rPr>
        <w:t xml:space="preserve"> UNDP also supported the development of an SDGs booklet in the local dialect Sesotho, to deepen MPs' understanding of the goals and Agenda 2030 and to facilitate their dissemination to communities</w:t>
      </w:r>
      <w:r w:rsidR="00FE0F0C" w:rsidRPr="00F61CCD">
        <w:rPr>
          <w:rFonts w:asciiTheme="minorHAnsi" w:hAnsiTheme="minorHAnsi"/>
          <w:color w:val="000000"/>
          <w:szCs w:val="22"/>
          <w:lang w:val="en-GB"/>
        </w:rPr>
        <w:t>, c. c</w:t>
      </w:r>
      <w:r w:rsidR="00C94A3E" w:rsidRPr="00F61CCD">
        <w:rPr>
          <w:rFonts w:asciiTheme="minorHAnsi" w:hAnsiTheme="minorHAnsi"/>
          <w:color w:val="000000"/>
          <w:szCs w:val="22"/>
          <w:lang w:val="en-GB"/>
        </w:rPr>
        <w:t>apacity of the Independent Electoral Commission to effectively manage elections</w:t>
      </w:r>
      <w:r w:rsidR="00FE0F0C" w:rsidRPr="00F61CCD">
        <w:rPr>
          <w:rFonts w:asciiTheme="minorHAnsi" w:hAnsiTheme="minorHAnsi"/>
          <w:color w:val="000000"/>
          <w:szCs w:val="22"/>
          <w:lang w:val="en-GB"/>
        </w:rPr>
        <w:t xml:space="preserve"> was enhanced, d.</w:t>
      </w:r>
      <w:r w:rsidR="001A05B1" w:rsidRPr="00F61CCD">
        <w:rPr>
          <w:rFonts w:asciiTheme="minorHAnsi" w:hAnsiTheme="minorHAnsi"/>
          <w:color w:val="000000"/>
          <w:szCs w:val="22"/>
          <w:lang w:val="en-GB"/>
        </w:rPr>
        <w:t xml:space="preserve"> Improved capacity of local authorities </w:t>
      </w:r>
      <w:r w:rsidR="00FE0F0C" w:rsidRPr="00F61CCD">
        <w:rPr>
          <w:rFonts w:asciiTheme="minorHAnsi" w:hAnsiTheme="minorHAnsi"/>
          <w:color w:val="000000"/>
          <w:szCs w:val="22"/>
          <w:lang w:val="en-GB"/>
        </w:rPr>
        <w:t xml:space="preserve">in </w:t>
      </w:r>
      <w:r w:rsidR="001A05B1" w:rsidRPr="00F61CCD">
        <w:rPr>
          <w:rFonts w:asciiTheme="minorHAnsi" w:hAnsiTheme="minorHAnsi"/>
          <w:color w:val="000000"/>
          <w:szCs w:val="22"/>
          <w:lang w:val="en-GB"/>
        </w:rPr>
        <w:t>planning, reporting, financial management, tendering</w:t>
      </w:r>
      <w:r w:rsidR="00976A8D">
        <w:rPr>
          <w:rFonts w:asciiTheme="minorHAnsi" w:hAnsiTheme="minorHAnsi"/>
          <w:color w:val="000000"/>
          <w:szCs w:val="22"/>
          <w:lang w:val="en-GB"/>
        </w:rPr>
        <w:t>/</w:t>
      </w:r>
      <w:r w:rsidR="001A05B1" w:rsidRPr="00F61CCD">
        <w:rPr>
          <w:rFonts w:asciiTheme="minorHAnsi" w:hAnsiTheme="minorHAnsi"/>
          <w:color w:val="000000"/>
          <w:szCs w:val="22"/>
          <w:lang w:val="en-GB"/>
        </w:rPr>
        <w:t xml:space="preserve"> procurement </w:t>
      </w:r>
      <w:r w:rsidR="00791596">
        <w:rPr>
          <w:rFonts w:asciiTheme="minorHAnsi" w:hAnsiTheme="minorHAnsi"/>
          <w:color w:val="000000"/>
          <w:szCs w:val="22"/>
          <w:lang w:val="en-GB"/>
        </w:rPr>
        <w:t xml:space="preserve"> and contract management;  and project </w:t>
      </w:r>
      <w:r w:rsidR="001A05B1" w:rsidRPr="00F61CCD">
        <w:rPr>
          <w:rFonts w:asciiTheme="minorHAnsi" w:hAnsiTheme="minorHAnsi"/>
          <w:color w:val="000000"/>
          <w:szCs w:val="22"/>
          <w:lang w:val="en-GB"/>
        </w:rPr>
        <w:t>monitoring and evaluation to enhance</w:t>
      </w:r>
      <w:r w:rsidR="00976A8D">
        <w:rPr>
          <w:rFonts w:asciiTheme="minorHAnsi" w:hAnsiTheme="minorHAnsi"/>
          <w:color w:val="000000"/>
          <w:szCs w:val="22"/>
          <w:lang w:val="en-GB"/>
        </w:rPr>
        <w:t>d</w:t>
      </w:r>
      <w:r w:rsidR="001A05B1" w:rsidRPr="00F61CCD">
        <w:rPr>
          <w:rFonts w:asciiTheme="minorHAnsi" w:hAnsiTheme="minorHAnsi"/>
          <w:color w:val="000000"/>
          <w:szCs w:val="22"/>
          <w:lang w:val="en-GB"/>
        </w:rPr>
        <w:t xml:space="preserve"> communities access to basic services</w:t>
      </w:r>
      <w:r w:rsidR="00FE0F0C" w:rsidRPr="00F61CCD">
        <w:rPr>
          <w:rFonts w:asciiTheme="minorHAnsi" w:hAnsiTheme="minorHAnsi"/>
          <w:color w:val="000000"/>
          <w:szCs w:val="22"/>
          <w:lang w:val="en-GB"/>
        </w:rPr>
        <w:t xml:space="preserve">, e. </w:t>
      </w:r>
      <w:r w:rsidR="004A0406" w:rsidRPr="00F61CCD">
        <w:rPr>
          <w:rFonts w:asciiTheme="minorHAnsi" w:hAnsiTheme="minorHAnsi"/>
          <w:color w:val="000000"/>
          <w:szCs w:val="22"/>
          <w:lang w:val="en-GB"/>
        </w:rPr>
        <w:t xml:space="preserve"> training of Parliamentary staff in </w:t>
      </w:r>
      <w:r w:rsidR="00A138BC" w:rsidRPr="00F61CCD">
        <w:rPr>
          <w:rFonts w:asciiTheme="minorHAnsi" w:hAnsiTheme="minorHAnsi"/>
          <w:color w:val="000000"/>
          <w:szCs w:val="22"/>
          <w:lang w:val="en-GB"/>
        </w:rPr>
        <w:t>research</w:t>
      </w:r>
      <w:r w:rsidR="004A0406" w:rsidRPr="00F61CCD">
        <w:rPr>
          <w:rFonts w:asciiTheme="minorHAnsi" w:hAnsiTheme="minorHAnsi"/>
          <w:color w:val="000000"/>
          <w:szCs w:val="22"/>
          <w:lang w:val="en-GB"/>
        </w:rPr>
        <w:t xml:space="preserve"> skills, to assist MPs to effectively carry out </w:t>
      </w:r>
      <w:r w:rsidR="0094146B" w:rsidRPr="00F61CCD">
        <w:rPr>
          <w:rFonts w:asciiTheme="minorHAnsi" w:hAnsiTheme="minorHAnsi"/>
          <w:color w:val="000000"/>
          <w:szCs w:val="22"/>
          <w:lang w:val="en-GB"/>
        </w:rPr>
        <w:t xml:space="preserve">their </w:t>
      </w:r>
      <w:r w:rsidR="004A0406" w:rsidRPr="00F61CCD">
        <w:rPr>
          <w:rFonts w:asciiTheme="minorHAnsi" w:hAnsiTheme="minorHAnsi"/>
          <w:color w:val="000000"/>
          <w:szCs w:val="22"/>
          <w:lang w:val="en-GB"/>
        </w:rPr>
        <w:t xml:space="preserve">legislative </w:t>
      </w:r>
      <w:r w:rsidR="0094146B" w:rsidRPr="00F61CCD">
        <w:rPr>
          <w:rFonts w:asciiTheme="minorHAnsi" w:hAnsiTheme="minorHAnsi"/>
          <w:color w:val="000000"/>
          <w:szCs w:val="22"/>
          <w:lang w:val="en-GB"/>
        </w:rPr>
        <w:t xml:space="preserve">functions </w:t>
      </w:r>
      <w:r w:rsidR="00976A8D">
        <w:rPr>
          <w:rFonts w:asciiTheme="minorHAnsi" w:hAnsiTheme="minorHAnsi"/>
          <w:color w:val="000000"/>
          <w:szCs w:val="22"/>
          <w:lang w:val="en-GB"/>
        </w:rPr>
        <w:t xml:space="preserve">and make </w:t>
      </w:r>
      <w:r w:rsidR="0094146B" w:rsidRPr="00F61CCD">
        <w:rPr>
          <w:rFonts w:asciiTheme="minorHAnsi" w:hAnsiTheme="minorHAnsi"/>
          <w:color w:val="000000"/>
          <w:szCs w:val="22"/>
          <w:lang w:val="en-GB"/>
        </w:rPr>
        <w:t>informed</w:t>
      </w:r>
      <w:r w:rsidR="00976A8D">
        <w:rPr>
          <w:rFonts w:asciiTheme="minorHAnsi" w:hAnsiTheme="minorHAnsi"/>
          <w:color w:val="000000"/>
          <w:szCs w:val="22"/>
          <w:lang w:val="en-GB"/>
        </w:rPr>
        <w:t xml:space="preserve"> and evidenced based   decisions. </w:t>
      </w:r>
    </w:p>
    <w:p w14:paraId="43084E5B" w14:textId="77777777" w:rsidR="00FE0F0C" w:rsidRPr="00F61CCD" w:rsidRDefault="00FE0F0C" w:rsidP="003A70F8">
      <w:pPr>
        <w:pStyle w:val="BodyText"/>
        <w:jc w:val="both"/>
        <w:rPr>
          <w:rFonts w:asciiTheme="minorHAnsi" w:hAnsiTheme="minorHAnsi"/>
          <w:color w:val="000000"/>
          <w:szCs w:val="22"/>
          <w:lang w:val="en-GB"/>
        </w:rPr>
      </w:pPr>
    </w:p>
    <w:p w14:paraId="30B2C3B0" w14:textId="6B9DC9F6" w:rsidR="00FE0F0C" w:rsidRPr="00F61CCD" w:rsidRDefault="002037B7" w:rsidP="003A70F8">
      <w:pPr>
        <w:pStyle w:val="BodyText"/>
        <w:jc w:val="both"/>
        <w:rPr>
          <w:rFonts w:asciiTheme="minorHAnsi" w:hAnsiTheme="minorHAnsi"/>
          <w:color w:val="000000"/>
          <w:szCs w:val="22"/>
          <w:lang w:val="en-GB"/>
        </w:rPr>
      </w:pPr>
      <w:r w:rsidRPr="00F61CCD">
        <w:rPr>
          <w:rFonts w:asciiTheme="minorHAnsi" w:hAnsiTheme="minorHAnsi"/>
          <w:b/>
          <w:color w:val="000000"/>
          <w:szCs w:val="22"/>
          <w:lang w:val="en-GB"/>
        </w:rPr>
        <w:t>Policy Support</w:t>
      </w:r>
      <w:r w:rsidRPr="00F61CCD">
        <w:rPr>
          <w:rFonts w:asciiTheme="minorHAnsi" w:hAnsiTheme="minorHAnsi"/>
          <w:color w:val="000000"/>
          <w:szCs w:val="22"/>
          <w:lang w:val="en-GB"/>
        </w:rPr>
        <w:t xml:space="preserve"> - </w:t>
      </w:r>
      <w:r w:rsidR="00A138BC" w:rsidRPr="00F61CCD">
        <w:rPr>
          <w:rFonts w:asciiTheme="minorHAnsi" w:hAnsiTheme="minorHAnsi"/>
          <w:color w:val="000000"/>
          <w:szCs w:val="22"/>
          <w:lang w:val="en-GB"/>
        </w:rPr>
        <w:t>formulation of policies, regulatory frameworks</w:t>
      </w:r>
      <w:r w:rsidR="002508F7" w:rsidRPr="00F61CCD">
        <w:rPr>
          <w:rFonts w:asciiTheme="minorHAnsi" w:hAnsiTheme="minorHAnsi"/>
          <w:color w:val="000000"/>
          <w:szCs w:val="22"/>
          <w:lang w:val="en-GB"/>
        </w:rPr>
        <w:t xml:space="preserve"> and strategies for</w:t>
      </w:r>
      <w:r w:rsidR="00A138BC" w:rsidRPr="00F61CCD">
        <w:rPr>
          <w:rFonts w:asciiTheme="minorHAnsi" w:hAnsiTheme="minorHAnsi"/>
          <w:color w:val="000000"/>
          <w:szCs w:val="22"/>
          <w:lang w:val="en-GB"/>
        </w:rPr>
        <w:t xml:space="preserve"> the key national institutions to promote inclusive growth </w:t>
      </w:r>
      <w:r w:rsidR="002508F7" w:rsidRPr="00F61CCD">
        <w:rPr>
          <w:rFonts w:asciiTheme="minorHAnsi" w:hAnsiTheme="minorHAnsi"/>
          <w:color w:val="000000"/>
          <w:szCs w:val="22"/>
          <w:lang w:val="en-GB"/>
        </w:rPr>
        <w:t>and service</w:t>
      </w:r>
      <w:r w:rsidR="00A138BC" w:rsidRPr="00F61CCD">
        <w:rPr>
          <w:rFonts w:asciiTheme="minorHAnsi" w:hAnsiTheme="minorHAnsi"/>
          <w:color w:val="000000"/>
          <w:szCs w:val="22"/>
          <w:lang w:val="en-GB"/>
        </w:rPr>
        <w:t xml:space="preserve"> delivery</w:t>
      </w:r>
      <w:r w:rsidR="00BB4F6A" w:rsidRPr="00F61CCD">
        <w:rPr>
          <w:rFonts w:asciiTheme="minorHAnsi" w:hAnsiTheme="minorHAnsi"/>
          <w:color w:val="000000"/>
          <w:szCs w:val="22"/>
          <w:lang w:val="en-GB"/>
        </w:rPr>
        <w:t xml:space="preserve"> included</w:t>
      </w:r>
      <w:r w:rsidR="00976A8D">
        <w:rPr>
          <w:rFonts w:asciiTheme="minorHAnsi" w:hAnsiTheme="minorHAnsi"/>
          <w:color w:val="000000"/>
          <w:szCs w:val="22"/>
          <w:lang w:val="en-GB"/>
        </w:rPr>
        <w:t xml:space="preserve"> the </w:t>
      </w:r>
      <w:r w:rsidR="00BB4F6A" w:rsidRPr="00F61CCD">
        <w:rPr>
          <w:rFonts w:asciiTheme="minorHAnsi" w:hAnsiTheme="minorHAnsi"/>
          <w:color w:val="000000"/>
          <w:szCs w:val="22"/>
          <w:lang w:val="en-GB"/>
        </w:rPr>
        <w:t xml:space="preserve"> </w:t>
      </w:r>
      <w:r w:rsidR="00A138BC" w:rsidRPr="00F61CCD">
        <w:rPr>
          <w:rFonts w:asciiTheme="minorHAnsi" w:hAnsiTheme="minorHAnsi"/>
          <w:color w:val="000000"/>
          <w:szCs w:val="22"/>
          <w:lang w:val="en-GB"/>
        </w:rPr>
        <w:t>National Mining Policy, National MSME Policy 2015, National Youth Policy, Nat</w:t>
      </w:r>
      <w:r w:rsidR="002508F7" w:rsidRPr="00F61CCD">
        <w:rPr>
          <w:rFonts w:asciiTheme="minorHAnsi" w:hAnsiTheme="minorHAnsi"/>
          <w:color w:val="000000"/>
          <w:szCs w:val="22"/>
          <w:lang w:val="en-GB"/>
        </w:rPr>
        <w:t>ional Investment Policy (2016);</w:t>
      </w:r>
      <w:r w:rsidR="00A138BC" w:rsidRPr="00F61CCD">
        <w:rPr>
          <w:rFonts w:asciiTheme="minorHAnsi" w:hAnsiTheme="minorHAnsi"/>
          <w:color w:val="000000"/>
          <w:szCs w:val="22"/>
          <w:lang w:val="en-GB"/>
        </w:rPr>
        <w:t xml:space="preserve"> the Ministry of Trade/One-Stop Business Facilitation Cen</w:t>
      </w:r>
      <w:r w:rsidR="0087025B" w:rsidRPr="00F61CCD">
        <w:rPr>
          <w:rFonts w:asciiTheme="minorHAnsi" w:hAnsiTheme="minorHAnsi"/>
          <w:color w:val="000000"/>
          <w:szCs w:val="22"/>
          <w:lang w:val="en-GB"/>
        </w:rPr>
        <w:t>tre (OBFC) Strategic Plan (2014-</w:t>
      </w:r>
      <w:r w:rsidR="00A138BC" w:rsidRPr="00F61CCD">
        <w:rPr>
          <w:rFonts w:asciiTheme="minorHAnsi" w:hAnsiTheme="minorHAnsi"/>
          <w:color w:val="000000"/>
          <w:szCs w:val="22"/>
          <w:lang w:val="en-GB"/>
        </w:rPr>
        <w:t>2019) and Communication Strategy to promote busi</w:t>
      </w:r>
      <w:r w:rsidR="00A8663D" w:rsidRPr="00F61CCD">
        <w:rPr>
          <w:rFonts w:asciiTheme="minorHAnsi" w:hAnsiTheme="minorHAnsi"/>
          <w:color w:val="000000"/>
          <w:szCs w:val="22"/>
          <w:lang w:val="en-GB"/>
        </w:rPr>
        <w:t>ness development and employment</w:t>
      </w:r>
      <w:r w:rsidR="00BB4F6A" w:rsidRPr="00F61CCD">
        <w:rPr>
          <w:rFonts w:asciiTheme="minorHAnsi" w:hAnsiTheme="minorHAnsi"/>
          <w:color w:val="000000"/>
          <w:szCs w:val="22"/>
          <w:lang w:val="en-GB"/>
        </w:rPr>
        <w:t xml:space="preserve">. </w:t>
      </w:r>
      <w:r w:rsidR="004B370B" w:rsidRPr="00F61CCD">
        <w:rPr>
          <w:rFonts w:asciiTheme="minorHAnsi" w:hAnsiTheme="minorHAnsi"/>
          <w:color w:val="000000"/>
          <w:szCs w:val="22"/>
          <w:lang w:val="en-GB"/>
        </w:rPr>
        <w:t xml:space="preserve">Under environment, </w:t>
      </w:r>
      <w:r w:rsidR="00A8663D" w:rsidRPr="00F61CCD">
        <w:rPr>
          <w:rFonts w:asciiTheme="minorHAnsi" w:hAnsiTheme="minorHAnsi"/>
          <w:color w:val="000000"/>
          <w:szCs w:val="22"/>
          <w:lang w:val="en-GB"/>
        </w:rPr>
        <w:t xml:space="preserve">UNDP </w:t>
      </w:r>
      <w:r w:rsidR="00BB4F6A" w:rsidRPr="00F61CCD">
        <w:rPr>
          <w:rFonts w:asciiTheme="minorHAnsi" w:hAnsiTheme="minorHAnsi"/>
          <w:color w:val="000000"/>
          <w:szCs w:val="22"/>
          <w:lang w:val="en-GB"/>
        </w:rPr>
        <w:t xml:space="preserve">also </w:t>
      </w:r>
      <w:r w:rsidR="00A8663D" w:rsidRPr="00F61CCD">
        <w:rPr>
          <w:rFonts w:asciiTheme="minorHAnsi" w:hAnsiTheme="minorHAnsi"/>
          <w:color w:val="000000"/>
          <w:szCs w:val="22"/>
          <w:lang w:val="en-GB"/>
        </w:rPr>
        <w:t>collaborated with UNEP in the development of the National Adaptation Plan</w:t>
      </w:r>
      <w:r w:rsidR="004B370B" w:rsidRPr="00F61CCD">
        <w:rPr>
          <w:rFonts w:asciiTheme="minorHAnsi" w:hAnsiTheme="minorHAnsi"/>
          <w:color w:val="000000"/>
          <w:szCs w:val="22"/>
          <w:lang w:val="en-GB"/>
        </w:rPr>
        <w:t xml:space="preserve">, Multi-Hazards Contingency Plan and Mitigation and Response Plan for 2015 drought situation in Lesotho were also developed. </w:t>
      </w:r>
      <w:r w:rsidR="00A8663D" w:rsidRPr="00F61CCD">
        <w:rPr>
          <w:rFonts w:asciiTheme="minorHAnsi" w:hAnsiTheme="minorHAnsi"/>
          <w:color w:val="000000"/>
          <w:szCs w:val="22"/>
          <w:lang w:val="en-GB"/>
        </w:rPr>
        <w:t xml:space="preserve"> </w:t>
      </w:r>
      <w:r w:rsidR="00976A8D">
        <w:rPr>
          <w:rFonts w:asciiTheme="minorHAnsi" w:hAnsiTheme="minorHAnsi"/>
          <w:color w:val="000000"/>
          <w:szCs w:val="22"/>
          <w:lang w:val="en-GB"/>
        </w:rPr>
        <w:t>Collaboration with UN HABITAT, led to the development of a National Housing P</w:t>
      </w:r>
      <w:r w:rsidR="004D3639">
        <w:rPr>
          <w:rFonts w:asciiTheme="minorHAnsi" w:hAnsiTheme="minorHAnsi"/>
          <w:color w:val="000000"/>
          <w:szCs w:val="22"/>
          <w:lang w:val="en-GB"/>
        </w:rPr>
        <w:t xml:space="preserve">rofile which is  informed the ongoing formulation  of a National Housing Policy. </w:t>
      </w:r>
      <w:r w:rsidR="00A52A5D">
        <w:rPr>
          <w:rFonts w:asciiTheme="minorHAnsi" w:hAnsiTheme="minorHAnsi"/>
          <w:color w:val="000000"/>
          <w:szCs w:val="22"/>
          <w:lang w:val="en-GB"/>
        </w:rPr>
        <w:t xml:space="preserve"> </w:t>
      </w:r>
      <w:r w:rsidR="004D3639">
        <w:rPr>
          <w:rFonts w:asciiTheme="minorHAnsi" w:hAnsiTheme="minorHAnsi"/>
          <w:color w:val="000000"/>
          <w:szCs w:val="22"/>
          <w:lang w:val="en-GB"/>
        </w:rPr>
        <w:t>In  collaboration with WFP, UNDP supported the development of a National Resilience Framework to ensure  the country adopts a  pro-active  approach to addressing</w:t>
      </w:r>
      <w:r w:rsidR="003F57BE" w:rsidRPr="003F57BE">
        <w:rPr>
          <w:rFonts w:asciiTheme="minorHAnsi" w:hAnsiTheme="minorHAnsi"/>
          <w:color w:val="000000"/>
          <w:szCs w:val="22"/>
          <w:lang w:val="en-GB"/>
        </w:rPr>
        <w:t xml:space="preserve"> multi-faceted challenges posed by climate </w:t>
      </w:r>
      <w:r w:rsidR="003F57BE">
        <w:rPr>
          <w:rFonts w:asciiTheme="minorHAnsi" w:hAnsiTheme="minorHAnsi"/>
          <w:color w:val="000000"/>
          <w:szCs w:val="22"/>
          <w:lang w:val="en-GB"/>
        </w:rPr>
        <w:t xml:space="preserve">induced shocks </w:t>
      </w:r>
      <w:r w:rsidR="004D3639">
        <w:rPr>
          <w:rFonts w:asciiTheme="minorHAnsi" w:hAnsiTheme="minorHAnsi"/>
          <w:color w:val="000000"/>
          <w:szCs w:val="22"/>
          <w:lang w:val="en-GB"/>
        </w:rPr>
        <w:t xml:space="preserve"> and their impacts </w:t>
      </w:r>
    </w:p>
    <w:p w14:paraId="550A0D7B" w14:textId="77777777" w:rsidR="00FE0F0C" w:rsidRPr="00F61CCD" w:rsidRDefault="00FE0F0C" w:rsidP="003A70F8">
      <w:pPr>
        <w:pStyle w:val="BodyText"/>
        <w:jc w:val="both"/>
        <w:rPr>
          <w:rFonts w:asciiTheme="minorHAnsi" w:hAnsiTheme="minorHAnsi"/>
          <w:color w:val="000000"/>
          <w:szCs w:val="22"/>
          <w:lang w:val="en-GB"/>
        </w:rPr>
      </w:pPr>
    </w:p>
    <w:p w14:paraId="7DB3F9A7" w14:textId="08FC6332" w:rsidR="0037523B" w:rsidRPr="00F61CCD" w:rsidRDefault="002508F7" w:rsidP="00C317FB">
      <w:pPr>
        <w:pStyle w:val="BodyText"/>
        <w:jc w:val="both"/>
        <w:rPr>
          <w:rFonts w:asciiTheme="minorHAnsi" w:hAnsiTheme="minorHAnsi"/>
          <w:b/>
          <w:szCs w:val="22"/>
        </w:rPr>
      </w:pPr>
      <w:r w:rsidRPr="00F61CCD">
        <w:rPr>
          <w:rFonts w:asciiTheme="minorHAnsi" w:hAnsiTheme="minorHAnsi"/>
          <w:b/>
          <w:color w:val="000000"/>
          <w:szCs w:val="22"/>
          <w:lang w:val="en-GB"/>
        </w:rPr>
        <w:t>Partnership building</w:t>
      </w:r>
      <w:r w:rsidR="00E661B5" w:rsidRPr="00F61CCD">
        <w:rPr>
          <w:rFonts w:asciiTheme="minorHAnsi" w:hAnsiTheme="minorHAnsi"/>
          <w:color w:val="000000"/>
          <w:szCs w:val="22"/>
          <w:lang w:val="en-GB"/>
        </w:rPr>
        <w:t xml:space="preserve"> - </w:t>
      </w:r>
      <w:r w:rsidR="00B23F9D" w:rsidRPr="00F61CCD">
        <w:rPr>
          <w:rFonts w:asciiTheme="minorHAnsi" w:hAnsiTheme="minorHAnsi"/>
          <w:szCs w:val="22"/>
        </w:rPr>
        <w:t>Key partners</w:t>
      </w:r>
      <w:r w:rsidR="005D3271">
        <w:rPr>
          <w:rFonts w:asciiTheme="minorHAnsi" w:hAnsiTheme="minorHAnsi"/>
          <w:szCs w:val="22"/>
        </w:rPr>
        <w:t>hips</w:t>
      </w:r>
      <w:r w:rsidR="00B23F9D" w:rsidRPr="00F61CCD">
        <w:rPr>
          <w:rFonts w:asciiTheme="minorHAnsi" w:hAnsiTheme="minorHAnsi"/>
          <w:szCs w:val="22"/>
        </w:rPr>
        <w:t xml:space="preserve"> </w:t>
      </w:r>
      <w:r w:rsidR="00690BE9" w:rsidRPr="00F61CCD">
        <w:rPr>
          <w:rFonts w:asciiTheme="minorHAnsi" w:hAnsiTheme="minorHAnsi"/>
          <w:szCs w:val="22"/>
        </w:rPr>
        <w:t xml:space="preserve">were </w:t>
      </w:r>
      <w:r w:rsidR="00447F56" w:rsidRPr="00F61CCD">
        <w:rPr>
          <w:rFonts w:asciiTheme="minorHAnsi" w:hAnsiTheme="minorHAnsi"/>
          <w:szCs w:val="22"/>
        </w:rPr>
        <w:t xml:space="preserve">built </w:t>
      </w:r>
      <w:r w:rsidR="005D3271">
        <w:rPr>
          <w:rFonts w:asciiTheme="minorHAnsi" w:hAnsiTheme="minorHAnsi"/>
          <w:szCs w:val="22"/>
        </w:rPr>
        <w:t xml:space="preserve">during </w:t>
      </w:r>
      <w:r w:rsidR="00B23F9D" w:rsidRPr="00F61CCD">
        <w:rPr>
          <w:rFonts w:asciiTheme="minorHAnsi" w:hAnsiTheme="minorHAnsi"/>
          <w:szCs w:val="22"/>
        </w:rPr>
        <w:t>the implementation of the CPD</w:t>
      </w:r>
      <w:r w:rsidR="00690BE9" w:rsidRPr="00F61CCD">
        <w:rPr>
          <w:rFonts w:asciiTheme="minorHAnsi" w:hAnsiTheme="minorHAnsi"/>
          <w:szCs w:val="22"/>
        </w:rPr>
        <w:t xml:space="preserve"> </w:t>
      </w:r>
      <w:r w:rsidR="006D5D51">
        <w:rPr>
          <w:rFonts w:asciiTheme="minorHAnsi" w:hAnsiTheme="minorHAnsi"/>
          <w:szCs w:val="22"/>
        </w:rPr>
        <w:t xml:space="preserve">with </w:t>
      </w:r>
      <w:r w:rsidR="00B23F9D" w:rsidRPr="00F61CCD">
        <w:rPr>
          <w:rFonts w:asciiTheme="minorHAnsi" w:hAnsiTheme="minorHAnsi"/>
          <w:szCs w:val="22"/>
        </w:rPr>
        <w:t>civil society, development partners and U</w:t>
      </w:r>
      <w:r w:rsidR="003A70F8" w:rsidRPr="00F61CCD">
        <w:rPr>
          <w:rFonts w:asciiTheme="minorHAnsi" w:hAnsiTheme="minorHAnsi"/>
          <w:szCs w:val="22"/>
        </w:rPr>
        <w:t>N</w:t>
      </w:r>
      <w:r w:rsidR="00B23F9D" w:rsidRPr="00F61CCD">
        <w:rPr>
          <w:rFonts w:asciiTheme="minorHAnsi" w:hAnsiTheme="minorHAnsi"/>
          <w:szCs w:val="22"/>
        </w:rPr>
        <w:t xml:space="preserve"> agencies. </w:t>
      </w:r>
      <w:r w:rsidR="00E661B5" w:rsidRPr="00F61CCD">
        <w:rPr>
          <w:rFonts w:asciiTheme="minorHAnsi" w:hAnsiTheme="minorHAnsi"/>
          <w:color w:val="000000"/>
          <w:szCs w:val="22"/>
          <w:lang w:val="en-GB"/>
        </w:rPr>
        <w:t xml:space="preserve">UNDP </w:t>
      </w:r>
      <w:r w:rsidRPr="00F61CCD">
        <w:rPr>
          <w:rFonts w:asciiTheme="minorHAnsi" w:hAnsiTheme="minorHAnsi"/>
          <w:color w:val="000000"/>
          <w:szCs w:val="22"/>
          <w:lang w:val="en-GB"/>
        </w:rPr>
        <w:t xml:space="preserve">CO </w:t>
      </w:r>
      <w:r w:rsidR="00690BE9" w:rsidRPr="00F61CCD">
        <w:rPr>
          <w:rFonts w:asciiTheme="minorHAnsi" w:hAnsiTheme="minorHAnsi"/>
          <w:color w:val="000000"/>
          <w:szCs w:val="22"/>
          <w:lang w:val="en-GB"/>
        </w:rPr>
        <w:t xml:space="preserve">has </w:t>
      </w:r>
      <w:r w:rsidR="00C22C0C">
        <w:rPr>
          <w:rFonts w:asciiTheme="minorHAnsi" w:hAnsiTheme="minorHAnsi"/>
          <w:color w:val="000000"/>
          <w:szCs w:val="22"/>
          <w:lang w:val="en-GB"/>
        </w:rPr>
        <w:t xml:space="preserve">a </w:t>
      </w:r>
      <w:r w:rsidRPr="00F61CCD">
        <w:rPr>
          <w:rFonts w:asciiTheme="minorHAnsi" w:hAnsiTheme="minorHAnsi"/>
          <w:color w:val="000000"/>
          <w:szCs w:val="22"/>
          <w:lang w:val="en-GB"/>
        </w:rPr>
        <w:t>partnership strategy with c</w:t>
      </w:r>
      <w:r w:rsidR="00E661B5" w:rsidRPr="00F61CCD">
        <w:rPr>
          <w:rFonts w:asciiTheme="minorHAnsi" w:hAnsiTheme="minorHAnsi"/>
          <w:color w:val="000000"/>
          <w:szCs w:val="22"/>
          <w:lang w:val="en-GB"/>
        </w:rPr>
        <w:t xml:space="preserve">ivil </w:t>
      </w:r>
      <w:r w:rsidRPr="00F61CCD">
        <w:rPr>
          <w:rFonts w:asciiTheme="minorHAnsi" w:hAnsiTheme="minorHAnsi"/>
          <w:color w:val="000000"/>
          <w:szCs w:val="22"/>
          <w:lang w:val="en-GB"/>
        </w:rPr>
        <w:t>s</w:t>
      </w:r>
      <w:r w:rsidR="00E661B5" w:rsidRPr="00F61CCD">
        <w:rPr>
          <w:rFonts w:asciiTheme="minorHAnsi" w:hAnsiTheme="minorHAnsi"/>
          <w:color w:val="000000"/>
          <w:szCs w:val="22"/>
          <w:lang w:val="en-GB"/>
        </w:rPr>
        <w:t xml:space="preserve">ociety </w:t>
      </w:r>
      <w:r w:rsidRPr="00F61CCD">
        <w:rPr>
          <w:rFonts w:asciiTheme="minorHAnsi" w:hAnsiTheme="minorHAnsi"/>
          <w:color w:val="000000"/>
          <w:szCs w:val="22"/>
          <w:lang w:val="en-GB"/>
        </w:rPr>
        <w:t>o</w:t>
      </w:r>
      <w:r w:rsidR="00E661B5" w:rsidRPr="00F61CCD">
        <w:rPr>
          <w:rFonts w:asciiTheme="minorHAnsi" w:hAnsiTheme="minorHAnsi"/>
          <w:color w:val="000000"/>
          <w:szCs w:val="22"/>
          <w:lang w:val="en-GB"/>
        </w:rPr>
        <w:t xml:space="preserve">rganisations, which </w:t>
      </w:r>
      <w:r w:rsidR="00447F56" w:rsidRPr="00F61CCD">
        <w:rPr>
          <w:rFonts w:asciiTheme="minorHAnsi" w:hAnsiTheme="minorHAnsi"/>
          <w:color w:val="000000"/>
          <w:szCs w:val="22"/>
          <w:lang w:val="en-GB"/>
        </w:rPr>
        <w:t xml:space="preserve">enhanced </w:t>
      </w:r>
      <w:r w:rsidR="00690BE9" w:rsidRPr="00F61CCD">
        <w:rPr>
          <w:rFonts w:asciiTheme="minorHAnsi" w:hAnsiTheme="minorHAnsi"/>
          <w:color w:val="000000"/>
          <w:szCs w:val="22"/>
          <w:lang w:val="en-GB"/>
        </w:rPr>
        <w:t>engagement with CSO</w:t>
      </w:r>
      <w:r w:rsidR="00447F56" w:rsidRPr="00F61CCD">
        <w:rPr>
          <w:rFonts w:asciiTheme="minorHAnsi" w:hAnsiTheme="minorHAnsi"/>
          <w:color w:val="000000"/>
          <w:szCs w:val="22"/>
          <w:lang w:val="en-GB"/>
        </w:rPr>
        <w:t xml:space="preserve"> in </w:t>
      </w:r>
      <w:r w:rsidR="00E661B5" w:rsidRPr="00F61CCD">
        <w:rPr>
          <w:rFonts w:asciiTheme="minorHAnsi" w:hAnsiTheme="minorHAnsi"/>
          <w:color w:val="000000"/>
          <w:szCs w:val="22"/>
          <w:lang w:val="en-GB"/>
        </w:rPr>
        <w:t>dialogue pertaining to monitoring of MDGs, discussions around the post-2015 development agenda an</w:t>
      </w:r>
      <w:r w:rsidR="007B30C1" w:rsidRPr="00F61CCD">
        <w:rPr>
          <w:rFonts w:asciiTheme="minorHAnsi" w:hAnsiTheme="minorHAnsi"/>
          <w:color w:val="000000"/>
          <w:szCs w:val="22"/>
          <w:lang w:val="en-GB"/>
        </w:rPr>
        <w:t>d consultations around the SDGs. I</w:t>
      </w:r>
      <w:r w:rsidR="00E661B5" w:rsidRPr="00F61CCD">
        <w:rPr>
          <w:rFonts w:asciiTheme="minorHAnsi" w:hAnsiTheme="minorHAnsi"/>
          <w:color w:val="000000"/>
          <w:szCs w:val="22"/>
          <w:lang w:val="en-GB"/>
        </w:rPr>
        <w:t xml:space="preserve">n the area of governance, </w:t>
      </w:r>
      <w:r w:rsidRPr="00F61CCD">
        <w:rPr>
          <w:rFonts w:asciiTheme="minorHAnsi" w:hAnsiTheme="minorHAnsi"/>
          <w:color w:val="000000"/>
          <w:szCs w:val="22"/>
          <w:lang w:val="en-GB"/>
        </w:rPr>
        <w:t>support to civil society organiz</w:t>
      </w:r>
      <w:r w:rsidR="00E661B5" w:rsidRPr="00F61CCD">
        <w:rPr>
          <w:rFonts w:asciiTheme="minorHAnsi" w:hAnsiTheme="minorHAnsi"/>
          <w:color w:val="000000"/>
          <w:szCs w:val="22"/>
          <w:lang w:val="en-GB"/>
        </w:rPr>
        <w:t xml:space="preserve">ations facilitated the development of </w:t>
      </w:r>
      <w:r w:rsidR="00AC79F1" w:rsidRPr="00F61CCD">
        <w:rPr>
          <w:rFonts w:asciiTheme="minorHAnsi" w:hAnsiTheme="minorHAnsi"/>
          <w:color w:val="000000"/>
          <w:szCs w:val="22"/>
          <w:lang w:val="en-GB"/>
        </w:rPr>
        <w:t xml:space="preserve">an </w:t>
      </w:r>
      <w:r w:rsidR="00E661B5" w:rsidRPr="00F61CCD">
        <w:rPr>
          <w:rFonts w:asciiTheme="minorHAnsi" w:hAnsiTheme="minorHAnsi"/>
          <w:color w:val="000000"/>
          <w:szCs w:val="22"/>
          <w:lang w:val="en-GB"/>
        </w:rPr>
        <w:t>engagement st</w:t>
      </w:r>
      <w:r w:rsidR="007B30C1" w:rsidRPr="00F61CCD">
        <w:rPr>
          <w:rFonts w:asciiTheme="minorHAnsi" w:hAnsiTheme="minorHAnsi"/>
          <w:color w:val="000000"/>
          <w:szCs w:val="22"/>
          <w:lang w:val="en-GB"/>
        </w:rPr>
        <w:t xml:space="preserve">rategy </w:t>
      </w:r>
      <w:r w:rsidR="004D3639">
        <w:rPr>
          <w:rFonts w:asciiTheme="minorHAnsi" w:hAnsiTheme="minorHAnsi"/>
          <w:color w:val="000000"/>
          <w:szCs w:val="22"/>
          <w:lang w:val="en-GB"/>
        </w:rPr>
        <w:t xml:space="preserve">for </w:t>
      </w:r>
      <w:r w:rsidR="007B30C1" w:rsidRPr="00F61CCD">
        <w:rPr>
          <w:rFonts w:asciiTheme="minorHAnsi" w:hAnsiTheme="minorHAnsi"/>
          <w:color w:val="000000"/>
          <w:szCs w:val="22"/>
          <w:lang w:val="en-GB"/>
        </w:rPr>
        <w:t xml:space="preserve">the national reform agenda </w:t>
      </w:r>
      <w:r w:rsidR="004D3639">
        <w:rPr>
          <w:rFonts w:asciiTheme="minorHAnsi" w:hAnsiTheme="minorHAnsi"/>
          <w:color w:val="000000"/>
          <w:szCs w:val="22"/>
          <w:lang w:val="en-GB"/>
        </w:rPr>
        <w:t xml:space="preserve">with particular </w:t>
      </w:r>
      <w:r w:rsidR="00A52A5D">
        <w:rPr>
          <w:rFonts w:asciiTheme="minorHAnsi" w:hAnsiTheme="minorHAnsi"/>
          <w:color w:val="000000"/>
          <w:szCs w:val="22"/>
          <w:lang w:val="en-GB"/>
        </w:rPr>
        <w:t xml:space="preserve">attention on </w:t>
      </w:r>
      <w:r w:rsidR="00E661B5" w:rsidRPr="00F61CCD">
        <w:rPr>
          <w:rFonts w:asciiTheme="minorHAnsi" w:hAnsiTheme="minorHAnsi"/>
          <w:color w:val="000000"/>
          <w:szCs w:val="22"/>
          <w:lang w:val="en-GB"/>
        </w:rPr>
        <w:t xml:space="preserve">the inclusion of </w:t>
      </w:r>
      <w:r w:rsidR="00E661B5" w:rsidRPr="00F61CCD">
        <w:rPr>
          <w:rFonts w:asciiTheme="minorHAnsi" w:hAnsiTheme="minorHAnsi"/>
          <w:color w:val="000000"/>
          <w:szCs w:val="22"/>
          <w:lang w:val="en-GB"/>
        </w:rPr>
        <w:lastRenderedPageBreak/>
        <w:t>women</w:t>
      </w:r>
      <w:r w:rsidR="004E4808">
        <w:rPr>
          <w:rFonts w:asciiTheme="minorHAnsi" w:hAnsiTheme="minorHAnsi"/>
          <w:color w:val="000000"/>
          <w:szCs w:val="22"/>
          <w:lang w:val="en-GB"/>
        </w:rPr>
        <w:t xml:space="preserve"> in</w:t>
      </w:r>
      <w:r w:rsidR="004D3639">
        <w:rPr>
          <w:rFonts w:asciiTheme="minorHAnsi" w:hAnsiTheme="minorHAnsi"/>
          <w:color w:val="000000"/>
          <w:szCs w:val="22"/>
          <w:lang w:val="en-GB"/>
        </w:rPr>
        <w:t xml:space="preserve"> peace building </w:t>
      </w:r>
      <w:r w:rsidR="004E4808">
        <w:rPr>
          <w:rFonts w:asciiTheme="minorHAnsi" w:hAnsiTheme="minorHAnsi"/>
          <w:color w:val="000000"/>
          <w:szCs w:val="22"/>
          <w:lang w:val="en-GB"/>
        </w:rPr>
        <w:t xml:space="preserve"> conflict prevention and</w:t>
      </w:r>
      <w:r w:rsidR="004D3639">
        <w:rPr>
          <w:rFonts w:asciiTheme="minorHAnsi" w:hAnsiTheme="minorHAnsi"/>
          <w:color w:val="000000"/>
          <w:szCs w:val="22"/>
          <w:lang w:val="en-GB"/>
        </w:rPr>
        <w:t xml:space="preserve"> social cohesion</w:t>
      </w:r>
      <w:r w:rsidR="0077411D" w:rsidRPr="00F61CCD">
        <w:rPr>
          <w:rFonts w:asciiTheme="minorHAnsi" w:hAnsiTheme="minorHAnsi"/>
          <w:color w:val="000000"/>
          <w:szCs w:val="22"/>
          <w:lang w:val="en-GB"/>
        </w:rPr>
        <w:t xml:space="preserve">. </w:t>
      </w:r>
      <w:r w:rsidR="00AC79F1" w:rsidRPr="00F61CCD">
        <w:rPr>
          <w:rFonts w:asciiTheme="minorHAnsi" w:hAnsiTheme="minorHAnsi"/>
          <w:color w:val="000000"/>
          <w:szCs w:val="22"/>
          <w:lang w:val="en-GB"/>
        </w:rPr>
        <w:t xml:space="preserve"> </w:t>
      </w:r>
      <w:r w:rsidR="00E62ADA" w:rsidRPr="00F61CCD">
        <w:rPr>
          <w:rFonts w:asciiTheme="minorHAnsi" w:hAnsiTheme="minorHAnsi"/>
          <w:szCs w:val="22"/>
        </w:rPr>
        <w:t xml:space="preserve">Irish Aid, </w:t>
      </w:r>
      <w:r w:rsidR="003A70F8" w:rsidRPr="00F61CCD">
        <w:rPr>
          <w:rFonts w:asciiTheme="minorHAnsi" w:hAnsiTheme="minorHAnsi"/>
          <w:szCs w:val="22"/>
        </w:rPr>
        <w:t>USAID</w:t>
      </w:r>
      <w:r w:rsidR="00E62ADA" w:rsidRPr="00F61CCD">
        <w:rPr>
          <w:rFonts w:asciiTheme="minorHAnsi" w:hAnsiTheme="minorHAnsi"/>
          <w:szCs w:val="22"/>
        </w:rPr>
        <w:t xml:space="preserve"> and European Union were key development partners engaged and </w:t>
      </w:r>
      <w:r w:rsidR="00C317FB" w:rsidRPr="00F61CCD">
        <w:rPr>
          <w:rFonts w:asciiTheme="minorHAnsi" w:hAnsiTheme="minorHAnsi"/>
          <w:szCs w:val="22"/>
        </w:rPr>
        <w:t>provided financial support for</w:t>
      </w:r>
      <w:r w:rsidR="003A70F8" w:rsidRPr="00F61CCD">
        <w:rPr>
          <w:rFonts w:asciiTheme="minorHAnsi" w:hAnsiTheme="minorHAnsi"/>
          <w:szCs w:val="22"/>
        </w:rPr>
        <w:t xml:space="preserve"> </w:t>
      </w:r>
      <w:r w:rsidR="00E62ADA" w:rsidRPr="00F61CCD">
        <w:rPr>
          <w:rFonts w:asciiTheme="minorHAnsi" w:hAnsiTheme="minorHAnsi"/>
          <w:szCs w:val="22"/>
        </w:rPr>
        <w:t>d</w:t>
      </w:r>
      <w:r w:rsidR="003A70F8" w:rsidRPr="00F61CCD">
        <w:rPr>
          <w:rFonts w:asciiTheme="minorHAnsi" w:hAnsiTheme="minorHAnsi"/>
          <w:szCs w:val="22"/>
        </w:rPr>
        <w:t xml:space="preserve">eepening </w:t>
      </w:r>
      <w:r w:rsidR="00E62ADA" w:rsidRPr="00F61CCD">
        <w:rPr>
          <w:rFonts w:asciiTheme="minorHAnsi" w:hAnsiTheme="minorHAnsi"/>
          <w:szCs w:val="22"/>
        </w:rPr>
        <w:t>d</w:t>
      </w:r>
      <w:r w:rsidR="00C317FB" w:rsidRPr="00F61CCD">
        <w:rPr>
          <w:rFonts w:asciiTheme="minorHAnsi" w:hAnsiTheme="minorHAnsi"/>
          <w:szCs w:val="22"/>
        </w:rPr>
        <w:t>ecentralization</w:t>
      </w:r>
      <w:r w:rsidR="003A70F8" w:rsidRPr="00F61CCD">
        <w:rPr>
          <w:rFonts w:asciiTheme="minorHAnsi" w:hAnsiTheme="minorHAnsi"/>
          <w:szCs w:val="22"/>
        </w:rPr>
        <w:t xml:space="preserve"> </w:t>
      </w:r>
      <w:r w:rsidR="00E62ADA" w:rsidRPr="00F61CCD">
        <w:rPr>
          <w:rFonts w:asciiTheme="minorHAnsi" w:hAnsiTheme="minorHAnsi"/>
          <w:szCs w:val="22"/>
        </w:rPr>
        <w:t>in Lesotho</w:t>
      </w:r>
      <w:r w:rsidR="004E4808">
        <w:rPr>
          <w:rFonts w:asciiTheme="minorHAnsi" w:hAnsiTheme="minorHAnsi"/>
          <w:szCs w:val="22"/>
        </w:rPr>
        <w:t xml:space="preserve"> and </w:t>
      </w:r>
      <w:r w:rsidR="004E4808" w:rsidRPr="00F61CCD">
        <w:rPr>
          <w:rFonts w:asciiTheme="minorHAnsi" w:hAnsiTheme="minorHAnsi"/>
          <w:szCs w:val="22"/>
        </w:rPr>
        <w:t>elect</w:t>
      </w:r>
      <w:r w:rsidR="004E4808">
        <w:rPr>
          <w:rFonts w:asciiTheme="minorHAnsi" w:hAnsiTheme="minorHAnsi"/>
          <w:szCs w:val="22"/>
        </w:rPr>
        <w:t>oral process.</w:t>
      </w:r>
    </w:p>
    <w:p w14:paraId="7C7D70ED" w14:textId="77777777" w:rsidR="0037523B" w:rsidRPr="001225C5" w:rsidRDefault="0037523B" w:rsidP="00975566">
      <w:pPr>
        <w:pStyle w:val="BodyText2"/>
        <w:jc w:val="center"/>
        <w:rPr>
          <w:rFonts w:asciiTheme="minorHAnsi" w:hAnsiTheme="minorHAnsi"/>
          <w:b/>
          <w:sz w:val="24"/>
          <w:szCs w:val="24"/>
        </w:rPr>
      </w:pPr>
    </w:p>
    <w:p w14:paraId="73623EA3" w14:textId="77777777" w:rsidR="0037523B" w:rsidRPr="001225C5" w:rsidRDefault="0037523B" w:rsidP="00975566">
      <w:pPr>
        <w:pStyle w:val="BodyText2"/>
        <w:jc w:val="center"/>
        <w:rPr>
          <w:rFonts w:asciiTheme="minorHAnsi" w:hAnsiTheme="minorHAnsi"/>
          <w:b/>
          <w:sz w:val="24"/>
          <w:szCs w:val="24"/>
        </w:rPr>
      </w:pPr>
    </w:p>
    <w:p w14:paraId="1B09EDE0" w14:textId="77777777" w:rsidR="0037523B" w:rsidRPr="001225C5" w:rsidRDefault="0037523B" w:rsidP="00975566">
      <w:pPr>
        <w:pStyle w:val="BodyText2"/>
        <w:jc w:val="center"/>
        <w:rPr>
          <w:rFonts w:asciiTheme="minorHAnsi" w:hAnsiTheme="minorHAnsi"/>
          <w:b/>
          <w:sz w:val="24"/>
          <w:szCs w:val="24"/>
        </w:rPr>
      </w:pPr>
    </w:p>
    <w:p w14:paraId="66F76B30" w14:textId="77777777" w:rsidR="0037523B" w:rsidRPr="001225C5" w:rsidRDefault="0037523B" w:rsidP="00975566">
      <w:pPr>
        <w:pStyle w:val="BodyText2"/>
        <w:jc w:val="center"/>
        <w:rPr>
          <w:rFonts w:asciiTheme="minorHAnsi" w:hAnsiTheme="minorHAnsi"/>
          <w:b/>
          <w:sz w:val="24"/>
          <w:szCs w:val="24"/>
        </w:rPr>
      </w:pPr>
    </w:p>
    <w:p w14:paraId="3CD7EED9" w14:textId="77777777" w:rsidR="0037523B" w:rsidRPr="001225C5" w:rsidRDefault="0037523B" w:rsidP="00975566">
      <w:pPr>
        <w:pStyle w:val="BodyText2"/>
        <w:jc w:val="center"/>
        <w:rPr>
          <w:rFonts w:asciiTheme="minorHAnsi" w:hAnsiTheme="minorHAnsi"/>
          <w:b/>
          <w:sz w:val="24"/>
          <w:szCs w:val="24"/>
        </w:rPr>
      </w:pPr>
    </w:p>
    <w:p w14:paraId="42F2CF93" w14:textId="77777777" w:rsidR="0037523B" w:rsidRPr="001225C5" w:rsidRDefault="0037523B" w:rsidP="00975566">
      <w:pPr>
        <w:pStyle w:val="BodyText2"/>
        <w:jc w:val="center"/>
        <w:rPr>
          <w:rFonts w:asciiTheme="minorHAnsi" w:hAnsiTheme="minorHAnsi"/>
          <w:b/>
          <w:sz w:val="24"/>
          <w:szCs w:val="24"/>
        </w:rPr>
      </w:pPr>
    </w:p>
    <w:p w14:paraId="781224F3" w14:textId="77777777" w:rsidR="0037523B" w:rsidRPr="001225C5" w:rsidRDefault="0037523B" w:rsidP="00975566">
      <w:pPr>
        <w:pStyle w:val="BodyText2"/>
        <w:jc w:val="center"/>
        <w:rPr>
          <w:rFonts w:asciiTheme="minorHAnsi" w:hAnsiTheme="minorHAnsi"/>
          <w:b/>
          <w:sz w:val="24"/>
          <w:szCs w:val="24"/>
        </w:rPr>
      </w:pPr>
    </w:p>
    <w:p w14:paraId="6B20635A" w14:textId="77777777" w:rsidR="0037523B" w:rsidRPr="001225C5" w:rsidRDefault="0037523B" w:rsidP="00975566">
      <w:pPr>
        <w:pStyle w:val="BodyText2"/>
        <w:jc w:val="center"/>
        <w:rPr>
          <w:rFonts w:asciiTheme="minorHAnsi" w:hAnsiTheme="minorHAnsi"/>
          <w:b/>
          <w:sz w:val="24"/>
          <w:szCs w:val="24"/>
        </w:rPr>
      </w:pPr>
    </w:p>
    <w:p w14:paraId="5490753F" w14:textId="77777777" w:rsidR="0037523B" w:rsidRPr="001225C5" w:rsidRDefault="0037523B" w:rsidP="00975566">
      <w:pPr>
        <w:pStyle w:val="BodyText2"/>
        <w:jc w:val="center"/>
        <w:rPr>
          <w:rFonts w:asciiTheme="minorHAnsi" w:hAnsiTheme="minorHAnsi"/>
          <w:b/>
          <w:sz w:val="24"/>
          <w:szCs w:val="24"/>
        </w:rPr>
      </w:pPr>
    </w:p>
    <w:p w14:paraId="44EECDF9" w14:textId="77777777" w:rsidR="0037523B" w:rsidRPr="001225C5" w:rsidRDefault="0037523B" w:rsidP="00975566">
      <w:pPr>
        <w:pStyle w:val="BodyText2"/>
        <w:jc w:val="center"/>
        <w:rPr>
          <w:rFonts w:asciiTheme="minorHAnsi" w:hAnsiTheme="minorHAnsi"/>
          <w:b/>
          <w:sz w:val="24"/>
          <w:szCs w:val="24"/>
        </w:rPr>
      </w:pPr>
    </w:p>
    <w:p w14:paraId="1860AC5D" w14:textId="77777777" w:rsidR="0037523B" w:rsidRPr="001225C5" w:rsidRDefault="0037523B" w:rsidP="00975566">
      <w:pPr>
        <w:pStyle w:val="BodyText2"/>
        <w:jc w:val="center"/>
        <w:rPr>
          <w:rFonts w:asciiTheme="minorHAnsi" w:hAnsiTheme="minorHAnsi"/>
          <w:b/>
          <w:sz w:val="24"/>
          <w:szCs w:val="24"/>
        </w:rPr>
      </w:pPr>
    </w:p>
    <w:p w14:paraId="4FC13CA2" w14:textId="77777777" w:rsidR="0037523B" w:rsidRPr="001225C5" w:rsidRDefault="0037523B" w:rsidP="00975566">
      <w:pPr>
        <w:pStyle w:val="BodyText2"/>
        <w:jc w:val="center"/>
        <w:rPr>
          <w:rFonts w:asciiTheme="minorHAnsi" w:hAnsiTheme="minorHAnsi"/>
          <w:b/>
          <w:sz w:val="24"/>
          <w:szCs w:val="24"/>
        </w:rPr>
      </w:pPr>
    </w:p>
    <w:p w14:paraId="433FEC51" w14:textId="77777777" w:rsidR="0037523B" w:rsidRPr="001225C5" w:rsidRDefault="0037523B" w:rsidP="00975566">
      <w:pPr>
        <w:pStyle w:val="BodyText2"/>
        <w:jc w:val="center"/>
        <w:rPr>
          <w:rFonts w:asciiTheme="minorHAnsi" w:hAnsiTheme="minorHAnsi"/>
          <w:b/>
          <w:sz w:val="24"/>
          <w:szCs w:val="24"/>
        </w:rPr>
        <w:sectPr w:rsidR="0037523B" w:rsidRPr="001225C5">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440" w:right="1440" w:bottom="1440" w:left="1440" w:header="720" w:footer="720" w:gutter="0"/>
          <w:cols w:space="720"/>
        </w:sectPr>
      </w:pPr>
    </w:p>
    <w:p w14:paraId="0659B4A0" w14:textId="77777777" w:rsidR="00975566" w:rsidRPr="001225C5" w:rsidRDefault="006900FE" w:rsidP="008440D9">
      <w:pPr>
        <w:pStyle w:val="Heading3"/>
        <w:jc w:val="left"/>
        <w:rPr>
          <w:rFonts w:asciiTheme="minorHAnsi" w:hAnsiTheme="minorHAnsi"/>
          <w:b/>
          <w:szCs w:val="24"/>
        </w:rPr>
      </w:pPr>
      <w:r w:rsidRPr="001225C5">
        <w:rPr>
          <w:rFonts w:asciiTheme="minorHAnsi" w:hAnsiTheme="minorHAnsi"/>
          <w:b/>
          <w:szCs w:val="24"/>
        </w:rPr>
        <w:lastRenderedPageBreak/>
        <w:t>II</w:t>
      </w:r>
      <w:r w:rsidR="0081403B" w:rsidRPr="001225C5">
        <w:rPr>
          <w:rFonts w:asciiTheme="minorHAnsi" w:hAnsiTheme="minorHAnsi"/>
          <w:b/>
          <w:szCs w:val="24"/>
        </w:rPr>
        <w:t xml:space="preserve">: </w:t>
      </w:r>
      <w:r w:rsidR="000C09B4" w:rsidRPr="001225C5">
        <w:rPr>
          <w:rFonts w:asciiTheme="minorHAnsi" w:hAnsiTheme="minorHAnsi"/>
          <w:b/>
          <w:szCs w:val="24"/>
        </w:rPr>
        <w:t xml:space="preserve">Country Programme Performance </w:t>
      </w:r>
      <w:r w:rsidR="00975566" w:rsidRPr="001225C5">
        <w:rPr>
          <w:rFonts w:asciiTheme="minorHAnsi" w:hAnsiTheme="minorHAnsi"/>
          <w:b/>
          <w:szCs w:val="24"/>
        </w:rPr>
        <w:t>Summary</w:t>
      </w:r>
    </w:p>
    <w:p w14:paraId="3A72FF65" w14:textId="77777777" w:rsidR="00DC7354" w:rsidRPr="001225C5" w:rsidRDefault="00DC7354" w:rsidP="00975566">
      <w:pPr>
        <w:pStyle w:val="BodyText2"/>
        <w:jc w:val="center"/>
        <w:rPr>
          <w:rFonts w:asciiTheme="minorHAnsi" w:hAnsiTheme="minorHAnsi"/>
          <w:b/>
          <w:sz w:val="24"/>
          <w:szCs w:val="24"/>
        </w:r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7"/>
        <w:gridCol w:w="203"/>
        <w:gridCol w:w="450"/>
        <w:gridCol w:w="1597"/>
        <w:gridCol w:w="1913"/>
        <w:gridCol w:w="1777"/>
        <w:gridCol w:w="1733"/>
        <w:gridCol w:w="3510"/>
      </w:tblGrid>
      <w:tr w:rsidR="00CB647D" w:rsidRPr="0093396C" w14:paraId="78AAC255" w14:textId="77777777" w:rsidTr="008D739D">
        <w:tc>
          <w:tcPr>
            <w:tcW w:w="2857" w:type="dxa"/>
            <w:tcBorders>
              <w:right w:val="nil"/>
            </w:tcBorders>
            <w:shd w:val="clear" w:color="auto" w:fill="FFC000"/>
          </w:tcPr>
          <w:p w14:paraId="68BC920B" w14:textId="77777777" w:rsidR="00CB647D" w:rsidRPr="0093396C" w:rsidRDefault="00CB647D">
            <w:pPr>
              <w:pStyle w:val="BodyText2"/>
              <w:rPr>
                <w:rFonts w:asciiTheme="minorHAnsi" w:hAnsiTheme="minorHAnsi"/>
                <w:b/>
              </w:rPr>
            </w:pPr>
            <w:r w:rsidRPr="0093396C">
              <w:rPr>
                <w:rFonts w:asciiTheme="minorHAnsi" w:hAnsiTheme="minorHAnsi"/>
                <w:b/>
              </w:rPr>
              <w:t>Country information</w:t>
            </w:r>
          </w:p>
        </w:tc>
        <w:tc>
          <w:tcPr>
            <w:tcW w:w="11183" w:type="dxa"/>
            <w:gridSpan w:val="7"/>
            <w:tcBorders>
              <w:left w:val="nil"/>
            </w:tcBorders>
            <w:shd w:val="clear" w:color="auto" w:fill="FFC000"/>
          </w:tcPr>
          <w:p w14:paraId="253B8D5C" w14:textId="77777777" w:rsidR="00CB647D" w:rsidRPr="0093396C" w:rsidRDefault="00CB647D">
            <w:pPr>
              <w:pStyle w:val="BodyText2"/>
              <w:rPr>
                <w:rFonts w:asciiTheme="minorHAnsi" w:hAnsiTheme="minorHAnsi"/>
                <w:b/>
              </w:rPr>
            </w:pPr>
          </w:p>
        </w:tc>
      </w:tr>
      <w:tr w:rsidR="009B76A1" w:rsidRPr="0093396C" w14:paraId="526AD64F" w14:textId="77777777" w:rsidTr="008D739D">
        <w:tc>
          <w:tcPr>
            <w:tcW w:w="14040" w:type="dxa"/>
            <w:gridSpan w:val="8"/>
          </w:tcPr>
          <w:p w14:paraId="49EE34C2" w14:textId="77777777" w:rsidR="009B76A1" w:rsidRPr="0093396C" w:rsidRDefault="001C2AFD">
            <w:pPr>
              <w:pStyle w:val="BodyText2"/>
              <w:rPr>
                <w:rFonts w:asciiTheme="minorHAnsi" w:hAnsiTheme="minorHAnsi"/>
                <w:b/>
              </w:rPr>
            </w:pPr>
            <w:r w:rsidRPr="0093396C">
              <w:rPr>
                <w:rFonts w:asciiTheme="minorHAnsi" w:hAnsiTheme="minorHAnsi"/>
                <w:b/>
              </w:rPr>
              <w:t>Country N</w:t>
            </w:r>
            <w:r w:rsidR="009B76A1" w:rsidRPr="0093396C">
              <w:rPr>
                <w:rFonts w:asciiTheme="minorHAnsi" w:hAnsiTheme="minorHAnsi"/>
                <w:b/>
              </w:rPr>
              <w:t>ame:</w:t>
            </w:r>
            <w:r w:rsidRPr="0093396C">
              <w:rPr>
                <w:rFonts w:asciiTheme="minorHAnsi" w:hAnsiTheme="minorHAnsi"/>
                <w:b/>
              </w:rPr>
              <w:t xml:space="preserve"> </w:t>
            </w:r>
            <w:r w:rsidR="004E30F5" w:rsidRPr="0093396C">
              <w:rPr>
                <w:rFonts w:asciiTheme="minorHAnsi" w:hAnsiTheme="minorHAnsi"/>
                <w:b/>
              </w:rPr>
              <w:t>LESOTHO</w:t>
            </w:r>
          </w:p>
        </w:tc>
      </w:tr>
      <w:tr w:rsidR="009B76A1" w:rsidRPr="0093396C" w14:paraId="5EEE00B9" w14:textId="77777777" w:rsidTr="008D739D">
        <w:tc>
          <w:tcPr>
            <w:tcW w:w="14040" w:type="dxa"/>
            <w:gridSpan w:val="8"/>
          </w:tcPr>
          <w:p w14:paraId="67AC7AC0" w14:textId="32BF3533" w:rsidR="009B76A1" w:rsidRPr="0093396C" w:rsidRDefault="001C2AFD">
            <w:pPr>
              <w:pStyle w:val="BodyText2"/>
              <w:rPr>
                <w:rFonts w:asciiTheme="minorHAnsi" w:hAnsiTheme="minorHAnsi"/>
                <w:b/>
              </w:rPr>
            </w:pPr>
            <w:r w:rsidRPr="0093396C">
              <w:rPr>
                <w:rFonts w:asciiTheme="minorHAnsi" w:hAnsiTheme="minorHAnsi"/>
                <w:b/>
              </w:rPr>
              <w:t>Current Country P</w:t>
            </w:r>
            <w:r w:rsidR="009B76A1" w:rsidRPr="0093396C">
              <w:rPr>
                <w:rFonts w:asciiTheme="minorHAnsi" w:hAnsiTheme="minorHAnsi"/>
                <w:b/>
              </w:rPr>
              <w:t>rogramme period:</w:t>
            </w:r>
            <w:r w:rsidR="004E30F5" w:rsidRPr="0093396C">
              <w:rPr>
                <w:rFonts w:asciiTheme="minorHAnsi" w:hAnsiTheme="minorHAnsi"/>
                <w:b/>
              </w:rPr>
              <w:t xml:space="preserve"> 2013-201</w:t>
            </w:r>
            <w:r w:rsidR="000279FC">
              <w:rPr>
                <w:rFonts w:asciiTheme="minorHAnsi" w:hAnsiTheme="minorHAnsi"/>
                <w:b/>
              </w:rPr>
              <w:t>8</w:t>
            </w:r>
          </w:p>
        </w:tc>
      </w:tr>
      <w:tr w:rsidR="003B037A" w:rsidRPr="0093396C" w14:paraId="17A8B6CB" w14:textId="77777777" w:rsidTr="008D739D">
        <w:tc>
          <w:tcPr>
            <w:tcW w:w="2857" w:type="dxa"/>
          </w:tcPr>
          <w:p w14:paraId="6B9EA567" w14:textId="77777777" w:rsidR="003B037A" w:rsidRPr="0093396C" w:rsidRDefault="003B037A">
            <w:pPr>
              <w:pStyle w:val="BodyText2"/>
              <w:rPr>
                <w:rFonts w:asciiTheme="minorHAnsi" w:hAnsiTheme="minorHAnsi"/>
                <w:b/>
              </w:rPr>
            </w:pPr>
            <w:r w:rsidRPr="0093396C">
              <w:rPr>
                <w:rFonts w:asciiTheme="minorHAnsi" w:hAnsiTheme="minorHAnsi"/>
                <w:b/>
              </w:rPr>
              <w:t>Outcome</w:t>
            </w:r>
            <w:r w:rsidR="00700521" w:rsidRPr="0093396C">
              <w:rPr>
                <w:rFonts w:asciiTheme="minorHAnsi" w:hAnsiTheme="minorHAnsi"/>
                <w:b/>
              </w:rPr>
              <w:t>s</w:t>
            </w:r>
          </w:p>
        </w:tc>
        <w:tc>
          <w:tcPr>
            <w:tcW w:w="2250" w:type="dxa"/>
            <w:gridSpan w:val="3"/>
            <w:shd w:val="clear" w:color="auto" w:fill="auto"/>
          </w:tcPr>
          <w:p w14:paraId="403C4559" w14:textId="77777777" w:rsidR="003B037A" w:rsidRPr="0093396C" w:rsidRDefault="003B037A">
            <w:pPr>
              <w:pStyle w:val="BodyText2"/>
              <w:rPr>
                <w:rFonts w:asciiTheme="minorHAnsi" w:hAnsiTheme="minorHAnsi"/>
                <w:b/>
              </w:rPr>
            </w:pPr>
            <w:r w:rsidRPr="0093396C">
              <w:rPr>
                <w:rFonts w:asciiTheme="minorHAnsi" w:hAnsiTheme="minorHAnsi"/>
                <w:b/>
              </w:rPr>
              <w:t>Total Expenditure</w:t>
            </w:r>
            <w:r w:rsidR="00B95BA1" w:rsidRPr="0093396C">
              <w:rPr>
                <w:rFonts w:asciiTheme="minorHAnsi" w:hAnsiTheme="minorHAnsi"/>
                <w:b/>
              </w:rPr>
              <w:t>(USD)</w:t>
            </w:r>
          </w:p>
        </w:tc>
        <w:tc>
          <w:tcPr>
            <w:tcW w:w="3690" w:type="dxa"/>
            <w:gridSpan w:val="2"/>
            <w:tcBorders>
              <w:left w:val="single" w:sz="4" w:space="0" w:color="auto"/>
            </w:tcBorders>
          </w:tcPr>
          <w:p w14:paraId="633D3495" w14:textId="77777777" w:rsidR="003B037A" w:rsidRPr="0093396C" w:rsidRDefault="003B037A">
            <w:pPr>
              <w:pStyle w:val="BodyText2"/>
              <w:rPr>
                <w:rFonts w:asciiTheme="minorHAnsi" w:hAnsiTheme="minorHAnsi"/>
                <w:b/>
              </w:rPr>
            </w:pPr>
            <w:r w:rsidRPr="0093396C">
              <w:rPr>
                <w:rFonts w:asciiTheme="minorHAnsi" w:hAnsiTheme="minorHAnsi"/>
                <w:b/>
              </w:rPr>
              <w:t>Key Indicators of outcome (1-4 per outcome)</w:t>
            </w:r>
          </w:p>
        </w:tc>
        <w:tc>
          <w:tcPr>
            <w:tcW w:w="5243" w:type="dxa"/>
            <w:gridSpan w:val="2"/>
          </w:tcPr>
          <w:p w14:paraId="3E171C62" w14:textId="77777777" w:rsidR="003B037A" w:rsidRPr="0093396C" w:rsidRDefault="003B037A">
            <w:pPr>
              <w:pStyle w:val="BodyText2"/>
              <w:rPr>
                <w:rFonts w:asciiTheme="minorHAnsi" w:hAnsiTheme="minorHAnsi"/>
                <w:b/>
              </w:rPr>
            </w:pPr>
            <w:r w:rsidRPr="0093396C">
              <w:rPr>
                <w:rFonts w:asciiTheme="minorHAnsi" w:hAnsiTheme="minorHAnsi"/>
                <w:b/>
              </w:rPr>
              <w:t>Progress made against key indicators</w:t>
            </w:r>
          </w:p>
        </w:tc>
      </w:tr>
      <w:tr w:rsidR="000823AC" w:rsidRPr="0093396C" w14:paraId="72A2230D" w14:textId="77777777" w:rsidTr="008D739D">
        <w:tc>
          <w:tcPr>
            <w:tcW w:w="2857" w:type="dxa"/>
            <w:tcBorders>
              <w:bottom w:val="single" w:sz="4" w:space="0" w:color="auto"/>
            </w:tcBorders>
            <w:shd w:val="clear" w:color="auto" w:fill="auto"/>
          </w:tcPr>
          <w:p w14:paraId="3E793F65" w14:textId="77777777" w:rsidR="003B037A" w:rsidRPr="0093396C" w:rsidRDefault="00234529" w:rsidP="00234529">
            <w:pPr>
              <w:pStyle w:val="BodyText2"/>
              <w:rPr>
                <w:rFonts w:asciiTheme="minorHAnsi" w:hAnsiTheme="minorHAnsi"/>
              </w:rPr>
            </w:pPr>
            <w:r w:rsidRPr="0093396C">
              <w:rPr>
                <w:rFonts w:asciiTheme="minorHAnsi" w:hAnsiTheme="minorHAnsi"/>
                <w:b/>
              </w:rPr>
              <w:t>33.</w:t>
            </w:r>
            <w:r w:rsidR="004E30F5" w:rsidRPr="0093396C">
              <w:rPr>
                <w:rFonts w:asciiTheme="minorHAnsi" w:hAnsiTheme="minorHAnsi"/>
                <w:b/>
              </w:rPr>
              <w:t xml:space="preserve"> </w:t>
            </w:r>
            <w:r w:rsidRPr="0093396C">
              <w:rPr>
                <w:rFonts w:ascii="Times New Roman" w:hAnsi="Times New Roman"/>
                <w:b/>
              </w:rPr>
              <w:t>Public and private institutions promote increased investments, manufacturing, trade and financial services and create decent employment in an inclusive and sustainable manner</w:t>
            </w:r>
            <w:r w:rsidRPr="0093396C">
              <w:rPr>
                <w:rFonts w:ascii="Times New Roman" w:hAnsi="Times New Roman"/>
              </w:rPr>
              <w:t>.</w:t>
            </w:r>
          </w:p>
        </w:tc>
        <w:tc>
          <w:tcPr>
            <w:tcW w:w="2250" w:type="dxa"/>
            <w:gridSpan w:val="3"/>
            <w:tcBorders>
              <w:bottom w:val="single" w:sz="4" w:space="0" w:color="auto"/>
            </w:tcBorders>
            <w:shd w:val="clear" w:color="auto" w:fill="auto"/>
          </w:tcPr>
          <w:p w14:paraId="2DB9B275" w14:textId="6B234666" w:rsidR="008B3A87" w:rsidRPr="00081541" w:rsidRDefault="00081541" w:rsidP="00B95BA1">
            <w:pPr>
              <w:pStyle w:val="BodyText2"/>
              <w:rPr>
                <w:rFonts w:asciiTheme="minorHAnsi" w:hAnsiTheme="minorHAnsi"/>
                <w:b/>
              </w:rPr>
            </w:pPr>
            <w:r w:rsidRPr="00081541">
              <w:rPr>
                <w:rFonts w:asciiTheme="minorHAnsi" w:hAnsiTheme="minorHAnsi"/>
                <w:b/>
              </w:rPr>
              <w:t>1,635,267</w:t>
            </w:r>
          </w:p>
          <w:p w14:paraId="48000B98" w14:textId="77777777" w:rsidR="008B3A87" w:rsidRPr="00081541" w:rsidRDefault="008B3A87" w:rsidP="00B95BA1">
            <w:pPr>
              <w:pStyle w:val="BodyText2"/>
              <w:rPr>
                <w:rFonts w:asciiTheme="minorHAnsi" w:hAnsiTheme="minorHAnsi"/>
                <w:b/>
              </w:rPr>
            </w:pPr>
          </w:p>
        </w:tc>
        <w:tc>
          <w:tcPr>
            <w:tcW w:w="3690" w:type="dxa"/>
            <w:gridSpan w:val="2"/>
            <w:tcBorders>
              <w:left w:val="single" w:sz="4" w:space="0" w:color="auto"/>
              <w:bottom w:val="single" w:sz="4" w:space="0" w:color="auto"/>
            </w:tcBorders>
          </w:tcPr>
          <w:p w14:paraId="44C99EEF" w14:textId="77777777" w:rsidR="00643570" w:rsidRPr="0093396C" w:rsidRDefault="003245AA" w:rsidP="006077E0">
            <w:pPr>
              <w:pStyle w:val="ListParagraph"/>
              <w:numPr>
                <w:ilvl w:val="0"/>
                <w:numId w:val="3"/>
              </w:numPr>
              <w:suppressAutoHyphens/>
              <w:rPr>
                <w:rFonts w:asciiTheme="minorHAnsi" w:hAnsiTheme="minorHAnsi"/>
                <w:color w:val="000000"/>
                <w:sz w:val="20"/>
              </w:rPr>
            </w:pPr>
            <w:r w:rsidRPr="0093396C">
              <w:rPr>
                <w:rFonts w:asciiTheme="minorHAnsi" w:hAnsiTheme="minorHAnsi"/>
                <w:color w:val="000000"/>
                <w:sz w:val="20"/>
              </w:rPr>
              <w:t>No. of jobs created for women and youth;</w:t>
            </w:r>
          </w:p>
          <w:p w14:paraId="05E31311" w14:textId="77777777" w:rsidR="004E30F5" w:rsidRPr="0093396C" w:rsidRDefault="003245AA" w:rsidP="006077E0">
            <w:pPr>
              <w:pStyle w:val="ListParagraph"/>
              <w:numPr>
                <w:ilvl w:val="0"/>
                <w:numId w:val="3"/>
              </w:numPr>
              <w:suppressAutoHyphens/>
              <w:rPr>
                <w:rFonts w:asciiTheme="minorHAnsi" w:eastAsia="Arial Unicode MS" w:hAnsiTheme="minorHAnsi"/>
                <w:kern w:val="1"/>
                <w:sz w:val="20"/>
                <w:lang w:eastAsia="ar-SA"/>
              </w:rPr>
            </w:pPr>
            <w:r w:rsidRPr="0093396C">
              <w:rPr>
                <w:rFonts w:asciiTheme="minorHAnsi" w:hAnsiTheme="minorHAnsi"/>
                <w:color w:val="000000"/>
                <w:sz w:val="20"/>
              </w:rPr>
              <w:t xml:space="preserve"> </w:t>
            </w:r>
            <w:r w:rsidR="00643570" w:rsidRPr="0093396C">
              <w:rPr>
                <w:rFonts w:asciiTheme="minorHAnsi" w:hAnsiTheme="minorHAnsi"/>
                <w:color w:val="000000"/>
                <w:sz w:val="20"/>
              </w:rPr>
              <w:t>Increased a</w:t>
            </w:r>
            <w:r w:rsidR="004E30F5" w:rsidRPr="0093396C">
              <w:rPr>
                <w:rFonts w:asciiTheme="minorHAnsi" w:eastAsia="Arial Unicode MS" w:hAnsiTheme="minorHAnsi"/>
                <w:kern w:val="1"/>
                <w:sz w:val="20"/>
                <w:lang w:eastAsia="ar-SA"/>
              </w:rPr>
              <w:t xml:space="preserve">ccess to financial services </w:t>
            </w:r>
          </w:p>
          <w:p w14:paraId="735F174A" w14:textId="77777777" w:rsidR="004E30F5" w:rsidRPr="0093396C" w:rsidRDefault="004E30F5" w:rsidP="006077E0">
            <w:pPr>
              <w:pStyle w:val="ListParagraph"/>
              <w:numPr>
                <w:ilvl w:val="0"/>
                <w:numId w:val="3"/>
              </w:numPr>
              <w:suppressAutoHyphens/>
              <w:rPr>
                <w:rFonts w:asciiTheme="minorHAnsi" w:hAnsiTheme="minorHAnsi"/>
                <w:sz w:val="20"/>
              </w:rPr>
            </w:pPr>
            <w:r w:rsidRPr="0093396C">
              <w:rPr>
                <w:rFonts w:asciiTheme="minorHAnsi" w:hAnsiTheme="minorHAnsi"/>
                <w:sz w:val="20"/>
              </w:rPr>
              <w:t>No. of days to register a business</w:t>
            </w:r>
          </w:p>
          <w:p w14:paraId="220D60DB" w14:textId="710FAD08" w:rsidR="00F2279E" w:rsidRPr="0093396C" w:rsidRDefault="004E30F5" w:rsidP="006077E0">
            <w:pPr>
              <w:pStyle w:val="ListParagraph"/>
              <w:numPr>
                <w:ilvl w:val="0"/>
                <w:numId w:val="3"/>
              </w:numPr>
              <w:suppressAutoHyphens/>
              <w:rPr>
                <w:rFonts w:asciiTheme="minorHAnsi" w:hAnsiTheme="minorHAnsi"/>
                <w:sz w:val="20"/>
              </w:rPr>
            </w:pPr>
            <w:r w:rsidRPr="0093396C">
              <w:rPr>
                <w:rFonts w:asciiTheme="minorHAnsi" w:hAnsiTheme="minorHAnsi"/>
                <w:sz w:val="20"/>
              </w:rPr>
              <w:t>An agreed social protection framework</w:t>
            </w:r>
            <w:r w:rsidR="00C01E27" w:rsidRPr="0093396C">
              <w:rPr>
                <w:rFonts w:asciiTheme="minorHAnsi" w:hAnsiTheme="minorHAnsi"/>
                <w:sz w:val="20"/>
              </w:rPr>
              <w:t xml:space="preserve"> </w:t>
            </w:r>
            <w:r w:rsidRPr="0093396C">
              <w:rPr>
                <w:rFonts w:asciiTheme="minorHAnsi" w:hAnsiTheme="minorHAnsi"/>
                <w:sz w:val="20"/>
              </w:rPr>
              <w:t>for a HIV-sensitive social protection policy</w:t>
            </w:r>
          </w:p>
          <w:p w14:paraId="7649657B" w14:textId="77777777" w:rsidR="00F2279E" w:rsidRPr="0093396C" w:rsidRDefault="00F2279E" w:rsidP="00F2279E">
            <w:pPr>
              <w:suppressAutoHyphens/>
              <w:ind w:left="360"/>
              <w:rPr>
                <w:rFonts w:asciiTheme="minorHAnsi" w:hAnsiTheme="minorHAnsi"/>
                <w:sz w:val="20"/>
              </w:rPr>
            </w:pPr>
          </w:p>
          <w:p w14:paraId="78C71B2A" w14:textId="77777777" w:rsidR="006C50F9" w:rsidRPr="0093396C" w:rsidRDefault="006C50F9" w:rsidP="00F2279E">
            <w:pPr>
              <w:suppressAutoHyphens/>
              <w:ind w:left="360"/>
              <w:rPr>
                <w:rFonts w:asciiTheme="minorHAnsi" w:hAnsiTheme="minorHAnsi"/>
                <w:sz w:val="20"/>
              </w:rPr>
            </w:pPr>
          </w:p>
        </w:tc>
        <w:tc>
          <w:tcPr>
            <w:tcW w:w="5243" w:type="dxa"/>
            <w:gridSpan w:val="2"/>
            <w:tcBorders>
              <w:bottom w:val="single" w:sz="4" w:space="0" w:color="auto"/>
            </w:tcBorders>
            <w:shd w:val="clear" w:color="auto" w:fill="auto"/>
          </w:tcPr>
          <w:p w14:paraId="096A014A" w14:textId="64005084" w:rsidR="00533764" w:rsidRPr="009E65F1" w:rsidRDefault="00C01E27" w:rsidP="006077E0">
            <w:pPr>
              <w:pStyle w:val="BodyText2"/>
              <w:numPr>
                <w:ilvl w:val="0"/>
                <w:numId w:val="4"/>
              </w:numPr>
              <w:rPr>
                <w:rFonts w:asciiTheme="minorHAnsi" w:hAnsiTheme="minorHAnsi"/>
              </w:rPr>
            </w:pPr>
            <w:r w:rsidRPr="00B94131">
              <w:rPr>
                <w:rFonts w:asciiTheme="minorHAnsi" w:hAnsiTheme="minorHAnsi"/>
              </w:rPr>
              <w:t>As of 201</w:t>
            </w:r>
            <w:r w:rsidR="00E94826">
              <w:rPr>
                <w:rFonts w:asciiTheme="minorHAnsi" w:hAnsiTheme="minorHAnsi"/>
              </w:rPr>
              <w:t>8</w:t>
            </w:r>
            <w:r w:rsidRPr="009E65F1">
              <w:rPr>
                <w:rFonts w:asciiTheme="minorHAnsi" w:hAnsiTheme="minorHAnsi"/>
              </w:rPr>
              <w:t xml:space="preserve">, UNDP support led to an overall creation of </w:t>
            </w:r>
            <w:r w:rsidR="00B94131">
              <w:rPr>
                <w:rFonts w:asciiTheme="minorHAnsi" w:hAnsiTheme="minorHAnsi"/>
              </w:rPr>
              <w:t>1,218</w:t>
            </w:r>
            <w:r w:rsidR="00FE70D0" w:rsidRPr="009E65F1">
              <w:rPr>
                <w:rFonts w:asciiTheme="minorHAnsi" w:hAnsiTheme="minorHAnsi"/>
              </w:rPr>
              <w:t xml:space="preserve"> </w:t>
            </w:r>
            <w:r w:rsidRPr="009E65F1">
              <w:rPr>
                <w:rFonts w:asciiTheme="minorHAnsi" w:hAnsiTheme="minorHAnsi"/>
              </w:rPr>
              <w:t>jobs for women and the youth</w:t>
            </w:r>
            <w:r w:rsidR="00FE70D0" w:rsidRPr="009E65F1">
              <w:rPr>
                <w:rFonts w:asciiTheme="minorHAnsi" w:hAnsiTheme="minorHAnsi"/>
              </w:rPr>
              <w:t xml:space="preserve"> (approximately </w:t>
            </w:r>
            <w:r w:rsidR="00B94131">
              <w:rPr>
                <w:rFonts w:asciiTheme="minorHAnsi" w:hAnsiTheme="minorHAnsi"/>
              </w:rPr>
              <w:t>61</w:t>
            </w:r>
            <w:r w:rsidR="00FE70D0" w:rsidRPr="009E65F1">
              <w:rPr>
                <w:rFonts w:asciiTheme="minorHAnsi" w:hAnsiTheme="minorHAnsi"/>
              </w:rPr>
              <w:t xml:space="preserve">%) of the 2017 target of </w:t>
            </w:r>
            <w:r w:rsidR="00B94131">
              <w:rPr>
                <w:rFonts w:asciiTheme="minorHAnsi" w:hAnsiTheme="minorHAnsi"/>
              </w:rPr>
              <w:t>2</w:t>
            </w:r>
            <w:r w:rsidRPr="009E65F1">
              <w:rPr>
                <w:rFonts w:asciiTheme="minorHAnsi" w:hAnsiTheme="minorHAnsi"/>
              </w:rPr>
              <w:t>, 000</w:t>
            </w:r>
            <w:r w:rsidR="00FE70D0" w:rsidRPr="009E65F1">
              <w:rPr>
                <w:rFonts w:asciiTheme="minorHAnsi" w:hAnsiTheme="minorHAnsi"/>
              </w:rPr>
              <w:t xml:space="preserve"> jobs</w:t>
            </w:r>
            <w:r w:rsidRPr="009E65F1">
              <w:rPr>
                <w:rFonts w:asciiTheme="minorHAnsi" w:hAnsiTheme="minorHAnsi"/>
              </w:rPr>
              <w:t>.</w:t>
            </w:r>
            <w:r w:rsidR="00FE70D0" w:rsidRPr="009E65F1">
              <w:rPr>
                <w:rFonts w:asciiTheme="minorHAnsi" w:hAnsiTheme="minorHAnsi"/>
              </w:rPr>
              <w:t xml:space="preserve"> </w:t>
            </w:r>
          </w:p>
          <w:p w14:paraId="42C01E11" w14:textId="77777777" w:rsidR="004E4044" w:rsidRPr="009E65F1" w:rsidRDefault="004E4044" w:rsidP="006077E0">
            <w:pPr>
              <w:pStyle w:val="BodyText2"/>
              <w:numPr>
                <w:ilvl w:val="0"/>
                <w:numId w:val="4"/>
              </w:numPr>
              <w:rPr>
                <w:rFonts w:asciiTheme="minorHAnsi" w:hAnsiTheme="minorHAnsi"/>
              </w:rPr>
            </w:pPr>
            <w:r w:rsidRPr="009E65F1">
              <w:rPr>
                <w:rFonts w:asciiTheme="minorHAnsi" w:hAnsiTheme="minorHAnsi"/>
              </w:rPr>
              <w:t>Whilst 2510 micro-</w:t>
            </w:r>
            <w:r w:rsidR="00CA4A50" w:rsidRPr="009E65F1">
              <w:rPr>
                <w:rFonts w:asciiTheme="minorHAnsi" w:hAnsiTheme="minorHAnsi"/>
              </w:rPr>
              <w:t>entrepreneurs</w:t>
            </w:r>
            <w:r w:rsidR="00EB6FC9" w:rsidRPr="009E65F1">
              <w:rPr>
                <w:rFonts w:asciiTheme="minorHAnsi" w:hAnsiTheme="minorHAnsi"/>
              </w:rPr>
              <w:t xml:space="preserve"> out of the planned 10,000, </w:t>
            </w:r>
            <w:r w:rsidRPr="009E65F1">
              <w:rPr>
                <w:rFonts w:asciiTheme="minorHAnsi" w:hAnsiTheme="minorHAnsi"/>
              </w:rPr>
              <w:t xml:space="preserve">benefited from </w:t>
            </w:r>
            <w:r w:rsidR="00643570" w:rsidRPr="009E65F1">
              <w:rPr>
                <w:rFonts w:asciiTheme="minorHAnsi" w:hAnsiTheme="minorHAnsi"/>
              </w:rPr>
              <w:t xml:space="preserve">the </w:t>
            </w:r>
            <w:r w:rsidRPr="009E65F1">
              <w:rPr>
                <w:rFonts w:asciiTheme="minorHAnsi" w:hAnsiTheme="minorHAnsi"/>
              </w:rPr>
              <w:t xml:space="preserve">UNDP supported financial intermediation, there is no data to enable reporting on </w:t>
            </w:r>
            <w:r w:rsidR="00643570" w:rsidRPr="009E65F1">
              <w:rPr>
                <w:rFonts w:asciiTheme="minorHAnsi" w:hAnsiTheme="minorHAnsi"/>
              </w:rPr>
              <w:t>a</w:t>
            </w:r>
            <w:r w:rsidRPr="009E65F1">
              <w:rPr>
                <w:rFonts w:asciiTheme="minorHAnsi" w:hAnsiTheme="minorHAnsi"/>
              </w:rPr>
              <w:t xml:space="preserve"> national scale.</w:t>
            </w:r>
          </w:p>
          <w:p w14:paraId="5F4E5621" w14:textId="7F002CCB" w:rsidR="00C01E27" w:rsidRPr="009E65F1" w:rsidRDefault="00533764" w:rsidP="006077E0">
            <w:pPr>
              <w:pStyle w:val="BodyText2"/>
              <w:numPr>
                <w:ilvl w:val="0"/>
                <w:numId w:val="4"/>
              </w:numPr>
              <w:rPr>
                <w:rFonts w:asciiTheme="minorHAnsi" w:hAnsiTheme="minorHAnsi"/>
              </w:rPr>
            </w:pPr>
            <w:r w:rsidRPr="009E65F1">
              <w:rPr>
                <w:rFonts w:asciiTheme="minorHAnsi" w:hAnsiTheme="minorHAnsi"/>
                <w:lang w:val="en-GB"/>
              </w:rPr>
              <w:t>Number of days for business registration reduced from 40   days to 3 days</w:t>
            </w:r>
          </w:p>
          <w:p w14:paraId="6A8B0740" w14:textId="1DA2D735" w:rsidR="003B037A" w:rsidRPr="0093396C" w:rsidRDefault="00EE3EB2" w:rsidP="006077E0">
            <w:pPr>
              <w:pStyle w:val="BodyText2"/>
              <w:numPr>
                <w:ilvl w:val="0"/>
                <w:numId w:val="4"/>
              </w:numPr>
              <w:rPr>
                <w:rFonts w:asciiTheme="minorHAnsi" w:hAnsiTheme="minorHAnsi"/>
              </w:rPr>
            </w:pPr>
            <w:r w:rsidRPr="009E65F1">
              <w:rPr>
                <w:rFonts w:asciiTheme="minorHAnsi" w:hAnsiTheme="minorHAnsi"/>
              </w:rPr>
              <w:t>T</w:t>
            </w:r>
            <w:r w:rsidR="00533764" w:rsidRPr="009E65F1">
              <w:rPr>
                <w:rFonts w:asciiTheme="minorHAnsi" w:hAnsiTheme="minorHAnsi"/>
              </w:rPr>
              <w:t>he Legal and Environmental Assessment for HIV/AIDS in Lesotho was formulated and launched in November 2016</w:t>
            </w:r>
            <w:r w:rsidR="00533764" w:rsidRPr="0093396C">
              <w:rPr>
                <w:rFonts w:asciiTheme="minorHAnsi" w:hAnsiTheme="minorHAnsi"/>
              </w:rPr>
              <w:t xml:space="preserve">  </w:t>
            </w:r>
          </w:p>
        </w:tc>
      </w:tr>
      <w:tr w:rsidR="00530FDE" w:rsidRPr="0093396C" w14:paraId="52998A08" w14:textId="77777777" w:rsidTr="008D739D">
        <w:tc>
          <w:tcPr>
            <w:tcW w:w="14040" w:type="dxa"/>
            <w:gridSpan w:val="8"/>
          </w:tcPr>
          <w:p w14:paraId="51278CC7" w14:textId="5A63E3D4" w:rsidR="00843006" w:rsidRPr="0093396C" w:rsidRDefault="00837C4B" w:rsidP="00EE1D60">
            <w:pPr>
              <w:pStyle w:val="BodyText2"/>
              <w:rPr>
                <w:rFonts w:asciiTheme="minorHAnsi" w:hAnsiTheme="minorHAnsi"/>
                <w:b/>
              </w:rPr>
            </w:pPr>
            <w:r w:rsidRPr="0093396C">
              <w:rPr>
                <w:rFonts w:asciiTheme="minorHAnsi" w:hAnsiTheme="minorHAnsi"/>
                <w:b/>
              </w:rPr>
              <w:t>UNDP Contribution:</w:t>
            </w:r>
            <w:r w:rsidR="008737F5" w:rsidRPr="0093396C">
              <w:rPr>
                <w:rFonts w:asciiTheme="minorHAnsi" w:hAnsiTheme="minorHAnsi"/>
                <w:b/>
              </w:rPr>
              <w:t xml:space="preserve"> </w:t>
            </w:r>
            <w:r w:rsidR="008737F5" w:rsidRPr="0093396C">
              <w:rPr>
                <w:rFonts w:asciiTheme="minorHAnsi" w:hAnsiTheme="minorHAnsi"/>
                <w:lang w:val="en-GB"/>
              </w:rPr>
              <w:t>the key area of support aimed at making the economy to be more resilient to external shocks and volatility through generation of inclusive employment</w:t>
            </w:r>
            <w:r w:rsidR="008737F5" w:rsidRPr="0093396C">
              <w:rPr>
                <w:rFonts w:asciiTheme="minorHAnsi" w:hAnsiTheme="minorHAnsi"/>
                <w:b/>
                <w:lang w:val="en-GB"/>
              </w:rPr>
              <w:t>.</w:t>
            </w:r>
          </w:p>
          <w:p w14:paraId="2E46C93B" w14:textId="77777777" w:rsidR="00B00E5C" w:rsidRPr="0093396C" w:rsidRDefault="00B00E5C" w:rsidP="00EE1D60">
            <w:pPr>
              <w:pStyle w:val="BodyText2"/>
              <w:rPr>
                <w:rFonts w:asciiTheme="minorHAnsi" w:hAnsiTheme="minorHAnsi"/>
              </w:rPr>
            </w:pPr>
            <w:r w:rsidRPr="0093396C">
              <w:rPr>
                <w:rFonts w:asciiTheme="minorHAnsi" w:hAnsiTheme="minorHAnsi"/>
                <w:u w:val="single"/>
              </w:rPr>
              <w:t>CP Outputs</w:t>
            </w:r>
            <w:r w:rsidR="00845340" w:rsidRPr="0093396C">
              <w:rPr>
                <w:rFonts w:asciiTheme="minorHAnsi" w:hAnsiTheme="minorHAnsi"/>
              </w:rPr>
              <w:t>:</w:t>
            </w:r>
          </w:p>
          <w:p w14:paraId="6CA2AA48" w14:textId="77777777" w:rsidR="004E30F5" w:rsidRPr="0093396C" w:rsidRDefault="004E30F5" w:rsidP="006077E0">
            <w:pPr>
              <w:pStyle w:val="BodyText2"/>
              <w:numPr>
                <w:ilvl w:val="0"/>
                <w:numId w:val="1"/>
              </w:numPr>
              <w:rPr>
                <w:rFonts w:asciiTheme="minorHAnsi" w:hAnsiTheme="minorHAnsi"/>
                <w:bCs/>
                <w:color w:val="000000"/>
              </w:rPr>
            </w:pPr>
            <w:r w:rsidRPr="0093396C">
              <w:rPr>
                <w:rFonts w:asciiTheme="minorHAnsi" w:hAnsiTheme="minorHAnsi"/>
                <w:bCs/>
                <w:color w:val="000000"/>
              </w:rPr>
              <w:t>Enablers’ for private sector development: promote MSME formation and sustainability (taxati</w:t>
            </w:r>
            <w:r w:rsidR="00E47861" w:rsidRPr="0093396C">
              <w:rPr>
                <w:rFonts w:asciiTheme="minorHAnsi" w:hAnsiTheme="minorHAnsi"/>
                <w:bCs/>
                <w:color w:val="000000"/>
              </w:rPr>
              <w:t xml:space="preserve">on, credit, registration, institutional </w:t>
            </w:r>
            <w:r w:rsidRPr="0093396C">
              <w:rPr>
                <w:rFonts w:asciiTheme="minorHAnsi" w:hAnsiTheme="minorHAnsi"/>
                <w:bCs/>
                <w:color w:val="000000"/>
              </w:rPr>
              <w:t>setup);</w:t>
            </w:r>
          </w:p>
          <w:p w14:paraId="376B81CB" w14:textId="77777777" w:rsidR="004E30F5" w:rsidRPr="0093396C" w:rsidRDefault="004E30F5" w:rsidP="006077E0">
            <w:pPr>
              <w:pStyle w:val="BodyText2"/>
              <w:numPr>
                <w:ilvl w:val="0"/>
                <w:numId w:val="1"/>
              </w:numPr>
              <w:rPr>
                <w:rFonts w:asciiTheme="minorHAnsi" w:hAnsiTheme="minorHAnsi"/>
                <w:bCs/>
                <w:color w:val="000000"/>
              </w:rPr>
            </w:pPr>
            <w:r w:rsidRPr="0093396C">
              <w:rPr>
                <w:rFonts w:asciiTheme="minorHAnsi" w:hAnsiTheme="minorHAnsi"/>
                <w:bCs/>
                <w:color w:val="000000"/>
              </w:rPr>
              <w:t xml:space="preserve">Entrepreneurship skills development; access to financing; technical support to OBFC; trade capacity development. </w:t>
            </w:r>
          </w:p>
          <w:p w14:paraId="325F297B" w14:textId="77777777" w:rsidR="004E30F5" w:rsidRPr="0093396C" w:rsidRDefault="004E30F5" w:rsidP="006077E0">
            <w:pPr>
              <w:pStyle w:val="BodyText2"/>
              <w:numPr>
                <w:ilvl w:val="0"/>
                <w:numId w:val="1"/>
              </w:numPr>
              <w:rPr>
                <w:rFonts w:asciiTheme="minorHAnsi" w:hAnsiTheme="minorHAnsi"/>
              </w:rPr>
            </w:pPr>
            <w:r w:rsidRPr="0093396C">
              <w:rPr>
                <w:rFonts w:asciiTheme="minorHAnsi" w:hAnsiTheme="minorHAnsi"/>
                <w:bCs/>
                <w:color w:val="000000"/>
              </w:rPr>
              <w:t>Assessment and development comprehensive social protection options (HIV sensitive).</w:t>
            </w:r>
          </w:p>
          <w:p w14:paraId="07C71A45" w14:textId="77777777" w:rsidR="004E30F5" w:rsidRPr="0093396C" w:rsidRDefault="00B00E5C" w:rsidP="00EE1D60">
            <w:pPr>
              <w:pStyle w:val="BodyText2"/>
              <w:rPr>
                <w:rFonts w:asciiTheme="minorHAnsi" w:hAnsiTheme="minorHAnsi"/>
              </w:rPr>
            </w:pPr>
            <w:r w:rsidRPr="0093396C">
              <w:rPr>
                <w:rFonts w:asciiTheme="minorHAnsi" w:hAnsiTheme="minorHAnsi"/>
                <w:u w:val="single"/>
              </w:rPr>
              <w:t>Progress and Achievements</w:t>
            </w:r>
          </w:p>
          <w:p w14:paraId="4248779C" w14:textId="77777777" w:rsidR="001D26FB" w:rsidRDefault="00756E5D" w:rsidP="008D2120">
            <w:pPr>
              <w:pStyle w:val="BodyText2"/>
              <w:numPr>
                <w:ilvl w:val="0"/>
                <w:numId w:val="20"/>
              </w:numPr>
              <w:jc w:val="both"/>
              <w:rPr>
                <w:rFonts w:asciiTheme="minorHAnsi" w:hAnsiTheme="minorHAnsi"/>
              </w:rPr>
            </w:pPr>
            <w:r w:rsidRPr="00756E5D">
              <w:rPr>
                <w:rFonts w:asciiTheme="minorHAnsi" w:hAnsiTheme="minorHAnsi"/>
              </w:rPr>
              <w:t xml:space="preserve">UNDP supported the Ministry of Youth and Gender to formulate the Gender and Development Policy in 2017. </w:t>
            </w:r>
          </w:p>
          <w:p w14:paraId="1AE5991F" w14:textId="2A0FD72F" w:rsidR="002105CD" w:rsidRPr="00D34F1F" w:rsidRDefault="001D26FB" w:rsidP="00C24CC6">
            <w:pPr>
              <w:pStyle w:val="BodyText2"/>
              <w:numPr>
                <w:ilvl w:val="0"/>
                <w:numId w:val="20"/>
              </w:numPr>
              <w:jc w:val="both"/>
              <w:rPr>
                <w:rFonts w:asciiTheme="minorHAnsi" w:hAnsiTheme="minorHAnsi"/>
              </w:rPr>
            </w:pPr>
            <w:r w:rsidRPr="007656C4">
              <w:rPr>
                <w:rFonts w:asciiTheme="minorHAnsi" w:hAnsiTheme="minorHAnsi"/>
              </w:rPr>
              <w:t xml:space="preserve">A youth </w:t>
            </w:r>
            <w:r w:rsidR="00756E5D" w:rsidRPr="007656C4">
              <w:rPr>
                <w:rFonts w:asciiTheme="minorHAnsi" w:hAnsiTheme="minorHAnsi"/>
              </w:rPr>
              <w:t xml:space="preserve">This has </w:t>
            </w:r>
            <w:r w:rsidR="00756E5D" w:rsidRPr="007656C4">
              <w:rPr>
                <w:rFonts w:asciiTheme="minorHAnsi" w:hAnsiTheme="minorHAnsi"/>
                <w:szCs w:val="22"/>
                <w:lang w:val="en-GB"/>
              </w:rPr>
              <w:t xml:space="preserve">created a greater understanding of the challenges faced by women and youth in empowerment and employment programmes. The </w:t>
            </w:r>
            <w:r w:rsidR="007656C4">
              <w:rPr>
                <w:rFonts w:asciiTheme="minorHAnsi" w:hAnsiTheme="minorHAnsi"/>
                <w:szCs w:val="22"/>
                <w:lang w:val="en-GB"/>
              </w:rPr>
              <w:t>study</w:t>
            </w:r>
            <w:r w:rsidR="00756E5D" w:rsidRPr="007656C4">
              <w:rPr>
                <w:rFonts w:asciiTheme="minorHAnsi" w:hAnsiTheme="minorHAnsi"/>
                <w:szCs w:val="22"/>
                <w:lang w:val="en-GB"/>
              </w:rPr>
              <w:t xml:space="preserve"> has recommended the integration of innovations and support for job creation. </w:t>
            </w:r>
            <w:r w:rsidR="00756E5D" w:rsidRPr="007656C4">
              <w:rPr>
                <w:rFonts w:asciiTheme="minorHAnsi" w:hAnsiTheme="minorHAnsi"/>
                <w:color w:val="000000"/>
                <w:szCs w:val="22"/>
                <w:lang w:val="en-GB"/>
              </w:rPr>
              <w:t xml:space="preserve"> </w:t>
            </w:r>
          </w:p>
          <w:p w14:paraId="3CBEF679" w14:textId="4FCE9CF5" w:rsidR="00D34F1F" w:rsidRPr="007656C4" w:rsidRDefault="00D34F1F" w:rsidP="00C24CC6">
            <w:pPr>
              <w:pStyle w:val="BodyText2"/>
              <w:numPr>
                <w:ilvl w:val="0"/>
                <w:numId w:val="20"/>
              </w:numPr>
              <w:jc w:val="both"/>
              <w:rPr>
                <w:rFonts w:asciiTheme="minorHAnsi" w:hAnsiTheme="minorHAnsi"/>
              </w:rPr>
            </w:pPr>
            <w:r>
              <w:rPr>
                <w:rFonts w:asciiTheme="minorHAnsi" w:hAnsiTheme="minorHAnsi"/>
                <w:color w:val="000000"/>
                <w:szCs w:val="22"/>
                <w:lang w:val="en-GB"/>
              </w:rPr>
              <w:t xml:space="preserve">Joint action plan between the Ministry of Finance, FinMark and private sector </w:t>
            </w:r>
            <w:r w:rsidR="000C2889">
              <w:rPr>
                <w:rFonts w:asciiTheme="minorHAnsi" w:hAnsiTheme="minorHAnsi"/>
                <w:color w:val="000000"/>
                <w:szCs w:val="22"/>
                <w:lang w:val="en-GB"/>
              </w:rPr>
              <w:t xml:space="preserve">for promotion of inclusive business to address challenges of access finance and financial services in Lesotho.   </w:t>
            </w:r>
          </w:p>
          <w:p w14:paraId="7C478096" w14:textId="590B2D07" w:rsidR="004E30F5" w:rsidRPr="0093396C" w:rsidRDefault="004E30F5" w:rsidP="008D2120">
            <w:pPr>
              <w:pStyle w:val="BodyText2"/>
              <w:numPr>
                <w:ilvl w:val="0"/>
                <w:numId w:val="20"/>
              </w:numPr>
              <w:jc w:val="both"/>
              <w:rPr>
                <w:rFonts w:asciiTheme="minorHAnsi" w:hAnsiTheme="minorHAnsi"/>
              </w:rPr>
            </w:pPr>
            <w:r w:rsidRPr="0093396C">
              <w:rPr>
                <w:rFonts w:asciiTheme="minorHAnsi" w:hAnsiTheme="minorHAnsi"/>
              </w:rPr>
              <w:t>The mid-term CPD Outcome Evaluation Report of October, 2016, found UNDP support enabled the</w:t>
            </w:r>
            <w:r w:rsidR="00533764" w:rsidRPr="0093396C">
              <w:rPr>
                <w:rFonts w:asciiTheme="minorHAnsi" w:hAnsiTheme="minorHAnsi"/>
              </w:rPr>
              <w:t xml:space="preserve"> formulation of a</w:t>
            </w:r>
            <w:r w:rsidRPr="0093396C">
              <w:rPr>
                <w:rFonts w:asciiTheme="minorHAnsi" w:hAnsiTheme="minorHAnsi"/>
              </w:rPr>
              <w:t xml:space="preserve"> </w:t>
            </w:r>
            <w:r w:rsidRPr="0093396C">
              <w:rPr>
                <w:rFonts w:asciiTheme="minorHAnsi" w:hAnsiTheme="minorHAnsi"/>
                <w:lang w:val="en-GB"/>
              </w:rPr>
              <w:t>large number of key sectorial policies and strategies to accelerate    private sector development inclusive growth. Key among these are the National Mining Policy</w:t>
            </w:r>
            <w:r w:rsidR="003245AA" w:rsidRPr="0093396C">
              <w:rPr>
                <w:rFonts w:asciiTheme="minorHAnsi" w:hAnsiTheme="minorHAnsi"/>
                <w:lang w:val="en-GB"/>
              </w:rPr>
              <w:t>, National MSME Policy 2015</w:t>
            </w:r>
            <w:r w:rsidRPr="0093396C">
              <w:rPr>
                <w:rFonts w:asciiTheme="minorHAnsi" w:hAnsiTheme="minorHAnsi"/>
                <w:lang w:val="en-GB"/>
              </w:rPr>
              <w:t>, National Youth Policy, National Investment Policy (2016); the Ministry of Trade/</w:t>
            </w:r>
            <w:r w:rsidRPr="0093396C">
              <w:rPr>
                <w:rFonts w:asciiTheme="minorHAnsi" w:hAnsiTheme="minorHAnsi"/>
              </w:rPr>
              <w:t>One-Stop Business Facilitation Centre (OBFC)</w:t>
            </w:r>
            <w:r w:rsidRPr="0093396C">
              <w:rPr>
                <w:rFonts w:asciiTheme="minorHAnsi" w:hAnsiTheme="minorHAnsi"/>
                <w:lang w:val="en-GB"/>
              </w:rPr>
              <w:t xml:space="preserve"> Strategic Plan (2014 – 2019) and </w:t>
            </w:r>
            <w:r w:rsidRPr="0093396C">
              <w:rPr>
                <w:rFonts w:asciiTheme="minorHAnsi" w:hAnsiTheme="minorHAnsi"/>
                <w:lang w:val="en-GB"/>
              </w:rPr>
              <w:lastRenderedPageBreak/>
              <w:t>Communication Strategy</w:t>
            </w:r>
            <w:r w:rsidR="00E47861" w:rsidRPr="0093396C">
              <w:rPr>
                <w:rFonts w:asciiTheme="minorHAnsi" w:hAnsiTheme="minorHAnsi"/>
                <w:lang w:val="en-GB"/>
              </w:rPr>
              <w:t>. These frameworks contributed to Lesotho’s Ease of Doing Business ranking fro</w:t>
            </w:r>
            <w:r w:rsidR="00533764" w:rsidRPr="0093396C">
              <w:rPr>
                <w:rFonts w:asciiTheme="minorHAnsi" w:hAnsiTheme="minorHAnsi"/>
                <w:lang w:val="en-GB"/>
              </w:rPr>
              <w:t>m</w:t>
            </w:r>
            <w:r w:rsidR="00E47861" w:rsidRPr="0093396C">
              <w:rPr>
                <w:rFonts w:asciiTheme="minorHAnsi" w:hAnsiTheme="minorHAnsi"/>
                <w:lang w:val="en-GB"/>
              </w:rPr>
              <w:t xml:space="preserve"> </w:t>
            </w:r>
            <w:r w:rsidR="0037461B" w:rsidRPr="0093396C">
              <w:rPr>
                <w:rFonts w:asciiTheme="minorHAnsi" w:hAnsiTheme="minorHAnsi"/>
                <w:lang w:val="en-GB"/>
              </w:rPr>
              <w:t>153 in 2012 to 1</w:t>
            </w:r>
            <w:r w:rsidR="00E94826">
              <w:rPr>
                <w:rFonts w:asciiTheme="minorHAnsi" w:hAnsiTheme="minorHAnsi"/>
                <w:lang w:val="en-GB"/>
              </w:rPr>
              <w:t>04</w:t>
            </w:r>
            <w:r w:rsidR="0037461B" w:rsidRPr="0093396C">
              <w:rPr>
                <w:rFonts w:asciiTheme="minorHAnsi" w:hAnsiTheme="minorHAnsi"/>
                <w:lang w:val="en-GB"/>
              </w:rPr>
              <w:t xml:space="preserve"> in 201</w:t>
            </w:r>
            <w:r w:rsidR="009730D4">
              <w:rPr>
                <w:rFonts w:asciiTheme="minorHAnsi" w:hAnsiTheme="minorHAnsi"/>
                <w:lang w:val="en-GB"/>
              </w:rPr>
              <w:t>8</w:t>
            </w:r>
            <w:r w:rsidR="0037461B" w:rsidRPr="0093396C">
              <w:rPr>
                <w:rFonts w:asciiTheme="minorHAnsi" w:hAnsiTheme="minorHAnsi"/>
                <w:lang w:val="en-GB"/>
              </w:rPr>
              <w:t xml:space="preserve"> </w:t>
            </w:r>
            <w:r w:rsidR="00E47861" w:rsidRPr="0093396C">
              <w:rPr>
                <w:rFonts w:asciiTheme="minorHAnsi" w:hAnsiTheme="minorHAnsi"/>
                <w:lang w:val="en-GB"/>
              </w:rPr>
              <w:t>and</w:t>
            </w:r>
            <w:r w:rsidR="0037461B" w:rsidRPr="0093396C">
              <w:rPr>
                <w:rFonts w:asciiTheme="minorHAnsi" w:hAnsiTheme="minorHAnsi"/>
                <w:lang w:val="en-GB"/>
              </w:rPr>
              <w:t xml:space="preserve"> a reduction in the </w:t>
            </w:r>
            <w:r w:rsidR="00E47861" w:rsidRPr="0093396C">
              <w:rPr>
                <w:rFonts w:asciiTheme="minorHAnsi" w:hAnsiTheme="minorHAnsi"/>
                <w:lang w:val="en-GB"/>
              </w:rPr>
              <w:t xml:space="preserve">number of days for </w:t>
            </w:r>
            <w:r w:rsidR="000279FC">
              <w:rPr>
                <w:rFonts w:asciiTheme="minorHAnsi" w:hAnsiTheme="minorHAnsi"/>
                <w:lang w:val="en-GB"/>
              </w:rPr>
              <w:t xml:space="preserve">business registration from 40 </w:t>
            </w:r>
            <w:r w:rsidR="00E47861" w:rsidRPr="0093396C">
              <w:rPr>
                <w:rFonts w:asciiTheme="minorHAnsi" w:hAnsiTheme="minorHAnsi"/>
                <w:lang w:val="en-GB"/>
              </w:rPr>
              <w:t xml:space="preserve">days to </w:t>
            </w:r>
            <w:r w:rsidR="003245AA" w:rsidRPr="0093396C">
              <w:rPr>
                <w:rFonts w:asciiTheme="minorHAnsi" w:hAnsiTheme="minorHAnsi"/>
                <w:lang w:val="en-GB"/>
              </w:rPr>
              <w:t>3 days</w:t>
            </w:r>
            <w:r w:rsidR="0037461B" w:rsidRPr="0093396C">
              <w:rPr>
                <w:rFonts w:asciiTheme="minorHAnsi" w:hAnsiTheme="minorHAnsi"/>
                <w:lang w:val="en-GB"/>
              </w:rPr>
              <w:t>.</w:t>
            </w:r>
          </w:p>
          <w:p w14:paraId="5E1CEB2F" w14:textId="220AA155" w:rsidR="0037461B" w:rsidRPr="0093396C" w:rsidRDefault="003245AA" w:rsidP="008D2120">
            <w:pPr>
              <w:pStyle w:val="ListParagraph"/>
              <w:numPr>
                <w:ilvl w:val="0"/>
                <w:numId w:val="20"/>
              </w:numPr>
              <w:jc w:val="both"/>
              <w:rPr>
                <w:rFonts w:asciiTheme="minorHAnsi" w:hAnsiTheme="minorHAnsi"/>
                <w:sz w:val="20"/>
                <w:lang w:val="en-GB"/>
              </w:rPr>
            </w:pPr>
            <w:r w:rsidRPr="0093396C">
              <w:rPr>
                <w:rFonts w:asciiTheme="minorHAnsi" w:hAnsiTheme="minorHAnsi"/>
                <w:sz w:val="20"/>
                <w:lang w:val="en-GB"/>
              </w:rPr>
              <w:t xml:space="preserve">Support to annual MDG reporting enabled Lesotho to track and report on its implementation of the MDGs and highlight gaps and lagging areas for policy action. </w:t>
            </w:r>
            <w:r w:rsidR="0037461B" w:rsidRPr="0093396C">
              <w:rPr>
                <w:rFonts w:asciiTheme="minorHAnsi" w:hAnsiTheme="minorHAnsi"/>
                <w:sz w:val="20"/>
                <w:lang w:val="en-GB"/>
              </w:rPr>
              <w:t xml:space="preserve"> UN supported the formulation of the post-2015 agenda, feeding into the SDGs.  </w:t>
            </w:r>
            <w:r w:rsidR="005557E5" w:rsidRPr="0093396C">
              <w:rPr>
                <w:rFonts w:asciiTheme="minorHAnsi" w:hAnsiTheme="minorHAnsi"/>
                <w:sz w:val="20"/>
                <w:lang w:val="en-GB"/>
              </w:rPr>
              <w:t>T</w:t>
            </w:r>
            <w:r w:rsidR="0037461B" w:rsidRPr="0093396C">
              <w:rPr>
                <w:rFonts w:asciiTheme="minorHAnsi" w:hAnsiTheme="minorHAnsi"/>
                <w:sz w:val="20"/>
                <w:lang w:val="en-GB"/>
              </w:rPr>
              <w:t xml:space="preserve">he final MDGs evaluation, ensuring that the process was inclusive of all key stakeholders, from government, decentralised local government authorities, civil society organisations, community based organisations (CBOs), private sector and others, and that this would enable more inclusive growth. </w:t>
            </w:r>
          </w:p>
          <w:p w14:paraId="16774B1C" w14:textId="1282FBE4" w:rsidR="00643570" w:rsidRDefault="0037461B" w:rsidP="008D2120">
            <w:pPr>
              <w:pStyle w:val="BodyText2"/>
              <w:numPr>
                <w:ilvl w:val="0"/>
                <w:numId w:val="20"/>
              </w:numPr>
              <w:jc w:val="both"/>
              <w:rPr>
                <w:rFonts w:asciiTheme="minorHAnsi" w:hAnsiTheme="minorHAnsi"/>
              </w:rPr>
            </w:pPr>
            <w:r w:rsidRPr="0093396C">
              <w:rPr>
                <w:rFonts w:asciiTheme="minorHAnsi" w:hAnsiTheme="minorHAnsi"/>
              </w:rPr>
              <w:t>UNDP supported the</w:t>
            </w:r>
            <w:r w:rsidRPr="0093396C">
              <w:rPr>
                <w:rFonts w:asciiTheme="minorHAnsi" w:hAnsiTheme="minorHAnsi"/>
                <w:color w:val="000000"/>
              </w:rPr>
              <w:t xml:space="preserve"> </w:t>
            </w:r>
            <w:r w:rsidRPr="0093396C">
              <w:rPr>
                <w:rFonts w:asciiTheme="minorHAnsi" w:hAnsiTheme="minorHAnsi"/>
              </w:rPr>
              <w:t>Lesotho Youth Empowerment Survey Report which was published in 2014.  The report has been used as a baseline to build up support in specific youth issues by government and other development partners.</w:t>
            </w:r>
          </w:p>
          <w:p w14:paraId="79892D43" w14:textId="3A9DCF7E" w:rsidR="00EB6FC9" w:rsidRPr="0093396C" w:rsidRDefault="00BE0ED1" w:rsidP="008D2120">
            <w:pPr>
              <w:pStyle w:val="BodyText2"/>
              <w:numPr>
                <w:ilvl w:val="0"/>
                <w:numId w:val="20"/>
              </w:numPr>
              <w:jc w:val="both"/>
              <w:rPr>
                <w:rFonts w:asciiTheme="minorHAnsi" w:hAnsiTheme="minorHAnsi"/>
              </w:rPr>
            </w:pPr>
            <w:r w:rsidRPr="0093396C">
              <w:rPr>
                <w:rFonts w:asciiTheme="minorHAnsi" w:hAnsiTheme="minorHAnsi"/>
              </w:rPr>
              <w:t>UNDP</w:t>
            </w:r>
            <w:r w:rsidR="00643570" w:rsidRPr="0093396C">
              <w:rPr>
                <w:rFonts w:asciiTheme="minorHAnsi" w:hAnsiTheme="minorHAnsi"/>
              </w:rPr>
              <w:t xml:space="preserve"> </w:t>
            </w:r>
            <w:r w:rsidRPr="0093396C">
              <w:rPr>
                <w:rFonts w:asciiTheme="minorHAnsi" w:hAnsiTheme="minorHAnsi"/>
              </w:rPr>
              <w:t>su</w:t>
            </w:r>
            <w:r w:rsidR="00643570" w:rsidRPr="0093396C">
              <w:rPr>
                <w:rFonts w:asciiTheme="minorHAnsi" w:hAnsiTheme="minorHAnsi"/>
              </w:rPr>
              <w:t xml:space="preserve">pported microfinance initiative </w:t>
            </w:r>
            <w:r w:rsidRPr="0093396C">
              <w:rPr>
                <w:rFonts w:asciiTheme="minorHAnsi" w:hAnsiTheme="minorHAnsi"/>
              </w:rPr>
              <w:t>issued 2513 microloans (92% women and 8% men) for the establishment and expansion of women-owned micro enterprise. T</w:t>
            </w:r>
            <w:r w:rsidR="001024D4" w:rsidRPr="0093396C">
              <w:rPr>
                <w:rFonts w:asciiTheme="minorHAnsi" w:hAnsiTheme="minorHAnsi"/>
              </w:rPr>
              <w:t xml:space="preserve">he </w:t>
            </w:r>
            <w:r w:rsidR="00FE512B" w:rsidRPr="0093396C">
              <w:rPr>
                <w:rFonts w:asciiTheme="minorHAnsi" w:hAnsiTheme="minorHAnsi"/>
              </w:rPr>
              <w:t>Support to</w:t>
            </w:r>
            <w:r w:rsidR="00CA4A50" w:rsidRPr="0093396C">
              <w:rPr>
                <w:rFonts w:asciiTheme="minorHAnsi" w:hAnsiTheme="minorHAnsi"/>
              </w:rPr>
              <w:t xml:space="preserve"> Financial Inclusion in Lesotho</w:t>
            </w:r>
            <w:r w:rsidR="001024D4" w:rsidRPr="0093396C">
              <w:rPr>
                <w:rFonts w:asciiTheme="minorHAnsi" w:hAnsiTheme="minorHAnsi"/>
              </w:rPr>
              <w:t xml:space="preserve"> </w:t>
            </w:r>
            <w:r w:rsidR="00643570" w:rsidRPr="0093396C">
              <w:rPr>
                <w:rFonts w:asciiTheme="minorHAnsi" w:hAnsiTheme="minorHAnsi"/>
              </w:rPr>
              <w:t>(SUFIL)</w:t>
            </w:r>
            <w:r w:rsidR="00CA4A50" w:rsidRPr="0093396C">
              <w:rPr>
                <w:rFonts w:asciiTheme="minorHAnsi" w:hAnsiTheme="minorHAnsi"/>
              </w:rPr>
              <w:t xml:space="preserve"> </w:t>
            </w:r>
            <w:r w:rsidR="001024D4" w:rsidRPr="0093396C">
              <w:rPr>
                <w:rFonts w:asciiTheme="minorHAnsi" w:hAnsiTheme="minorHAnsi"/>
              </w:rPr>
              <w:t>Project,</w:t>
            </w:r>
            <w:r w:rsidR="00F97C9B" w:rsidRPr="0093396C">
              <w:rPr>
                <w:rFonts w:asciiTheme="minorHAnsi" w:hAnsiTheme="minorHAnsi"/>
              </w:rPr>
              <w:t xml:space="preserve"> as instrumental in bringing about the policy and regulatory reforms necessary for financial inclusion for Lesotho. SUFIL </w:t>
            </w:r>
            <w:r w:rsidR="00FE512B" w:rsidRPr="0093396C">
              <w:rPr>
                <w:rFonts w:asciiTheme="minorHAnsi" w:hAnsiTheme="minorHAnsi"/>
              </w:rPr>
              <w:t>hel</w:t>
            </w:r>
            <w:r w:rsidR="00CA4A50" w:rsidRPr="0093396C">
              <w:rPr>
                <w:rFonts w:asciiTheme="minorHAnsi" w:hAnsiTheme="minorHAnsi"/>
              </w:rPr>
              <w:t xml:space="preserve">ped </w:t>
            </w:r>
            <w:r w:rsidR="00FE512B" w:rsidRPr="0093396C">
              <w:rPr>
                <w:rFonts w:asciiTheme="minorHAnsi" w:hAnsiTheme="minorHAnsi"/>
              </w:rPr>
              <w:t xml:space="preserve">Government to develop </w:t>
            </w:r>
            <w:r w:rsidR="00643570" w:rsidRPr="0093396C">
              <w:rPr>
                <w:rFonts w:asciiTheme="minorHAnsi" w:hAnsiTheme="minorHAnsi"/>
              </w:rPr>
              <w:t>a</w:t>
            </w:r>
            <w:r w:rsidR="00CA4A50" w:rsidRPr="0093396C">
              <w:rPr>
                <w:rFonts w:asciiTheme="minorHAnsi" w:hAnsiTheme="minorHAnsi"/>
              </w:rPr>
              <w:t xml:space="preserve"> </w:t>
            </w:r>
            <w:r w:rsidR="001024D4" w:rsidRPr="0093396C">
              <w:rPr>
                <w:rFonts w:asciiTheme="minorHAnsi" w:hAnsiTheme="minorHAnsi"/>
              </w:rPr>
              <w:t>National Inclusive Finance Strategy (NIFS</w:t>
            </w:r>
            <w:r w:rsidR="00643570" w:rsidRPr="0093396C">
              <w:rPr>
                <w:rFonts w:asciiTheme="minorHAnsi" w:hAnsiTheme="minorHAnsi"/>
              </w:rPr>
              <w:t>)</w:t>
            </w:r>
            <w:r w:rsidR="005557E5" w:rsidRPr="0093396C">
              <w:rPr>
                <w:rFonts w:asciiTheme="minorHAnsi" w:hAnsiTheme="minorHAnsi"/>
              </w:rPr>
              <w:t xml:space="preserve"> </w:t>
            </w:r>
            <w:r w:rsidR="00643570" w:rsidRPr="0093396C">
              <w:rPr>
                <w:rFonts w:asciiTheme="minorHAnsi" w:hAnsiTheme="minorHAnsi"/>
              </w:rPr>
              <w:t>and c</w:t>
            </w:r>
            <w:r w:rsidR="001024D4" w:rsidRPr="0093396C">
              <w:rPr>
                <w:rFonts w:asciiTheme="minorHAnsi" w:hAnsiTheme="minorHAnsi"/>
              </w:rPr>
              <w:t>ontributed to the development of the regulatory framework for micro</w:t>
            </w:r>
            <w:r w:rsidR="00A35492" w:rsidRPr="0093396C">
              <w:rPr>
                <w:rFonts w:asciiTheme="minorHAnsi" w:hAnsiTheme="minorHAnsi"/>
              </w:rPr>
              <w:t xml:space="preserve"> finance </w:t>
            </w:r>
            <w:r w:rsidR="00643570" w:rsidRPr="0093396C">
              <w:rPr>
                <w:rFonts w:asciiTheme="minorHAnsi" w:hAnsiTheme="minorHAnsi"/>
              </w:rPr>
              <w:t xml:space="preserve">sector as well as create the National Microfinance platform to facilitate dialogue </w:t>
            </w:r>
            <w:r w:rsidR="00F97C9B" w:rsidRPr="0093396C">
              <w:rPr>
                <w:rFonts w:asciiTheme="minorHAnsi" w:hAnsiTheme="minorHAnsi"/>
              </w:rPr>
              <w:t>and co-ordination</w:t>
            </w:r>
            <w:r w:rsidR="00643570" w:rsidRPr="0093396C">
              <w:rPr>
                <w:rFonts w:asciiTheme="minorHAnsi" w:hAnsiTheme="minorHAnsi"/>
              </w:rPr>
              <w:t xml:space="preserve"> among key stakeholders in the sector. The </w:t>
            </w:r>
            <w:r w:rsidR="00FE512B" w:rsidRPr="0093396C">
              <w:rPr>
                <w:rFonts w:asciiTheme="minorHAnsi" w:hAnsiTheme="minorHAnsi"/>
              </w:rPr>
              <w:t xml:space="preserve">financial literacy initiative </w:t>
            </w:r>
            <w:r w:rsidR="00643570" w:rsidRPr="0093396C">
              <w:rPr>
                <w:rFonts w:asciiTheme="minorHAnsi" w:hAnsiTheme="minorHAnsi"/>
              </w:rPr>
              <w:t xml:space="preserve">introduced </w:t>
            </w:r>
            <w:r w:rsidR="00FE512B" w:rsidRPr="0093396C">
              <w:rPr>
                <w:rFonts w:asciiTheme="minorHAnsi" w:hAnsiTheme="minorHAnsi"/>
              </w:rPr>
              <w:t>to pro</w:t>
            </w:r>
            <w:r w:rsidR="00CA4A50" w:rsidRPr="0093396C">
              <w:rPr>
                <w:rFonts w:asciiTheme="minorHAnsi" w:hAnsiTheme="minorHAnsi"/>
              </w:rPr>
              <w:t xml:space="preserve">mote </w:t>
            </w:r>
            <w:r w:rsidR="005557E5" w:rsidRPr="0093396C">
              <w:rPr>
                <w:rFonts w:asciiTheme="minorHAnsi" w:hAnsiTheme="minorHAnsi"/>
              </w:rPr>
              <w:t>mobile money</w:t>
            </w:r>
            <w:r w:rsidR="00FE512B" w:rsidRPr="0093396C">
              <w:rPr>
                <w:rFonts w:asciiTheme="minorHAnsi" w:hAnsiTheme="minorHAnsi"/>
              </w:rPr>
              <w:t xml:space="preserve"> banking as a means to promoting equitable and sustainable access to finance at micro, meso and macro levels of the financial sector</w:t>
            </w:r>
            <w:r w:rsidRPr="0093396C">
              <w:rPr>
                <w:rFonts w:asciiTheme="minorHAnsi" w:hAnsiTheme="minorHAnsi"/>
              </w:rPr>
              <w:t xml:space="preserve"> has now been taken over by the Government and serve as the basis for the National Financial Literacy Programme.</w:t>
            </w:r>
            <w:r w:rsidR="00EB6FC9" w:rsidRPr="0093396C">
              <w:rPr>
                <w:rFonts w:asciiTheme="minorHAnsi" w:hAnsiTheme="minorHAnsi"/>
              </w:rPr>
              <w:t xml:space="preserve">  </w:t>
            </w:r>
            <w:r w:rsidR="00F97C9B" w:rsidRPr="0093396C">
              <w:rPr>
                <w:rFonts w:asciiTheme="minorHAnsi" w:hAnsiTheme="minorHAnsi"/>
              </w:rPr>
              <w:t>600 of the targeted 1000 members of V</w:t>
            </w:r>
            <w:r w:rsidR="00EB6FC9" w:rsidRPr="0093396C">
              <w:rPr>
                <w:rFonts w:asciiTheme="minorHAnsi" w:hAnsiTheme="minorHAnsi"/>
              </w:rPr>
              <w:t>illage Loans and Savings Associations (VSLA)</w:t>
            </w:r>
            <w:r w:rsidR="00CA4A50" w:rsidRPr="0093396C">
              <w:rPr>
                <w:rFonts w:asciiTheme="minorHAnsi" w:hAnsiTheme="minorHAnsi"/>
              </w:rPr>
              <w:t xml:space="preserve"> were trained to support </w:t>
            </w:r>
            <w:r w:rsidR="00F97C9B" w:rsidRPr="0093396C">
              <w:rPr>
                <w:rFonts w:asciiTheme="minorHAnsi" w:hAnsiTheme="minorHAnsi"/>
              </w:rPr>
              <w:t xml:space="preserve">the delivery of microfinance to a target of </w:t>
            </w:r>
            <w:r w:rsidR="00EB6FC9" w:rsidRPr="0093396C">
              <w:rPr>
                <w:rFonts w:asciiTheme="minorHAnsi" w:hAnsiTheme="minorHAnsi"/>
              </w:rPr>
              <w:t>10,000 clients. While only 25% of the target was reached, the</w:t>
            </w:r>
            <w:r w:rsidR="00A35492" w:rsidRPr="0093396C">
              <w:rPr>
                <w:rFonts w:asciiTheme="minorHAnsi" w:hAnsiTheme="minorHAnsi"/>
              </w:rPr>
              <w:t xml:space="preserve"> enhanced capacity of the VSLAs</w:t>
            </w:r>
            <w:r w:rsidR="00EB6FC9" w:rsidRPr="0093396C">
              <w:rPr>
                <w:rFonts w:asciiTheme="minorHAnsi" w:hAnsiTheme="minorHAnsi"/>
              </w:rPr>
              <w:t xml:space="preserve"> create an opportunity to deepen their outreach beyond the project phase.</w:t>
            </w:r>
          </w:p>
          <w:p w14:paraId="479D2604" w14:textId="77777777" w:rsidR="003F57BE" w:rsidRDefault="003F57BE" w:rsidP="003F57BE">
            <w:pPr>
              <w:pStyle w:val="BodyText2"/>
              <w:ind w:left="360"/>
              <w:jc w:val="both"/>
              <w:rPr>
                <w:rFonts w:asciiTheme="minorHAnsi" w:hAnsiTheme="minorHAnsi"/>
              </w:rPr>
            </w:pPr>
            <w:r>
              <w:rPr>
                <w:rFonts w:asciiTheme="minorHAnsi" w:hAnsiTheme="minorHAnsi"/>
              </w:rPr>
              <w:t xml:space="preserve">(v)           </w:t>
            </w:r>
            <w:r w:rsidR="00BE0ED1" w:rsidRPr="0093396C">
              <w:rPr>
                <w:rFonts w:asciiTheme="minorHAnsi" w:hAnsiTheme="minorHAnsi"/>
              </w:rPr>
              <w:t>A</w:t>
            </w:r>
            <w:r w:rsidR="00E47861" w:rsidRPr="0093396C">
              <w:rPr>
                <w:rFonts w:asciiTheme="minorHAnsi" w:hAnsiTheme="minorHAnsi"/>
              </w:rPr>
              <w:t>s of 201</w:t>
            </w:r>
            <w:r w:rsidR="00824D85">
              <w:rPr>
                <w:rFonts w:asciiTheme="minorHAnsi" w:hAnsiTheme="minorHAnsi"/>
              </w:rPr>
              <w:t>7</w:t>
            </w:r>
            <w:r w:rsidR="00E47861" w:rsidRPr="0093396C">
              <w:rPr>
                <w:rFonts w:asciiTheme="minorHAnsi" w:hAnsiTheme="minorHAnsi"/>
              </w:rPr>
              <w:t xml:space="preserve">, UNDP support led to an overall creation of </w:t>
            </w:r>
            <w:r w:rsidR="00824D85">
              <w:rPr>
                <w:rFonts w:asciiTheme="minorHAnsi" w:hAnsiTheme="minorHAnsi"/>
              </w:rPr>
              <w:t>1</w:t>
            </w:r>
            <w:r w:rsidR="00E47861" w:rsidRPr="0093396C">
              <w:rPr>
                <w:rFonts w:asciiTheme="minorHAnsi" w:hAnsiTheme="minorHAnsi"/>
              </w:rPr>
              <w:t xml:space="preserve">, </w:t>
            </w:r>
            <w:r w:rsidR="00824D85">
              <w:rPr>
                <w:rFonts w:asciiTheme="minorHAnsi" w:hAnsiTheme="minorHAnsi"/>
              </w:rPr>
              <w:t>218</w:t>
            </w:r>
            <w:r w:rsidR="00E47861" w:rsidRPr="0093396C">
              <w:rPr>
                <w:rFonts w:asciiTheme="minorHAnsi" w:hAnsiTheme="minorHAnsi"/>
              </w:rPr>
              <w:t xml:space="preserve"> jobs,</w:t>
            </w:r>
            <w:r w:rsidR="00533764" w:rsidRPr="0093396C">
              <w:rPr>
                <w:rFonts w:asciiTheme="minorHAnsi" w:hAnsiTheme="minorHAnsi"/>
              </w:rPr>
              <w:t xml:space="preserve"> </w:t>
            </w:r>
            <w:r w:rsidR="00E47861" w:rsidRPr="0093396C">
              <w:rPr>
                <w:rFonts w:asciiTheme="minorHAnsi" w:hAnsiTheme="minorHAnsi"/>
              </w:rPr>
              <w:t xml:space="preserve">relative to the planned </w:t>
            </w:r>
            <w:r w:rsidR="00824D85">
              <w:rPr>
                <w:rFonts w:asciiTheme="minorHAnsi" w:hAnsiTheme="minorHAnsi"/>
              </w:rPr>
              <w:t>2</w:t>
            </w:r>
            <w:r w:rsidR="00E47861" w:rsidRPr="0093396C">
              <w:rPr>
                <w:rFonts w:asciiTheme="minorHAnsi" w:hAnsiTheme="minorHAnsi"/>
              </w:rPr>
              <w:t>, 000 by end of 2017.</w:t>
            </w:r>
            <w:r w:rsidR="00FE70D0" w:rsidRPr="0093396C">
              <w:rPr>
                <w:rFonts w:asciiTheme="minorHAnsi" w:hAnsiTheme="minorHAnsi"/>
              </w:rPr>
              <w:t xml:space="preserve"> Through the UNDP support, the country has </w:t>
            </w:r>
            <w:r>
              <w:rPr>
                <w:rFonts w:asciiTheme="minorHAnsi" w:hAnsiTheme="minorHAnsi"/>
              </w:rPr>
              <w:t xml:space="preserve">   </w:t>
            </w:r>
          </w:p>
          <w:p w14:paraId="1E9A571B" w14:textId="7EF1F891" w:rsidR="00FE70D0" w:rsidRPr="0093396C" w:rsidRDefault="003F57BE" w:rsidP="003F57BE">
            <w:pPr>
              <w:pStyle w:val="BodyText2"/>
              <w:ind w:left="360"/>
              <w:jc w:val="both"/>
              <w:rPr>
                <w:rFonts w:asciiTheme="minorHAnsi" w:hAnsiTheme="minorHAnsi"/>
              </w:rPr>
            </w:pPr>
            <w:r>
              <w:rPr>
                <w:rFonts w:asciiTheme="minorHAnsi" w:hAnsiTheme="minorHAnsi"/>
              </w:rPr>
              <w:t xml:space="preserve">                </w:t>
            </w:r>
            <w:r w:rsidR="00FE70D0" w:rsidRPr="0093396C">
              <w:rPr>
                <w:rFonts w:asciiTheme="minorHAnsi" w:hAnsiTheme="minorHAnsi"/>
              </w:rPr>
              <w:t>also developed policy and regulatory frameworks to unlock national capacities to create employment and job opportunities.</w:t>
            </w:r>
          </w:p>
          <w:p w14:paraId="220C72B7" w14:textId="11D5CBF3" w:rsidR="00700521" w:rsidRPr="0093396C" w:rsidRDefault="00E47861" w:rsidP="008D2120">
            <w:pPr>
              <w:pStyle w:val="BodyText2"/>
              <w:numPr>
                <w:ilvl w:val="0"/>
                <w:numId w:val="20"/>
              </w:numPr>
              <w:jc w:val="both"/>
              <w:rPr>
                <w:rFonts w:asciiTheme="minorHAnsi" w:hAnsiTheme="minorHAnsi"/>
                <w:i/>
              </w:rPr>
            </w:pPr>
            <w:r w:rsidRPr="0093396C">
              <w:rPr>
                <w:rFonts w:asciiTheme="minorHAnsi" w:hAnsiTheme="minorHAnsi"/>
              </w:rPr>
              <w:t>Through UNDP support</w:t>
            </w:r>
            <w:r w:rsidR="00CA4A50" w:rsidRPr="0093396C">
              <w:rPr>
                <w:rFonts w:asciiTheme="minorHAnsi" w:hAnsiTheme="minorHAnsi"/>
              </w:rPr>
              <w:t>,</w:t>
            </w:r>
            <w:r w:rsidRPr="0093396C">
              <w:rPr>
                <w:rFonts w:asciiTheme="minorHAnsi" w:hAnsiTheme="minorHAnsi"/>
              </w:rPr>
              <w:t xml:space="preserve"> the Legal and Environment</w:t>
            </w:r>
            <w:r w:rsidR="00EB6FC9" w:rsidRPr="0093396C">
              <w:rPr>
                <w:rFonts w:asciiTheme="minorHAnsi" w:hAnsiTheme="minorHAnsi"/>
              </w:rPr>
              <w:t>al Assessment</w:t>
            </w:r>
            <w:r w:rsidRPr="0093396C">
              <w:rPr>
                <w:rFonts w:asciiTheme="minorHAnsi" w:hAnsiTheme="minorHAnsi"/>
              </w:rPr>
              <w:t xml:space="preserve"> for HIV/AIDS in Lesotho was formulated and launched</w:t>
            </w:r>
            <w:r w:rsidR="003245AA" w:rsidRPr="0093396C">
              <w:rPr>
                <w:rFonts w:asciiTheme="minorHAnsi" w:hAnsiTheme="minorHAnsi"/>
              </w:rPr>
              <w:t xml:space="preserve"> in October 2016 </w:t>
            </w:r>
            <w:r w:rsidRPr="0093396C">
              <w:rPr>
                <w:rFonts w:asciiTheme="minorHAnsi" w:hAnsiTheme="minorHAnsi"/>
              </w:rPr>
              <w:t>t</w:t>
            </w:r>
            <w:r w:rsidR="003245AA" w:rsidRPr="0093396C">
              <w:rPr>
                <w:rFonts w:asciiTheme="minorHAnsi" w:hAnsiTheme="minorHAnsi"/>
                <w:lang w:val="en-GB"/>
              </w:rPr>
              <w:t>o improve the availability of information and evidence of the policy, legal and regulatory aspects governing HIV-related issues in Lesotho and to ensure that the government takes greater action and enhances a supportive and protective environment for people living with HIV and other populations who are vulnerable to, and at higher risk of, HI</w:t>
            </w:r>
            <w:r w:rsidR="00A35492" w:rsidRPr="0093396C">
              <w:rPr>
                <w:rFonts w:asciiTheme="minorHAnsi" w:hAnsiTheme="minorHAnsi"/>
                <w:lang w:val="en-GB"/>
              </w:rPr>
              <w:t>V exposure. Moreover, the study</w:t>
            </w:r>
            <w:r w:rsidR="00140F8A">
              <w:rPr>
                <w:rFonts w:asciiTheme="minorHAnsi" w:hAnsiTheme="minorHAnsi"/>
                <w:lang w:val="en-GB"/>
              </w:rPr>
              <w:t xml:space="preserve"> made</w:t>
            </w:r>
            <w:r w:rsidR="003245AA" w:rsidRPr="0093396C">
              <w:rPr>
                <w:rFonts w:asciiTheme="minorHAnsi" w:hAnsiTheme="minorHAnsi"/>
                <w:lang w:val="en-GB"/>
              </w:rPr>
              <w:t xml:space="preserve"> recommendations for creating and strengthening an enabling environment that promotes an effective national HIV response in accordan</w:t>
            </w:r>
            <w:r w:rsidR="00A35492" w:rsidRPr="0093396C">
              <w:rPr>
                <w:rFonts w:asciiTheme="minorHAnsi" w:hAnsiTheme="minorHAnsi"/>
                <w:lang w:val="en-GB"/>
              </w:rPr>
              <w:t>ce with</w:t>
            </w:r>
            <w:r w:rsidR="00C14653" w:rsidRPr="0093396C">
              <w:rPr>
                <w:rFonts w:asciiTheme="minorHAnsi" w:hAnsiTheme="minorHAnsi"/>
                <w:lang w:val="en-GB"/>
              </w:rPr>
              <w:t xml:space="preserve"> </w:t>
            </w:r>
            <w:r w:rsidR="003245AA" w:rsidRPr="0093396C">
              <w:rPr>
                <w:rFonts w:asciiTheme="minorHAnsi" w:hAnsiTheme="minorHAnsi"/>
                <w:lang w:val="en-GB"/>
              </w:rPr>
              <w:t>the</w:t>
            </w:r>
            <w:r w:rsidR="004D7580" w:rsidRPr="0093396C">
              <w:rPr>
                <w:rFonts w:asciiTheme="minorHAnsi" w:hAnsiTheme="minorHAnsi"/>
                <w:lang w:val="en-GB"/>
              </w:rPr>
              <w:t xml:space="preserve"> Lesotho </w:t>
            </w:r>
            <w:r w:rsidR="003245AA" w:rsidRPr="0093396C">
              <w:rPr>
                <w:rFonts w:asciiTheme="minorHAnsi" w:hAnsiTheme="minorHAnsi"/>
                <w:lang w:val="en-GB"/>
              </w:rPr>
              <w:t>National Strategic Framework for HIV and AIDS and sexua</w:t>
            </w:r>
            <w:r w:rsidR="004D7580" w:rsidRPr="0093396C">
              <w:rPr>
                <w:rFonts w:asciiTheme="minorHAnsi" w:hAnsiTheme="minorHAnsi"/>
                <w:lang w:val="en-GB"/>
              </w:rPr>
              <w:t>lly transmitted infections (</w:t>
            </w:r>
            <w:r w:rsidR="003245AA" w:rsidRPr="0093396C">
              <w:rPr>
                <w:rFonts w:asciiTheme="minorHAnsi" w:hAnsiTheme="minorHAnsi"/>
                <w:lang w:val="en-GB"/>
              </w:rPr>
              <w:t>2012/13-2015/16</w:t>
            </w:r>
            <w:r w:rsidR="00C14653" w:rsidRPr="0093396C">
              <w:rPr>
                <w:rFonts w:asciiTheme="minorHAnsi" w:hAnsiTheme="minorHAnsi"/>
                <w:lang w:val="en-GB"/>
              </w:rPr>
              <w:t>)</w:t>
            </w:r>
            <w:r w:rsidR="003245AA" w:rsidRPr="0093396C">
              <w:rPr>
                <w:rFonts w:asciiTheme="minorHAnsi" w:hAnsiTheme="minorHAnsi"/>
                <w:lang w:val="en-GB"/>
              </w:rPr>
              <w:t xml:space="preserve"> </w:t>
            </w:r>
          </w:p>
        </w:tc>
      </w:tr>
      <w:tr w:rsidR="00533764" w:rsidRPr="0093396C" w14:paraId="58BCDBBA" w14:textId="77777777" w:rsidTr="008D739D">
        <w:tc>
          <w:tcPr>
            <w:tcW w:w="3060" w:type="dxa"/>
            <w:gridSpan w:val="2"/>
          </w:tcPr>
          <w:p w14:paraId="67512D8B" w14:textId="77777777" w:rsidR="00533764" w:rsidRPr="0093396C" w:rsidRDefault="00533764" w:rsidP="00533764">
            <w:pPr>
              <w:pStyle w:val="BodyText2"/>
              <w:rPr>
                <w:rFonts w:asciiTheme="minorHAnsi" w:hAnsiTheme="minorHAnsi"/>
                <w:b/>
              </w:rPr>
            </w:pPr>
            <w:r w:rsidRPr="0093396C">
              <w:rPr>
                <w:rFonts w:asciiTheme="minorHAnsi" w:hAnsiTheme="minorHAnsi"/>
                <w:b/>
              </w:rPr>
              <w:lastRenderedPageBreak/>
              <w:t>Outcomes</w:t>
            </w:r>
          </w:p>
        </w:tc>
        <w:tc>
          <w:tcPr>
            <w:tcW w:w="2047" w:type="dxa"/>
            <w:gridSpan w:val="2"/>
            <w:shd w:val="clear" w:color="auto" w:fill="auto"/>
          </w:tcPr>
          <w:p w14:paraId="304D2921" w14:textId="77777777" w:rsidR="00533764" w:rsidRPr="0093396C" w:rsidRDefault="00533764" w:rsidP="00533764">
            <w:pPr>
              <w:pStyle w:val="BodyText2"/>
              <w:rPr>
                <w:rFonts w:asciiTheme="minorHAnsi" w:hAnsiTheme="minorHAnsi"/>
                <w:b/>
              </w:rPr>
            </w:pPr>
            <w:r w:rsidRPr="0093396C">
              <w:rPr>
                <w:rFonts w:asciiTheme="minorHAnsi" w:hAnsiTheme="minorHAnsi"/>
                <w:b/>
              </w:rPr>
              <w:t>Total Expenditure(USD)</w:t>
            </w:r>
          </w:p>
        </w:tc>
        <w:tc>
          <w:tcPr>
            <w:tcW w:w="3690" w:type="dxa"/>
            <w:gridSpan w:val="2"/>
            <w:tcBorders>
              <w:left w:val="single" w:sz="4" w:space="0" w:color="auto"/>
            </w:tcBorders>
          </w:tcPr>
          <w:p w14:paraId="1B2FA597" w14:textId="77777777" w:rsidR="00533764" w:rsidRPr="0093396C" w:rsidRDefault="00533764" w:rsidP="00533764">
            <w:pPr>
              <w:pStyle w:val="BodyText2"/>
              <w:rPr>
                <w:rFonts w:asciiTheme="minorHAnsi" w:hAnsiTheme="minorHAnsi"/>
                <w:b/>
              </w:rPr>
            </w:pPr>
            <w:r w:rsidRPr="0093396C">
              <w:rPr>
                <w:rFonts w:asciiTheme="minorHAnsi" w:hAnsiTheme="minorHAnsi"/>
                <w:b/>
              </w:rPr>
              <w:t>Key Indicators of outcome (1-4 per outcome)</w:t>
            </w:r>
          </w:p>
        </w:tc>
        <w:tc>
          <w:tcPr>
            <w:tcW w:w="5243" w:type="dxa"/>
            <w:gridSpan w:val="2"/>
          </w:tcPr>
          <w:p w14:paraId="0DF05A17" w14:textId="77777777" w:rsidR="00533764" w:rsidRPr="0093396C" w:rsidRDefault="00533764" w:rsidP="00533764">
            <w:pPr>
              <w:pStyle w:val="BodyText2"/>
              <w:rPr>
                <w:rFonts w:asciiTheme="minorHAnsi" w:hAnsiTheme="minorHAnsi"/>
                <w:b/>
              </w:rPr>
            </w:pPr>
            <w:r w:rsidRPr="0093396C">
              <w:rPr>
                <w:rFonts w:asciiTheme="minorHAnsi" w:hAnsiTheme="minorHAnsi"/>
                <w:b/>
              </w:rPr>
              <w:t>Progress made against key indicators</w:t>
            </w:r>
          </w:p>
        </w:tc>
      </w:tr>
      <w:tr w:rsidR="00533764" w:rsidRPr="0093396C" w14:paraId="0903310D" w14:textId="77777777" w:rsidTr="008D739D">
        <w:tc>
          <w:tcPr>
            <w:tcW w:w="3060" w:type="dxa"/>
            <w:gridSpan w:val="2"/>
            <w:shd w:val="clear" w:color="auto" w:fill="auto"/>
          </w:tcPr>
          <w:p w14:paraId="60465153" w14:textId="77777777" w:rsidR="00E10D4B" w:rsidRPr="0093396C" w:rsidRDefault="00E10D4B" w:rsidP="00E10D4B">
            <w:pPr>
              <w:rPr>
                <w:rStyle w:val="roarquestion"/>
                <w:sz w:val="20"/>
              </w:rPr>
            </w:pPr>
            <w:r w:rsidRPr="0093396C">
              <w:rPr>
                <w:rStyle w:val="roarquestion"/>
                <w:b/>
                <w:sz w:val="20"/>
              </w:rPr>
              <w:t>34. Lesotho adopts environmental management practices that promote a low-carbon climate-resilient economy and society, sustainably manages natural resources and reduces vulnerability to disasters</w:t>
            </w:r>
            <w:r w:rsidRPr="0093396C">
              <w:rPr>
                <w:rStyle w:val="roarquestion"/>
                <w:sz w:val="20"/>
              </w:rPr>
              <w:t>.</w:t>
            </w:r>
          </w:p>
          <w:p w14:paraId="04AAC66E" w14:textId="77777777" w:rsidR="00533764" w:rsidRPr="0093396C" w:rsidRDefault="00533764" w:rsidP="00533764">
            <w:pPr>
              <w:pStyle w:val="BodyText2"/>
              <w:rPr>
                <w:rFonts w:asciiTheme="minorHAnsi" w:hAnsiTheme="minorHAnsi"/>
                <w:b/>
              </w:rPr>
            </w:pPr>
          </w:p>
        </w:tc>
        <w:tc>
          <w:tcPr>
            <w:tcW w:w="2047" w:type="dxa"/>
            <w:gridSpan w:val="2"/>
            <w:shd w:val="clear" w:color="auto" w:fill="auto"/>
          </w:tcPr>
          <w:p w14:paraId="3B99F0B2" w14:textId="7A244B7C" w:rsidR="00533764" w:rsidRPr="00081541" w:rsidRDefault="00081541" w:rsidP="006F6724">
            <w:pPr>
              <w:pStyle w:val="BodyText2"/>
              <w:rPr>
                <w:rFonts w:asciiTheme="minorHAnsi" w:hAnsiTheme="minorHAnsi"/>
                <w:b/>
              </w:rPr>
            </w:pPr>
            <w:r w:rsidRPr="00081541">
              <w:rPr>
                <w:rFonts w:asciiTheme="minorHAnsi" w:hAnsiTheme="minorHAnsi"/>
                <w:b/>
              </w:rPr>
              <w:t>7,100,871</w:t>
            </w:r>
          </w:p>
          <w:p w14:paraId="69D8C577" w14:textId="77777777" w:rsidR="00081541" w:rsidRDefault="00081541" w:rsidP="006F6724">
            <w:pPr>
              <w:pStyle w:val="BodyText2"/>
              <w:rPr>
                <w:rFonts w:asciiTheme="minorHAnsi" w:hAnsiTheme="minorHAnsi"/>
              </w:rPr>
            </w:pPr>
          </w:p>
          <w:p w14:paraId="268B254E" w14:textId="7E8906DA" w:rsidR="00081541" w:rsidRPr="0093396C" w:rsidRDefault="00081541" w:rsidP="006F6724">
            <w:pPr>
              <w:pStyle w:val="BodyText2"/>
              <w:rPr>
                <w:rFonts w:asciiTheme="minorHAnsi" w:hAnsiTheme="minorHAnsi"/>
              </w:rPr>
            </w:pPr>
          </w:p>
        </w:tc>
        <w:tc>
          <w:tcPr>
            <w:tcW w:w="3690" w:type="dxa"/>
            <w:gridSpan w:val="2"/>
            <w:tcBorders>
              <w:left w:val="single" w:sz="4" w:space="0" w:color="auto"/>
            </w:tcBorders>
          </w:tcPr>
          <w:p w14:paraId="4322F5C8" w14:textId="77777777" w:rsidR="00533764" w:rsidRPr="0093396C" w:rsidRDefault="00533764" w:rsidP="006077E0">
            <w:pPr>
              <w:pStyle w:val="BodyText2"/>
              <w:numPr>
                <w:ilvl w:val="0"/>
                <w:numId w:val="5"/>
              </w:numPr>
              <w:rPr>
                <w:rFonts w:asciiTheme="minorHAnsi" w:hAnsiTheme="minorHAnsi"/>
              </w:rPr>
            </w:pPr>
            <w:r w:rsidRPr="0093396C">
              <w:rPr>
                <w:rFonts w:asciiTheme="minorHAnsi" w:hAnsiTheme="minorHAnsi"/>
                <w:color w:val="000000"/>
              </w:rPr>
              <w:t>No. of national/sectoral policies that promote conservation of natural resources;</w:t>
            </w:r>
          </w:p>
          <w:p w14:paraId="2F3BC855" w14:textId="77777777" w:rsidR="00533764" w:rsidRPr="0093396C" w:rsidRDefault="00A62B29" w:rsidP="006077E0">
            <w:pPr>
              <w:pStyle w:val="BodyText2"/>
              <w:numPr>
                <w:ilvl w:val="0"/>
                <w:numId w:val="5"/>
              </w:numPr>
              <w:rPr>
                <w:rFonts w:asciiTheme="minorHAnsi" w:hAnsiTheme="minorHAnsi"/>
              </w:rPr>
            </w:pPr>
            <w:r w:rsidRPr="0093396C">
              <w:rPr>
                <w:rFonts w:asciiTheme="minorHAnsi" w:hAnsiTheme="minorHAnsi"/>
              </w:rPr>
              <w:t xml:space="preserve">Increase in funding for Climate Change </w:t>
            </w:r>
            <w:r w:rsidR="00533764" w:rsidRPr="0093396C">
              <w:rPr>
                <w:rFonts w:asciiTheme="minorHAnsi" w:hAnsiTheme="minorHAnsi"/>
              </w:rPr>
              <w:t>from int. sources; Baseline: appr. $6m Target: 100% increase</w:t>
            </w:r>
          </w:p>
          <w:p w14:paraId="2EB7BCE2" w14:textId="2FD253FE" w:rsidR="00616E0E" w:rsidRPr="0093396C" w:rsidRDefault="00533764" w:rsidP="006077E0">
            <w:pPr>
              <w:pStyle w:val="BodyText2"/>
              <w:numPr>
                <w:ilvl w:val="0"/>
                <w:numId w:val="5"/>
              </w:numPr>
              <w:rPr>
                <w:rFonts w:asciiTheme="minorHAnsi" w:hAnsiTheme="minorHAnsi"/>
              </w:rPr>
            </w:pPr>
            <w:r w:rsidRPr="0093396C">
              <w:rPr>
                <w:rFonts w:asciiTheme="minorHAnsi" w:hAnsiTheme="minorHAnsi"/>
              </w:rPr>
              <w:t xml:space="preserve">Access to renewable energy in rural areas </w:t>
            </w:r>
          </w:p>
          <w:p w14:paraId="566908B5" w14:textId="77777777" w:rsidR="00533764" w:rsidRPr="0093396C" w:rsidRDefault="00533764" w:rsidP="006077E0">
            <w:pPr>
              <w:pStyle w:val="BodyText2"/>
              <w:numPr>
                <w:ilvl w:val="0"/>
                <w:numId w:val="5"/>
              </w:numPr>
              <w:rPr>
                <w:rFonts w:asciiTheme="minorHAnsi" w:hAnsiTheme="minorHAnsi"/>
              </w:rPr>
            </w:pPr>
            <w:r w:rsidRPr="0093396C">
              <w:rPr>
                <w:rFonts w:asciiTheme="minorHAnsi" w:hAnsiTheme="minorHAnsi"/>
              </w:rPr>
              <w:lastRenderedPageBreak/>
              <w:t>An operational national S</w:t>
            </w:r>
            <w:r w:rsidR="00CC588F" w:rsidRPr="0093396C">
              <w:rPr>
                <w:rFonts w:asciiTheme="minorHAnsi" w:hAnsiTheme="minorHAnsi"/>
              </w:rPr>
              <w:t>ustainable Land Management (S</w:t>
            </w:r>
            <w:r w:rsidRPr="0093396C">
              <w:rPr>
                <w:rFonts w:asciiTheme="minorHAnsi" w:hAnsiTheme="minorHAnsi"/>
              </w:rPr>
              <w:t>LM</w:t>
            </w:r>
            <w:r w:rsidR="00CC588F" w:rsidRPr="0093396C">
              <w:rPr>
                <w:rFonts w:asciiTheme="minorHAnsi" w:hAnsiTheme="minorHAnsi"/>
              </w:rPr>
              <w:t>)</w:t>
            </w:r>
            <w:r w:rsidRPr="0093396C">
              <w:rPr>
                <w:rFonts w:asciiTheme="minorHAnsi" w:hAnsiTheme="minorHAnsi"/>
              </w:rPr>
              <w:t xml:space="preserve"> model Baseline: none Target: In place &amp; meeting rollout targets </w:t>
            </w:r>
          </w:p>
          <w:p w14:paraId="167FF228" w14:textId="77777777" w:rsidR="00533764" w:rsidRPr="0093396C" w:rsidRDefault="00533764" w:rsidP="00CA4A50">
            <w:pPr>
              <w:pStyle w:val="BodyText2"/>
              <w:rPr>
                <w:rFonts w:asciiTheme="minorHAnsi" w:hAnsiTheme="minorHAnsi"/>
                <w:i/>
              </w:rPr>
            </w:pPr>
          </w:p>
        </w:tc>
        <w:tc>
          <w:tcPr>
            <w:tcW w:w="5243" w:type="dxa"/>
            <w:gridSpan w:val="2"/>
            <w:shd w:val="clear" w:color="auto" w:fill="auto"/>
          </w:tcPr>
          <w:p w14:paraId="0EDC8981" w14:textId="424175C2" w:rsidR="00AB3CB8" w:rsidRDefault="006E7911" w:rsidP="006077E0">
            <w:pPr>
              <w:pStyle w:val="BodyText2"/>
              <w:numPr>
                <w:ilvl w:val="0"/>
                <w:numId w:val="10"/>
              </w:numPr>
              <w:rPr>
                <w:rFonts w:asciiTheme="minorHAnsi" w:hAnsiTheme="minorHAnsi"/>
              </w:rPr>
            </w:pPr>
            <w:bookmarkStart w:id="2" w:name="_Hlk509662167"/>
            <w:r>
              <w:rPr>
                <w:rFonts w:asciiTheme="minorHAnsi" w:hAnsiTheme="minorHAnsi"/>
              </w:rPr>
              <w:lastRenderedPageBreak/>
              <w:t>a.</w:t>
            </w:r>
            <w:r w:rsidR="00B9040F">
              <w:rPr>
                <w:rFonts w:asciiTheme="minorHAnsi" w:hAnsiTheme="minorHAnsi"/>
              </w:rPr>
              <w:t xml:space="preserve"> </w:t>
            </w:r>
            <w:r w:rsidR="00AB3CB8">
              <w:rPr>
                <w:rFonts w:asciiTheme="minorHAnsi" w:hAnsiTheme="minorHAnsi"/>
              </w:rPr>
              <w:t xml:space="preserve">UNDP supported the formulation of the National </w:t>
            </w:r>
            <w:r w:rsidR="0076244C">
              <w:rPr>
                <w:rFonts w:asciiTheme="minorHAnsi" w:hAnsiTheme="minorHAnsi"/>
              </w:rPr>
              <w:t>Strategic Resilience Framework which has integrated resilience and adaptation measures to natural shocks an</w:t>
            </w:r>
            <w:r w:rsidR="001B4755">
              <w:rPr>
                <w:rFonts w:asciiTheme="minorHAnsi" w:hAnsiTheme="minorHAnsi"/>
              </w:rPr>
              <w:t>d</w:t>
            </w:r>
            <w:r w:rsidR="0076244C">
              <w:rPr>
                <w:rFonts w:asciiTheme="minorHAnsi" w:hAnsiTheme="minorHAnsi"/>
              </w:rPr>
              <w:t xml:space="preserve"> disasters  </w:t>
            </w:r>
          </w:p>
          <w:p w14:paraId="68FD87C0" w14:textId="76BB5CE2" w:rsidR="001B4755" w:rsidRDefault="00B9040F" w:rsidP="00B9040F">
            <w:pPr>
              <w:pStyle w:val="BodyText2"/>
              <w:ind w:left="1080"/>
              <w:rPr>
                <w:rFonts w:asciiTheme="minorHAnsi" w:hAnsiTheme="minorHAnsi"/>
              </w:rPr>
            </w:pPr>
            <w:r>
              <w:rPr>
                <w:rFonts w:asciiTheme="minorHAnsi" w:hAnsiTheme="minorHAnsi"/>
              </w:rPr>
              <w:t xml:space="preserve">b. </w:t>
            </w:r>
            <w:r w:rsidR="00C24CC6">
              <w:rPr>
                <w:rFonts w:asciiTheme="minorHAnsi" w:hAnsiTheme="minorHAnsi"/>
              </w:rPr>
              <w:t>C</w:t>
            </w:r>
            <w:r w:rsidR="005D4265">
              <w:rPr>
                <w:rFonts w:asciiTheme="minorHAnsi" w:hAnsiTheme="minorHAnsi"/>
              </w:rPr>
              <w:t xml:space="preserve">ooperation Strategy on Community Management of Protected Areas Conservations </w:t>
            </w:r>
            <w:r w:rsidR="00C24CC6">
              <w:rPr>
                <w:rFonts w:asciiTheme="minorHAnsi" w:hAnsiTheme="minorHAnsi"/>
              </w:rPr>
              <w:t xml:space="preserve">between South Africa and Lesotho developed to strengthening </w:t>
            </w:r>
            <w:r w:rsidR="005D4265">
              <w:rPr>
                <w:rFonts w:asciiTheme="minorHAnsi" w:hAnsiTheme="minorHAnsi"/>
              </w:rPr>
              <w:t xml:space="preserve">local </w:t>
            </w:r>
            <w:r w:rsidR="006C32D4">
              <w:rPr>
                <w:rFonts w:asciiTheme="minorHAnsi" w:hAnsiTheme="minorHAnsi"/>
              </w:rPr>
              <w:t>communities’</w:t>
            </w:r>
            <w:r w:rsidR="005D4265">
              <w:rPr>
                <w:rFonts w:asciiTheme="minorHAnsi" w:hAnsiTheme="minorHAnsi"/>
              </w:rPr>
              <w:t xml:space="preserve"> capacities in promoting sustainable conservation of natural resources. </w:t>
            </w:r>
          </w:p>
          <w:p w14:paraId="3C56979C" w14:textId="2C32C3B3" w:rsidR="00DC7494" w:rsidRDefault="00B9040F" w:rsidP="00B9040F">
            <w:pPr>
              <w:pStyle w:val="BodyText2"/>
              <w:ind w:left="1080"/>
              <w:rPr>
                <w:rFonts w:asciiTheme="minorHAnsi" w:hAnsiTheme="minorHAnsi"/>
              </w:rPr>
            </w:pPr>
            <w:r>
              <w:rPr>
                <w:rFonts w:asciiTheme="minorHAnsi" w:hAnsiTheme="minorHAnsi"/>
              </w:rPr>
              <w:lastRenderedPageBreak/>
              <w:t xml:space="preserve">c. </w:t>
            </w:r>
            <w:r w:rsidR="00DC7494" w:rsidRPr="00DC7494">
              <w:rPr>
                <w:rFonts w:asciiTheme="minorHAnsi" w:hAnsiTheme="minorHAnsi"/>
              </w:rPr>
              <w:t>Communities supported to implement climate smart sustainable land management initiatives which has improved livelihoods in the targeted areas</w:t>
            </w:r>
          </w:p>
          <w:bookmarkEnd w:id="2"/>
          <w:p w14:paraId="11B60DDA" w14:textId="6951C282" w:rsidR="00161B08" w:rsidRPr="0093396C" w:rsidRDefault="00B9040F" w:rsidP="00161B08">
            <w:pPr>
              <w:pStyle w:val="BodyText2"/>
              <w:ind w:left="1080"/>
              <w:rPr>
                <w:rFonts w:asciiTheme="minorHAnsi" w:hAnsiTheme="minorHAnsi"/>
              </w:rPr>
            </w:pPr>
            <w:r>
              <w:rPr>
                <w:rFonts w:asciiTheme="minorHAnsi" w:hAnsiTheme="minorHAnsi"/>
              </w:rPr>
              <w:t xml:space="preserve">d. </w:t>
            </w:r>
            <w:r w:rsidR="00BB4E59" w:rsidRPr="0093396C">
              <w:rPr>
                <w:rFonts w:asciiTheme="minorHAnsi" w:hAnsiTheme="minorHAnsi"/>
              </w:rPr>
              <w:t>U</w:t>
            </w:r>
            <w:r w:rsidR="00A62B29" w:rsidRPr="0093396C">
              <w:rPr>
                <w:rFonts w:asciiTheme="minorHAnsi" w:hAnsiTheme="minorHAnsi"/>
              </w:rPr>
              <w:t xml:space="preserve">NDP supported the formulation of </w:t>
            </w:r>
            <w:r w:rsidR="00BB4E59" w:rsidRPr="0093396C">
              <w:rPr>
                <w:rFonts w:asciiTheme="minorHAnsi" w:hAnsiTheme="minorHAnsi"/>
              </w:rPr>
              <w:t>national policies of Range Management and</w:t>
            </w:r>
            <w:r w:rsidR="00A62B29" w:rsidRPr="0093396C">
              <w:rPr>
                <w:rFonts w:asciiTheme="minorHAnsi" w:hAnsiTheme="minorHAnsi"/>
              </w:rPr>
              <w:t xml:space="preserve"> Soil and Water Conservation, which have been approved by Cabinet to guide the management of ranges, soils and water</w:t>
            </w:r>
            <w:r w:rsidR="00BB4E59" w:rsidRPr="0093396C">
              <w:rPr>
                <w:rFonts w:asciiTheme="minorHAnsi" w:hAnsiTheme="minorHAnsi"/>
              </w:rPr>
              <w:t>.</w:t>
            </w:r>
          </w:p>
          <w:p w14:paraId="64FB4F0D" w14:textId="1BD1E11D" w:rsidR="00DC3C4B" w:rsidRPr="0093396C" w:rsidRDefault="00FE70D0" w:rsidP="006077E0">
            <w:pPr>
              <w:pStyle w:val="BodyText2"/>
              <w:numPr>
                <w:ilvl w:val="0"/>
                <w:numId w:val="10"/>
              </w:numPr>
              <w:rPr>
                <w:rFonts w:asciiTheme="minorHAnsi" w:hAnsiTheme="minorHAnsi"/>
              </w:rPr>
            </w:pPr>
            <w:r w:rsidRPr="0093396C">
              <w:rPr>
                <w:rFonts w:asciiTheme="minorHAnsi" w:hAnsiTheme="minorHAnsi"/>
              </w:rPr>
              <w:t xml:space="preserve">The target of increasing the Climate Change portfolio </w:t>
            </w:r>
            <w:r w:rsidR="004A0EB0" w:rsidRPr="0093396C">
              <w:rPr>
                <w:rFonts w:asciiTheme="minorHAnsi" w:hAnsiTheme="minorHAnsi"/>
              </w:rPr>
              <w:t xml:space="preserve">by 100% </w:t>
            </w:r>
            <w:r w:rsidRPr="0093396C">
              <w:rPr>
                <w:rFonts w:asciiTheme="minorHAnsi" w:hAnsiTheme="minorHAnsi"/>
              </w:rPr>
              <w:t xml:space="preserve">has been achieved with the mobilization of </w:t>
            </w:r>
            <w:r w:rsidR="004A0EB0" w:rsidRPr="0093396C">
              <w:rPr>
                <w:rFonts w:asciiTheme="minorHAnsi" w:hAnsiTheme="minorHAnsi"/>
              </w:rPr>
              <w:t>USD 11,</w:t>
            </w:r>
            <w:r w:rsidR="008F0569" w:rsidRPr="0093396C">
              <w:rPr>
                <w:rFonts w:asciiTheme="minorHAnsi" w:hAnsiTheme="minorHAnsi"/>
              </w:rPr>
              <w:t xml:space="preserve">998,172 from GEF an almost 100% increase of </w:t>
            </w:r>
            <w:r w:rsidR="008737F5" w:rsidRPr="0093396C">
              <w:rPr>
                <w:rFonts w:asciiTheme="minorHAnsi" w:hAnsiTheme="minorHAnsi"/>
              </w:rPr>
              <w:t>the CPD baseline of US$6M</w:t>
            </w:r>
            <w:r w:rsidR="004A0EB0" w:rsidRPr="0093396C">
              <w:rPr>
                <w:rFonts w:asciiTheme="minorHAnsi" w:hAnsiTheme="minorHAnsi"/>
              </w:rPr>
              <w:t>.</w:t>
            </w:r>
          </w:p>
          <w:p w14:paraId="1814A062" w14:textId="212ABF8F" w:rsidR="00DC3C4B" w:rsidRPr="0093396C" w:rsidRDefault="00A77CFF" w:rsidP="006077E0">
            <w:pPr>
              <w:pStyle w:val="BodyText2"/>
              <w:numPr>
                <w:ilvl w:val="0"/>
                <w:numId w:val="10"/>
              </w:numPr>
              <w:rPr>
                <w:rFonts w:asciiTheme="minorHAnsi" w:hAnsiTheme="minorHAnsi"/>
              </w:rPr>
            </w:pPr>
            <w:r w:rsidRPr="0093396C">
              <w:rPr>
                <w:rFonts w:asciiTheme="minorHAnsi" w:hAnsiTheme="minorHAnsi"/>
              </w:rPr>
              <w:t xml:space="preserve"> </w:t>
            </w:r>
            <w:r w:rsidR="00BB4E59" w:rsidRPr="0093396C">
              <w:rPr>
                <w:rFonts w:asciiTheme="minorHAnsi" w:hAnsiTheme="minorHAnsi"/>
              </w:rPr>
              <w:t>The</w:t>
            </w:r>
            <w:r w:rsidRPr="0093396C">
              <w:rPr>
                <w:rFonts w:asciiTheme="minorHAnsi" w:hAnsiTheme="minorHAnsi"/>
              </w:rPr>
              <w:t xml:space="preserve"> </w:t>
            </w:r>
            <w:r w:rsidR="00616E0E" w:rsidRPr="0093396C">
              <w:rPr>
                <w:rFonts w:asciiTheme="minorHAnsi" w:hAnsiTheme="minorHAnsi"/>
              </w:rPr>
              <w:t xml:space="preserve">  GEF/UNDP funded</w:t>
            </w:r>
            <w:r w:rsidR="00BB4E59" w:rsidRPr="0093396C">
              <w:rPr>
                <w:rFonts w:asciiTheme="minorHAnsi" w:hAnsiTheme="minorHAnsi"/>
              </w:rPr>
              <w:t xml:space="preserve"> </w:t>
            </w:r>
            <w:r w:rsidR="008737F5" w:rsidRPr="0093396C">
              <w:rPr>
                <w:rFonts w:asciiTheme="minorHAnsi" w:hAnsiTheme="minorHAnsi"/>
              </w:rPr>
              <w:t>Sustainable Energy</w:t>
            </w:r>
            <w:r w:rsidR="00BB4E59" w:rsidRPr="0093396C">
              <w:rPr>
                <w:rFonts w:asciiTheme="minorHAnsi" w:hAnsiTheme="minorHAnsi"/>
              </w:rPr>
              <w:t xml:space="preserve"> for All Project which aims at building on and scaling up the investments and achievements of the</w:t>
            </w:r>
            <w:r w:rsidRPr="0093396C">
              <w:rPr>
                <w:rFonts w:asciiTheme="minorHAnsi" w:hAnsiTheme="minorHAnsi"/>
              </w:rPr>
              <w:t xml:space="preserve"> GEF/UNDP Lesotho Renewable Energy Based Rural Electrification project (LREBRE)</w:t>
            </w:r>
            <w:r w:rsidR="0089558D" w:rsidRPr="0093396C">
              <w:rPr>
                <w:rFonts w:asciiTheme="minorHAnsi" w:hAnsiTheme="minorHAnsi"/>
              </w:rPr>
              <w:t>(2007</w:t>
            </w:r>
            <w:r w:rsidRPr="0093396C">
              <w:rPr>
                <w:rFonts w:asciiTheme="minorHAnsi" w:hAnsiTheme="minorHAnsi"/>
              </w:rPr>
              <w:t>-2013)  was launched</w:t>
            </w:r>
            <w:r w:rsidR="00616E0E" w:rsidRPr="0093396C">
              <w:rPr>
                <w:rFonts w:asciiTheme="minorHAnsi" w:hAnsiTheme="minorHAnsi"/>
              </w:rPr>
              <w:t xml:space="preserve"> in October, 2016  to  enhance access to clean energy for undeserved rural communities and is therefore yet to show results.</w:t>
            </w:r>
          </w:p>
          <w:p w14:paraId="6A599056" w14:textId="60454A82" w:rsidR="00616E0E" w:rsidRPr="0093396C" w:rsidRDefault="00CC588F" w:rsidP="006077E0">
            <w:pPr>
              <w:pStyle w:val="BodyText2"/>
              <w:numPr>
                <w:ilvl w:val="0"/>
                <w:numId w:val="10"/>
              </w:numPr>
              <w:rPr>
                <w:rFonts w:asciiTheme="minorHAnsi" w:hAnsiTheme="minorHAnsi"/>
                <w:i/>
              </w:rPr>
            </w:pPr>
            <w:r w:rsidRPr="0093396C">
              <w:rPr>
                <w:rFonts w:asciiTheme="minorHAnsi" w:hAnsiTheme="minorHAnsi"/>
              </w:rPr>
              <w:t xml:space="preserve">Two key </w:t>
            </w:r>
            <w:r w:rsidR="008737F5" w:rsidRPr="0093396C">
              <w:rPr>
                <w:rFonts w:asciiTheme="minorHAnsi" w:hAnsiTheme="minorHAnsi"/>
              </w:rPr>
              <w:t>policies for   Range Management</w:t>
            </w:r>
            <w:r w:rsidRPr="0093396C">
              <w:rPr>
                <w:rFonts w:asciiTheme="minorHAnsi" w:hAnsiTheme="minorHAnsi"/>
              </w:rPr>
              <w:t xml:space="preserve">, Soil and Water </w:t>
            </w:r>
            <w:r w:rsidR="00F80508" w:rsidRPr="0093396C">
              <w:rPr>
                <w:rFonts w:asciiTheme="minorHAnsi" w:hAnsiTheme="minorHAnsi"/>
              </w:rPr>
              <w:t>Conservation</w:t>
            </w:r>
            <w:r w:rsidRPr="0093396C">
              <w:rPr>
                <w:rFonts w:asciiTheme="minorHAnsi" w:hAnsiTheme="minorHAnsi"/>
              </w:rPr>
              <w:t xml:space="preserve"> as well as Country Sustainable Land Management Investment Framework and an SLM Platform has been created as inputs for the SLM Model.</w:t>
            </w:r>
          </w:p>
        </w:tc>
      </w:tr>
      <w:tr w:rsidR="00533764" w:rsidRPr="0093396C" w14:paraId="74D9A20B" w14:textId="77777777" w:rsidTr="008D739D">
        <w:tc>
          <w:tcPr>
            <w:tcW w:w="14040" w:type="dxa"/>
            <w:gridSpan w:val="8"/>
          </w:tcPr>
          <w:p w14:paraId="5A7D7239" w14:textId="340D1CF6" w:rsidR="00533764" w:rsidRPr="0093396C" w:rsidRDefault="00533764" w:rsidP="00533764">
            <w:pPr>
              <w:pStyle w:val="BodyText2"/>
              <w:rPr>
                <w:rFonts w:asciiTheme="minorHAnsi" w:hAnsiTheme="minorHAnsi"/>
                <w:b/>
              </w:rPr>
            </w:pPr>
            <w:r w:rsidRPr="0093396C">
              <w:rPr>
                <w:rFonts w:asciiTheme="minorHAnsi" w:hAnsiTheme="minorHAnsi"/>
                <w:b/>
              </w:rPr>
              <w:lastRenderedPageBreak/>
              <w:t>UNDP Contribution:</w:t>
            </w:r>
            <w:r w:rsidR="007308A9" w:rsidRPr="0093396C">
              <w:rPr>
                <w:rFonts w:asciiTheme="minorHAnsi" w:hAnsiTheme="minorHAnsi"/>
                <w:lang w:val="en-GB"/>
              </w:rPr>
              <w:t xml:space="preserve"> UNDP assistance emphasised three inter-locking issues that enabled adaptation to climate change and increase resilience – a low-carbon economy, conserve natural resources to secure livelihoods and production, and better manage risks related to natural disasters</w:t>
            </w:r>
          </w:p>
          <w:p w14:paraId="1993DEE2" w14:textId="77777777" w:rsidR="00533764" w:rsidRPr="0093396C" w:rsidRDefault="00533764" w:rsidP="00533764">
            <w:pPr>
              <w:pStyle w:val="BodyText2"/>
              <w:rPr>
                <w:rFonts w:asciiTheme="minorHAnsi" w:hAnsiTheme="minorHAnsi"/>
              </w:rPr>
            </w:pPr>
            <w:r w:rsidRPr="0093396C">
              <w:rPr>
                <w:rFonts w:asciiTheme="minorHAnsi" w:hAnsiTheme="minorHAnsi"/>
                <w:u w:val="single"/>
              </w:rPr>
              <w:t>CP Outputs</w:t>
            </w:r>
            <w:r w:rsidRPr="0093396C">
              <w:rPr>
                <w:rFonts w:asciiTheme="minorHAnsi" w:hAnsiTheme="minorHAnsi"/>
              </w:rPr>
              <w:t>:</w:t>
            </w:r>
          </w:p>
          <w:p w14:paraId="58DA4656" w14:textId="46FBB1A2" w:rsidR="004D7580" w:rsidRPr="0093396C" w:rsidRDefault="004D7580" w:rsidP="006077E0">
            <w:pPr>
              <w:pStyle w:val="ListParagraph"/>
              <w:widowControl/>
              <w:numPr>
                <w:ilvl w:val="0"/>
                <w:numId w:val="6"/>
              </w:numPr>
              <w:rPr>
                <w:rFonts w:asciiTheme="minorHAnsi" w:hAnsiTheme="minorHAnsi"/>
                <w:bCs/>
                <w:color w:val="000000"/>
                <w:sz w:val="20"/>
                <w:lang w:val="en-GB"/>
              </w:rPr>
            </w:pPr>
            <w:r w:rsidRPr="0093396C">
              <w:rPr>
                <w:rFonts w:asciiTheme="minorHAnsi" w:hAnsiTheme="minorHAnsi"/>
                <w:bCs/>
                <w:color w:val="000000"/>
                <w:sz w:val="20"/>
                <w:lang w:val="en-GB"/>
              </w:rPr>
              <w:t xml:space="preserve">Policy advocacy, coordination and integration (into national </w:t>
            </w:r>
            <w:r w:rsidR="00A77CFF" w:rsidRPr="0093396C">
              <w:rPr>
                <w:rFonts w:asciiTheme="minorHAnsi" w:hAnsiTheme="minorHAnsi"/>
                <w:bCs/>
                <w:color w:val="000000"/>
                <w:sz w:val="20"/>
                <w:lang w:val="en-GB"/>
              </w:rPr>
              <w:t>and</w:t>
            </w:r>
            <w:r w:rsidR="00F80508" w:rsidRPr="0093396C">
              <w:rPr>
                <w:rFonts w:asciiTheme="minorHAnsi" w:hAnsiTheme="minorHAnsi"/>
                <w:bCs/>
                <w:color w:val="000000"/>
                <w:sz w:val="20"/>
                <w:lang w:val="en-GB"/>
              </w:rPr>
              <w:t xml:space="preserve"> sectoral plans), of financing,</w:t>
            </w:r>
            <w:r w:rsidRPr="0093396C">
              <w:rPr>
                <w:rFonts w:asciiTheme="minorHAnsi" w:hAnsiTheme="minorHAnsi"/>
                <w:bCs/>
                <w:color w:val="000000"/>
                <w:sz w:val="20"/>
                <w:lang w:val="en-GB"/>
              </w:rPr>
              <w:t xml:space="preserve"> investment and partnership options for </w:t>
            </w:r>
            <w:r w:rsidR="00BC74CB" w:rsidRPr="0093396C">
              <w:rPr>
                <w:rFonts w:asciiTheme="minorHAnsi" w:hAnsiTheme="minorHAnsi"/>
                <w:bCs/>
                <w:color w:val="000000"/>
                <w:sz w:val="20"/>
                <w:lang w:val="en-GB"/>
              </w:rPr>
              <w:t xml:space="preserve">low carbon and climate resilient </w:t>
            </w:r>
            <w:r w:rsidRPr="0093396C">
              <w:rPr>
                <w:rFonts w:asciiTheme="minorHAnsi" w:hAnsiTheme="minorHAnsi"/>
                <w:bCs/>
                <w:color w:val="000000"/>
                <w:sz w:val="20"/>
                <w:lang w:val="en-GB"/>
              </w:rPr>
              <w:t xml:space="preserve">  renewable energy in rural areas.</w:t>
            </w:r>
          </w:p>
          <w:p w14:paraId="48C940F6" w14:textId="77777777" w:rsidR="004D7580" w:rsidRPr="0093396C" w:rsidRDefault="004D7580" w:rsidP="006077E0">
            <w:pPr>
              <w:pStyle w:val="ListParagraph"/>
              <w:widowControl/>
              <w:numPr>
                <w:ilvl w:val="0"/>
                <w:numId w:val="6"/>
              </w:numPr>
              <w:rPr>
                <w:rFonts w:asciiTheme="minorHAnsi" w:hAnsiTheme="minorHAnsi"/>
                <w:bCs/>
                <w:color w:val="000000"/>
                <w:sz w:val="20"/>
                <w:lang w:val="en-GB"/>
              </w:rPr>
            </w:pPr>
            <w:r w:rsidRPr="0093396C">
              <w:rPr>
                <w:rFonts w:asciiTheme="minorHAnsi" w:hAnsiTheme="minorHAnsi"/>
                <w:bCs/>
                <w:color w:val="000000"/>
                <w:sz w:val="20"/>
                <w:lang w:val="en-GB"/>
              </w:rPr>
              <w:t xml:space="preserve">Scaling-up of a sustainable land management model (SLM). </w:t>
            </w:r>
          </w:p>
          <w:p w14:paraId="6BCDF089" w14:textId="516472D2" w:rsidR="004D7580" w:rsidRPr="0093396C" w:rsidRDefault="004D7580" w:rsidP="006077E0">
            <w:pPr>
              <w:pStyle w:val="BodyText2"/>
              <w:numPr>
                <w:ilvl w:val="0"/>
                <w:numId w:val="6"/>
              </w:numPr>
              <w:rPr>
                <w:rFonts w:asciiTheme="minorHAnsi" w:hAnsiTheme="minorHAnsi"/>
              </w:rPr>
            </w:pPr>
            <w:r w:rsidRPr="0093396C">
              <w:rPr>
                <w:rFonts w:asciiTheme="minorHAnsi" w:hAnsiTheme="minorHAnsi"/>
                <w:bCs/>
                <w:color w:val="000000"/>
                <w:lang w:val="en-GB"/>
              </w:rPr>
              <w:t>Technical assista</w:t>
            </w:r>
            <w:r w:rsidR="00F80508" w:rsidRPr="0093396C">
              <w:rPr>
                <w:rFonts w:asciiTheme="minorHAnsi" w:hAnsiTheme="minorHAnsi"/>
                <w:bCs/>
                <w:color w:val="000000"/>
                <w:lang w:val="en-GB"/>
              </w:rPr>
              <w:t>nce to Disaster Risk Management</w:t>
            </w:r>
            <w:r w:rsidRPr="0093396C">
              <w:rPr>
                <w:rFonts w:asciiTheme="minorHAnsi" w:hAnsiTheme="minorHAnsi"/>
                <w:bCs/>
                <w:color w:val="000000"/>
                <w:lang w:val="en-GB"/>
              </w:rPr>
              <w:t xml:space="preserve"> coordination and implementation</w:t>
            </w:r>
          </w:p>
          <w:p w14:paraId="2D1DF64B" w14:textId="77777777" w:rsidR="00A62B29" w:rsidRPr="0093396C" w:rsidRDefault="00533764" w:rsidP="00BC74CB">
            <w:pPr>
              <w:pStyle w:val="BodyText2"/>
              <w:rPr>
                <w:rFonts w:asciiTheme="minorHAnsi" w:hAnsiTheme="minorHAnsi"/>
              </w:rPr>
            </w:pPr>
            <w:r w:rsidRPr="0093396C">
              <w:rPr>
                <w:rFonts w:asciiTheme="minorHAnsi" w:hAnsiTheme="minorHAnsi"/>
                <w:u w:val="single"/>
              </w:rPr>
              <w:t>Progress and Achievements</w:t>
            </w:r>
            <w:r w:rsidRPr="0093396C">
              <w:rPr>
                <w:rFonts w:asciiTheme="minorHAnsi" w:hAnsiTheme="minorHAnsi"/>
              </w:rPr>
              <w:t>:</w:t>
            </w:r>
            <w:r w:rsidR="00154967" w:rsidRPr="0093396C">
              <w:rPr>
                <w:rFonts w:asciiTheme="minorHAnsi" w:hAnsiTheme="minorHAnsi"/>
              </w:rPr>
              <w:t xml:space="preserve"> </w:t>
            </w:r>
          </w:p>
          <w:p w14:paraId="717E7575" w14:textId="77777777" w:rsidR="00642A4B" w:rsidRPr="0093396C" w:rsidRDefault="00642A4B" w:rsidP="00BC74CB">
            <w:pPr>
              <w:pStyle w:val="BodyText2"/>
              <w:rPr>
                <w:rFonts w:asciiTheme="minorHAnsi" w:hAnsiTheme="minorHAnsi"/>
                <w:b/>
              </w:rPr>
            </w:pPr>
            <w:r w:rsidRPr="0093396C">
              <w:rPr>
                <w:rFonts w:asciiTheme="minorHAnsi" w:hAnsiTheme="minorHAnsi"/>
                <w:b/>
              </w:rPr>
              <w:lastRenderedPageBreak/>
              <w:t>Renewable Energy</w:t>
            </w:r>
          </w:p>
          <w:p w14:paraId="3A4A677F" w14:textId="7F7076CC" w:rsidR="00115481" w:rsidRDefault="001B5ADB" w:rsidP="006077E0">
            <w:pPr>
              <w:pStyle w:val="BodyText2"/>
              <w:numPr>
                <w:ilvl w:val="0"/>
                <w:numId w:val="9"/>
              </w:numPr>
              <w:jc w:val="both"/>
              <w:rPr>
                <w:rFonts w:asciiTheme="minorHAnsi" w:hAnsiTheme="minorHAnsi"/>
              </w:rPr>
            </w:pPr>
            <w:r>
              <w:rPr>
                <w:rFonts w:asciiTheme="minorHAnsi" w:hAnsiTheme="minorHAnsi"/>
              </w:rPr>
              <w:t>Through UNDP support the Department of Energy</w:t>
            </w:r>
            <w:r w:rsidR="00656699">
              <w:rPr>
                <w:rFonts w:asciiTheme="minorHAnsi" w:hAnsiTheme="minorHAnsi"/>
              </w:rPr>
              <w:t xml:space="preserve"> capacity to collect, and analyzed household energy needs undertaken. This has  supported  to inform the  department’s  strategy in the provision of clean energy to rural communities. </w:t>
            </w:r>
          </w:p>
          <w:p w14:paraId="11EB2B56" w14:textId="17307D7A" w:rsidR="0046633F" w:rsidRDefault="0046633F" w:rsidP="006077E0">
            <w:pPr>
              <w:pStyle w:val="BodyText2"/>
              <w:numPr>
                <w:ilvl w:val="0"/>
                <w:numId w:val="9"/>
              </w:numPr>
              <w:jc w:val="both"/>
              <w:rPr>
                <w:rFonts w:asciiTheme="minorHAnsi" w:hAnsiTheme="minorHAnsi"/>
              </w:rPr>
            </w:pPr>
            <w:r w:rsidRPr="0093396C">
              <w:rPr>
                <w:rFonts w:asciiTheme="minorHAnsi" w:hAnsiTheme="minorHAnsi"/>
              </w:rPr>
              <w:t>UNDP supported the development of the National Adaptation Plan to guide the adoption of a medium-term approach for reducing vulnerability to climate change impacts and facilitate the integration of climate change adaptation into on-going planning processes at national and sub-national levels. Furthermore, through UNDP support, a total of $8.2 million has been mobilized towards building local capacities for resilience against climate change shocks.  The project, “Reducing vulnerability from climate change in the Foothills, Lowlands and the Lower Senqu River Basin” aims at mainstreaming climate risk considerations into the Land Rehabilitation Programme of Lesotho for improved ecosystem resilience and reduced vulnerability of livelihoods to climate shocks.” The project builds capacity at national, sub-national and local level on up-to-date climate science for the management of evolving risks and uncertainty linked to climate change.</w:t>
            </w:r>
          </w:p>
          <w:p w14:paraId="1B6CFE05" w14:textId="0AEF1AFE" w:rsidR="00642A4B" w:rsidRPr="0093396C" w:rsidRDefault="00154967" w:rsidP="006077E0">
            <w:pPr>
              <w:pStyle w:val="BodyText2"/>
              <w:numPr>
                <w:ilvl w:val="0"/>
                <w:numId w:val="9"/>
              </w:numPr>
              <w:jc w:val="both"/>
              <w:rPr>
                <w:rFonts w:asciiTheme="minorHAnsi" w:hAnsiTheme="minorHAnsi"/>
              </w:rPr>
            </w:pPr>
            <w:r w:rsidRPr="0093396C">
              <w:rPr>
                <w:rFonts w:asciiTheme="minorHAnsi" w:hAnsiTheme="minorHAnsi"/>
              </w:rPr>
              <w:t>Through UNDP technical and financial support,</w:t>
            </w:r>
            <w:r w:rsidR="00BC74CB" w:rsidRPr="0093396C">
              <w:rPr>
                <w:rFonts w:asciiTheme="minorHAnsi" w:hAnsiTheme="minorHAnsi"/>
              </w:rPr>
              <w:t xml:space="preserve"> </w:t>
            </w:r>
            <w:r w:rsidRPr="0093396C">
              <w:rPr>
                <w:rFonts w:asciiTheme="minorHAnsi" w:hAnsiTheme="minorHAnsi"/>
              </w:rPr>
              <w:t>Lesotho</w:t>
            </w:r>
            <w:r w:rsidR="00BC74CB" w:rsidRPr="0093396C">
              <w:rPr>
                <w:rFonts w:asciiTheme="minorHAnsi" w:hAnsiTheme="minorHAnsi"/>
              </w:rPr>
              <w:t>’s</w:t>
            </w:r>
            <w:r w:rsidRPr="0093396C">
              <w:rPr>
                <w:rFonts w:asciiTheme="minorHAnsi" w:hAnsiTheme="minorHAnsi"/>
              </w:rPr>
              <w:t xml:space="preserve"> solar photovoltaic (PV) industry has grown </w:t>
            </w:r>
            <w:r w:rsidR="00BC74CB" w:rsidRPr="0093396C">
              <w:rPr>
                <w:rFonts w:asciiTheme="minorHAnsi" w:hAnsiTheme="minorHAnsi"/>
              </w:rPr>
              <w:t xml:space="preserve">considerably, </w:t>
            </w:r>
            <w:r w:rsidRPr="0093396C">
              <w:rPr>
                <w:rFonts w:asciiTheme="minorHAnsi" w:hAnsiTheme="minorHAnsi"/>
              </w:rPr>
              <w:t>increasing the national off-grid electrification coverage and increased access of communities to clean energy services.</w:t>
            </w:r>
            <w:r w:rsidR="00BC74CB" w:rsidRPr="0093396C">
              <w:rPr>
                <w:rFonts w:asciiTheme="minorHAnsi" w:hAnsiTheme="minorHAnsi"/>
              </w:rPr>
              <w:t xml:space="preserve"> Building on the achievements of the GEF/UNDP Lesotho Renewable Energy Based Rural Electrification project (LREBRE) </w:t>
            </w:r>
            <w:r w:rsidR="00FA69D6" w:rsidRPr="0093396C">
              <w:rPr>
                <w:rFonts w:asciiTheme="minorHAnsi" w:hAnsiTheme="minorHAnsi"/>
              </w:rPr>
              <w:t>(</w:t>
            </w:r>
            <w:r w:rsidR="00BC74CB" w:rsidRPr="0093396C">
              <w:rPr>
                <w:rFonts w:asciiTheme="minorHAnsi" w:hAnsiTheme="minorHAnsi"/>
              </w:rPr>
              <w:t>2007</w:t>
            </w:r>
            <w:r w:rsidR="00BB4E59" w:rsidRPr="0093396C">
              <w:rPr>
                <w:rFonts w:asciiTheme="minorHAnsi" w:hAnsiTheme="minorHAnsi"/>
              </w:rPr>
              <w:t xml:space="preserve"> to March, 2013</w:t>
            </w:r>
            <w:r w:rsidR="00BC74CB" w:rsidRPr="0093396C">
              <w:rPr>
                <w:rFonts w:asciiTheme="minorHAnsi" w:hAnsiTheme="minorHAnsi"/>
              </w:rPr>
              <w:t xml:space="preserve">) UNDP’s   continued advocacy has resulted in the scaling up of the initial investments in installations of renewable energy </w:t>
            </w:r>
            <w:r w:rsidR="00115EA9" w:rsidRPr="0093396C">
              <w:rPr>
                <w:rFonts w:asciiTheme="minorHAnsi" w:hAnsiTheme="minorHAnsi"/>
              </w:rPr>
              <w:t>systems amounting</w:t>
            </w:r>
            <w:r w:rsidR="00BC74CB" w:rsidRPr="0093396C">
              <w:rPr>
                <w:rFonts w:asciiTheme="minorHAnsi" w:hAnsiTheme="minorHAnsi"/>
              </w:rPr>
              <w:t xml:space="preserve"> to 880</w:t>
            </w:r>
            <w:r w:rsidR="00115EA9" w:rsidRPr="0093396C">
              <w:rPr>
                <w:rFonts w:asciiTheme="minorHAnsi" w:hAnsiTheme="minorHAnsi"/>
              </w:rPr>
              <w:t>KW an</w:t>
            </w:r>
            <w:r w:rsidR="00BC74CB" w:rsidRPr="0093396C">
              <w:rPr>
                <w:rFonts w:asciiTheme="minorHAnsi" w:hAnsiTheme="minorHAnsi"/>
              </w:rPr>
              <w:t xml:space="preserve"> increase from 100KW in 2013.  </w:t>
            </w:r>
          </w:p>
          <w:p w14:paraId="3F59CAAD" w14:textId="5ADFD77F" w:rsidR="00642A4B" w:rsidRPr="0093396C" w:rsidRDefault="0096594D" w:rsidP="006077E0">
            <w:pPr>
              <w:pStyle w:val="BodyText2"/>
              <w:numPr>
                <w:ilvl w:val="0"/>
                <w:numId w:val="9"/>
              </w:numPr>
              <w:jc w:val="both"/>
              <w:rPr>
                <w:rFonts w:asciiTheme="minorHAnsi" w:hAnsiTheme="minorHAnsi"/>
              </w:rPr>
            </w:pPr>
            <w:r w:rsidRPr="0093396C">
              <w:rPr>
                <w:rFonts w:asciiTheme="minorHAnsi" w:hAnsiTheme="minorHAnsi"/>
              </w:rPr>
              <w:t xml:space="preserve"> </w:t>
            </w:r>
            <w:r w:rsidR="00115EA9" w:rsidRPr="0093396C">
              <w:rPr>
                <w:rFonts w:asciiTheme="minorHAnsi" w:hAnsiTheme="minorHAnsi"/>
              </w:rPr>
              <w:t>Additionally,</w:t>
            </w:r>
            <w:r w:rsidR="00BC74CB" w:rsidRPr="0093396C">
              <w:rPr>
                <w:rFonts w:asciiTheme="minorHAnsi" w:hAnsiTheme="minorHAnsi"/>
              </w:rPr>
              <w:t xml:space="preserve"> the growth of membership of the UNDP-initiated Lesotho Solar Energy Society (LESES) increased from 60 in 2013 to 115 in </w:t>
            </w:r>
            <w:r w:rsidR="00115EA9" w:rsidRPr="0093396C">
              <w:rPr>
                <w:rFonts w:asciiTheme="minorHAnsi" w:hAnsiTheme="minorHAnsi"/>
              </w:rPr>
              <w:t>2015 and</w:t>
            </w:r>
            <w:r w:rsidRPr="0093396C">
              <w:rPr>
                <w:rFonts w:asciiTheme="minorHAnsi" w:hAnsiTheme="minorHAnsi"/>
              </w:rPr>
              <w:t xml:space="preserve"> a pledge </w:t>
            </w:r>
            <w:r w:rsidR="00115EA9" w:rsidRPr="0093396C">
              <w:rPr>
                <w:rFonts w:asciiTheme="minorHAnsi" w:hAnsiTheme="minorHAnsi"/>
              </w:rPr>
              <w:t>of US</w:t>
            </w:r>
            <w:r w:rsidRPr="0093396C">
              <w:rPr>
                <w:rFonts w:asciiTheme="minorHAnsi" w:hAnsiTheme="minorHAnsi"/>
              </w:rPr>
              <w:t xml:space="preserve">$392, 857 of co-financing for a new GEF/UNDP renewable energy (SE4ALL) project, </w:t>
            </w:r>
            <w:r w:rsidR="00BC74CB" w:rsidRPr="0093396C">
              <w:rPr>
                <w:rFonts w:asciiTheme="minorHAnsi" w:hAnsiTheme="minorHAnsi"/>
              </w:rPr>
              <w:t xml:space="preserve">a reflection of increased awareness and private sector participation in the sector.   UNDP </w:t>
            </w:r>
            <w:r w:rsidR="00FA69D6" w:rsidRPr="0093396C">
              <w:rPr>
                <w:rFonts w:asciiTheme="minorHAnsi" w:hAnsiTheme="minorHAnsi"/>
              </w:rPr>
              <w:t xml:space="preserve"> </w:t>
            </w:r>
            <w:r w:rsidR="00BC74CB" w:rsidRPr="0093396C">
              <w:rPr>
                <w:rFonts w:asciiTheme="minorHAnsi" w:hAnsiTheme="minorHAnsi"/>
              </w:rPr>
              <w:t xml:space="preserve"> support </w:t>
            </w:r>
            <w:r w:rsidR="00FA69D6" w:rsidRPr="0093396C">
              <w:rPr>
                <w:rFonts w:asciiTheme="minorHAnsi" w:hAnsiTheme="minorHAnsi"/>
              </w:rPr>
              <w:t xml:space="preserve">helped </w:t>
            </w:r>
            <w:r w:rsidR="00BC74CB" w:rsidRPr="0093396C">
              <w:rPr>
                <w:rFonts w:asciiTheme="minorHAnsi" w:hAnsiTheme="minorHAnsi"/>
              </w:rPr>
              <w:t xml:space="preserve"> </w:t>
            </w:r>
            <w:r w:rsidR="00FA69D6" w:rsidRPr="0093396C">
              <w:rPr>
                <w:rFonts w:asciiTheme="minorHAnsi" w:hAnsiTheme="minorHAnsi"/>
              </w:rPr>
              <w:t xml:space="preserve"> develop</w:t>
            </w:r>
            <w:r w:rsidR="00BC74CB" w:rsidRPr="0093396C">
              <w:rPr>
                <w:rFonts w:asciiTheme="minorHAnsi" w:hAnsiTheme="minorHAnsi"/>
              </w:rPr>
              <w:t xml:space="preserve"> a robust regulatory framework that has ensure</w:t>
            </w:r>
            <w:r w:rsidR="00A62B29" w:rsidRPr="0093396C">
              <w:rPr>
                <w:rFonts w:asciiTheme="minorHAnsi" w:hAnsiTheme="minorHAnsi"/>
              </w:rPr>
              <w:t>d</w:t>
            </w:r>
            <w:r w:rsidR="00BC74CB" w:rsidRPr="0093396C">
              <w:rPr>
                <w:rFonts w:asciiTheme="minorHAnsi" w:hAnsiTheme="minorHAnsi"/>
              </w:rPr>
              <w:t xml:space="preserve"> that only certified solar companies are awarded contracts for installation of solar systems by private sector, development agencies and Government, resulting in high quality and sustainable solar photovoltaic installations countrywide.</w:t>
            </w:r>
          </w:p>
          <w:p w14:paraId="72C125E9" w14:textId="1D87F5FA" w:rsidR="00642A4B" w:rsidRPr="0093396C" w:rsidRDefault="00616E0E" w:rsidP="006077E0">
            <w:pPr>
              <w:pStyle w:val="BodyText2"/>
              <w:numPr>
                <w:ilvl w:val="0"/>
                <w:numId w:val="9"/>
              </w:numPr>
              <w:jc w:val="both"/>
              <w:rPr>
                <w:rFonts w:asciiTheme="minorHAnsi" w:hAnsiTheme="minorHAnsi"/>
              </w:rPr>
            </w:pPr>
            <w:r w:rsidRPr="0093396C">
              <w:rPr>
                <w:rFonts w:asciiTheme="minorHAnsi" w:hAnsiTheme="minorHAnsi"/>
              </w:rPr>
              <w:t xml:space="preserve"> The   US $ 22.7 million GEF/UNDP funded Sustainable Energy for All Project which aims at building on and scaling up the investments and achievements of the GEF/UNDP Lesotho Renewable Energy Based Rural Elect</w:t>
            </w:r>
            <w:r w:rsidR="00CC588F" w:rsidRPr="0093396C">
              <w:rPr>
                <w:rFonts w:asciiTheme="minorHAnsi" w:hAnsiTheme="minorHAnsi"/>
              </w:rPr>
              <w:t>rification project (LREBRE)</w:t>
            </w:r>
            <w:r w:rsidR="00AD7404" w:rsidRPr="0093396C">
              <w:rPr>
                <w:rFonts w:asciiTheme="minorHAnsi" w:hAnsiTheme="minorHAnsi"/>
              </w:rPr>
              <w:t xml:space="preserve"> </w:t>
            </w:r>
            <w:r w:rsidR="00CC588F" w:rsidRPr="0093396C">
              <w:rPr>
                <w:rFonts w:asciiTheme="minorHAnsi" w:hAnsiTheme="minorHAnsi"/>
              </w:rPr>
              <w:t>(2007</w:t>
            </w:r>
            <w:r w:rsidRPr="0093396C">
              <w:rPr>
                <w:rFonts w:asciiTheme="minorHAnsi" w:hAnsiTheme="minorHAnsi"/>
              </w:rPr>
              <w:t xml:space="preserve">-2013) was launched in October, 2016 </w:t>
            </w:r>
            <w:r w:rsidR="001B4213" w:rsidRPr="0093396C">
              <w:rPr>
                <w:rFonts w:asciiTheme="minorHAnsi" w:hAnsiTheme="minorHAnsi"/>
              </w:rPr>
              <w:t xml:space="preserve">to </w:t>
            </w:r>
            <w:r w:rsidRPr="0093396C">
              <w:rPr>
                <w:rFonts w:asciiTheme="minorHAnsi" w:hAnsiTheme="minorHAnsi"/>
              </w:rPr>
              <w:t>enhance access to clean energy for undeserved rural communities and is therefore yet to show results.</w:t>
            </w:r>
          </w:p>
          <w:p w14:paraId="65AA212E" w14:textId="5A011170" w:rsidR="00E354BE" w:rsidRPr="0093396C" w:rsidRDefault="00E354BE" w:rsidP="0046633F">
            <w:pPr>
              <w:pStyle w:val="BodyText2"/>
              <w:ind w:left="1080"/>
              <w:jc w:val="both"/>
              <w:rPr>
                <w:rFonts w:asciiTheme="minorHAnsi" w:hAnsiTheme="minorHAnsi"/>
              </w:rPr>
            </w:pPr>
          </w:p>
          <w:p w14:paraId="4AC7CF7B" w14:textId="77777777" w:rsidR="00E354BE" w:rsidRPr="0093396C" w:rsidRDefault="0096594D" w:rsidP="0078292C">
            <w:pPr>
              <w:pStyle w:val="BodyText2"/>
              <w:ind w:left="1080"/>
              <w:rPr>
                <w:rFonts w:asciiTheme="minorHAnsi" w:hAnsiTheme="minorHAnsi"/>
                <w:b/>
              </w:rPr>
            </w:pPr>
            <w:r w:rsidRPr="0093396C">
              <w:rPr>
                <w:rFonts w:asciiTheme="minorHAnsi" w:hAnsiTheme="minorHAnsi"/>
                <w:b/>
              </w:rPr>
              <w:t>Sustainable Land Management</w:t>
            </w:r>
          </w:p>
          <w:p w14:paraId="1C8CB6A4" w14:textId="3BA34518" w:rsidR="0078292C" w:rsidRDefault="0078292C" w:rsidP="0078292C">
            <w:pPr>
              <w:pStyle w:val="BodyText2"/>
              <w:numPr>
                <w:ilvl w:val="0"/>
                <w:numId w:val="21"/>
              </w:numPr>
              <w:rPr>
                <w:rFonts w:asciiTheme="minorHAnsi" w:hAnsiTheme="minorHAnsi"/>
              </w:rPr>
            </w:pPr>
            <w:r>
              <w:rPr>
                <w:rFonts w:asciiTheme="minorHAnsi" w:hAnsiTheme="minorHAnsi"/>
              </w:rPr>
              <w:t>Cooperation Strategy on Community Management of Protected Areas Conservations between South Africa and Lesotho developed to strengthening local communities’ capacities in promoting sustainable conservation of natural resources</w:t>
            </w:r>
          </w:p>
          <w:p w14:paraId="4813FFFC" w14:textId="0C7FC3F1" w:rsidR="0078292C" w:rsidRPr="0078292C" w:rsidRDefault="0078292C" w:rsidP="0078292C">
            <w:pPr>
              <w:pStyle w:val="BodyText2"/>
              <w:numPr>
                <w:ilvl w:val="0"/>
                <w:numId w:val="21"/>
              </w:numPr>
              <w:rPr>
                <w:rFonts w:asciiTheme="minorHAnsi" w:hAnsiTheme="minorHAnsi"/>
              </w:rPr>
            </w:pPr>
            <w:r w:rsidRPr="0078292C">
              <w:rPr>
                <w:rFonts w:asciiTheme="minorHAnsi" w:hAnsiTheme="minorHAnsi"/>
              </w:rPr>
              <w:t>Communities supported to implement climate smart sustainable land management initiatives which has improved livelihoods in the targeted areas</w:t>
            </w:r>
          </w:p>
          <w:p w14:paraId="705B1AB0" w14:textId="24E2CAF5" w:rsidR="0078292C" w:rsidRDefault="004D7580" w:rsidP="00C83DA2">
            <w:pPr>
              <w:pStyle w:val="BodyText2"/>
              <w:numPr>
                <w:ilvl w:val="0"/>
                <w:numId w:val="21"/>
              </w:numPr>
              <w:rPr>
                <w:rFonts w:asciiTheme="minorHAnsi" w:hAnsiTheme="minorHAnsi"/>
                <w:b/>
                <w:color w:val="000000"/>
              </w:rPr>
            </w:pPr>
            <w:r w:rsidRPr="0078292C">
              <w:rPr>
                <w:rFonts w:asciiTheme="minorHAnsi" w:hAnsiTheme="minorHAnsi"/>
              </w:rPr>
              <w:t>UNDP supported the development of a Country Sustainable L</w:t>
            </w:r>
            <w:r w:rsidR="00F26DBE" w:rsidRPr="0078292C">
              <w:rPr>
                <w:rFonts w:asciiTheme="minorHAnsi" w:hAnsiTheme="minorHAnsi"/>
              </w:rPr>
              <w:t xml:space="preserve">and Management </w:t>
            </w:r>
            <w:r w:rsidR="00A62B29" w:rsidRPr="0078292C">
              <w:rPr>
                <w:rFonts w:asciiTheme="minorHAnsi" w:hAnsiTheme="minorHAnsi"/>
              </w:rPr>
              <w:t xml:space="preserve">Investment </w:t>
            </w:r>
            <w:r w:rsidRPr="0078292C">
              <w:rPr>
                <w:rFonts w:asciiTheme="minorHAnsi" w:hAnsiTheme="minorHAnsi"/>
              </w:rPr>
              <w:t xml:space="preserve">Framework was produced (though it remains to be </w:t>
            </w:r>
            <w:r w:rsidR="00AD7404" w:rsidRPr="0078292C">
              <w:rPr>
                <w:rFonts w:asciiTheme="minorHAnsi" w:hAnsiTheme="minorHAnsi"/>
              </w:rPr>
              <w:t>institutionalized</w:t>
            </w:r>
            <w:r w:rsidRPr="0078292C">
              <w:rPr>
                <w:rFonts w:asciiTheme="minorHAnsi" w:hAnsiTheme="minorHAnsi"/>
              </w:rPr>
              <w:t xml:space="preserve">) the integration of SLM </w:t>
            </w:r>
            <w:r w:rsidR="00616E0E" w:rsidRPr="0078292C">
              <w:rPr>
                <w:rFonts w:asciiTheme="minorHAnsi" w:hAnsiTheme="minorHAnsi"/>
              </w:rPr>
              <w:t xml:space="preserve">in two national policies, </w:t>
            </w:r>
            <w:r w:rsidRPr="0078292C">
              <w:rPr>
                <w:rFonts w:asciiTheme="minorHAnsi" w:hAnsiTheme="minorHAnsi"/>
              </w:rPr>
              <w:t xml:space="preserve">a) Range Management Policy, and </w:t>
            </w:r>
            <w:r w:rsidR="00F26DBE" w:rsidRPr="0078292C">
              <w:rPr>
                <w:rFonts w:asciiTheme="minorHAnsi" w:hAnsiTheme="minorHAnsi"/>
              </w:rPr>
              <w:t>b) Soil and Water Conservation, whic</w:t>
            </w:r>
            <w:r w:rsidR="00A62B29" w:rsidRPr="0078292C">
              <w:rPr>
                <w:rFonts w:asciiTheme="minorHAnsi" w:hAnsiTheme="minorHAnsi"/>
              </w:rPr>
              <w:t>h have been approved by Cabinet</w:t>
            </w:r>
            <w:r w:rsidR="00F26DBE" w:rsidRPr="0078292C">
              <w:rPr>
                <w:rFonts w:asciiTheme="minorHAnsi" w:hAnsiTheme="minorHAnsi"/>
              </w:rPr>
              <w:t xml:space="preserve"> to guide the management of ranges, soils and water, the three key sources of land degradation in Lesotho. </w:t>
            </w:r>
            <w:r w:rsidRPr="0078292C">
              <w:rPr>
                <w:rFonts w:asciiTheme="minorHAnsi" w:hAnsiTheme="minorHAnsi"/>
              </w:rPr>
              <w:t>The</w:t>
            </w:r>
            <w:r w:rsidR="006F7D2B" w:rsidRPr="0078292C">
              <w:rPr>
                <w:rFonts w:asciiTheme="minorHAnsi" w:hAnsiTheme="minorHAnsi"/>
              </w:rPr>
              <w:t>se p</w:t>
            </w:r>
            <w:r w:rsidR="00AD7404" w:rsidRPr="0078292C">
              <w:rPr>
                <w:rFonts w:asciiTheme="minorHAnsi" w:hAnsiTheme="minorHAnsi"/>
              </w:rPr>
              <w:t>olicies are</w:t>
            </w:r>
            <w:r w:rsidR="00CC588F" w:rsidRPr="0078292C">
              <w:rPr>
                <w:rFonts w:asciiTheme="minorHAnsi" w:hAnsiTheme="minorHAnsi"/>
              </w:rPr>
              <w:t xml:space="preserve"> therefore</w:t>
            </w:r>
            <w:r w:rsidR="0096594D" w:rsidRPr="0078292C">
              <w:rPr>
                <w:rFonts w:asciiTheme="minorHAnsi" w:hAnsiTheme="minorHAnsi"/>
              </w:rPr>
              <w:t xml:space="preserve"> </w:t>
            </w:r>
            <w:r w:rsidR="00F26DBE" w:rsidRPr="0078292C">
              <w:rPr>
                <w:rFonts w:asciiTheme="minorHAnsi" w:hAnsiTheme="minorHAnsi"/>
              </w:rPr>
              <w:t xml:space="preserve">key in promoting and scaling up sustainable land management in Lesotho. </w:t>
            </w:r>
            <w:r w:rsidR="00A62B29" w:rsidRPr="0078292C">
              <w:rPr>
                <w:rFonts w:asciiTheme="minorHAnsi" w:hAnsiTheme="minorHAnsi"/>
              </w:rPr>
              <w:t xml:space="preserve">A National SLM platform has also been </w:t>
            </w:r>
            <w:r w:rsidR="006F7D2B" w:rsidRPr="0078292C">
              <w:rPr>
                <w:rFonts w:asciiTheme="minorHAnsi" w:hAnsiTheme="minorHAnsi"/>
              </w:rPr>
              <w:t>created for knowledge sharing of SLM issues at national and regional level</w:t>
            </w:r>
            <w:r w:rsidR="00A62B29" w:rsidRPr="0078292C">
              <w:rPr>
                <w:rFonts w:asciiTheme="minorHAnsi" w:hAnsiTheme="minorHAnsi"/>
              </w:rPr>
              <w:t>s.</w:t>
            </w:r>
            <w:r w:rsidR="00A73010" w:rsidRPr="0078292C">
              <w:rPr>
                <w:rFonts w:asciiTheme="minorHAnsi" w:hAnsiTheme="minorHAnsi"/>
                <w:b/>
                <w:color w:val="000000"/>
              </w:rPr>
              <w:t xml:space="preserve"> </w:t>
            </w:r>
          </w:p>
          <w:p w14:paraId="6ED1A3B6" w14:textId="712BF531" w:rsidR="00AD7404" w:rsidRPr="0078292C" w:rsidRDefault="0078292C" w:rsidP="00C83DA2">
            <w:pPr>
              <w:pStyle w:val="BodyText2"/>
              <w:numPr>
                <w:ilvl w:val="0"/>
                <w:numId w:val="21"/>
              </w:numPr>
              <w:rPr>
                <w:rFonts w:asciiTheme="minorHAnsi" w:hAnsiTheme="minorHAnsi"/>
                <w:color w:val="000000"/>
              </w:rPr>
            </w:pPr>
            <w:r w:rsidRPr="0078292C">
              <w:rPr>
                <w:rFonts w:asciiTheme="minorHAnsi" w:hAnsiTheme="minorHAnsi"/>
              </w:rPr>
              <w:t xml:space="preserve">There </w:t>
            </w:r>
            <w:r w:rsidR="00A73010" w:rsidRPr="0078292C">
              <w:rPr>
                <w:rFonts w:asciiTheme="minorHAnsi" w:hAnsiTheme="minorHAnsi"/>
              </w:rPr>
              <w:t>is a notable appreciation and significant change in attitude towards protection of environment and natural resources among local communities as attested by the number</w:t>
            </w:r>
            <w:r w:rsidR="00A73010" w:rsidRPr="0078292C">
              <w:rPr>
                <w:rFonts w:asciiTheme="minorHAnsi" w:hAnsiTheme="minorHAnsi"/>
                <w:color w:val="000000"/>
              </w:rPr>
              <w:t xml:space="preserve"> of CSOs already voluntarily engaging in the land rehabilitation activities without the normal practice of cash for work. Again, there is increasing number of local communities partnering with or</w:t>
            </w:r>
            <w:r w:rsidR="00AD7404" w:rsidRPr="0078292C">
              <w:rPr>
                <w:rFonts w:asciiTheme="minorHAnsi" w:hAnsiTheme="minorHAnsi"/>
                <w:color w:val="000000"/>
              </w:rPr>
              <w:t xml:space="preserve"> seeking support from UNDP and GEF SGP for </w:t>
            </w:r>
            <w:r w:rsidR="00A73010" w:rsidRPr="0078292C">
              <w:rPr>
                <w:rFonts w:asciiTheme="minorHAnsi" w:hAnsiTheme="minorHAnsi"/>
                <w:color w:val="000000"/>
              </w:rPr>
              <w:t xml:space="preserve">community environmental protection projects and </w:t>
            </w:r>
            <w:r w:rsidR="00A73010" w:rsidRPr="0078292C">
              <w:rPr>
                <w:rFonts w:asciiTheme="minorHAnsi" w:hAnsiTheme="minorHAnsi"/>
                <w:color w:val="000000"/>
              </w:rPr>
              <w:lastRenderedPageBreak/>
              <w:t>research, significantly increasing the number of advocates for environmental sustainability</w:t>
            </w:r>
            <w:r w:rsidR="00AD7404" w:rsidRPr="0078292C">
              <w:rPr>
                <w:rFonts w:asciiTheme="minorHAnsi" w:hAnsiTheme="minorHAnsi"/>
                <w:color w:val="000000"/>
              </w:rPr>
              <w:t xml:space="preserve">. Out of the 25 women honored </w:t>
            </w:r>
            <w:r w:rsidR="00A73010" w:rsidRPr="0078292C">
              <w:rPr>
                <w:rFonts w:asciiTheme="minorHAnsi" w:hAnsiTheme="minorHAnsi"/>
                <w:color w:val="000000"/>
              </w:rPr>
              <w:t>by the Ministry of Energy and Meteorology, for their leadership and engagement in energy and climate change initiatives, 10 were members of UNDP/GEF Small Grants Scheme.</w:t>
            </w:r>
          </w:p>
          <w:p w14:paraId="2B8327E5" w14:textId="77777777" w:rsidR="00656699" w:rsidRDefault="00656699" w:rsidP="00DE5968">
            <w:pPr>
              <w:pStyle w:val="BodyText2"/>
              <w:ind w:left="1080"/>
              <w:rPr>
                <w:rFonts w:asciiTheme="minorHAnsi" w:hAnsiTheme="minorHAnsi"/>
                <w:b/>
              </w:rPr>
            </w:pPr>
          </w:p>
          <w:p w14:paraId="5D1CCFD5" w14:textId="4D82BC6B" w:rsidR="00CC588F" w:rsidRDefault="00CC588F" w:rsidP="00DE5968">
            <w:pPr>
              <w:pStyle w:val="BodyText2"/>
              <w:ind w:left="1080"/>
              <w:rPr>
                <w:rFonts w:asciiTheme="minorHAnsi" w:hAnsiTheme="minorHAnsi"/>
                <w:b/>
              </w:rPr>
            </w:pPr>
            <w:r w:rsidRPr="0093396C">
              <w:rPr>
                <w:rFonts w:asciiTheme="minorHAnsi" w:hAnsiTheme="minorHAnsi"/>
                <w:b/>
              </w:rPr>
              <w:t>Disaster Risk Management coordination and implementation</w:t>
            </w:r>
          </w:p>
          <w:p w14:paraId="355E11B2" w14:textId="61659414" w:rsidR="002E33CE" w:rsidRPr="0093396C" w:rsidRDefault="006B6494" w:rsidP="00DE5968">
            <w:pPr>
              <w:pStyle w:val="BodyText2"/>
              <w:numPr>
                <w:ilvl w:val="0"/>
                <w:numId w:val="24"/>
              </w:numPr>
              <w:rPr>
                <w:rFonts w:asciiTheme="minorHAnsi" w:hAnsiTheme="minorHAnsi"/>
              </w:rPr>
            </w:pPr>
            <w:r w:rsidRPr="0093396C">
              <w:rPr>
                <w:rFonts w:asciiTheme="minorHAnsi" w:hAnsiTheme="minorHAnsi"/>
              </w:rPr>
              <w:t xml:space="preserve">UNDP has  is supporting </w:t>
            </w:r>
            <w:r w:rsidR="00CC588F" w:rsidRPr="0093396C">
              <w:rPr>
                <w:rFonts w:asciiTheme="minorHAnsi" w:hAnsiTheme="minorHAnsi"/>
              </w:rPr>
              <w:t xml:space="preserve"> the National Response to the El-Nino induced drought eme</w:t>
            </w:r>
            <w:r w:rsidRPr="0093396C">
              <w:rPr>
                <w:rFonts w:asciiTheme="minorHAnsi" w:hAnsiTheme="minorHAnsi"/>
              </w:rPr>
              <w:t xml:space="preserve">rgency  declared in December, 2015 and  has provided financial and technical assistance for the co-ordination of the humanitarian response as well as for the development of a National Resilience Framework to ensure Lesotho adopts  a long term perspective and holistic  approach to  addressing issues of climate change and disasters  by mainstreaming  climate and disaster risk management into national development and  sectoral plans. </w:t>
            </w:r>
          </w:p>
        </w:tc>
      </w:tr>
      <w:tr w:rsidR="00533764" w:rsidRPr="0093396C" w14:paraId="4BA14A6F" w14:textId="77777777" w:rsidTr="008D739D">
        <w:tc>
          <w:tcPr>
            <w:tcW w:w="3510" w:type="dxa"/>
            <w:gridSpan w:val="3"/>
          </w:tcPr>
          <w:p w14:paraId="5C2A6BAB" w14:textId="77777777" w:rsidR="00533764" w:rsidRPr="0093396C" w:rsidRDefault="00533764" w:rsidP="00533764">
            <w:pPr>
              <w:pStyle w:val="BodyText2"/>
              <w:rPr>
                <w:rFonts w:asciiTheme="minorHAnsi" w:hAnsiTheme="minorHAnsi"/>
                <w:b/>
              </w:rPr>
            </w:pPr>
          </w:p>
        </w:tc>
        <w:tc>
          <w:tcPr>
            <w:tcW w:w="3510" w:type="dxa"/>
            <w:gridSpan w:val="2"/>
          </w:tcPr>
          <w:p w14:paraId="627159B5" w14:textId="77777777" w:rsidR="00533764" w:rsidRPr="0093396C" w:rsidRDefault="00533764" w:rsidP="00533764">
            <w:pPr>
              <w:pStyle w:val="BodyText2"/>
              <w:rPr>
                <w:rFonts w:asciiTheme="minorHAnsi" w:hAnsiTheme="minorHAnsi"/>
                <w:b/>
              </w:rPr>
            </w:pPr>
          </w:p>
        </w:tc>
        <w:tc>
          <w:tcPr>
            <w:tcW w:w="3510" w:type="dxa"/>
            <w:gridSpan w:val="2"/>
          </w:tcPr>
          <w:p w14:paraId="318B65BF" w14:textId="77777777" w:rsidR="00533764" w:rsidRPr="0093396C" w:rsidRDefault="00533764" w:rsidP="00533764">
            <w:pPr>
              <w:pStyle w:val="BodyText2"/>
              <w:rPr>
                <w:rFonts w:asciiTheme="minorHAnsi" w:hAnsiTheme="minorHAnsi"/>
                <w:b/>
              </w:rPr>
            </w:pPr>
          </w:p>
        </w:tc>
        <w:tc>
          <w:tcPr>
            <w:tcW w:w="3510" w:type="dxa"/>
          </w:tcPr>
          <w:p w14:paraId="4BCB26EE" w14:textId="77777777" w:rsidR="00533764" w:rsidRPr="0093396C" w:rsidRDefault="00533764" w:rsidP="00533764">
            <w:pPr>
              <w:pStyle w:val="BodyText2"/>
              <w:rPr>
                <w:rFonts w:asciiTheme="minorHAnsi" w:hAnsiTheme="minorHAnsi"/>
                <w:b/>
              </w:rPr>
            </w:pPr>
          </w:p>
        </w:tc>
      </w:tr>
      <w:tr w:rsidR="00533764" w:rsidRPr="0093396C" w14:paraId="258D2110" w14:textId="77777777" w:rsidTr="008D739D">
        <w:tc>
          <w:tcPr>
            <w:tcW w:w="3510" w:type="dxa"/>
            <w:gridSpan w:val="3"/>
          </w:tcPr>
          <w:p w14:paraId="05B1533A" w14:textId="77777777" w:rsidR="00533764" w:rsidRPr="0093396C" w:rsidRDefault="00533764" w:rsidP="00533764">
            <w:pPr>
              <w:pStyle w:val="BodyText2"/>
              <w:rPr>
                <w:rFonts w:asciiTheme="minorHAnsi" w:hAnsiTheme="minorHAnsi"/>
                <w:b/>
              </w:rPr>
            </w:pPr>
            <w:r w:rsidRPr="0093396C">
              <w:rPr>
                <w:rFonts w:asciiTheme="minorHAnsi" w:hAnsiTheme="minorHAnsi"/>
                <w:b/>
              </w:rPr>
              <w:t>Outcomes</w:t>
            </w:r>
          </w:p>
        </w:tc>
        <w:tc>
          <w:tcPr>
            <w:tcW w:w="3510" w:type="dxa"/>
            <w:gridSpan w:val="2"/>
          </w:tcPr>
          <w:p w14:paraId="7ED295CF" w14:textId="77777777" w:rsidR="00533764" w:rsidRPr="0093396C" w:rsidRDefault="00533764" w:rsidP="00533764">
            <w:pPr>
              <w:pStyle w:val="BodyText2"/>
              <w:rPr>
                <w:rFonts w:asciiTheme="minorHAnsi" w:hAnsiTheme="minorHAnsi"/>
                <w:b/>
              </w:rPr>
            </w:pPr>
            <w:r w:rsidRPr="0093396C">
              <w:rPr>
                <w:rFonts w:asciiTheme="minorHAnsi" w:hAnsiTheme="minorHAnsi"/>
                <w:b/>
              </w:rPr>
              <w:t>Total Expenditure(USD)</w:t>
            </w:r>
          </w:p>
        </w:tc>
        <w:tc>
          <w:tcPr>
            <w:tcW w:w="3510" w:type="dxa"/>
            <w:gridSpan w:val="2"/>
          </w:tcPr>
          <w:p w14:paraId="6FCA19D0" w14:textId="77777777" w:rsidR="00533764" w:rsidRPr="0093396C" w:rsidRDefault="00533764" w:rsidP="00533764">
            <w:pPr>
              <w:pStyle w:val="BodyText2"/>
              <w:rPr>
                <w:rFonts w:asciiTheme="minorHAnsi" w:hAnsiTheme="minorHAnsi"/>
                <w:b/>
              </w:rPr>
            </w:pPr>
            <w:r w:rsidRPr="0093396C">
              <w:rPr>
                <w:rFonts w:asciiTheme="minorHAnsi" w:hAnsiTheme="minorHAnsi"/>
                <w:b/>
              </w:rPr>
              <w:t>Key Indicators of outcome (1-4 per outcome)</w:t>
            </w:r>
          </w:p>
        </w:tc>
        <w:tc>
          <w:tcPr>
            <w:tcW w:w="3510" w:type="dxa"/>
          </w:tcPr>
          <w:p w14:paraId="374D24E4" w14:textId="77777777" w:rsidR="00533764" w:rsidRPr="0093396C" w:rsidRDefault="00533764" w:rsidP="00533764">
            <w:pPr>
              <w:pStyle w:val="BodyText2"/>
              <w:rPr>
                <w:rFonts w:asciiTheme="minorHAnsi" w:hAnsiTheme="minorHAnsi"/>
                <w:b/>
              </w:rPr>
            </w:pPr>
            <w:r w:rsidRPr="0093396C">
              <w:rPr>
                <w:rFonts w:asciiTheme="minorHAnsi" w:hAnsiTheme="minorHAnsi"/>
                <w:b/>
              </w:rPr>
              <w:t>Progress made against key indicators</w:t>
            </w:r>
          </w:p>
        </w:tc>
      </w:tr>
      <w:tr w:rsidR="00533764" w:rsidRPr="0093396C" w14:paraId="7BC36363" w14:textId="77777777" w:rsidTr="008D739D">
        <w:tc>
          <w:tcPr>
            <w:tcW w:w="3510" w:type="dxa"/>
            <w:gridSpan w:val="3"/>
          </w:tcPr>
          <w:p w14:paraId="323A1B4F" w14:textId="77777777" w:rsidR="00533764" w:rsidRPr="0093396C" w:rsidRDefault="00E21859" w:rsidP="00533764">
            <w:pPr>
              <w:pStyle w:val="BodyText2"/>
              <w:rPr>
                <w:rFonts w:asciiTheme="minorHAnsi" w:hAnsiTheme="minorHAnsi"/>
                <w:b/>
              </w:rPr>
            </w:pPr>
            <w:r w:rsidRPr="0093396C">
              <w:rPr>
                <w:rFonts w:ascii="Times New Roman" w:hAnsi="Times New Roman"/>
                <w:b/>
              </w:rPr>
              <w:t>35. National and local governance structures deliver quality and accessible services to all citizens respecting the protection of human rights &amp; access to justice, and peaceful resolution of conflict</w:t>
            </w:r>
          </w:p>
        </w:tc>
        <w:tc>
          <w:tcPr>
            <w:tcW w:w="3510" w:type="dxa"/>
            <w:gridSpan w:val="2"/>
          </w:tcPr>
          <w:p w14:paraId="2A6C5C9A" w14:textId="77777777" w:rsidR="00081541" w:rsidRPr="00081541" w:rsidRDefault="00081541" w:rsidP="00081541">
            <w:pPr>
              <w:pStyle w:val="BodyText2"/>
              <w:rPr>
                <w:rFonts w:asciiTheme="minorHAnsi" w:hAnsiTheme="minorHAnsi"/>
                <w:b/>
              </w:rPr>
            </w:pPr>
            <w:r w:rsidRPr="00081541">
              <w:rPr>
                <w:rFonts w:asciiTheme="minorHAnsi" w:hAnsiTheme="minorHAnsi"/>
                <w:b/>
              </w:rPr>
              <w:t>3,501,512</w:t>
            </w:r>
          </w:p>
          <w:p w14:paraId="7A367DE3" w14:textId="4C1F6F00" w:rsidR="00533764" w:rsidRPr="00081541" w:rsidRDefault="00533764" w:rsidP="00533764">
            <w:pPr>
              <w:pStyle w:val="BodyText2"/>
              <w:rPr>
                <w:rFonts w:asciiTheme="minorHAnsi" w:hAnsiTheme="minorHAnsi"/>
                <w:b/>
              </w:rPr>
            </w:pPr>
          </w:p>
        </w:tc>
        <w:tc>
          <w:tcPr>
            <w:tcW w:w="3510" w:type="dxa"/>
            <w:gridSpan w:val="2"/>
          </w:tcPr>
          <w:p w14:paraId="178865A7" w14:textId="53EC9123" w:rsidR="00A73010" w:rsidRPr="0093396C" w:rsidRDefault="00652ACF" w:rsidP="006077E0">
            <w:pPr>
              <w:pStyle w:val="BodyText2"/>
              <w:numPr>
                <w:ilvl w:val="0"/>
                <w:numId w:val="8"/>
              </w:numPr>
              <w:rPr>
                <w:rFonts w:asciiTheme="minorHAnsi" w:hAnsiTheme="minorHAnsi"/>
                <w:color w:val="000000"/>
              </w:rPr>
            </w:pPr>
            <w:r w:rsidRPr="0093396C">
              <w:rPr>
                <w:rFonts w:asciiTheme="minorHAnsi" w:hAnsiTheme="minorHAnsi"/>
                <w:color w:val="000000"/>
              </w:rPr>
              <w:t>Quality of public services;</w:t>
            </w:r>
          </w:p>
          <w:p w14:paraId="3588DAC2" w14:textId="2B3D090E" w:rsidR="00EA7A65" w:rsidRPr="0093396C" w:rsidRDefault="00EA7A65" w:rsidP="006077E0">
            <w:pPr>
              <w:pStyle w:val="BodyText2"/>
              <w:numPr>
                <w:ilvl w:val="0"/>
                <w:numId w:val="8"/>
              </w:numPr>
              <w:rPr>
                <w:rFonts w:asciiTheme="minorHAnsi" w:hAnsiTheme="minorHAnsi"/>
                <w:color w:val="000000"/>
              </w:rPr>
            </w:pPr>
            <w:r w:rsidRPr="0093396C">
              <w:rPr>
                <w:rFonts w:asciiTheme="minorHAnsi" w:hAnsiTheme="minorHAnsi"/>
                <w:color w:val="000000"/>
              </w:rPr>
              <w:t>Number and type of institutions promoting gender equality and human rights</w:t>
            </w:r>
          </w:p>
          <w:p w14:paraId="6890723E" w14:textId="11F357C0" w:rsidR="00642A4B" w:rsidRPr="0093396C" w:rsidRDefault="00642A4B" w:rsidP="006077E0">
            <w:pPr>
              <w:pStyle w:val="BodyText2"/>
              <w:numPr>
                <w:ilvl w:val="0"/>
                <w:numId w:val="8"/>
              </w:numPr>
              <w:rPr>
                <w:rFonts w:asciiTheme="minorHAnsi" w:hAnsiTheme="minorHAnsi"/>
                <w:color w:val="000000"/>
              </w:rPr>
            </w:pPr>
            <w:r w:rsidRPr="0093396C">
              <w:rPr>
                <w:rFonts w:asciiTheme="minorHAnsi" w:hAnsiTheme="minorHAnsi"/>
                <w:color w:val="000000"/>
              </w:rPr>
              <w:t xml:space="preserve">% of </w:t>
            </w:r>
            <w:r w:rsidR="009C534E" w:rsidRPr="0093396C">
              <w:rPr>
                <w:rFonts w:asciiTheme="minorHAnsi" w:hAnsiTheme="minorHAnsi"/>
                <w:color w:val="000000"/>
              </w:rPr>
              <w:t>targeted governmental</w:t>
            </w:r>
            <w:r w:rsidR="00BE0ED1" w:rsidRPr="0093396C">
              <w:rPr>
                <w:rFonts w:asciiTheme="minorHAnsi" w:hAnsiTheme="minorHAnsi"/>
                <w:color w:val="000000"/>
              </w:rPr>
              <w:t xml:space="preserve"> entities (national and local) that meet revised standards of public service </w:t>
            </w:r>
          </w:p>
          <w:p w14:paraId="087B9FD3" w14:textId="0AFA0C74" w:rsidR="00BE0ED1" w:rsidRPr="0093396C" w:rsidRDefault="00BE0ED1" w:rsidP="006077E0">
            <w:pPr>
              <w:pStyle w:val="BodyText2"/>
              <w:numPr>
                <w:ilvl w:val="0"/>
                <w:numId w:val="8"/>
              </w:numPr>
              <w:rPr>
                <w:rFonts w:asciiTheme="minorHAnsi" w:hAnsiTheme="minorHAnsi"/>
                <w:color w:val="000000"/>
              </w:rPr>
            </w:pPr>
            <w:r w:rsidRPr="0093396C">
              <w:rPr>
                <w:rFonts w:asciiTheme="minorHAnsi" w:hAnsiTheme="minorHAnsi"/>
                <w:color w:val="000000"/>
              </w:rPr>
              <w:t>An operational national peace architecture</w:t>
            </w:r>
            <w:r w:rsidRPr="0093396C">
              <w:rPr>
                <w:rFonts w:asciiTheme="minorHAnsi" w:hAnsiTheme="minorHAnsi"/>
                <w:lang w:val="en-GB"/>
              </w:rPr>
              <w:t xml:space="preserve"> </w:t>
            </w:r>
          </w:p>
        </w:tc>
        <w:tc>
          <w:tcPr>
            <w:tcW w:w="3510" w:type="dxa"/>
          </w:tcPr>
          <w:p w14:paraId="09AF1954" w14:textId="2CD1F7A4" w:rsidR="00DB16F8" w:rsidRPr="0093396C" w:rsidRDefault="00DB16F8" w:rsidP="006077E0">
            <w:pPr>
              <w:pStyle w:val="BodyText2"/>
              <w:numPr>
                <w:ilvl w:val="0"/>
                <w:numId w:val="12"/>
              </w:numPr>
              <w:rPr>
                <w:rFonts w:asciiTheme="minorHAnsi" w:hAnsiTheme="minorHAnsi"/>
              </w:rPr>
            </w:pPr>
            <w:r w:rsidRPr="0093396C">
              <w:rPr>
                <w:rFonts w:asciiTheme="minorHAnsi" w:hAnsiTheme="minorHAnsi"/>
              </w:rPr>
              <w:t xml:space="preserve">A </w:t>
            </w:r>
            <w:r w:rsidR="00DC3C4B" w:rsidRPr="0093396C">
              <w:rPr>
                <w:rFonts w:asciiTheme="minorHAnsi" w:hAnsiTheme="minorHAnsi"/>
              </w:rPr>
              <w:t xml:space="preserve">national </w:t>
            </w:r>
            <w:r w:rsidR="0089558D" w:rsidRPr="0093396C">
              <w:rPr>
                <w:rFonts w:asciiTheme="minorHAnsi" w:hAnsiTheme="minorHAnsi"/>
              </w:rPr>
              <w:t>Performance Management System has been developed</w:t>
            </w:r>
            <w:r w:rsidR="00DC3C4B" w:rsidRPr="0093396C">
              <w:rPr>
                <w:rFonts w:asciiTheme="minorHAnsi" w:hAnsiTheme="minorHAnsi"/>
              </w:rPr>
              <w:t xml:space="preserve"> for the public service.</w:t>
            </w:r>
          </w:p>
          <w:p w14:paraId="1D6B5D6C" w14:textId="44821822" w:rsidR="00DB16F8" w:rsidRPr="0093396C" w:rsidRDefault="00DC3C4B" w:rsidP="006077E0">
            <w:pPr>
              <w:pStyle w:val="BodyText2"/>
              <w:numPr>
                <w:ilvl w:val="0"/>
                <w:numId w:val="12"/>
              </w:numPr>
              <w:rPr>
                <w:rFonts w:asciiTheme="minorHAnsi" w:hAnsiTheme="minorHAnsi"/>
                <w:color w:val="000000"/>
              </w:rPr>
            </w:pPr>
            <w:r w:rsidRPr="0093396C">
              <w:rPr>
                <w:rFonts w:asciiTheme="minorHAnsi" w:hAnsiTheme="minorHAnsi"/>
                <w:color w:val="000000"/>
              </w:rPr>
              <w:t xml:space="preserve">Establishment of </w:t>
            </w:r>
            <w:r w:rsidR="002E33CE" w:rsidRPr="0093396C">
              <w:rPr>
                <w:rFonts w:asciiTheme="minorHAnsi" w:hAnsiTheme="minorHAnsi"/>
                <w:color w:val="000000"/>
              </w:rPr>
              <w:t>a national</w:t>
            </w:r>
            <w:r w:rsidRPr="0093396C">
              <w:rPr>
                <w:rFonts w:asciiTheme="minorHAnsi" w:hAnsiTheme="minorHAnsi"/>
                <w:color w:val="000000"/>
              </w:rPr>
              <w:t xml:space="preserve"> human rights institution to enhance protection of human rights is underway</w:t>
            </w:r>
          </w:p>
          <w:p w14:paraId="2D7F0E43" w14:textId="0B7CD23B" w:rsidR="00B157C0" w:rsidRPr="00081541" w:rsidRDefault="00DB4BF1" w:rsidP="006077E0">
            <w:pPr>
              <w:pStyle w:val="BodyText2"/>
              <w:numPr>
                <w:ilvl w:val="0"/>
                <w:numId w:val="12"/>
              </w:numPr>
              <w:rPr>
                <w:rFonts w:asciiTheme="minorHAnsi" w:hAnsiTheme="minorHAnsi"/>
                <w:color w:val="000000"/>
              </w:rPr>
            </w:pPr>
            <w:r w:rsidRPr="00081541">
              <w:rPr>
                <w:rFonts w:asciiTheme="minorHAnsi" w:hAnsiTheme="minorHAnsi"/>
                <w:color w:val="000000"/>
              </w:rPr>
              <w:t xml:space="preserve">There has been limited progress on  the implementation of public service  improvement  initiative due to the frequent changes in government and politicisation  of the public service </w:t>
            </w:r>
            <w:r w:rsidR="00081541">
              <w:rPr>
                <w:rFonts w:asciiTheme="minorHAnsi" w:hAnsiTheme="minorHAnsi"/>
                <w:color w:val="000000"/>
              </w:rPr>
              <w:t>.1,3</w:t>
            </w:r>
          </w:p>
          <w:p w14:paraId="21977A51" w14:textId="00ADCC60" w:rsidR="00DC3C4B" w:rsidRDefault="00B157C0" w:rsidP="006077E0">
            <w:pPr>
              <w:pStyle w:val="BodyText2"/>
              <w:numPr>
                <w:ilvl w:val="0"/>
                <w:numId w:val="12"/>
              </w:numPr>
              <w:rPr>
                <w:rFonts w:asciiTheme="minorHAnsi" w:hAnsiTheme="minorHAnsi"/>
                <w:b/>
                <w:color w:val="000000"/>
              </w:rPr>
            </w:pPr>
            <w:r>
              <w:rPr>
                <w:rFonts w:asciiTheme="minorHAnsi" w:hAnsiTheme="minorHAnsi"/>
                <w:color w:val="000000"/>
              </w:rPr>
              <w:t xml:space="preserve">a. </w:t>
            </w:r>
            <w:r w:rsidR="00DC3C4B" w:rsidRPr="0093396C">
              <w:rPr>
                <w:rFonts w:asciiTheme="minorHAnsi" w:hAnsiTheme="minorHAnsi"/>
                <w:color w:val="000000"/>
              </w:rPr>
              <w:t xml:space="preserve">National capacities for peace were enhanced and enabled dialogue facilitation by religious leaders and the establishment of local peace infrastructure to </w:t>
            </w:r>
            <w:r w:rsidR="00DC3C4B" w:rsidRPr="0093396C">
              <w:rPr>
                <w:rFonts w:asciiTheme="minorHAnsi" w:hAnsiTheme="minorHAnsi"/>
                <w:color w:val="000000"/>
              </w:rPr>
              <w:lastRenderedPageBreak/>
              <w:t>reduce conflict</w:t>
            </w:r>
            <w:r w:rsidR="00DB16F8" w:rsidRPr="0093396C">
              <w:rPr>
                <w:rFonts w:asciiTheme="minorHAnsi" w:hAnsiTheme="minorHAnsi"/>
                <w:color w:val="000000"/>
              </w:rPr>
              <w:t xml:space="preserve"> in the conflict prone district.</w:t>
            </w:r>
            <w:r w:rsidR="00DB16F8" w:rsidRPr="0093396C">
              <w:rPr>
                <w:rFonts w:asciiTheme="minorHAnsi" w:hAnsiTheme="minorHAnsi"/>
                <w:b/>
                <w:color w:val="000000"/>
              </w:rPr>
              <w:t xml:space="preserve"> </w:t>
            </w:r>
          </w:p>
          <w:p w14:paraId="390C635F" w14:textId="1064791F" w:rsidR="008A576D" w:rsidRDefault="00B157C0" w:rsidP="00B157C0">
            <w:pPr>
              <w:pStyle w:val="BodyText2"/>
              <w:ind w:left="1080"/>
              <w:rPr>
                <w:rFonts w:asciiTheme="minorHAnsi" w:hAnsiTheme="minorHAnsi"/>
              </w:rPr>
            </w:pPr>
            <w:r>
              <w:rPr>
                <w:rFonts w:asciiTheme="minorHAnsi" w:hAnsiTheme="minorHAnsi"/>
              </w:rPr>
              <w:t xml:space="preserve">b. </w:t>
            </w:r>
            <w:r w:rsidR="008A576D" w:rsidRPr="00106790">
              <w:rPr>
                <w:rFonts w:asciiTheme="minorHAnsi" w:hAnsiTheme="minorHAnsi"/>
              </w:rPr>
              <w:t>Development of a National Reform Framework and Roadmap</w:t>
            </w:r>
            <w:r w:rsidR="00DB4BF1">
              <w:rPr>
                <w:rFonts w:asciiTheme="minorHAnsi" w:hAnsiTheme="minorHAnsi"/>
              </w:rPr>
              <w:t xml:space="preserve"> to guide the</w:t>
            </w:r>
            <w:r w:rsidR="00506942">
              <w:rPr>
                <w:rFonts w:asciiTheme="minorHAnsi" w:hAnsiTheme="minorHAnsi"/>
              </w:rPr>
              <w:t xml:space="preserve"> implementation in of </w:t>
            </w:r>
            <w:r w:rsidR="00DB4BF1">
              <w:rPr>
                <w:rFonts w:asciiTheme="minorHAnsi" w:hAnsiTheme="minorHAnsi"/>
              </w:rPr>
              <w:t xml:space="preserve"> inclusive and participatory </w:t>
            </w:r>
            <w:r w:rsidR="00506942">
              <w:rPr>
                <w:rFonts w:asciiTheme="minorHAnsi" w:hAnsiTheme="minorHAnsi"/>
              </w:rPr>
              <w:t xml:space="preserve">national dialogue </w:t>
            </w:r>
            <w:r w:rsidR="00DB4BF1">
              <w:rPr>
                <w:rFonts w:asciiTheme="minorHAnsi" w:hAnsiTheme="minorHAnsi"/>
              </w:rPr>
              <w:t>and</w:t>
            </w:r>
            <w:r w:rsidR="00506942">
              <w:rPr>
                <w:rFonts w:asciiTheme="minorHAnsi" w:hAnsiTheme="minorHAnsi"/>
              </w:rPr>
              <w:t xml:space="preserve">  reforms of the </w:t>
            </w:r>
            <w:r w:rsidR="00506942" w:rsidRPr="00506942">
              <w:rPr>
                <w:rFonts w:asciiTheme="minorHAnsi" w:hAnsiTheme="minorHAnsi"/>
              </w:rPr>
              <w:t xml:space="preserve">constitution, parliament, security and justice </w:t>
            </w:r>
            <w:r w:rsidR="00506942">
              <w:rPr>
                <w:rFonts w:asciiTheme="minorHAnsi" w:hAnsiTheme="minorHAnsi"/>
              </w:rPr>
              <w:t xml:space="preserve">sectors, and the public service.  </w:t>
            </w:r>
            <w:r w:rsidR="00506942" w:rsidRPr="00506942">
              <w:rPr>
                <w:rFonts w:asciiTheme="minorHAnsi" w:hAnsiTheme="minorHAnsi"/>
              </w:rPr>
              <w:t xml:space="preserve"> These reforms are viewed as necessary for Lesotho’s long-term </w:t>
            </w:r>
            <w:r w:rsidR="00506942">
              <w:rPr>
                <w:rFonts w:asciiTheme="minorHAnsi" w:hAnsiTheme="minorHAnsi"/>
              </w:rPr>
              <w:t xml:space="preserve">political </w:t>
            </w:r>
            <w:r w:rsidR="00506942" w:rsidRPr="00506942">
              <w:rPr>
                <w:rFonts w:asciiTheme="minorHAnsi" w:hAnsiTheme="minorHAnsi"/>
              </w:rPr>
              <w:t>stability and economic transformation.</w:t>
            </w:r>
          </w:p>
          <w:p w14:paraId="3993F24E" w14:textId="1EF113F6" w:rsidR="008A576D" w:rsidRPr="0093396C" w:rsidRDefault="008A576D" w:rsidP="008A576D">
            <w:pPr>
              <w:pStyle w:val="BodyText2"/>
              <w:ind w:left="1080"/>
              <w:rPr>
                <w:rFonts w:asciiTheme="minorHAnsi" w:hAnsiTheme="minorHAnsi"/>
                <w:b/>
                <w:color w:val="000000"/>
              </w:rPr>
            </w:pPr>
          </w:p>
        </w:tc>
      </w:tr>
      <w:tr w:rsidR="00533764" w:rsidRPr="0093396C" w14:paraId="7CA7EC6E" w14:textId="77777777" w:rsidTr="008D739D">
        <w:tc>
          <w:tcPr>
            <w:tcW w:w="14040" w:type="dxa"/>
            <w:gridSpan w:val="8"/>
          </w:tcPr>
          <w:p w14:paraId="11C8D0FE" w14:textId="673C7DAC" w:rsidR="00B54119" w:rsidRPr="0093396C" w:rsidRDefault="00B54119" w:rsidP="009F740E">
            <w:pPr>
              <w:pStyle w:val="BodyText2"/>
              <w:jc w:val="both"/>
              <w:rPr>
                <w:rFonts w:asciiTheme="minorHAnsi" w:hAnsiTheme="minorHAnsi"/>
              </w:rPr>
            </w:pPr>
            <w:r w:rsidRPr="0093396C">
              <w:rPr>
                <w:rFonts w:asciiTheme="minorHAnsi" w:hAnsiTheme="minorHAnsi"/>
                <w:b/>
              </w:rPr>
              <w:lastRenderedPageBreak/>
              <w:t>UNDP Contribution:</w:t>
            </w:r>
            <w:r w:rsidR="009461AA" w:rsidRPr="0093396C">
              <w:rPr>
                <w:rFonts w:asciiTheme="minorHAnsi" w:hAnsiTheme="minorHAnsi"/>
                <w:b/>
              </w:rPr>
              <w:t xml:space="preserve"> </w:t>
            </w:r>
            <w:r w:rsidR="009461AA" w:rsidRPr="0093396C">
              <w:rPr>
                <w:rFonts w:asciiTheme="minorHAnsi" w:hAnsiTheme="minorHAnsi"/>
              </w:rPr>
              <w:t>emphasis was placed on performance and accountability, citizen participation and mechanisms for maintaining social peace.</w:t>
            </w:r>
          </w:p>
          <w:p w14:paraId="600655D8" w14:textId="77777777" w:rsidR="00533764" w:rsidRPr="0093396C" w:rsidRDefault="00B54119" w:rsidP="009F740E">
            <w:pPr>
              <w:pStyle w:val="BodyText2"/>
              <w:jc w:val="both"/>
              <w:rPr>
                <w:rFonts w:asciiTheme="minorHAnsi" w:hAnsiTheme="minorHAnsi"/>
              </w:rPr>
            </w:pPr>
            <w:r w:rsidRPr="0093396C">
              <w:rPr>
                <w:rFonts w:asciiTheme="minorHAnsi" w:hAnsiTheme="minorHAnsi"/>
                <w:u w:val="single"/>
              </w:rPr>
              <w:t>CP Outputs</w:t>
            </w:r>
            <w:r w:rsidRPr="0093396C">
              <w:rPr>
                <w:rFonts w:asciiTheme="minorHAnsi" w:hAnsiTheme="minorHAnsi"/>
              </w:rPr>
              <w:t>:</w:t>
            </w:r>
          </w:p>
          <w:p w14:paraId="3294A390" w14:textId="009BCF36" w:rsidR="00B54119" w:rsidRPr="0093396C" w:rsidRDefault="00B54119" w:rsidP="00764969">
            <w:pPr>
              <w:pStyle w:val="BodyText2"/>
              <w:numPr>
                <w:ilvl w:val="0"/>
                <w:numId w:val="11"/>
              </w:numPr>
              <w:jc w:val="both"/>
              <w:rPr>
                <w:rFonts w:asciiTheme="minorHAnsi" w:hAnsiTheme="minorHAnsi"/>
              </w:rPr>
            </w:pPr>
            <w:r w:rsidRPr="0093396C">
              <w:rPr>
                <w:rFonts w:asciiTheme="minorHAnsi" w:hAnsiTheme="minorHAnsi"/>
              </w:rPr>
              <w:t>Development and follow through for increased institutional performance &amp; accountability through</w:t>
            </w:r>
            <w:r w:rsidR="002A4E0E" w:rsidRPr="0093396C">
              <w:rPr>
                <w:rFonts w:asciiTheme="minorHAnsi" w:hAnsiTheme="minorHAnsi"/>
              </w:rPr>
              <w:t xml:space="preserve"> </w:t>
            </w:r>
            <w:r w:rsidRPr="0093396C">
              <w:rPr>
                <w:rFonts w:asciiTheme="minorHAnsi" w:hAnsiTheme="minorHAnsi"/>
              </w:rPr>
              <w:t xml:space="preserve">standards, organizational </w:t>
            </w:r>
            <w:r w:rsidR="002A4E0E" w:rsidRPr="0093396C">
              <w:rPr>
                <w:rFonts w:asciiTheme="minorHAnsi" w:hAnsiTheme="minorHAnsi"/>
              </w:rPr>
              <w:t>and process</w:t>
            </w:r>
            <w:r w:rsidRPr="0093396C">
              <w:rPr>
                <w:rFonts w:asciiTheme="minorHAnsi" w:hAnsiTheme="minorHAnsi"/>
              </w:rPr>
              <w:t xml:space="preserve"> design,</w:t>
            </w:r>
            <w:r w:rsidR="002A4E0E" w:rsidRPr="0093396C">
              <w:rPr>
                <w:rFonts w:asciiTheme="minorHAnsi" w:hAnsiTheme="minorHAnsi"/>
              </w:rPr>
              <w:t xml:space="preserve"> </w:t>
            </w:r>
            <w:r w:rsidRPr="0093396C">
              <w:rPr>
                <w:rFonts w:asciiTheme="minorHAnsi" w:hAnsiTheme="minorHAnsi"/>
              </w:rPr>
              <w:t xml:space="preserve">dialogue, technical inputs and targeted skill improvements focusing on public service, </w:t>
            </w:r>
            <w:r w:rsidR="002A4E0E" w:rsidRPr="0093396C">
              <w:rPr>
                <w:rFonts w:asciiTheme="minorHAnsi" w:hAnsiTheme="minorHAnsi"/>
              </w:rPr>
              <w:t>decentralization</w:t>
            </w:r>
            <w:r w:rsidRPr="0093396C">
              <w:rPr>
                <w:rFonts w:asciiTheme="minorHAnsi" w:hAnsiTheme="minorHAnsi"/>
              </w:rPr>
              <w:t xml:space="preserve">, non-state actors, peace building. </w:t>
            </w:r>
          </w:p>
          <w:p w14:paraId="0B53A41B" w14:textId="6B672933" w:rsidR="00B54119" w:rsidRPr="0093396C" w:rsidRDefault="00B54119" w:rsidP="00764969">
            <w:pPr>
              <w:pStyle w:val="BodyText2"/>
              <w:numPr>
                <w:ilvl w:val="0"/>
                <w:numId w:val="11"/>
              </w:numPr>
              <w:jc w:val="both"/>
              <w:rPr>
                <w:rFonts w:asciiTheme="minorHAnsi" w:hAnsiTheme="minorHAnsi"/>
              </w:rPr>
            </w:pPr>
            <w:r w:rsidRPr="0093396C">
              <w:rPr>
                <w:rFonts w:asciiTheme="minorHAnsi" w:hAnsiTheme="minorHAnsi"/>
              </w:rPr>
              <w:t>Facilitate HIV response coordination and mainstreaming across public service.</w:t>
            </w:r>
          </w:p>
          <w:p w14:paraId="6EAE3906" w14:textId="77777777" w:rsidR="00B54119" w:rsidRPr="0093396C" w:rsidRDefault="00B54119" w:rsidP="009F740E">
            <w:pPr>
              <w:pStyle w:val="BodyText2"/>
              <w:jc w:val="both"/>
              <w:rPr>
                <w:rFonts w:asciiTheme="minorHAnsi" w:hAnsiTheme="minorHAnsi"/>
                <w:b/>
                <w:u w:val="single"/>
              </w:rPr>
            </w:pPr>
            <w:r w:rsidRPr="0093396C">
              <w:rPr>
                <w:rFonts w:asciiTheme="minorHAnsi" w:hAnsiTheme="minorHAnsi"/>
                <w:b/>
                <w:u w:val="single"/>
              </w:rPr>
              <w:t>Progress and Achievements</w:t>
            </w:r>
          </w:p>
          <w:p w14:paraId="1E37E9C5" w14:textId="32E4BB42" w:rsidR="00764969" w:rsidRDefault="00764969" w:rsidP="00C83DA2">
            <w:pPr>
              <w:pStyle w:val="BodyText2"/>
              <w:numPr>
                <w:ilvl w:val="0"/>
                <w:numId w:val="25"/>
              </w:numPr>
              <w:jc w:val="both"/>
              <w:rPr>
                <w:rFonts w:asciiTheme="minorHAnsi" w:hAnsiTheme="minorHAnsi"/>
              </w:rPr>
            </w:pPr>
            <w:r w:rsidRPr="005A12A3">
              <w:rPr>
                <w:rFonts w:asciiTheme="minorHAnsi" w:hAnsiTheme="minorHAnsi"/>
              </w:rPr>
              <w:t>Development of a National Reform</w:t>
            </w:r>
            <w:r w:rsidR="00506942">
              <w:rPr>
                <w:rFonts w:asciiTheme="minorHAnsi" w:hAnsiTheme="minorHAnsi"/>
              </w:rPr>
              <w:t>s</w:t>
            </w:r>
            <w:r w:rsidRPr="005A12A3">
              <w:rPr>
                <w:rFonts w:asciiTheme="minorHAnsi" w:hAnsiTheme="minorHAnsi"/>
              </w:rPr>
              <w:t xml:space="preserve"> Framework and Roadmap which supports the government to implement reforms in Lesotho key being proposal for a national dialogue</w:t>
            </w:r>
          </w:p>
          <w:p w14:paraId="652D943C" w14:textId="77777777" w:rsidR="00126E8D" w:rsidRDefault="00126E8D" w:rsidP="00C83DA2">
            <w:pPr>
              <w:pStyle w:val="BodyText2"/>
              <w:numPr>
                <w:ilvl w:val="0"/>
                <w:numId w:val="25"/>
              </w:numPr>
              <w:jc w:val="both"/>
              <w:rPr>
                <w:rFonts w:asciiTheme="minorHAnsi" w:hAnsiTheme="minorHAnsi"/>
              </w:rPr>
            </w:pPr>
            <w:r>
              <w:rPr>
                <w:rFonts w:asciiTheme="minorHAnsi" w:hAnsiTheme="minorHAnsi"/>
              </w:rPr>
              <w:t xml:space="preserve">Independent Electoral Commission supported to conduct the 2017 Snap Elections of which results were accepted by all political parties and observer missions declaring them free and fair. </w:t>
            </w:r>
          </w:p>
          <w:p w14:paraId="4FE615B6" w14:textId="780AE959" w:rsidR="00126E8D" w:rsidRPr="005A12A3" w:rsidRDefault="00126E8D" w:rsidP="00C83DA2">
            <w:pPr>
              <w:pStyle w:val="BodyText2"/>
              <w:numPr>
                <w:ilvl w:val="0"/>
                <w:numId w:val="25"/>
              </w:numPr>
              <w:jc w:val="both"/>
              <w:rPr>
                <w:rFonts w:asciiTheme="minorHAnsi" w:hAnsiTheme="minorHAnsi"/>
              </w:rPr>
            </w:pPr>
            <w:r>
              <w:rPr>
                <w:rFonts w:asciiTheme="minorHAnsi" w:hAnsiTheme="minorHAnsi"/>
              </w:rPr>
              <w:t>Inter-Ministerial</w:t>
            </w:r>
            <w:r w:rsidR="00DB109B">
              <w:rPr>
                <w:rFonts w:asciiTheme="minorHAnsi" w:hAnsiTheme="minorHAnsi"/>
              </w:rPr>
              <w:t xml:space="preserve"> reporting mechanism on state party reporting established which has improved the countries compliance to reporting obligations. </w:t>
            </w:r>
            <w:r>
              <w:rPr>
                <w:rFonts w:asciiTheme="minorHAnsi" w:hAnsiTheme="minorHAnsi"/>
              </w:rPr>
              <w:t xml:space="preserve">  </w:t>
            </w:r>
          </w:p>
          <w:p w14:paraId="2CCE8A86" w14:textId="051BFFFB" w:rsidR="00B54119" w:rsidRPr="0093396C" w:rsidRDefault="00B54119" w:rsidP="00764969">
            <w:pPr>
              <w:pStyle w:val="BodyText2"/>
              <w:numPr>
                <w:ilvl w:val="0"/>
                <w:numId w:val="25"/>
              </w:numPr>
              <w:jc w:val="both"/>
              <w:rPr>
                <w:rFonts w:asciiTheme="minorHAnsi" w:hAnsiTheme="minorHAnsi"/>
              </w:rPr>
            </w:pPr>
            <w:r w:rsidRPr="0093396C">
              <w:rPr>
                <w:rFonts w:asciiTheme="minorHAnsi" w:hAnsiTheme="minorHAnsi"/>
              </w:rPr>
              <w:t>With UNDP support a national Performance Management System has been developed for the public service.</w:t>
            </w:r>
          </w:p>
          <w:p w14:paraId="0AA50D86" w14:textId="2D2E777F" w:rsidR="00B54119" w:rsidRPr="0093396C" w:rsidRDefault="00B54119" w:rsidP="00764969">
            <w:pPr>
              <w:pStyle w:val="BodyText2"/>
              <w:numPr>
                <w:ilvl w:val="0"/>
                <w:numId w:val="25"/>
              </w:numPr>
              <w:jc w:val="both"/>
              <w:rPr>
                <w:rFonts w:asciiTheme="minorHAnsi" w:hAnsiTheme="minorHAnsi"/>
              </w:rPr>
            </w:pPr>
            <w:r w:rsidRPr="0093396C">
              <w:rPr>
                <w:rFonts w:asciiTheme="minorHAnsi" w:hAnsiTheme="minorHAnsi"/>
              </w:rPr>
              <w:t xml:space="preserve">The establishment of a research unit of parliament has improved the capacity of a key national institution to ensure better representation of citizens through reliance on researched information </w:t>
            </w:r>
          </w:p>
          <w:p w14:paraId="79049528" w14:textId="77777777" w:rsidR="00B54119" w:rsidRPr="0093396C" w:rsidRDefault="00B54119" w:rsidP="00764969">
            <w:pPr>
              <w:pStyle w:val="BodyText2"/>
              <w:numPr>
                <w:ilvl w:val="0"/>
                <w:numId w:val="25"/>
              </w:numPr>
              <w:jc w:val="both"/>
              <w:rPr>
                <w:rFonts w:asciiTheme="minorHAnsi" w:hAnsiTheme="minorHAnsi"/>
              </w:rPr>
            </w:pPr>
            <w:r w:rsidRPr="0093396C">
              <w:rPr>
                <w:rFonts w:asciiTheme="minorHAnsi" w:hAnsiTheme="minorHAnsi"/>
              </w:rPr>
              <w:t xml:space="preserve"> The establishment and operationalization of district anti-corruption committees and Systems Integrity Committees in twelve out of 26 government ministries is a major step towards achieving greater accountability for resources and ensuring better service delivery</w:t>
            </w:r>
          </w:p>
          <w:p w14:paraId="3FDB2AAC" w14:textId="2DE4F9AC" w:rsidR="005E62A7" w:rsidRPr="0093396C" w:rsidRDefault="005E62A7" w:rsidP="00764969">
            <w:pPr>
              <w:pStyle w:val="BodyText2"/>
              <w:numPr>
                <w:ilvl w:val="0"/>
                <w:numId w:val="25"/>
              </w:numPr>
              <w:jc w:val="both"/>
              <w:rPr>
                <w:rFonts w:asciiTheme="minorHAnsi" w:hAnsiTheme="minorHAnsi"/>
              </w:rPr>
            </w:pPr>
            <w:r w:rsidRPr="0093396C">
              <w:rPr>
                <w:rFonts w:asciiTheme="minorHAnsi" w:hAnsiTheme="minorHAnsi"/>
              </w:rPr>
              <w:lastRenderedPageBreak/>
              <w:t xml:space="preserve">UNDP's support led to improved legislative and policy environment for </w:t>
            </w:r>
            <w:r w:rsidR="0030648F" w:rsidRPr="0093396C">
              <w:rPr>
                <w:rFonts w:asciiTheme="minorHAnsi" w:hAnsiTheme="minorHAnsi"/>
              </w:rPr>
              <w:t>decentralization</w:t>
            </w:r>
            <w:r w:rsidRPr="0093396C">
              <w:rPr>
                <w:rFonts w:asciiTheme="minorHAnsi" w:hAnsiTheme="minorHAnsi"/>
              </w:rPr>
              <w:t xml:space="preserve"> resulting in increased transfer of functions from central to local governments, with 5 out of 8 pilot line ministries </w:t>
            </w:r>
            <w:r w:rsidR="0030648F" w:rsidRPr="0093396C">
              <w:rPr>
                <w:rFonts w:asciiTheme="minorHAnsi" w:hAnsiTheme="minorHAnsi"/>
              </w:rPr>
              <w:t>formalizing</w:t>
            </w:r>
            <w:r w:rsidRPr="0093396C">
              <w:rPr>
                <w:rFonts w:asciiTheme="minorHAnsi" w:hAnsiTheme="minorHAnsi"/>
              </w:rPr>
              <w:t xml:space="preserve"> their transfer of functions to the local level. </w:t>
            </w:r>
            <w:r w:rsidR="00B54119" w:rsidRPr="0093396C">
              <w:rPr>
                <w:rFonts w:asciiTheme="minorHAnsi" w:hAnsiTheme="minorHAnsi"/>
              </w:rPr>
              <w:t>The</w:t>
            </w:r>
            <w:r w:rsidRPr="0093396C">
              <w:rPr>
                <w:rFonts w:asciiTheme="minorHAnsi" w:hAnsiTheme="minorHAnsi"/>
              </w:rPr>
              <w:t xml:space="preserve"> resulting</w:t>
            </w:r>
            <w:r w:rsidR="00B54119" w:rsidRPr="0093396C">
              <w:rPr>
                <w:rFonts w:asciiTheme="minorHAnsi" w:hAnsiTheme="minorHAnsi"/>
              </w:rPr>
              <w:t xml:space="preserve"> </w:t>
            </w:r>
            <w:r w:rsidR="0030648F" w:rsidRPr="0093396C">
              <w:rPr>
                <w:rFonts w:asciiTheme="minorHAnsi" w:hAnsiTheme="minorHAnsi"/>
              </w:rPr>
              <w:t>harmonization</w:t>
            </w:r>
            <w:r w:rsidR="00B54119" w:rsidRPr="0093396C">
              <w:rPr>
                <w:rFonts w:asciiTheme="minorHAnsi" w:hAnsiTheme="minorHAnsi"/>
              </w:rPr>
              <w:t xml:space="preserve"> of the local government policy and legal framework and transfer of key functions from the central to local authorities has contributed to better service delivery by public service closer to local communities.</w:t>
            </w:r>
            <w:r w:rsidRPr="0093396C">
              <w:rPr>
                <w:rFonts w:asciiTheme="minorHAnsi" w:hAnsiTheme="minorHAnsi"/>
              </w:rPr>
              <w:t xml:space="preserve"> </w:t>
            </w:r>
          </w:p>
          <w:p w14:paraId="5600EE29" w14:textId="3A9DB3B9" w:rsidR="005E62A7" w:rsidRPr="0093396C" w:rsidRDefault="005E62A7" w:rsidP="00764969">
            <w:pPr>
              <w:pStyle w:val="BodyText2"/>
              <w:numPr>
                <w:ilvl w:val="0"/>
                <w:numId w:val="25"/>
              </w:numPr>
              <w:jc w:val="both"/>
              <w:rPr>
                <w:rFonts w:asciiTheme="minorHAnsi" w:hAnsiTheme="minorHAnsi"/>
              </w:rPr>
            </w:pPr>
            <w:r w:rsidRPr="0093396C">
              <w:rPr>
                <w:rFonts w:asciiTheme="minorHAnsi" w:hAnsiTheme="minorHAnsi"/>
              </w:rPr>
              <w:t xml:space="preserve">With regard to the protection of human rights, UNDP in early 2016 coordinated the deployment of a Human Rights Upfront ‘Light Team’ (LT). This demonstrated UN leadership on human rights and enabled UNDP to contribute concretely towards the establishment of the National Human Rights Commission and to the development of a roadmap for security sector reforms as recommended by SADC. </w:t>
            </w:r>
          </w:p>
          <w:p w14:paraId="002675A2" w14:textId="77777777" w:rsidR="0030648F" w:rsidRPr="0093396C" w:rsidRDefault="005E62A7" w:rsidP="00764969">
            <w:pPr>
              <w:pStyle w:val="BodyText2"/>
              <w:numPr>
                <w:ilvl w:val="0"/>
                <w:numId w:val="25"/>
              </w:numPr>
              <w:jc w:val="both"/>
              <w:rPr>
                <w:rFonts w:asciiTheme="minorHAnsi" w:hAnsiTheme="minorHAnsi"/>
              </w:rPr>
            </w:pPr>
            <w:r w:rsidRPr="0093396C">
              <w:rPr>
                <w:rFonts w:asciiTheme="minorHAnsi" w:hAnsiTheme="minorHAnsi"/>
              </w:rPr>
              <w:t xml:space="preserve">Further, UNDP's support enabled the ruling coalition to build consensus on the review of the national constitution and the development of an Ideas and Options </w:t>
            </w:r>
            <w:r w:rsidR="0030648F" w:rsidRPr="0093396C">
              <w:rPr>
                <w:rFonts w:asciiTheme="minorHAnsi" w:hAnsiTheme="minorHAnsi"/>
              </w:rPr>
              <w:t>Paper which has been since been</w:t>
            </w:r>
            <w:r w:rsidRPr="0093396C">
              <w:rPr>
                <w:rFonts w:asciiTheme="minorHAnsi" w:hAnsiTheme="minorHAnsi"/>
              </w:rPr>
              <w:t xml:space="preserve"> adopted by Government and become the basis of the Constitution Review Road-map. The Roadmap served as the key instrument for the government’s recently launched Lesotho Reforms Programme and stakeholder consultations in December 2016</w:t>
            </w:r>
            <w:r w:rsidR="0030648F" w:rsidRPr="0093396C">
              <w:rPr>
                <w:rFonts w:asciiTheme="minorHAnsi" w:hAnsiTheme="minorHAnsi"/>
              </w:rPr>
              <w:t>.</w:t>
            </w:r>
          </w:p>
          <w:p w14:paraId="7CBD8763" w14:textId="50667797" w:rsidR="00DB16F8" w:rsidRPr="0093396C" w:rsidRDefault="00B54119" w:rsidP="00764969">
            <w:pPr>
              <w:pStyle w:val="BodyText2"/>
              <w:numPr>
                <w:ilvl w:val="0"/>
                <w:numId w:val="25"/>
              </w:numPr>
              <w:jc w:val="both"/>
              <w:rPr>
                <w:rFonts w:asciiTheme="minorHAnsi" w:hAnsiTheme="minorHAnsi"/>
              </w:rPr>
            </w:pPr>
            <w:r w:rsidRPr="0093396C">
              <w:rPr>
                <w:rFonts w:asciiTheme="minorHAnsi" w:hAnsiTheme="minorHAnsi"/>
              </w:rPr>
              <w:t>Support to the national reforms agenda not only led to the launch of the Lesotho Reforms Programme but also</w:t>
            </w:r>
            <w:r w:rsidR="00DB16F8" w:rsidRPr="0093396C">
              <w:rPr>
                <w:rFonts w:asciiTheme="minorHAnsi" w:hAnsiTheme="minorHAnsi"/>
              </w:rPr>
              <w:t xml:space="preserve"> helped </w:t>
            </w:r>
            <w:r w:rsidRPr="0093396C">
              <w:rPr>
                <w:rFonts w:asciiTheme="minorHAnsi" w:hAnsiTheme="minorHAnsi"/>
              </w:rPr>
              <w:t>the entrenchment of the key principle of stakeholder and citizen participation in constitution making which had not been taken into</w:t>
            </w:r>
            <w:r w:rsidR="00DB16F8" w:rsidRPr="0093396C">
              <w:rPr>
                <w:rFonts w:asciiTheme="minorHAnsi" w:hAnsiTheme="minorHAnsi"/>
              </w:rPr>
              <w:t xml:space="preserve"> account initially. It also a</w:t>
            </w:r>
            <w:r w:rsidR="0030648F" w:rsidRPr="0093396C">
              <w:rPr>
                <w:rFonts w:asciiTheme="minorHAnsi" w:hAnsiTheme="minorHAnsi"/>
              </w:rPr>
              <w:t>n</w:t>
            </w:r>
            <w:r w:rsidRPr="0093396C">
              <w:rPr>
                <w:rFonts w:asciiTheme="minorHAnsi" w:hAnsiTheme="minorHAnsi"/>
              </w:rPr>
              <w:t xml:space="preserve"> enabled Lesotho to satisfy requirements by SADC and development partners thus avoiding a disruptive confrontation and contributing</w:t>
            </w:r>
            <w:r w:rsidR="00DB16F8" w:rsidRPr="0093396C">
              <w:rPr>
                <w:rFonts w:asciiTheme="minorHAnsi" w:hAnsiTheme="minorHAnsi"/>
              </w:rPr>
              <w:t xml:space="preserve"> to national stability</w:t>
            </w:r>
            <w:r w:rsidR="0030648F" w:rsidRPr="0093396C">
              <w:rPr>
                <w:rFonts w:asciiTheme="minorHAnsi" w:hAnsiTheme="minorHAnsi"/>
              </w:rPr>
              <w:t xml:space="preserve">.  </w:t>
            </w:r>
            <w:r w:rsidR="00DB16F8" w:rsidRPr="0093396C">
              <w:rPr>
                <w:rFonts w:asciiTheme="minorHAnsi" w:hAnsiTheme="minorHAnsi"/>
              </w:rPr>
              <w:t xml:space="preserve">The reforms </w:t>
            </w:r>
            <w:r w:rsidRPr="0093396C">
              <w:rPr>
                <w:rFonts w:asciiTheme="minorHAnsi" w:hAnsiTheme="minorHAnsi"/>
              </w:rPr>
              <w:t xml:space="preserve">will lead to more accountable institutions, protection of citizens and rights, and enhanced peace and stability. </w:t>
            </w:r>
          </w:p>
          <w:p w14:paraId="0DFFE1C5" w14:textId="2B214551" w:rsidR="00DB16F8" w:rsidRPr="0093396C" w:rsidRDefault="00B54119" w:rsidP="00764969">
            <w:pPr>
              <w:pStyle w:val="BodyText2"/>
              <w:numPr>
                <w:ilvl w:val="0"/>
                <w:numId w:val="25"/>
              </w:numPr>
              <w:jc w:val="both"/>
              <w:rPr>
                <w:rFonts w:asciiTheme="minorHAnsi" w:hAnsiTheme="minorHAnsi"/>
              </w:rPr>
            </w:pPr>
            <w:r w:rsidRPr="0093396C">
              <w:rPr>
                <w:rFonts w:asciiTheme="minorHAnsi" w:hAnsiTheme="minorHAnsi"/>
              </w:rPr>
              <w:t>National capacities for peace were enhanced and enabled dialogue facilitation by religious leaders and the establishment of local peace inf</w:t>
            </w:r>
            <w:r w:rsidR="00DB16F8" w:rsidRPr="0093396C">
              <w:rPr>
                <w:rFonts w:asciiTheme="minorHAnsi" w:hAnsiTheme="minorHAnsi"/>
              </w:rPr>
              <w:t xml:space="preserve">rastructure to reduce conflict in a </w:t>
            </w:r>
            <w:r w:rsidR="00DB16F8" w:rsidRPr="0093396C">
              <w:rPr>
                <w:rFonts w:asciiTheme="minorHAnsi" w:hAnsiTheme="minorHAnsi"/>
                <w:color w:val="000000"/>
              </w:rPr>
              <w:t>conflict prone district</w:t>
            </w:r>
            <w:r w:rsidR="00DB16F8" w:rsidRPr="0093396C">
              <w:rPr>
                <w:rFonts w:asciiTheme="minorHAnsi" w:hAnsiTheme="minorHAnsi"/>
              </w:rPr>
              <w:t>.</w:t>
            </w:r>
          </w:p>
          <w:p w14:paraId="2C84FF56" w14:textId="2BBF3024" w:rsidR="00B54119" w:rsidRPr="0093396C" w:rsidRDefault="00B54119" w:rsidP="00764969">
            <w:pPr>
              <w:pStyle w:val="BodyText2"/>
              <w:numPr>
                <w:ilvl w:val="0"/>
                <w:numId w:val="25"/>
              </w:numPr>
              <w:jc w:val="both"/>
              <w:rPr>
                <w:rFonts w:asciiTheme="minorHAnsi" w:hAnsiTheme="minorHAnsi"/>
              </w:rPr>
            </w:pPr>
            <w:r w:rsidRPr="0093396C">
              <w:rPr>
                <w:rFonts w:asciiTheme="minorHAnsi" w:hAnsiTheme="minorHAnsi"/>
              </w:rPr>
              <w:t>Substantive Progr</w:t>
            </w:r>
            <w:r w:rsidR="00DB16F8" w:rsidRPr="0093396C">
              <w:rPr>
                <w:rFonts w:asciiTheme="minorHAnsi" w:hAnsiTheme="minorHAnsi"/>
              </w:rPr>
              <w:t>ess was made on the e</w:t>
            </w:r>
            <w:r w:rsidRPr="0093396C">
              <w:rPr>
                <w:rFonts w:asciiTheme="minorHAnsi" w:hAnsiTheme="minorHAnsi"/>
              </w:rPr>
              <w:t xml:space="preserve">stablishment of a national human rights institution to enhance protection of human </w:t>
            </w:r>
            <w:r w:rsidR="0030648F" w:rsidRPr="0093396C">
              <w:rPr>
                <w:rFonts w:asciiTheme="minorHAnsi" w:hAnsiTheme="minorHAnsi"/>
              </w:rPr>
              <w:t>rights but</w:t>
            </w:r>
            <w:r w:rsidR="00DB16F8" w:rsidRPr="0093396C">
              <w:rPr>
                <w:rFonts w:asciiTheme="minorHAnsi" w:hAnsiTheme="minorHAnsi"/>
              </w:rPr>
              <w:t xml:space="preserve"> this been </w:t>
            </w:r>
            <w:r w:rsidRPr="0093396C">
              <w:rPr>
                <w:rFonts w:asciiTheme="minorHAnsi" w:hAnsiTheme="minorHAnsi"/>
              </w:rPr>
              <w:t>stalled by a court action brought against Government by CSOs on the appointment of commissioners.</w:t>
            </w:r>
          </w:p>
          <w:p w14:paraId="054445A3" w14:textId="77777777" w:rsidR="00DB16F8" w:rsidRPr="0093396C" w:rsidRDefault="00DB16F8" w:rsidP="00764969">
            <w:pPr>
              <w:pStyle w:val="BodyText2"/>
              <w:numPr>
                <w:ilvl w:val="0"/>
                <w:numId w:val="25"/>
              </w:numPr>
              <w:jc w:val="both"/>
              <w:rPr>
                <w:rFonts w:asciiTheme="minorHAnsi" w:hAnsiTheme="minorHAnsi"/>
              </w:rPr>
            </w:pPr>
            <w:r w:rsidRPr="0093396C">
              <w:rPr>
                <w:rFonts w:asciiTheme="minorHAnsi" w:hAnsiTheme="minorHAnsi"/>
              </w:rPr>
              <w:t>Guidelines for mainstreaming HIV/AIDS in sector plans and strategies have been developed and senior public servants and gender focal persons trained in its use.</w:t>
            </w:r>
          </w:p>
          <w:p w14:paraId="273024F4" w14:textId="5E49F686" w:rsidR="00B54119" w:rsidRPr="0093396C" w:rsidRDefault="00DB16F8" w:rsidP="00764969">
            <w:pPr>
              <w:pStyle w:val="BodyText2"/>
              <w:numPr>
                <w:ilvl w:val="0"/>
                <w:numId w:val="25"/>
              </w:numPr>
              <w:jc w:val="both"/>
              <w:rPr>
                <w:rFonts w:asciiTheme="minorHAnsi" w:hAnsiTheme="minorHAnsi"/>
              </w:rPr>
            </w:pPr>
            <w:r w:rsidRPr="0093396C">
              <w:rPr>
                <w:rFonts w:asciiTheme="minorHAnsi" w:hAnsiTheme="minorHAnsi"/>
              </w:rPr>
              <w:t xml:space="preserve">The </w:t>
            </w:r>
            <w:r w:rsidR="00C31764" w:rsidRPr="0093396C">
              <w:rPr>
                <w:rFonts w:asciiTheme="minorHAnsi" w:hAnsiTheme="minorHAnsi"/>
              </w:rPr>
              <w:t>m</w:t>
            </w:r>
            <w:r w:rsidRPr="0093396C">
              <w:rPr>
                <w:rFonts w:asciiTheme="minorHAnsi" w:hAnsiTheme="minorHAnsi"/>
              </w:rPr>
              <w:t xml:space="preserve">oribund National AIDS Commission has been reactivated and </w:t>
            </w:r>
            <w:r w:rsidR="00C31764" w:rsidRPr="0093396C">
              <w:rPr>
                <w:rFonts w:asciiTheme="minorHAnsi" w:hAnsiTheme="minorHAnsi"/>
              </w:rPr>
              <w:t xml:space="preserve">now fully </w:t>
            </w:r>
            <w:r w:rsidRPr="0093396C">
              <w:rPr>
                <w:rFonts w:asciiTheme="minorHAnsi" w:hAnsiTheme="minorHAnsi"/>
              </w:rPr>
              <w:t>operational</w:t>
            </w:r>
            <w:r w:rsidR="00FA095D" w:rsidRPr="0093396C">
              <w:rPr>
                <w:rFonts w:asciiTheme="minorHAnsi" w:hAnsiTheme="minorHAnsi"/>
              </w:rPr>
              <w:t>.</w:t>
            </w:r>
          </w:p>
          <w:p w14:paraId="7D067AF4" w14:textId="77777777" w:rsidR="00B54119" w:rsidRPr="0093396C" w:rsidRDefault="00B54119" w:rsidP="009F740E">
            <w:pPr>
              <w:pStyle w:val="BodyText2"/>
              <w:jc w:val="both"/>
              <w:rPr>
                <w:rFonts w:asciiTheme="minorHAnsi" w:hAnsiTheme="minorHAnsi"/>
                <w:b/>
              </w:rPr>
            </w:pPr>
          </w:p>
        </w:tc>
      </w:tr>
      <w:tr w:rsidR="00BE0ED1" w:rsidRPr="0093396C" w14:paraId="533E3292" w14:textId="77777777" w:rsidTr="008D739D">
        <w:tc>
          <w:tcPr>
            <w:tcW w:w="3510" w:type="dxa"/>
            <w:gridSpan w:val="3"/>
          </w:tcPr>
          <w:p w14:paraId="512639A9" w14:textId="77777777" w:rsidR="00BE0ED1" w:rsidRPr="0093396C" w:rsidRDefault="00BE0ED1" w:rsidP="00BE0ED1">
            <w:pPr>
              <w:pStyle w:val="BodyText2"/>
              <w:rPr>
                <w:rFonts w:asciiTheme="minorHAnsi" w:hAnsiTheme="minorHAnsi"/>
                <w:b/>
              </w:rPr>
            </w:pPr>
            <w:r w:rsidRPr="0093396C">
              <w:rPr>
                <w:rFonts w:asciiTheme="minorHAnsi" w:hAnsiTheme="minorHAnsi"/>
                <w:b/>
              </w:rPr>
              <w:lastRenderedPageBreak/>
              <w:t>Outcomes</w:t>
            </w:r>
          </w:p>
        </w:tc>
        <w:tc>
          <w:tcPr>
            <w:tcW w:w="3510" w:type="dxa"/>
            <w:gridSpan w:val="2"/>
          </w:tcPr>
          <w:p w14:paraId="427EF26B" w14:textId="77777777" w:rsidR="00BE0ED1" w:rsidRPr="0093396C" w:rsidRDefault="00BE0ED1" w:rsidP="00BE0ED1">
            <w:pPr>
              <w:pStyle w:val="BodyText2"/>
              <w:rPr>
                <w:rFonts w:asciiTheme="minorHAnsi" w:hAnsiTheme="minorHAnsi"/>
                <w:b/>
              </w:rPr>
            </w:pPr>
            <w:r w:rsidRPr="0093396C">
              <w:rPr>
                <w:rFonts w:asciiTheme="minorHAnsi" w:hAnsiTheme="minorHAnsi"/>
                <w:b/>
              </w:rPr>
              <w:t>Total Expenditure(USD)</w:t>
            </w:r>
          </w:p>
        </w:tc>
        <w:tc>
          <w:tcPr>
            <w:tcW w:w="3510" w:type="dxa"/>
            <w:gridSpan w:val="2"/>
          </w:tcPr>
          <w:p w14:paraId="1B26CD89" w14:textId="77777777" w:rsidR="00BE0ED1" w:rsidRPr="0093396C" w:rsidRDefault="00BE0ED1" w:rsidP="00BE0ED1">
            <w:pPr>
              <w:pStyle w:val="BodyText2"/>
              <w:rPr>
                <w:rFonts w:asciiTheme="minorHAnsi" w:hAnsiTheme="minorHAnsi"/>
                <w:b/>
              </w:rPr>
            </w:pPr>
            <w:r w:rsidRPr="0093396C">
              <w:rPr>
                <w:rFonts w:asciiTheme="minorHAnsi" w:hAnsiTheme="minorHAnsi"/>
                <w:b/>
              </w:rPr>
              <w:t>Key Indicators of outcome (1-4 per outcome)</w:t>
            </w:r>
          </w:p>
        </w:tc>
        <w:tc>
          <w:tcPr>
            <w:tcW w:w="3510" w:type="dxa"/>
          </w:tcPr>
          <w:p w14:paraId="3AA7D25E" w14:textId="77777777" w:rsidR="00BE0ED1" w:rsidRPr="0093396C" w:rsidRDefault="00BE0ED1" w:rsidP="00BE0ED1">
            <w:pPr>
              <w:pStyle w:val="BodyText2"/>
              <w:rPr>
                <w:rFonts w:asciiTheme="minorHAnsi" w:hAnsiTheme="minorHAnsi"/>
                <w:b/>
              </w:rPr>
            </w:pPr>
            <w:r w:rsidRPr="0093396C">
              <w:rPr>
                <w:rFonts w:asciiTheme="minorHAnsi" w:hAnsiTheme="minorHAnsi"/>
                <w:b/>
              </w:rPr>
              <w:t>Progress made against key indicators</w:t>
            </w:r>
          </w:p>
        </w:tc>
      </w:tr>
      <w:tr w:rsidR="008F0569" w:rsidRPr="0093396C" w14:paraId="2B23E7E0" w14:textId="77777777" w:rsidTr="008D739D">
        <w:tc>
          <w:tcPr>
            <w:tcW w:w="3510" w:type="dxa"/>
            <w:gridSpan w:val="3"/>
          </w:tcPr>
          <w:p w14:paraId="1426DD63" w14:textId="77777777" w:rsidR="008F0569" w:rsidRPr="0093396C" w:rsidRDefault="00424EC8" w:rsidP="008F0569">
            <w:pPr>
              <w:pStyle w:val="BodyText2"/>
              <w:rPr>
                <w:rFonts w:asciiTheme="minorHAnsi" w:hAnsiTheme="minorHAnsi"/>
                <w:b/>
              </w:rPr>
            </w:pPr>
            <w:r w:rsidRPr="0093396C">
              <w:rPr>
                <w:rFonts w:ascii="Times New Roman" w:hAnsi="Times New Roman"/>
                <w:b/>
              </w:rPr>
              <w:t xml:space="preserve">36. </w:t>
            </w:r>
            <w:r w:rsidR="002E7B4B" w:rsidRPr="0093396C">
              <w:rPr>
                <w:rFonts w:ascii="Times New Roman" w:hAnsi="Times New Roman"/>
                <w:b/>
              </w:rPr>
              <w:t xml:space="preserve"> </w:t>
            </w:r>
            <w:r w:rsidRPr="0093396C">
              <w:rPr>
                <w:rFonts w:ascii="Times New Roman" w:hAnsi="Times New Roman"/>
                <w:b/>
              </w:rPr>
              <w:t>National and lower level institutions make evidence-based policy decisions</w:t>
            </w:r>
            <w:r w:rsidRPr="0093396C">
              <w:rPr>
                <w:rFonts w:asciiTheme="minorHAnsi" w:hAnsiTheme="minorHAnsi" w:cs="Segoe UI"/>
                <w:b/>
                <w:color w:val="444444"/>
              </w:rPr>
              <w:t xml:space="preserve"> </w:t>
            </w:r>
          </w:p>
        </w:tc>
        <w:tc>
          <w:tcPr>
            <w:tcW w:w="3510" w:type="dxa"/>
            <w:gridSpan w:val="2"/>
          </w:tcPr>
          <w:p w14:paraId="3207EA58" w14:textId="7C149988" w:rsidR="008F0569" w:rsidRPr="00081541" w:rsidRDefault="00081541" w:rsidP="00BE0ED1">
            <w:pPr>
              <w:pStyle w:val="BodyText2"/>
              <w:rPr>
                <w:rFonts w:asciiTheme="minorHAnsi" w:hAnsiTheme="minorHAnsi"/>
                <w:b/>
              </w:rPr>
            </w:pPr>
            <w:r w:rsidRPr="00081541">
              <w:rPr>
                <w:rFonts w:asciiTheme="minorHAnsi" w:hAnsiTheme="minorHAnsi"/>
                <w:b/>
              </w:rPr>
              <w:t>1,279,30</w:t>
            </w:r>
            <w:r>
              <w:rPr>
                <w:rFonts w:asciiTheme="minorHAnsi" w:hAnsiTheme="minorHAnsi"/>
                <w:b/>
              </w:rPr>
              <w:t>0</w:t>
            </w:r>
          </w:p>
        </w:tc>
        <w:tc>
          <w:tcPr>
            <w:tcW w:w="3510" w:type="dxa"/>
            <w:gridSpan w:val="2"/>
          </w:tcPr>
          <w:p w14:paraId="74B60177" w14:textId="77777777" w:rsidR="00287DA9" w:rsidRPr="0093396C" w:rsidRDefault="008F0569" w:rsidP="006077E0">
            <w:pPr>
              <w:pStyle w:val="BodyText2"/>
              <w:numPr>
                <w:ilvl w:val="0"/>
                <w:numId w:val="7"/>
              </w:numPr>
              <w:rPr>
                <w:rFonts w:asciiTheme="minorHAnsi" w:hAnsiTheme="minorHAnsi"/>
                <w:b/>
              </w:rPr>
            </w:pPr>
            <w:r w:rsidRPr="0093396C">
              <w:rPr>
                <w:rFonts w:asciiTheme="minorHAnsi" w:hAnsiTheme="minorHAnsi"/>
                <w:color w:val="000000"/>
              </w:rPr>
              <w:t>Proportion</w:t>
            </w:r>
            <w:r w:rsidRPr="0093396C">
              <w:rPr>
                <w:rFonts w:asciiTheme="minorHAnsi" w:hAnsiTheme="minorHAnsi"/>
                <w:b/>
                <w:color w:val="000000"/>
              </w:rPr>
              <w:t xml:space="preserve"> </w:t>
            </w:r>
            <w:r w:rsidRPr="0093396C">
              <w:rPr>
                <w:rFonts w:asciiTheme="minorHAnsi" w:hAnsiTheme="minorHAnsi"/>
                <w:color w:val="000000"/>
              </w:rPr>
              <w:t xml:space="preserve">of sectors using an integrated management information system for planning; </w:t>
            </w:r>
          </w:p>
          <w:p w14:paraId="056327B9" w14:textId="77777777" w:rsidR="00A6495C" w:rsidRPr="0093396C" w:rsidRDefault="008F0569" w:rsidP="006077E0">
            <w:pPr>
              <w:pStyle w:val="BodyText2"/>
              <w:numPr>
                <w:ilvl w:val="0"/>
                <w:numId w:val="7"/>
              </w:numPr>
              <w:rPr>
                <w:rFonts w:asciiTheme="minorHAnsi" w:hAnsiTheme="minorHAnsi"/>
                <w:b/>
              </w:rPr>
            </w:pPr>
            <w:r w:rsidRPr="0093396C">
              <w:rPr>
                <w:rFonts w:asciiTheme="minorHAnsi" w:hAnsiTheme="minorHAnsi"/>
                <w:color w:val="000000"/>
              </w:rPr>
              <w:t xml:space="preserve">Existence of a coordinated statistical and an integrated M&amp;E system; </w:t>
            </w:r>
          </w:p>
          <w:p w14:paraId="47F7907D" w14:textId="77777777" w:rsidR="00A6495C" w:rsidRPr="0093396C" w:rsidRDefault="00A6495C" w:rsidP="006077E0">
            <w:pPr>
              <w:pStyle w:val="BodyText2"/>
              <w:numPr>
                <w:ilvl w:val="0"/>
                <w:numId w:val="7"/>
              </w:numPr>
              <w:rPr>
                <w:rFonts w:asciiTheme="minorHAnsi" w:hAnsiTheme="minorHAnsi"/>
                <w:b/>
              </w:rPr>
            </w:pPr>
            <w:r w:rsidRPr="0093396C">
              <w:rPr>
                <w:rFonts w:asciiTheme="minorHAnsi" w:hAnsiTheme="minorHAnsi"/>
                <w:color w:val="000000"/>
              </w:rPr>
              <w:t>A</w:t>
            </w:r>
            <w:r w:rsidRPr="0093396C">
              <w:rPr>
                <w:rFonts w:asciiTheme="minorHAnsi" w:hAnsiTheme="minorHAnsi" w:cs="Times-Roman"/>
              </w:rPr>
              <w:t>vailability of up-to-date data on MDGs and human development indicators</w:t>
            </w:r>
          </w:p>
          <w:p w14:paraId="7F6EF2A8" w14:textId="77777777" w:rsidR="008F0569" w:rsidRPr="0093396C" w:rsidRDefault="008F0569" w:rsidP="00A6495C">
            <w:pPr>
              <w:pStyle w:val="BodyText2"/>
              <w:ind w:left="1080"/>
              <w:rPr>
                <w:rFonts w:asciiTheme="minorHAnsi" w:hAnsiTheme="minorHAnsi"/>
                <w:b/>
              </w:rPr>
            </w:pPr>
          </w:p>
        </w:tc>
        <w:tc>
          <w:tcPr>
            <w:tcW w:w="3510" w:type="dxa"/>
          </w:tcPr>
          <w:p w14:paraId="5E6022C5" w14:textId="057D943A" w:rsidR="00B614C9" w:rsidRDefault="00BD63FC" w:rsidP="006077E0">
            <w:pPr>
              <w:pStyle w:val="BodyText2"/>
              <w:numPr>
                <w:ilvl w:val="0"/>
                <w:numId w:val="13"/>
              </w:numPr>
              <w:rPr>
                <w:rFonts w:asciiTheme="minorHAnsi" w:hAnsiTheme="minorHAnsi"/>
              </w:rPr>
            </w:pPr>
            <w:r>
              <w:rPr>
                <w:rFonts w:asciiTheme="minorHAnsi" w:hAnsiTheme="minorHAnsi"/>
              </w:rPr>
              <w:t>Nation</w:t>
            </w:r>
            <w:r w:rsidR="00C83DA2">
              <w:rPr>
                <w:rFonts w:asciiTheme="minorHAnsi" w:hAnsiTheme="minorHAnsi"/>
              </w:rPr>
              <w:t>al</w:t>
            </w:r>
            <w:r w:rsidR="009E183A">
              <w:rPr>
                <w:rFonts w:asciiTheme="minorHAnsi" w:hAnsiTheme="minorHAnsi"/>
              </w:rPr>
              <w:t xml:space="preserve"> capacities and knowledge for key stakeholders [private sector, civil society, academia, youth and people with disability etc] on SDGs enhanced </w:t>
            </w:r>
          </w:p>
          <w:p w14:paraId="21DAB617" w14:textId="739D09FF" w:rsidR="009E183A" w:rsidRDefault="00523417" w:rsidP="00523417">
            <w:pPr>
              <w:pStyle w:val="BodyText2"/>
              <w:numPr>
                <w:ilvl w:val="0"/>
                <w:numId w:val="13"/>
              </w:numPr>
              <w:rPr>
                <w:rFonts w:asciiTheme="minorHAnsi" w:hAnsiTheme="minorHAnsi"/>
              </w:rPr>
            </w:pPr>
            <w:r>
              <w:rPr>
                <w:rFonts w:asciiTheme="minorHAnsi" w:hAnsiTheme="minorHAnsi"/>
              </w:rPr>
              <w:t>a.</w:t>
            </w:r>
            <w:r w:rsidR="00740F33">
              <w:rPr>
                <w:rFonts w:asciiTheme="minorHAnsi" w:hAnsiTheme="minorHAnsi"/>
              </w:rPr>
              <w:t xml:space="preserve"> </w:t>
            </w:r>
            <w:r w:rsidR="00B157C0">
              <w:rPr>
                <w:rFonts w:asciiTheme="minorHAnsi" w:hAnsiTheme="minorHAnsi"/>
              </w:rPr>
              <w:t>SDG indicator</w:t>
            </w:r>
            <w:r w:rsidR="00740F33">
              <w:rPr>
                <w:rFonts w:asciiTheme="minorHAnsi" w:hAnsiTheme="minorHAnsi"/>
              </w:rPr>
              <w:t>s</w:t>
            </w:r>
            <w:r w:rsidR="00B157C0">
              <w:rPr>
                <w:rFonts w:asciiTheme="minorHAnsi" w:hAnsiTheme="minorHAnsi"/>
              </w:rPr>
              <w:t xml:space="preserve"> relevant to Lesotho prioriti</w:t>
            </w:r>
            <w:r w:rsidR="00740F33">
              <w:rPr>
                <w:rFonts w:asciiTheme="minorHAnsi" w:hAnsiTheme="minorHAnsi"/>
              </w:rPr>
              <w:t xml:space="preserve">zed and baseline data identified to strengthen national data </w:t>
            </w:r>
            <w:r w:rsidR="00740F33">
              <w:rPr>
                <w:rFonts w:asciiTheme="minorHAnsi" w:hAnsiTheme="minorHAnsi"/>
              </w:rPr>
              <w:lastRenderedPageBreak/>
              <w:t>capacities for monitoring and reporting</w:t>
            </w:r>
          </w:p>
          <w:p w14:paraId="6A957398" w14:textId="6768E3F2" w:rsidR="00740F33" w:rsidRDefault="00740F33" w:rsidP="00740F33">
            <w:pPr>
              <w:pStyle w:val="BodyText2"/>
              <w:ind w:left="1080"/>
              <w:rPr>
                <w:rFonts w:asciiTheme="minorHAnsi" w:hAnsiTheme="minorHAnsi"/>
              </w:rPr>
            </w:pPr>
            <w:r>
              <w:rPr>
                <w:rFonts w:asciiTheme="minorHAnsi" w:hAnsiTheme="minorHAnsi"/>
              </w:rPr>
              <w:t xml:space="preserve">b. Data and capacity gaps identified to support development of a national M&amp;E system. </w:t>
            </w:r>
          </w:p>
          <w:p w14:paraId="2922D6A1" w14:textId="005F9636" w:rsidR="00B614C9" w:rsidRPr="0093396C" w:rsidRDefault="00523417" w:rsidP="006077E0">
            <w:pPr>
              <w:pStyle w:val="BodyText2"/>
              <w:numPr>
                <w:ilvl w:val="0"/>
                <w:numId w:val="13"/>
              </w:numPr>
              <w:rPr>
                <w:rFonts w:asciiTheme="minorHAnsi" w:hAnsiTheme="minorHAnsi"/>
              </w:rPr>
            </w:pPr>
            <w:r>
              <w:rPr>
                <w:rFonts w:asciiTheme="minorHAnsi" w:hAnsiTheme="minorHAnsi"/>
                <w:color w:val="000000"/>
                <w:lang w:val="en-GB"/>
              </w:rPr>
              <w:t xml:space="preserve">a. </w:t>
            </w:r>
            <w:r w:rsidR="00B614C9" w:rsidRPr="0093396C">
              <w:rPr>
                <w:rFonts w:asciiTheme="minorHAnsi" w:hAnsiTheme="minorHAnsi"/>
                <w:color w:val="000000"/>
                <w:lang w:val="en-GB"/>
              </w:rPr>
              <w:t xml:space="preserve">UNDP’s financial and technical support enabled Lesotho to report regularly on </w:t>
            </w:r>
            <w:r w:rsidR="002E7B4B" w:rsidRPr="0093396C">
              <w:rPr>
                <w:rFonts w:asciiTheme="minorHAnsi" w:hAnsiTheme="minorHAnsi"/>
                <w:color w:val="000000"/>
                <w:lang w:val="en-GB"/>
              </w:rPr>
              <w:t>its implementation of the MDGs.</w:t>
            </w:r>
            <w:r w:rsidR="00B614C9" w:rsidRPr="0093396C">
              <w:rPr>
                <w:rFonts w:asciiTheme="minorHAnsi" w:hAnsiTheme="minorHAnsi"/>
                <w:color w:val="000000"/>
                <w:lang w:val="en-GB"/>
              </w:rPr>
              <w:t xml:space="preserve"> </w:t>
            </w:r>
          </w:p>
          <w:p w14:paraId="684E9E83" w14:textId="45DD09C8" w:rsidR="008F0569" w:rsidRPr="0093396C" w:rsidRDefault="00523417" w:rsidP="00523417">
            <w:pPr>
              <w:pStyle w:val="BodyText2"/>
              <w:ind w:left="1080"/>
              <w:rPr>
                <w:rFonts w:asciiTheme="minorHAnsi" w:hAnsiTheme="minorHAnsi"/>
              </w:rPr>
            </w:pPr>
            <w:r>
              <w:rPr>
                <w:rFonts w:asciiTheme="minorHAnsi" w:hAnsiTheme="minorHAnsi"/>
                <w:color w:val="000000"/>
                <w:lang w:val="en-GB"/>
              </w:rPr>
              <w:t xml:space="preserve">b. </w:t>
            </w:r>
            <w:r w:rsidR="00B614C9" w:rsidRPr="0093396C">
              <w:rPr>
                <w:rFonts w:asciiTheme="minorHAnsi" w:hAnsiTheme="minorHAnsi"/>
                <w:color w:val="000000"/>
                <w:lang w:val="en-GB"/>
              </w:rPr>
              <w:t xml:space="preserve">National Human Development on </w:t>
            </w:r>
            <w:r w:rsidR="008D739D" w:rsidRPr="0093396C">
              <w:rPr>
                <w:rFonts w:asciiTheme="minorHAnsi" w:hAnsiTheme="minorHAnsi"/>
                <w:color w:val="000000"/>
                <w:lang w:val="en-GB"/>
              </w:rPr>
              <w:t xml:space="preserve">Leveraging </w:t>
            </w:r>
            <w:r w:rsidR="002E7B4B" w:rsidRPr="0093396C">
              <w:rPr>
                <w:rFonts w:asciiTheme="minorHAnsi" w:hAnsiTheme="minorHAnsi"/>
                <w:color w:val="000000"/>
                <w:lang w:val="en-GB"/>
              </w:rPr>
              <w:t xml:space="preserve">Youth Capacities </w:t>
            </w:r>
            <w:r w:rsidR="00B614C9" w:rsidRPr="0093396C">
              <w:rPr>
                <w:rFonts w:asciiTheme="minorHAnsi" w:hAnsiTheme="minorHAnsi"/>
                <w:color w:val="000000"/>
                <w:lang w:val="en-GB"/>
              </w:rPr>
              <w:t>was developed and launched in December, 2016</w:t>
            </w:r>
          </w:p>
        </w:tc>
      </w:tr>
      <w:tr w:rsidR="00DC4D86" w:rsidRPr="0093396C" w14:paraId="09A348E4" w14:textId="77777777" w:rsidTr="008D739D">
        <w:tc>
          <w:tcPr>
            <w:tcW w:w="14040" w:type="dxa"/>
            <w:gridSpan w:val="8"/>
          </w:tcPr>
          <w:p w14:paraId="33E8EB9A" w14:textId="60B62654" w:rsidR="00DC4D86" w:rsidRPr="0093396C" w:rsidRDefault="00DC4D86" w:rsidP="003D23EE">
            <w:pPr>
              <w:pStyle w:val="BodyText2"/>
              <w:rPr>
                <w:rFonts w:asciiTheme="minorHAnsi" w:hAnsiTheme="minorHAnsi"/>
              </w:rPr>
            </w:pPr>
            <w:r w:rsidRPr="0093396C">
              <w:rPr>
                <w:rFonts w:asciiTheme="minorHAnsi" w:hAnsiTheme="minorHAnsi"/>
                <w:b/>
              </w:rPr>
              <w:lastRenderedPageBreak/>
              <w:t>UNDP Contribution</w:t>
            </w:r>
            <w:r w:rsidRPr="0093396C">
              <w:rPr>
                <w:rFonts w:asciiTheme="minorHAnsi" w:hAnsiTheme="minorHAnsi"/>
              </w:rPr>
              <w:t>:</w:t>
            </w:r>
            <w:r w:rsidR="003D23EE" w:rsidRPr="0093396C">
              <w:rPr>
                <w:rFonts w:asciiTheme="minorHAnsi" w:hAnsiTheme="minorHAnsi"/>
              </w:rPr>
              <w:t xml:space="preserve"> aimed at ensuring that decision making was based on sound policy analysis and promoting inclusivity from all key stakeholders -  government, </w:t>
            </w:r>
            <w:r w:rsidR="00140F8A" w:rsidRPr="0093396C">
              <w:rPr>
                <w:rFonts w:asciiTheme="minorHAnsi" w:hAnsiTheme="minorHAnsi"/>
              </w:rPr>
              <w:t>decentralized</w:t>
            </w:r>
            <w:r w:rsidR="003D23EE" w:rsidRPr="0093396C">
              <w:rPr>
                <w:rFonts w:asciiTheme="minorHAnsi" w:hAnsiTheme="minorHAnsi"/>
              </w:rPr>
              <w:t xml:space="preserve"> local government authorities, civil society </w:t>
            </w:r>
            <w:r w:rsidR="00140F8A" w:rsidRPr="0093396C">
              <w:rPr>
                <w:rFonts w:asciiTheme="minorHAnsi" w:hAnsiTheme="minorHAnsi"/>
              </w:rPr>
              <w:t>organizations</w:t>
            </w:r>
            <w:r w:rsidR="003D23EE" w:rsidRPr="0093396C">
              <w:rPr>
                <w:rFonts w:asciiTheme="minorHAnsi" w:hAnsiTheme="minorHAnsi"/>
              </w:rPr>
              <w:t xml:space="preserve">, community based </w:t>
            </w:r>
            <w:r w:rsidR="00140F8A" w:rsidRPr="0093396C">
              <w:rPr>
                <w:rFonts w:asciiTheme="minorHAnsi" w:hAnsiTheme="minorHAnsi"/>
              </w:rPr>
              <w:t>organizations</w:t>
            </w:r>
            <w:r w:rsidR="003D23EE" w:rsidRPr="0093396C">
              <w:rPr>
                <w:rFonts w:asciiTheme="minorHAnsi" w:hAnsiTheme="minorHAnsi"/>
              </w:rPr>
              <w:t xml:space="preserve"> (CBOs) and the private sector.</w:t>
            </w:r>
          </w:p>
        </w:tc>
      </w:tr>
      <w:tr w:rsidR="009E7526" w:rsidRPr="0093396C" w14:paraId="38E776A0" w14:textId="77777777" w:rsidTr="008D739D">
        <w:tc>
          <w:tcPr>
            <w:tcW w:w="14040" w:type="dxa"/>
            <w:gridSpan w:val="8"/>
          </w:tcPr>
          <w:p w14:paraId="41A78F0F" w14:textId="4C852AD4" w:rsidR="002664F9" w:rsidRPr="0093396C" w:rsidRDefault="002664F9" w:rsidP="002664F9">
            <w:pPr>
              <w:rPr>
                <w:rFonts w:asciiTheme="minorHAnsi" w:hAnsiTheme="minorHAnsi"/>
                <w:sz w:val="20"/>
                <w:u w:val="single"/>
              </w:rPr>
            </w:pPr>
            <w:r w:rsidRPr="0093396C">
              <w:rPr>
                <w:rFonts w:asciiTheme="minorHAnsi" w:hAnsiTheme="minorHAnsi"/>
                <w:sz w:val="20"/>
                <w:u w:val="single"/>
              </w:rPr>
              <w:t>CP Outputs:</w:t>
            </w:r>
          </w:p>
          <w:p w14:paraId="248578FC" w14:textId="75DD30D7" w:rsidR="009E7526" w:rsidRPr="0093396C" w:rsidRDefault="009E7526" w:rsidP="006077E0">
            <w:pPr>
              <w:pStyle w:val="ListParagraph"/>
              <w:numPr>
                <w:ilvl w:val="0"/>
                <w:numId w:val="14"/>
              </w:numPr>
              <w:rPr>
                <w:rFonts w:asciiTheme="minorHAnsi" w:hAnsiTheme="minorHAnsi"/>
                <w:sz w:val="20"/>
              </w:rPr>
            </w:pPr>
            <w:r w:rsidRPr="0093396C">
              <w:rPr>
                <w:rFonts w:asciiTheme="minorHAnsi" w:hAnsiTheme="minorHAnsi"/>
                <w:sz w:val="20"/>
              </w:rPr>
              <w:t>Summary of evaluation</w:t>
            </w:r>
            <w:r w:rsidR="00674B1A" w:rsidRPr="0093396C">
              <w:rPr>
                <w:rFonts w:asciiTheme="minorHAnsi" w:hAnsiTheme="minorHAnsi"/>
                <w:sz w:val="20"/>
              </w:rPr>
              <w:t xml:space="preserve"> finding</w:t>
            </w:r>
            <w:r w:rsidRPr="0093396C">
              <w:rPr>
                <w:rFonts w:asciiTheme="minorHAnsi" w:hAnsiTheme="minorHAnsi"/>
                <w:sz w:val="20"/>
              </w:rPr>
              <w:t>s (</w:t>
            </w:r>
            <w:r w:rsidR="008F0A97" w:rsidRPr="0093396C">
              <w:rPr>
                <w:rFonts w:asciiTheme="minorHAnsi" w:hAnsiTheme="minorHAnsi"/>
                <w:sz w:val="20"/>
              </w:rPr>
              <w:t xml:space="preserve">e.g. from outcome and project evaluations, UNDAF </w:t>
            </w:r>
            <w:r w:rsidRPr="0093396C">
              <w:rPr>
                <w:rFonts w:asciiTheme="minorHAnsi" w:hAnsiTheme="minorHAnsi"/>
                <w:sz w:val="20"/>
              </w:rPr>
              <w:t xml:space="preserve">reviews, </w:t>
            </w:r>
            <w:r w:rsidR="008F0A97" w:rsidRPr="0093396C">
              <w:rPr>
                <w:rFonts w:asciiTheme="minorHAnsi" w:hAnsiTheme="minorHAnsi"/>
                <w:sz w:val="20"/>
              </w:rPr>
              <w:t xml:space="preserve">and other </w:t>
            </w:r>
            <w:r w:rsidRPr="0093396C">
              <w:rPr>
                <w:rFonts w:asciiTheme="minorHAnsi" w:hAnsiTheme="minorHAnsi"/>
                <w:sz w:val="20"/>
              </w:rPr>
              <w:t>assessments)</w:t>
            </w:r>
          </w:p>
          <w:p w14:paraId="5B5ECFD7" w14:textId="53961E83" w:rsidR="00674B1A" w:rsidRPr="0093396C" w:rsidRDefault="001341D7" w:rsidP="006077E0">
            <w:pPr>
              <w:pStyle w:val="ListParagraph"/>
              <w:numPr>
                <w:ilvl w:val="0"/>
                <w:numId w:val="14"/>
              </w:numPr>
              <w:jc w:val="both"/>
              <w:rPr>
                <w:rFonts w:asciiTheme="minorHAnsi" w:hAnsiTheme="minorHAnsi"/>
                <w:sz w:val="20"/>
              </w:rPr>
            </w:pPr>
            <w:r w:rsidRPr="0093396C">
              <w:rPr>
                <w:rFonts w:asciiTheme="minorHAnsi" w:hAnsiTheme="minorHAnsi"/>
                <w:sz w:val="20"/>
              </w:rPr>
              <w:t xml:space="preserve">Based on the </w:t>
            </w:r>
            <w:r w:rsidR="009E7526" w:rsidRPr="0093396C">
              <w:rPr>
                <w:rFonts w:asciiTheme="minorHAnsi" w:hAnsiTheme="minorHAnsi"/>
                <w:sz w:val="20"/>
              </w:rPr>
              <w:t>evaluation s and/or assessments undertaken please provide a brief summary of the overa</w:t>
            </w:r>
            <w:r w:rsidR="00140F8A">
              <w:rPr>
                <w:rFonts w:asciiTheme="minorHAnsi" w:hAnsiTheme="minorHAnsi"/>
                <w:sz w:val="20"/>
              </w:rPr>
              <w:t>ll findings on the CP for the 4-</w:t>
            </w:r>
            <w:r w:rsidR="009E7526" w:rsidRPr="0093396C">
              <w:rPr>
                <w:rFonts w:asciiTheme="minorHAnsi" w:hAnsiTheme="minorHAnsi"/>
                <w:sz w:val="20"/>
              </w:rPr>
              <w:t>year period in terms of performance effectiveness and efficiency and key ac</w:t>
            </w:r>
            <w:r w:rsidR="00674B1A" w:rsidRPr="0093396C">
              <w:rPr>
                <w:rFonts w:asciiTheme="minorHAnsi" w:hAnsiTheme="minorHAnsi"/>
                <w:sz w:val="20"/>
              </w:rPr>
              <w:t>hievements and lessons learned. Maximum 500 words.</w:t>
            </w:r>
            <w:r w:rsidR="00140F8A">
              <w:rPr>
                <w:rFonts w:asciiTheme="minorHAnsi" w:hAnsiTheme="minorHAnsi"/>
                <w:sz w:val="20"/>
              </w:rPr>
              <w:t xml:space="preserve"> </w:t>
            </w:r>
            <w:r w:rsidR="005E62A7" w:rsidRPr="0093396C">
              <w:rPr>
                <w:rFonts w:asciiTheme="minorHAnsi" w:hAnsiTheme="minorHAnsi"/>
                <w:sz w:val="20"/>
              </w:rPr>
              <w:t>Two of the CPD outcome underwent a mid-term evaluation in 2016</w:t>
            </w:r>
            <w:r w:rsidR="00E9589C" w:rsidRPr="0093396C">
              <w:rPr>
                <w:rFonts w:asciiTheme="minorHAnsi" w:hAnsiTheme="minorHAnsi"/>
                <w:sz w:val="20"/>
              </w:rPr>
              <w:t>“By 2017, public and private institutions promote increased investment, manufacturing, trade and financial services and create decent employment in an inclusive and sustainable manner”; and “By 2017 Lesotho adopts environmental management practices for sustainable development that promote a low-carbon, climate-resilient economy and society, sustainably manage natural resources, and reduce vulnerability to disasters.</w:t>
            </w:r>
          </w:p>
          <w:p w14:paraId="5C89F959" w14:textId="04666CB3" w:rsidR="00901EC1" w:rsidRPr="0093396C" w:rsidRDefault="005107AD" w:rsidP="00901EC1">
            <w:pPr>
              <w:jc w:val="both"/>
              <w:rPr>
                <w:rFonts w:asciiTheme="minorHAnsi" w:hAnsiTheme="minorHAnsi"/>
                <w:sz w:val="20"/>
                <w:u w:val="single"/>
              </w:rPr>
            </w:pPr>
            <w:r w:rsidRPr="0093396C">
              <w:rPr>
                <w:rFonts w:asciiTheme="minorHAnsi" w:hAnsiTheme="minorHAnsi"/>
                <w:sz w:val="20"/>
                <w:u w:val="single"/>
              </w:rPr>
              <w:t xml:space="preserve">Progress and </w:t>
            </w:r>
            <w:r w:rsidR="009E7526" w:rsidRPr="0093396C">
              <w:rPr>
                <w:rFonts w:asciiTheme="minorHAnsi" w:hAnsiTheme="minorHAnsi"/>
                <w:sz w:val="20"/>
                <w:u w:val="single"/>
              </w:rPr>
              <w:t>Achievements</w:t>
            </w:r>
            <w:r w:rsidR="005F6261" w:rsidRPr="0093396C">
              <w:rPr>
                <w:rFonts w:asciiTheme="minorHAnsi" w:hAnsiTheme="minorHAnsi"/>
                <w:sz w:val="20"/>
                <w:u w:val="single"/>
              </w:rPr>
              <w:t>:</w:t>
            </w:r>
            <w:r w:rsidR="00901EC1" w:rsidRPr="0093396C">
              <w:rPr>
                <w:rFonts w:asciiTheme="minorHAnsi" w:hAnsiTheme="minorHAnsi"/>
                <w:sz w:val="20"/>
                <w:u w:val="single"/>
              </w:rPr>
              <w:t xml:space="preserve"> </w:t>
            </w:r>
          </w:p>
          <w:p w14:paraId="226A7FF6" w14:textId="437F90C1" w:rsidR="00901EC1" w:rsidRPr="0093396C" w:rsidRDefault="00901EC1" w:rsidP="006077E0">
            <w:pPr>
              <w:pStyle w:val="ListParagraph"/>
              <w:numPr>
                <w:ilvl w:val="0"/>
                <w:numId w:val="16"/>
              </w:numPr>
              <w:jc w:val="both"/>
              <w:rPr>
                <w:rFonts w:asciiTheme="minorHAnsi" w:hAnsiTheme="minorHAnsi"/>
                <w:sz w:val="20"/>
              </w:rPr>
            </w:pPr>
            <w:r w:rsidRPr="0093396C">
              <w:rPr>
                <w:rFonts w:asciiTheme="minorHAnsi" w:hAnsiTheme="minorHAnsi"/>
                <w:sz w:val="20"/>
              </w:rPr>
              <w:t>The effectiveness of the Country Programme CP) shows mixed outcomes at the macro, meso and micro levels. At the macro level, the CP was expected to strengthen capacities to improve the policy and regulatory environment as well as foster the leadership of key partner ministries. However, except in a few cases, many Government Ministries, Departments and Agencies are not taking the leadership expected of them as envisaged in the Project Document (PD). Hence the strengthening of MOF, MoDP and most MDAs cooperating with the UNDP in various strategic areas and in sector coordination on issues linked to inclusive growth has largely not happened.</w:t>
            </w:r>
          </w:p>
          <w:p w14:paraId="024B7794" w14:textId="6153C6B5" w:rsidR="00C31764" w:rsidRPr="0093396C" w:rsidRDefault="00901EC1" w:rsidP="006077E0">
            <w:pPr>
              <w:pStyle w:val="ListParagraph"/>
              <w:numPr>
                <w:ilvl w:val="0"/>
                <w:numId w:val="16"/>
              </w:numPr>
              <w:jc w:val="both"/>
              <w:rPr>
                <w:rFonts w:asciiTheme="minorHAnsi" w:hAnsiTheme="minorHAnsi"/>
                <w:sz w:val="20"/>
              </w:rPr>
            </w:pPr>
            <w:r w:rsidRPr="0093396C">
              <w:rPr>
                <w:rFonts w:asciiTheme="minorHAnsi" w:hAnsiTheme="minorHAnsi"/>
                <w:sz w:val="20"/>
              </w:rPr>
              <w:t xml:space="preserve">On the basis of indicative evidence that shows adherence by the CO to the existing UN financial and procurement procedures, rules and regulation, which have been largely followed, during the CPD period, it can be concluded that there has been an economic use of resources, human and financial, time and equipment.  However, human resource capacity constraints within the UNDP have constrained achievement of the outputs to the extent that is desirable. This is reflected in constraints associated with follow-up of key actions with implementation partners. </w:t>
            </w:r>
          </w:p>
          <w:p w14:paraId="65FAE651" w14:textId="77777777" w:rsidR="001341D7" w:rsidRPr="0093396C" w:rsidRDefault="001341D7" w:rsidP="001341D7">
            <w:pPr>
              <w:pStyle w:val="ListParagraph"/>
              <w:jc w:val="both"/>
              <w:rPr>
                <w:rFonts w:asciiTheme="minorHAnsi" w:hAnsiTheme="minorHAnsi"/>
                <w:sz w:val="20"/>
              </w:rPr>
            </w:pPr>
          </w:p>
          <w:p w14:paraId="24372336" w14:textId="0921B7C0" w:rsidR="009E7526" w:rsidRPr="0093396C" w:rsidRDefault="009C06F7" w:rsidP="005E62A7">
            <w:pPr>
              <w:jc w:val="both"/>
              <w:rPr>
                <w:rFonts w:asciiTheme="minorHAnsi" w:hAnsiTheme="minorHAnsi"/>
                <w:sz w:val="20"/>
                <w:u w:val="single"/>
              </w:rPr>
            </w:pPr>
            <w:r w:rsidRPr="0093396C">
              <w:rPr>
                <w:rFonts w:asciiTheme="minorHAnsi" w:hAnsiTheme="minorHAnsi"/>
                <w:sz w:val="20"/>
                <w:u w:val="single"/>
              </w:rPr>
              <w:t xml:space="preserve">Summary of evaluation findings - </w:t>
            </w:r>
            <w:r w:rsidR="009E7526" w:rsidRPr="0093396C">
              <w:rPr>
                <w:rFonts w:asciiTheme="minorHAnsi" w:hAnsiTheme="minorHAnsi"/>
                <w:sz w:val="20"/>
                <w:u w:val="single"/>
              </w:rPr>
              <w:t>Major Lessons Learnt</w:t>
            </w:r>
            <w:r w:rsidR="005F6261" w:rsidRPr="0093396C">
              <w:rPr>
                <w:rFonts w:asciiTheme="minorHAnsi" w:hAnsiTheme="minorHAnsi"/>
                <w:sz w:val="20"/>
                <w:u w:val="single"/>
              </w:rPr>
              <w:t>:</w:t>
            </w:r>
          </w:p>
          <w:p w14:paraId="4CCA0E63" w14:textId="0B8C0E78" w:rsidR="005E62A7" w:rsidRPr="0093396C" w:rsidRDefault="005E62A7" w:rsidP="006077E0">
            <w:pPr>
              <w:pStyle w:val="ListParagraph"/>
              <w:numPr>
                <w:ilvl w:val="0"/>
                <w:numId w:val="15"/>
              </w:numPr>
              <w:jc w:val="both"/>
              <w:rPr>
                <w:rFonts w:asciiTheme="minorHAnsi" w:hAnsiTheme="minorHAnsi"/>
                <w:sz w:val="20"/>
              </w:rPr>
            </w:pPr>
            <w:r w:rsidRPr="0093396C">
              <w:rPr>
                <w:rFonts w:asciiTheme="minorHAnsi" w:hAnsiTheme="minorHAnsi"/>
                <w:sz w:val="20"/>
              </w:rPr>
              <w:t xml:space="preserve">The key lesson learnt is that the development reform agenda is not easy to implement against background of entrenched and protracted practices over generations both in Government systems and amongst beneficiaries. </w:t>
            </w:r>
            <w:r w:rsidR="00A247EC">
              <w:rPr>
                <w:rFonts w:asciiTheme="minorHAnsi" w:hAnsiTheme="minorHAnsi"/>
                <w:sz w:val="20"/>
              </w:rPr>
              <w:t>O</w:t>
            </w:r>
            <w:r w:rsidR="00A247EC" w:rsidRPr="0093396C">
              <w:rPr>
                <w:rFonts w:asciiTheme="minorHAnsi" w:hAnsiTheme="minorHAnsi"/>
                <w:sz w:val="20"/>
              </w:rPr>
              <w:t>verall</w:t>
            </w:r>
            <w:r w:rsidRPr="0093396C">
              <w:rPr>
                <w:rFonts w:asciiTheme="minorHAnsi" w:hAnsiTheme="minorHAnsi"/>
                <w:sz w:val="20"/>
              </w:rPr>
              <w:t>, this calls for extraordinary measures beyond simplistic process approaches defined in project documents to achieve outputs and d</w:t>
            </w:r>
            <w:r w:rsidR="00E80AB0">
              <w:rPr>
                <w:rFonts w:asciiTheme="minorHAnsi" w:hAnsiTheme="minorHAnsi"/>
                <w:sz w:val="20"/>
              </w:rPr>
              <w:t>eliverables; requires more long-</w:t>
            </w:r>
            <w:r w:rsidRPr="0093396C">
              <w:rPr>
                <w:rFonts w:asciiTheme="minorHAnsi" w:hAnsiTheme="minorHAnsi"/>
                <w:sz w:val="20"/>
              </w:rPr>
              <w:t>term engagement beyond what is defined in</w:t>
            </w:r>
            <w:r w:rsidR="00E9589C" w:rsidRPr="0093396C">
              <w:rPr>
                <w:rFonts w:asciiTheme="minorHAnsi" w:hAnsiTheme="minorHAnsi"/>
                <w:sz w:val="20"/>
              </w:rPr>
              <w:t xml:space="preserve"> the C</w:t>
            </w:r>
            <w:r w:rsidRPr="0093396C">
              <w:rPr>
                <w:rFonts w:asciiTheme="minorHAnsi" w:hAnsiTheme="minorHAnsi"/>
                <w:sz w:val="20"/>
              </w:rPr>
              <w:t xml:space="preserve">PD;  </w:t>
            </w:r>
          </w:p>
          <w:p w14:paraId="7B5168EF" w14:textId="1F91DE7B" w:rsidR="005E62A7" w:rsidRPr="0093396C" w:rsidRDefault="005E62A7" w:rsidP="006077E0">
            <w:pPr>
              <w:pStyle w:val="ListParagraph"/>
              <w:numPr>
                <w:ilvl w:val="0"/>
                <w:numId w:val="15"/>
              </w:numPr>
              <w:jc w:val="both"/>
              <w:rPr>
                <w:rFonts w:asciiTheme="minorHAnsi" w:hAnsiTheme="minorHAnsi"/>
                <w:sz w:val="20"/>
              </w:rPr>
            </w:pPr>
            <w:r w:rsidRPr="0093396C">
              <w:rPr>
                <w:rFonts w:asciiTheme="minorHAnsi" w:hAnsiTheme="minorHAnsi"/>
                <w:sz w:val="20"/>
              </w:rPr>
              <w:t xml:space="preserve">The establishment of an enabling environment, which includes the transformation of the political environment, democratic governance structures are necessary to address the binding constraints in the development arena for both focal areas and relating to complementary issues. </w:t>
            </w:r>
          </w:p>
          <w:p w14:paraId="3D158F3A" w14:textId="086A53ED" w:rsidR="005E62A7" w:rsidRPr="0093396C" w:rsidRDefault="005E62A7" w:rsidP="006077E0">
            <w:pPr>
              <w:pStyle w:val="ListParagraph"/>
              <w:numPr>
                <w:ilvl w:val="0"/>
                <w:numId w:val="15"/>
              </w:numPr>
              <w:jc w:val="both"/>
              <w:rPr>
                <w:rFonts w:asciiTheme="minorHAnsi" w:hAnsiTheme="minorHAnsi"/>
                <w:sz w:val="20"/>
              </w:rPr>
            </w:pPr>
            <w:r w:rsidRPr="0093396C">
              <w:rPr>
                <w:rFonts w:asciiTheme="minorHAnsi" w:hAnsiTheme="minorHAnsi"/>
                <w:sz w:val="20"/>
              </w:rPr>
              <w:t>The establishment of results-based management and results oriented performance monitoring, with penalties for non-delivery and rewards for good performance is</w:t>
            </w:r>
            <w:r w:rsidR="00E80AB0">
              <w:rPr>
                <w:rFonts w:asciiTheme="minorHAnsi" w:hAnsiTheme="minorHAnsi"/>
                <w:sz w:val="20"/>
              </w:rPr>
              <w:t xml:space="preserve"> necessary to facilitate a much</w:t>
            </w:r>
            <w:r w:rsidR="00A247EC">
              <w:rPr>
                <w:rFonts w:asciiTheme="minorHAnsi" w:hAnsiTheme="minorHAnsi"/>
                <w:sz w:val="20"/>
              </w:rPr>
              <w:t xml:space="preserve"> </w:t>
            </w:r>
            <w:r w:rsidRPr="0093396C">
              <w:rPr>
                <w:rFonts w:asciiTheme="minorHAnsi" w:hAnsiTheme="minorHAnsi"/>
                <w:sz w:val="20"/>
              </w:rPr>
              <w:t>needed leadership and cultural change in governance, with transparent accountability structures for development programming.</w:t>
            </w:r>
          </w:p>
          <w:p w14:paraId="7F2465EE" w14:textId="0DE32DBF" w:rsidR="005E62A7" w:rsidRPr="0093396C" w:rsidRDefault="005E62A7" w:rsidP="006077E0">
            <w:pPr>
              <w:pStyle w:val="ListParagraph"/>
              <w:numPr>
                <w:ilvl w:val="0"/>
                <w:numId w:val="15"/>
              </w:numPr>
              <w:jc w:val="both"/>
              <w:rPr>
                <w:rFonts w:asciiTheme="minorHAnsi" w:hAnsiTheme="minorHAnsi"/>
                <w:sz w:val="20"/>
              </w:rPr>
            </w:pPr>
            <w:r w:rsidRPr="0093396C">
              <w:rPr>
                <w:rFonts w:asciiTheme="minorHAnsi" w:hAnsiTheme="minorHAnsi"/>
                <w:sz w:val="20"/>
              </w:rPr>
              <w:t xml:space="preserve">The implementation of the UNDP supported country programme shows that the </w:t>
            </w:r>
            <w:r w:rsidR="009C06F7" w:rsidRPr="0093396C">
              <w:rPr>
                <w:rFonts w:asciiTheme="minorHAnsi" w:hAnsiTheme="minorHAnsi"/>
                <w:sz w:val="20"/>
              </w:rPr>
              <w:t>organization</w:t>
            </w:r>
            <w:r w:rsidRPr="0093396C">
              <w:rPr>
                <w:rFonts w:asciiTheme="minorHAnsi" w:hAnsiTheme="minorHAnsi"/>
                <w:sz w:val="20"/>
              </w:rPr>
              <w:t xml:space="preserve"> has strong capacity to undertake upstream work, that is, technical assistance support to development of policies, strategies and legal frameworks. However, with an unknown and large number of national policies and strategies developed, either not implemented at all or remaining as ‘drafts’, this calls for reviewed and new approaches to the involvement of UNDP in upstream work, examining what the most binding constraints have been in the past. </w:t>
            </w:r>
          </w:p>
          <w:p w14:paraId="67EE3801" w14:textId="5009CF23" w:rsidR="005E62A7" w:rsidRPr="0093396C" w:rsidRDefault="005E62A7" w:rsidP="006077E0">
            <w:pPr>
              <w:pStyle w:val="ListParagraph"/>
              <w:numPr>
                <w:ilvl w:val="0"/>
                <w:numId w:val="15"/>
              </w:numPr>
              <w:jc w:val="both"/>
              <w:rPr>
                <w:rFonts w:asciiTheme="minorHAnsi" w:hAnsiTheme="minorHAnsi"/>
                <w:sz w:val="20"/>
              </w:rPr>
            </w:pPr>
            <w:r w:rsidRPr="0093396C">
              <w:rPr>
                <w:rFonts w:asciiTheme="minorHAnsi" w:hAnsiTheme="minorHAnsi"/>
                <w:sz w:val="20"/>
              </w:rPr>
              <w:t xml:space="preserve">There is need to hold IPs more accountable for delivery of results; policy level, political and institutional governance issues that need to be tackled to enable delivery of results; the IPs do not adhere to approaches that are key to enhancing of achievement of development effectiveness and accountability, especially within the GOL IPs; GOL commitment to delivery of outcomes through demonstrable commitment; </w:t>
            </w:r>
          </w:p>
        </w:tc>
      </w:tr>
    </w:tbl>
    <w:p w14:paraId="22BEA00F" w14:textId="77777777" w:rsidR="004B3911" w:rsidRPr="001225C5" w:rsidRDefault="004B3911">
      <w:pPr>
        <w:pStyle w:val="BodyText2"/>
        <w:rPr>
          <w:rFonts w:asciiTheme="minorHAnsi" w:hAnsiTheme="minorHAnsi"/>
          <w:sz w:val="24"/>
          <w:szCs w:val="24"/>
        </w:rPr>
      </w:pPr>
    </w:p>
    <w:p w14:paraId="11815B08" w14:textId="77777777" w:rsidR="0093396C" w:rsidRDefault="0093396C" w:rsidP="00E37E7A">
      <w:pPr>
        <w:pStyle w:val="BodyText2"/>
        <w:jc w:val="center"/>
        <w:rPr>
          <w:rFonts w:asciiTheme="minorHAnsi" w:hAnsiTheme="minorHAnsi"/>
          <w:sz w:val="24"/>
          <w:szCs w:val="24"/>
        </w:rPr>
      </w:pPr>
    </w:p>
    <w:p w14:paraId="01F77868" w14:textId="77777777" w:rsidR="0093396C" w:rsidRDefault="0093396C" w:rsidP="00E37E7A">
      <w:pPr>
        <w:pStyle w:val="BodyText2"/>
        <w:jc w:val="center"/>
        <w:rPr>
          <w:rFonts w:asciiTheme="minorHAnsi" w:hAnsiTheme="minorHAnsi"/>
          <w:sz w:val="24"/>
          <w:szCs w:val="24"/>
        </w:rPr>
      </w:pPr>
    </w:p>
    <w:p w14:paraId="11984694" w14:textId="77777777" w:rsidR="0093396C" w:rsidRDefault="0093396C" w:rsidP="00E37E7A">
      <w:pPr>
        <w:pStyle w:val="BodyText2"/>
        <w:jc w:val="center"/>
        <w:rPr>
          <w:rFonts w:asciiTheme="minorHAnsi" w:hAnsiTheme="minorHAnsi"/>
          <w:sz w:val="24"/>
          <w:szCs w:val="24"/>
        </w:rPr>
      </w:pPr>
    </w:p>
    <w:p w14:paraId="6D87284F" w14:textId="77777777" w:rsidR="0093396C" w:rsidRDefault="0093396C" w:rsidP="00E37E7A">
      <w:pPr>
        <w:pStyle w:val="BodyText2"/>
        <w:jc w:val="center"/>
        <w:rPr>
          <w:rFonts w:asciiTheme="minorHAnsi" w:hAnsiTheme="minorHAnsi"/>
          <w:sz w:val="24"/>
          <w:szCs w:val="24"/>
        </w:rPr>
      </w:pPr>
    </w:p>
    <w:p w14:paraId="08FF0E3B" w14:textId="61E1CD9A" w:rsidR="0093396C" w:rsidRDefault="0093396C" w:rsidP="00E37E7A">
      <w:pPr>
        <w:pStyle w:val="BodyText2"/>
        <w:jc w:val="center"/>
        <w:rPr>
          <w:rFonts w:asciiTheme="minorHAnsi" w:hAnsiTheme="minorHAnsi"/>
          <w:sz w:val="24"/>
          <w:szCs w:val="24"/>
        </w:rPr>
      </w:pPr>
    </w:p>
    <w:p w14:paraId="2E996EE1" w14:textId="77777777" w:rsidR="00184266" w:rsidRDefault="00184266" w:rsidP="00E37E7A">
      <w:pPr>
        <w:pStyle w:val="BodyText2"/>
        <w:jc w:val="center"/>
        <w:rPr>
          <w:rFonts w:asciiTheme="minorHAnsi" w:hAnsiTheme="minorHAnsi"/>
          <w:sz w:val="24"/>
          <w:szCs w:val="24"/>
        </w:rPr>
      </w:pPr>
    </w:p>
    <w:p w14:paraId="060F2151" w14:textId="76ED4F10" w:rsidR="00E37E7A" w:rsidRPr="00184266" w:rsidRDefault="00EA7740" w:rsidP="00E37E7A">
      <w:pPr>
        <w:pStyle w:val="BodyText2"/>
        <w:jc w:val="center"/>
        <w:rPr>
          <w:rFonts w:asciiTheme="minorHAnsi" w:hAnsiTheme="minorHAnsi"/>
          <w:b/>
        </w:rPr>
      </w:pPr>
      <w:r w:rsidRPr="00184266">
        <w:rPr>
          <w:rFonts w:asciiTheme="minorHAnsi" w:hAnsiTheme="minorHAnsi"/>
          <w:b/>
        </w:rPr>
        <w:t xml:space="preserve">III. </w:t>
      </w:r>
      <w:r w:rsidR="00673710" w:rsidRPr="00184266">
        <w:rPr>
          <w:rFonts w:asciiTheme="minorHAnsi" w:hAnsiTheme="minorHAnsi"/>
          <w:b/>
        </w:rPr>
        <w:t xml:space="preserve">Country Programme </w:t>
      </w:r>
      <w:r w:rsidR="00E37E7A" w:rsidRPr="00184266">
        <w:rPr>
          <w:rFonts w:asciiTheme="minorHAnsi" w:hAnsiTheme="minorHAnsi"/>
          <w:b/>
        </w:rPr>
        <w:t>Resources</w:t>
      </w:r>
    </w:p>
    <w:p w14:paraId="0D7DC6F1" w14:textId="77777777" w:rsidR="00E36EA3" w:rsidRPr="001225C5" w:rsidRDefault="00E36EA3" w:rsidP="00E37E7A">
      <w:pPr>
        <w:pStyle w:val="BodyText2"/>
        <w:jc w:val="center"/>
        <w:rPr>
          <w:rFonts w:asciiTheme="minorHAnsi" w:hAnsiTheme="minorHAnsi"/>
          <w:sz w:val="24"/>
          <w:szCs w:val="24"/>
        </w:rPr>
      </w:pPr>
    </w:p>
    <w:tbl>
      <w:tblPr>
        <w:tblStyle w:val="TableGrid"/>
        <w:tblW w:w="0" w:type="auto"/>
        <w:tblLook w:val="04A0" w:firstRow="1" w:lastRow="0" w:firstColumn="1" w:lastColumn="0" w:noHBand="0" w:noVBand="1"/>
      </w:tblPr>
      <w:tblGrid>
        <w:gridCol w:w="6116"/>
        <w:gridCol w:w="1868"/>
        <w:gridCol w:w="2039"/>
        <w:gridCol w:w="1950"/>
        <w:gridCol w:w="1977"/>
      </w:tblGrid>
      <w:tr w:rsidR="0015409F" w:rsidRPr="0093396C" w14:paraId="61FEB473" w14:textId="77777777" w:rsidTr="008B3A87">
        <w:tc>
          <w:tcPr>
            <w:tcW w:w="6116" w:type="dxa"/>
            <w:shd w:val="clear" w:color="auto" w:fill="000000" w:themeFill="text1"/>
          </w:tcPr>
          <w:p w14:paraId="2D45CCF7" w14:textId="77777777" w:rsidR="0015409F" w:rsidRPr="0093396C" w:rsidRDefault="0015409F" w:rsidP="00E37E7A">
            <w:pPr>
              <w:pStyle w:val="BodyText2"/>
              <w:jc w:val="center"/>
              <w:rPr>
                <w:rFonts w:asciiTheme="minorHAnsi" w:hAnsiTheme="minorHAnsi"/>
                <w:b/>
                <w:color w:val="FFFFFF" w:themeColor="background1"/>
              </w:rPr>
            </w:pPr>
            <w:r w:rsidRPr="0093396C">
              <w:rPr>
                <w:rFonts w:asciiTheme="minorHAnsi" w:hAnsiTheme="minorHAnsi"/>
                <w:b/>
                <w:color w:val="FFFFFF" w:themeColor="background1"/>
              </w:rPr>
              <w:t>Focus Area</w:t>
            </w:r>
          </w:p>
        </w:tc>
        <w:tc>
          <w:tcPr>
            <w:tcW w:w="5857" w:type="dxa"/>
            <w:gridSpan w:val="3"/>
            <w:shd w:val="clear" w:color="auto" w:fill="000000" w:themeFill="text1"/>
          </w:tcPr>
          <w:p w14:paraId="69D4E928" w14:textId="77777777" w:rsidR="0015409F" w:rsidRPr="0093396C" w:rsidRDefault="000D6DE5" w:rsidP="00E37E7A">
            <w:pPr>
              <w:pStyle w:val="BodyText2"/>
              <w:jc w:val="center"/>
              <w:rPr>
                <w:rFonts w:asciiTheme="minorHAnsi" w:hAnsiTheme="minorHAnsi"/>
                <w:b/>
                <w:color w:val="FFFFFF" w:themeColor="background1"/>
              </w:rPr>
            </w:pPr>
            <w:r w:rsidRPr="0093396C">
              <w:rPr>
                <w:rFonts w:asciiTheme="minorHAnsi" w:hAnsiTheme="minorHAnsi"/>
                <w:b/>
                <w:color w:val="FFFFFF" w:themeColor="background1"/>
              </w:rPr>
              <w:t xml:space="preserve">Programme </w:t>
            </w:r>
            <w:r w:rsidR="0015409F" w:rsidRPr="0093396C">
              <w:rPr>
                <w:rFonts w:asciiTheme="minorHAnsi" w:hAnsiTheme="minorHAnsi"/>
                <w:b/>
                <w:color w:val="FFFFFF" w:themeColor="background1"/>
              </w:rPr>
              <w:t>Expenditure ($)</w:t>
            </w:r>
          </w:p>
        </w:tc>
        <w:tc>
          <w:tcPr>
            <w:tcW w:w="1977" w:type="dxa"/>
            <w:shd w:val="clear" w:color="auto" w:fill="000000" w:themeFill="text1"/>
          </w:tcPr>
          <w:p w14:paraId="2801A409" w14:textId="77777777" w:rsidR="0015409F" w:rsidRPr="0093396C" w:rsidRDefault="0015409F" w:rsidP="00E37E7A">
            <w:pPr>
              <w:pStyle w:val="BodyText2"/>
              <w:jc w:val="center"/>
              <w:rPr>
                <w:rFonts w:asciiTheme="minorHAnsi" w:hAnsiTheme="minorHAnsi"/>
                <w:b/>
                <w:color w:val="FFFFFF" w:themeColor="background1"/>
              </w:rPr>
            </w:pPr>
            <w:r w:rsidRPr="0093396C">
              <w:rPr>
                <w:rFonts w:asciiTheme="minorHAnsi" w:hAnsiTheme="minorHAnsi"/>
                <w:b/>
                <w:color w:val="FFFFFF" w:themeColor="background1"/>
              </w:rPr>
              <w:t>% of Total</w:t>
            </w:r>
          </w:p>
        </w:tc>
      </w:tr>
      <w:tr w:rsidR="000D6DE5" w:rsidRPr="0093396C" w14:paraId="49D86A86" w14:textId="77777777" w:rsidTr="008B3A87">
        <w:tc>
          <w:tcPr>
            <w:tcW w:w="6116" w:type="dxa"/>
          </w:tcPr>
          <w:p w14:paraId="035D8F0D" w14:textId="77777777" w:rsidR="000D6DE5" w:rsidRPr="0093396C" w:rsidRDefault="000D6DE5" w:rsidP="00A0001A">
            <w:pPr>
              <w:pStyle w:val="BodyText2"/>
              <w:rPr>
                <w:rFonts w:asciiTheme="minorHAnsi" w:hAnsiTheme="minorHAnsi"/>
              </w:rPr>
            </w:pPr>
          </w:p>
        </w:tc>
        <w:tc>
          <w:tcPr>
            <w:tcW w:w="1868" w:type="dxa"/>
          </w:tcPr>
          <w:p w14:paraId="37458F15" w14:textId="77777777" w:rsidR="000D6DE5" w:rsidRPr="0093396C" w:rsidRDefault="000D6DE5" w:rsidP="00E37E7A">
            <w:pPr>
              <w:pStyle w:val="BodyText2"/>
              <w:jc w:val="center"/>
              <w:rPr>
                <w:rFonts w:asciiTheme="minorHAnsi" w:hAnsiTheme="minorHAnsi"/>
              </w:rPr>
            </w:pPr>
            <w:r w:rsidRPr="0093396C">
              <w:rPr>
                <w:rFonts w:asciiTheme="minorHAnsi" w:hAnsiTheme="minorHAnsi"/>
              </w:rPr>
              <w:t>Regular (TRAC)</w:t>
            </w:r>
          </w:p>
        </w:tc>
        <w:tc>
          <w:tcPr>
            <w:tcW w:w="2039" w:type="dxa"/>
          </w:tcPr>
          <w:p w14:paraId="028EFCAA" w14:textId="77777777" w:rsidR="000D6DE5" w:rsidRPr="0093396C" w:rsidRDefault="000D6DE5" w:rsidP="00E37E7A">
            <w:pPr>
              <w:pStyle w:val="BodyText2"/>
              <w:jc w:val="center"/>
              <w:rPr>
                <w:rFonts w:asciiTheme="minorHAnsi" w:hAnsiTheme="minorHAnsi"/>
              </w:rPr>
            </w:pPr>
            <w:r w:rsidRPr="0093396C">
              <w:rPr>
                <w:rFonts w:asciiTheme="minorHAnsi" w:hAnsiTheme="minorHAnsi"/>
              </w:rPr>
              <w:t>Other</w:t>
            </w:r>
          </w:p>
        </w:tc>
        <w:tc>
          <w:tcPr>
            <w:tcW w:w="1950" w:type="dxa"/>
          </w:tcPr>
          <w:p w14:paraId="427FA5AD" w14:textId="77777777" w:rsidR="000D6DE5" w:rsidRPr="0093396C" w:rsidRDefault="000D6DE5" w:rsidP="00E37E7A">
            <w:pPr>
              <w:pStyle w:val="BodyText2"/>
              <w:jc w:val="center"/>
              <w:rPr>
                <w:rFonts w:asciiTheme="minorHAnsi" w:hAnsiTheme="minorHAnsi"/>
              </w:rPr>
            </w:pPr>
            <w:r w:rsidRPr="0093396C">
              <w:rPr>
                <w:rFonts w:asciiTheme="minorHAnsi" w:hAnsiTheme="minorHAnsi"/>
              </w:rPr>
              <w:t>Total</w:t>
            </w:r>
          </w:p>
        </w:tc>
        <w:tc>
          <w:tcPr>
            <w:tcW w:w="1977" w:type="dxa"/>
          </w:tcPr>
          <w:p w14:paraId="3603C63A" w14:textId="77777777" w:rsidR="000D6DE5" w:rsidRPr="0093396C" w:rsidRDefault="000D6DE5" w:rsidP="00E37E7A">
            <w:pPr>
              <w:pStyle w:val="BodyText2"/>
              <w:jc w:val="center"/>
              <w:rPr>
                <w:rFonts w:asciiTheme="minorHAnsi" w:hAnsiTheme="minorHAnsi"/>
              </w:rPr>
            </w:pPr>
          </w:p>
        </w:tc>
      </w:tr>
      <w:tr w:rsidR="008B3A87" w:rsidRPr="0093396C" w14:paraId="71B114E1" w14:textId="77777777" w:rsidTr="008B3A87">
        <w:tc>
          <w:tcPr>
            <w:tcW w:w="6116" w:type="dxa"/>
          </w:tcPr>
          <w:p w14:paraId="0E7B6D26" w14:textId="5B61B97A" w:rsidR="008B3A87" w:rsidRPr="0093396C" w:rsidRDefault="00202EFE" w:rsidP="008B3A87">
            <w:pPr>
              <w:pStyle w:val="BodyText2"/>
              <w:rPr>
                <w:rFonts w:asciiTheme="minorHAnsi" w:hAnsiTheme="minorHAnsi"/>
              </w:rPr>
            </w:pPr>
            <w:r w:rsidRPr="0093396C">
              <w:rPr>
                <w:rFonts w:asciiTheme="minorHAnsi" w:hAnsiTheme="minorHAnsi"/>
              </w:rPr>
              <w:t>Outcome 33</w:t>
            </w:r>
          </w:p>
        </w:tc>
        <w:tc>
          <w:tcPr>
            <w:tcW w:w="1868" w:type="dxa"/>
          </w:tcPr>
          <w:p w14:paraId="301715CF" w14:textId="16186099" w:rsidR="008B3A87" w:rsidRPr="0093396C" w:rsidRDefault="004B4151" w:rsidP="00802237">
            <w:pPr>
              <w:pStyle w:val="BodyText2"/>
              <w:jc w:val="right"/>
              <w:rPr>
                <w:rFonts w:asciiTheme="minorHAnsi" w:hAnsiTheme="minorHAnsi"/>
              </w:rPr>
            </w:pPr>
            <w:r>
              <w:rPr>
                <w:rFonts w:asciiTheme="minorHAnsi" w:hAnsiTheme="minorHAnsi"/>
              </w:rPr>
              <w:t>1,290,640</w:t>
            </w:r>
          </w:p>
        </w:tc>
        <w:tc>
          <w:tcPr>
            <w:tcW w:w="2039" w:type="dxa"/>
          </w:tcPr>
          <w:p w14:paraId="00AC7939" w14:textId="13884267" w:rsidR="008B3A87" w:rsidRPr="0093396C" w:rsidRDefault="00802237" w:rsidP="008B3A87">
            <w:pPr>
              <w:pStyle w:val="BodyText2"/>
              <w:jc w:val="right"/>
              <w:rPr>
                <w:rFonts w:asciiTheme="minorHAnsi" w:hAnsiTheme="minorHAnsi"/>
              </w:rPr>
            </w:pPr>
            <w:r w:rsidRPr="0093396C">
              <w:rPr>
                <w:rFonts w:asciiTheme="minorHAnsi" w:hAnsiTheme="minorHAnsi"/>
              </w:rPr>
              <w:t>344,627</w:t>
            </w:r>
          </w:p>
        </w:tc>
        <w:tc>
          <w:tcPr>
            <w:tcW w:w="1950" w:type="dxa"/>
          </w:tcPr>
          <w:p w14:paraId="73B33D12" w14:textId="084485B8" w:rsidR="008B3A87" w:rsidRPr="0093396C" w:rsidRDefault="00802237" w:rsidP="008B3A87">
            <w:pPr>
              <w:pStyle w:val="BodyText2"/>
              <w:jc w:val="right"/>
              <w:rPr>
                <w:rFonts w:asciiTheme="minorHAnsi" w:hAnsiTheme="minorHAnsi"/>
              </w:rPr>
            </w:pPr>
            <w:r w:rsidRPr="0093396C">
              <w:rPr>
                <w:rFonts w:asciiTheme="minorHAnsi" w:hAnsiTheme="minorHAnsi"/>
              </w:rPr>
              <w:t>1,</w:t>
            </w:r>
            <w:r w:rsidR="004B4151">
              <w:rPr>
                <w:rFonts w:asciiTheme="minorHAnsi" w:hAnsiTheme="minorHAnsi"/>
              </w:rPr>
              <w:t>635,267</w:t>
            </w:r>
          </w:p>
        </w:tc>
        <w:tc>
          <w:tcPr>
            <w:tcW w:w="1977" w:type="dxa"/>
          </w:tcPr>
          <w:p w14:paraId="3E3AD2AD" w14:textId="63F0433F" w:rsidR="008B3A87" w:rsidRPr="0093396C" w:rsidRDefault="00642663" w:rsidP="008B3A87">
            <w:pPr>
              <w:pStyle w:val="BodyText2"/>
              <w:jc w:val="center"/>
              <w:rPr>
                <w:rFonts w:asciiTheme="minorHAnsi" w:hAnsiTheme="minorHAnsi"/>
              </w:rPr>
            </w:pPr>
            <w:r w:rsidRPr="0093396C">
              <w:rPr>
                <w:rFonts w:asciiTheme="minorHAnsi" w:hAnsiTheme="minorHAnsi"/>
              </w:rPr>
              <w:t>1</w:t>
            </w:r>
            <w:r w:rsidR="009B0F67">
              <w:rPr>
                <w:rFonts w:asciiTheme="minorHAnsi" w:hAnsiTheme="minorHAnsi"/>
              </w:rPr>
              <w:t>2</w:t>
            </w:r>
          </w:p>
        </w:tc>
      </w:tr>
      <w:tr w:rsidR="008B3A87" w:rsidRPr="0093396C" w14:paraId="08E860D3" w14:textId="77777777" w:rsidTr="008B3A87">
        <w:tc>
          <w:tcPr>
            <w:tcW w:w="6116" w:type="dxa"/>
          </w:tcPr>
          <w:p w14:paraId="317AFA5E" w14:textId="2D7278CF" w:rsidR="008B3A87" w:rsidRPr="0093396C" w:rsidRDefault="00202EFE" w:rsidP="008B3A87">
            <w:pPr>
              <w:pStyle w:val="BodyText2"/>
              <w:rPr>
                <w:rFonts w:asciiTheme="minorHAnsi" w:hAnsiTheme="minorHAnsi"/>
              </w:rPr>
            </w:pPr>
            <w:r w:rsidRPr="0093396C">
              <w:rPr>
                <w:rFonts w:asciiTheme="minorHAnsi" w:hAnsiTheme="minorHAnsi"/>
              </w:rPr>
              <w:t>Outcome 34</w:t>
            </w:r>
          </w:p>
        </w:tc>
        <w:tc>
          <w:tcPr>
            <w:tcW w:w="1868" w:type="dxa"/>
          </w:tcPr>
          <w:p w14:paraId="55E3C116" w14:textId="6565FD92" w:rsidR="008B3A87" w:rsidRPr="0093396C" w:rsidRDefault="004B4151" w:rsidP="008B3A87">
            <w:pPr>
              <w:pStyle w:val="BodyText2"/>
              <w:jc w:val="right"/>
              <w:rPr>
                <w:rFonts w:asciiTheme="minorHAnsi" w:hAnsiTheme="minorHAnsi"/>
              </w:rPr>
            </w:pPr>
            <w:r>
              <w:rPr>
                <w:rFonts w:asciiTheme="minorHAnsi" w:hAnsiTheme="minorHAnsi"/>
              </w:rPr>
              <w:t>1,215,976</w:t>
            </w:r>
          </w:p>
        </w:tc>
        <w:tc>
          <w:tcPr>
            <w:tcW w:w="2039" w:type="dxa"/>
          </w:tcPr>
          <w:p w14:paraId="1D735A23" w14:textId="652BD4DF" w:rsidR="008B3A87" w:rsidRPr="0093396C" w:rsidRDefault="004B4151" w:rsidP="008B3A87">
            <w:pPr>
              <w:pStyle w:val="BodyText2"/>
              <w:jc w:val="right"/>
              <w:rPr>
                <w:rFonts w:asciiTheme="minorHAnsi" w:hAnsiTheme="minorHAnsi"/>
              </w:rPr>
            </w:pPr>
            <w:r>
              <w:rPr>
                <w:rFonts w:asciiTheme="minorHAnsi" w:hAnsiTheme="minorHAnsi"/>
              </w:rPr>
              <w:t>2,285,536</w:t>
            </w:r>
          </w:p>
        </w:tc>
        <w:tc>
          <w:tcPr>
            <w:tcW w:w="1950" w:type="dxa"/>
          </w:tcPr>
          <w:p w14:paraId="6D55AED4" w14:textId="3537D42B" w:rsidR="008B3A87" w:rsidRPr="0093396C" w:rsidRDefault="009B0F67" w:rsidP="008B3A87">
            <w:pPr>
              <w:pStyle w:val="BodyText2"/>
              <w:jc w:val="right"/>
              <w:rPr>
                <w:rFonts w:asciiTheme="minorHAnsi" w:hAnsiTheme="minorHAnsi"/>
              </w:rPr>
            </w:pPr>
            <w:r>
              <w:rPr>
                <w:rFonts w:asciiTheme="minorHAnsi" w:hAnsiTheme="minorHAnsi"/>
              </w:rPr>
              <w:t>3</w:t>
            </w:r>
            <w:r w:rsidR="004B4151">
              <w:rPr>
                <w:rFonts w:asciiTheme="minorHAnsi" w:hAnsiTheme="minorHAnsi"/>
              </w:rPr>
              <w:t>,501,512</w:t>
            </w:r>
          </w:p>
        </w:tc>
        <w:tc>
          <w:tcPr>
            <w:tcW w:w="1977" w:type="dxa"/>
          </w:tcPr>
          <w:p w14:paraId="0B20EB1D" w14:textId="40B22333" w:rsidR="008B3A87" w:rsidRPr="0093396C" w:rsidRDefault="00642663" w:rsidP="008B3A87">
            <w:pPr>
              <w:pStyle w:val="BodyText2"/>
              <w:jc w:val="center"/>
              <w:rPr>
                <w:rFonts w:asciiTheme="minorHAnsi" w:hAnsiTheme="minorHAnsi"/>
              </w:rPr>
            </w:pPr>
            <w:r w:rsidRPr="0093396C">
              <w:rPr>
                <w:rFonts w:asciiTheme="minorHAnsi" w:hAnsiTheme="minorHAnsi"/>
              </w:rPr>
              <w:t>2</w:t>
            </w:r>
            <w:r w:rsidR="009B0F67">
              <w:rPr>
                <w:rFonts w:asciiTheme="minorHAnsi" w:hAnsiTheme="minorHAnsi"/>
              </w:rPr>
              <w:t>6</w:t>
            </w:r>
          </w:p>
        </w:tc>
      </w:tr>
      <w:tr w:rsidR="008B3A87" w:rsidRPr="0093396C" w14:paraId="7B00D687" w14:textId="77777777" w:rsidTr="008B3A87">
        <w:tc>
          <w:tcPr>
            <w:tcW w:w="6116" w:type="dxa"/>
          </w:tcPr>
          <w:p w14:paraId="55D73559" w14:textId="633E2097" w:rsidR="008B3A87" w:rsidRPr="0093396C" w:rsidRDefault="00202EFE" w:rsidP="008B3A87">
            <w:pPr>
              <w:pStyle w:val="BodyText2"/>
              <w:rPr>
                <w:rFonts w:asciiTheme="minorHAnsi" w:hAnsiTheme="minorHAnsi"/>
              </w:rPr>
            </w:pPr>
            <w:r w:rsidRPr="0093396C">
              <w:rPr>
                <w:rFonts w:asciiTheme="minorHAnsi" w:hAnsiTheme="minorHAnsi"/>
              </w:rPr>
              <w:t>Outcome 35</w:t>
            </w:r>
          </w:p>
        </w:tc>
        <w:tc>
          <w:tcPr>
            <w:tcW w:w="1868" w:type="dxa"/>
          </w:tcPr>
          <w:p w14:paraId="3C26881A" w14:textId="60D2D9E1" w:rsidR="008B3A87" w:rsidRPr="0093396C" w:rsidRDefault="00202EFE" w:rsidP="008B3A87">
            <w:pPr>
              <w:pStyle w:val="BodyText2"/>
              <w:jc w:val="right"/>
              <w:rPr>
                <w:rFonts w:asciiTheme="minorHAnsi" w:hAnsiTheme="minorHAnsi"/>
              </w:rPr>
            </w:pPr>
            <w:r w:rsidRPr="0093396C">
              <w:rPr>
                <w:rFonts w:asciiTheme="minorHAnsi" w:hAnsiTheme="minorHAnsi"/>
              </w:rPr>
              <w:t>1</w:t>
            </w:r>
            <w:r w:rsidR="004B4151">
              <w:rPr>
                <w:rFonts w:asciiTheme="minorHAnsi" w:hAnsiTheme="minorHAnsi"/>
              </w:rPr>
              <w:t>,233,783</w:t>
            </w:r>
          </w:p>
        </w:tc>
        <w:tc>
          <w:tcPr>
            <w:tcW w:w="2039" w:type="dxa"/>
          </w:tcPr>
          <w:p w14:paraId="2D400F15" w14:textId="7E520E74" w:rsidR="008B3A87" w:rsidRPr="0093396C" w:rsidRDefault="009B0F67" w:rsidP="008B3A87">
            <w:pPr>
              <w:pStyle w:val="BodyText2"/>
              <w:jc w:val="right"/>
              <w:rPr>
                <w:rFonts w:asciiTheme="minorHAnsi" w:hAnsiTheme="minorHAnsi"/>
              </w:rPr>
            </w:pPr>
            <w:r>
              <w:rPr>
                <w:rFonts w:asciiTheme="minorHAnsi" w:hAnsiTheme="minorHAnsi"/>
              </w:rPr>
              <w:t>5,867,088</w:t>
            </w:r>
          </w:p>
        </w:tc>
        <w:tc>
          <w:tcPr>
            <w:tcW w:w="1950" w:type="dxa"/>
          </w:tcPr>
          <w:p w14:paraId="0D8F76F8" w14:textId="47E23193" w:rsidR="008B3A87" w:rsidRPr="0093396C" w:rsidRDefault="009B0F67" w:rsidP="008B3A87">
            <w:pPr>
              <w:pStyle w:val="BodyText2"/>
              <w:jc w:val="right"/>
              <w:rPr>
                <w:rFonts w:asciiTheme="minorHAnsi" w:hAnsiTheme="minorHAnsi"/>
              </w:rPr>
            </w:pPr>
            <w:r>
              <w:rPr>
                <w:rFonts w:asciiTheme="minorHAnsi" w:hAnsiTheme="minorHAnsi"/>
              </w:rPr>
              <w:t>7,100,871</w:t>
            </w:r>
          </w:p>
        </w:tc>
        <w:tc>
          <w:tcPr>
            <w:tcW w:w="1977" w:type="dxa"/>
          </w:tcPr>
          <w:p w14:paraId="53D3AF81" w14:textId="6C9CB125" w:rsidR="008B3A87" w:rsidRPr="0093396C" w:rsidRDefault="00642663" w:rsidP="008B3A87">
            <w:pPr>
              <w:pStyle w:val="BodyText2"/>
              <w:jc w:val="center"/>
              <w:rPr>
                <w:rFonts w:asciiTheme="minorHAnsi" w:hAnsiTheme="minorHAnsi"/>
              </w:rPr>
            </w:pPr>
            <w:r w:rsidRPr="0093396C">
              <w:rPr>
                <w:rFonts w:asciiTheme="minorHAnsi" w:hAnsiTheme="minorHAnsi"/>
              </w:rPr>
              <w:t>5</w:t>
            </w:r>
            <w:r w:rsidR="009B0F67">
              <w:rPr>
                <w:rFonts w:asciiTheme="minorHAnsi" w:hAnsiTheme="minorHAnsi"/>
              </w:rPr>
              <w:t>3</w:t>
            </w:r>
          </w:p>
        </w:tc>
      </w:tr>
      <w:tr w:rsidR="008B3A87" w:rsidRPr="0093396C" w14:paraId="0754E94E" w14:textId="77777777" w:rsidTr="008B3A87">
        <w:tc>
          <w:tcPr>
            <w:tcW w:w="6116" w:type="dxa"/>
          </w:tcPr>
          <w:p w14:paraId="6A33041C" w14:textId="33795F58" w:rsidR="008B3A87" w:rsidRPr="0093396C" w:rsidRDefault="00202EFE" w:rsidP="008B3A87">
            <w:pPr>
              <w:pStyle w:val="BodyText2"/>
              <w:rPr>
                <w:rFonts w:asciiTheme="minorHAnsi" w:hAnsiTheme="minorHAnsi"/>
              </w:rPr>
            </w:pPr>
            <w:r w:rsidRPr="0093396C">
              <w:rPr>
                <w:rFonts w:asciiTheme="minorHAnsi" w:hAnsiTheme="minorHAnsi"/>
              </w:rPr>
              <w:t>Outcome 36</w:t>
            </w:r>
          </w:p>
        </w:tc>
        <w:tc>
          <w:tcPr>
            <w:tcW w:w="1868" w:type="dxa"/>
          </w:tcPr>
          <w:p w14:paraId="423184CE" w14:textId="698ABF25" w:rsidR="008B3A87" w:rsidRPr="0093396C" w:rsidRDefault="00FA74AD" w:rsidP="008B3A87">
            <w:pPr>
              <w:pStyle w:val="BodyText2"/>
              <w:jc w:val="right"/>
              <w:rPr>
                <w:rFonts w:asciiTheme="minorHAnsi" w:hAnsiTheme="minorHAnsi"/>
              </w:rPr>
            </w:pPr>
            <w:r>
              <w:rPr>
                <w:rFonts w:asciiTheme="minorHAnsi" w:hAnsiTheme="minorHAnsi"/>
              </w:rPr>
              <w:t>853,366</w:t>
            </w:r>
          </w:p>
        </w:tc>
        <w:tc>
          <w:tcPr>
            <w:tcW w:w="2039" w:type="dxa"/>
          </w:tcPr>
          <w:p w14:paraId="00C0BC7D" w14:textId="7E79C088" w:rsidR="008B3A87" w:rsidRPr="0093396C" w:rsidRDefault="00FA74AD" w:rsidP="008B3A87">
            <w:pPr>
              <w:pStyle w:val="BodyText2"/>
              <w:jc w:val="right"/>
              <w:rPr>
                <w:rFonts w:asciiTheme="minorHAnsi" w:hAnsiTheme="minorHAnsi"/>
              </w:rPr>
            </w:pPr>
            <w:r>
              <w:rPr>
                <w:rFonts w:asciiTheme="minorHAnsi" w:hAnsiTheme="minorHAnsi"/>
              </w:rPr>
              <w:t>425,934</w:t>
            </w:r>
          </w:p>
        </w:tc>
        <w:tc>
          <w:tcPr>
            <w:tcW w:w="1950" w:type="dxa"/>
          </w:tcPr>
          <w:p w14:paraId="7D0BBF3A" w14:textId="3DA9229E" w:rsidR="008B3A87" w:rsidRPr="0093396C" w:rsidRDefault="00FA74AD" w:rsidP="008B3A87">
            <w:pPr>
              <w:pStyle w:val="BodyText2"/>
              <w:jc w:val="right"/>
              <w:rPr>
                <w:rFonts w:asciiTheme="minorHAnsi" w:hAnsiTheme="minorHAnsi"/>
              </w:rPr>
            </w:pPr>
            <w:r>
              <w:rPr>
                <w:rFonts w:asciiTheme="minorHAnsi" w:hAnsiTheme="minorHAnsi"/>
              </w:rPr>
              <w:t>1,279,300</w:t>
            </w:r>
          </w:p>
        </w:tc>
        <w:tc>
          <w:tcPr>
            <w:tcW w:w="1977" w:type="dxa"/>
          </w:tcPr>
          <w:p w14:paraId="46B420A3" w14:textId="113D1904" w:rsidR="008B3A87" w:rsidRPr="0093396C" w:rsidRDefault="009B0F67" w:rsidP="008B3A87">
            <w:pPr>
              <w:pStyle w:val="BodyText2"/>
              <w:jc w:val="center"/>
              <w:rPr>
                <w:rFonts w:asciiTheme="minorHAnsi" w:hAnsiTheme="minorHAnsi"/>
              </w:rPr>
            </w:pPr>
            <w:r>
              <w:rPr>
                <w:rFonts w:asciiTheme="minorHAnsi" w:hAnsiTheme="minorHAnsi"/>
              </w:rPr>
              <w:t xml:space="preserve"> 9</w:t>
            </w:r>
          </w:p>
        </w:tc>
      </w:tr>
      <w:tr w:rsidR="008B3A87" w:rsidRPr="0093396C" w14:paraId="7D8D7D3E" w14:textId="77777777" w:rsidTr="008B3A87">
        <w:tc>
          <w:tcPr>
            <w:tcW w:w="6116" w:type="dxa"/>
            <w:shd w:val="clear" w:color="auto" w:fill="00B0F0"/>
          </w:tcPr>
          <w:p w14:paraId="5F8711E0" w14:textId="77777777" w:rsidR="008B3A87" w:rsidRPr="0093396C" w:rsidRDefault="008B3A87" w:rsidP="008B3A87">
            <w:pPr>
              <w:pStyle w:val="BodyText2"/>
              <w:jc w:val="center"/>
              <w:rPr>
                <w:rFonts w:asciiTheme="minorHAnsi" w:hAnsiTheme="minorHAnsi"/>
              </w:rPr>
            </w:pPr>
            <w:r w:rsidRPr="0093396C">
              <w:rPr>
                <w:rFonts w:asciiTheme="minorHAnsi" w:hAnsiTheme="minorHAnsi"/>
              </w:rPr>
              <w:t>Total</w:t>
            </w:r>
          </w:p>
        </w:tc>
        <w:tc>
          <w:tcPr>
            <w:tcW w:w="1868" w:type="dxa"/>
            <w:shd w:val="clear" w:color="auto" w:fill="00B0F0"/>
            <w:vAlign w:val="center"/>
          </w:tcPr>
          <w:p w14:paraId="5BC5B596" w14:textId="75BA6415" w:rsidR="008B3A87" w:rsidRPr="0093396C" w:rsidRDefault="009B0F67" w:rsidP="008B3A87">
            <w:pPr>
              <w:widowControl/>
              <w:jc w:val="right"/>
              <w:rPr>
                <w:rFonts w:ascii="Calibri" w:hAnsi="Calibri"/>
                <w:b/>
                <w:bCs/>
                <w:color w:val="000000"/>
                <w:sz w:val="20"/>
              </w:rPr>
            </w:pPr>
            <w:r>
              <w:rPr>
                <w:rFonts w:ascii="Calibri" w:hAnsi="Calibri"/>
                <w:b/>
                <w:bCs/>
                <w:color w:val="000000"/>
                <w:sz w:val="20"/>
              </w:rPr>
              <w:t>4,593,765</w:t>
            </w:r>
          </w:p>
        </w:tc>
        <w:tc>
          <w:tcPr>
            <w:tcW w:w="2039" w:type="dxa"/>
            <w:shd w:val="clear" w:color="auto" w:fill="00B0F0"/>
            <w:vAlign w:val="center"/>
          </w:tcPr>
          <w:p w14:paraId="4AD414F5" w14:textId="2D653062" w:rsidR="008B3A87" w:rsidRPr="0093396C" w:rsidRDefault="009B0F67" w:rsidP="008B3A87">
            <w:pPr>
              <w:widowControl/>
              <w:jc w:val="right"/>
              <w:rPr>
                <w:rFonts w:ascii="Calibri" w:hAnsi="Calibri"/>
                <w:b/>
                <w:bCs/>
                <w:color w:val="000000"/>
                <w:sz w:val="20"/>
              </w:rPr>
            </w:pPr>
            <w:r>
              <w:rPr>
                <w:rFonts w:ascii="Calibri" w:hAnsi="Calibri"/>
                <w:b/>
                <w:bCs/>
                <w:color w:val="000000"/>
                <w:sz w:val="20"/>
              </w:rPr>
              <w:t>8,923,185</w:t>
            </w:r>
          </w:p>
        </w:tc>
        <w:tc>
          <w:tcPr>
            <w:tcW w:w="1950" w:type="dxa"/>
            <w:shd w:val="clear" w:color="auto" w:fill="00B0F0"/>
            <w:vAlign w:val="center"/>
          </w:tcPr>
          <w:p w14:paraId="4534D033" w14:textId="0EAA6FCE" w:rsidR="008B3A87" w:rsidRPr="0093396C" w:rsidRDefault="009B0F67" w:rsidP="008B3A87">
            <w:pPr>
              <w:widowControl/>
              <w:jc w:val="right"/>
              <w:rPr>
                <w:rFonts w:ascii="Calibri" w:hAnsi="Calibri"/>
                <w:b/>
                <w:bCs/>
                <w:color w:val="000000"/>
                <w:sz w:val="20"/>
              </w:rPr>
            </w:pPr>
            <w:r>
              <w:rPr>
                <w:rFonts w:ascii="Calibri" w:hAnsi="Calibri"/>
                <w:b/>
                <w:bCs/>
                <w:color w:val="000000"/>
                <w:sz w:val="20"/>
              </w:rPr>
              <w:t>13,516,950</w:t>
            </w:r>
          </w:p>
        </w:tc>
        <w:tc>
          <w:tcPr>
            <w:tcW w:w="1977" w:type="dxa"/>
            <w:shd w:val="clear" w:color="auto" w:fill="00B0F0"/>
          </w:tcPr>
          <w:p w14:paraId="1623FC29" w14:textId="5894ABF9" w:rsidR="008B3A87" w:rsidRPr="0093396C" w:rsidRDefault="00642663" w:rsidP="008B3A87">
            <w:pPr>
              <w:pStyle w:val="BodyText2"/>
              <w:jc w:val="center"/>
              <w:rPr>
                <w:rFonts w:asciiTheme="minorHAnsi" w:hAnsiTheme="minorHAnsi"/>
              </w:rPr>
            </w:pPr>
            <w:r w:rsidRPr="0093396C">
              <w:rPr>
                <w:rFonts w:asciiTheme="minorHAnsi" w:hAnsiTheme="minorHAnsi"/>
              </w:rPr>
              <w:t>100</w:t>
            </w:r>
          </w:p>
        </w:tc>
      </w:tr>
      <w:tr w:rsidR="002547CF" w:rsidRPr="0093396C" w14:paraId="35A52C84" w14:textId="77777777" w:rsidTr="00166580">
        <w:tc>
          <w:tcPr>
            <w:tcW w:w="13950" w:type="dxa"/>
            <w:gridSpan w:val="5"/>
          </w:tcPr>
          <w:p w14:paraId="0E24D251" w14:textId="4499553D" w:rsidR="002547CF" w:rsidRPr="0093396C" w:rsidRDefault="00BA722F" w:rsidP="005E0C05">
            <w:pPr>
              <w:pStyle w:val="BodyText2"/>
              <w:rPr>
                <w:rFonts w:asciiTheme="minorHAnsi" w:hAnsiTheme="minorHAnsi"/>
                <w:b/>
              </w:rPr>
            </w:pPr>
            <w:r w:rsidRPr="0093396C">
              <w:rPr>
                <w:rFonts w:asciiTheme="minorHAnsi" w:hAnsiTheme="minorHAnsi"/>
                <w:b/>
              </w:rPr>
              <w:t xml:space="preserve">Data sources: </w:t>
            </w:r>
            <w:r w:rsidR="002547CF" w:rsidRPr="0093396C">
              <w:rPr>
                <w:rFonts w:asciiTheme="minorHAnsi" w:hAnsiTheme="minorHAnsi"/>
                <w:b/>
              </w:rPr>
              <w:t xml:space="preserve">(please indicate the main sources from which data were obtained for this report.) </w:t>
            </w:r>
          </w:p>
        </w:tc>
      </w:tr>
      <w:tr w:rsidR="00166580" w:rsidRPr="0093396C" w14:paraId="63AED972" w14:textId="77777777" w:rsidTr="00E363BF">
        <w:trPr>
          <w:trHeight w:val="70"/>
        </w:trPr>
        <w:tc>
          <w:tcPr>
            <w:tcW w:w="13950" w:type="dxa"/>
            <w:gridSpan w:val="5"/>
          </w:tcPr>
          <w:p w14:paraId="1CA99B8C" w14:textId="77777777" w:rsidR="001225C5" w:rsidRPr="0093396C" w:rsidRDefault="001225C5" w:rsidP="006077E0">
            <w:pPr>
              <w:pStyle w:val="ListParagraph"/>
              <w:numPr>
                <w:ilvl w:val="0"/>
                <w:numId w:val="17"/>
              </w:numPr>
              <w:jc w:val="both"/>
              <w:rPr>
                <w:rFonts w:asciiTheme="minorHAnsi" w:hAnsiTheme="minorHAnsi"/>
                <w:bCs/>
                <w:sz w:val="20"/>
                <w:lang w:eastAsia="en-ZW"/>
              </w:rPr>
            </w:pPr>
            <w:r w:rsidRPr="0093396C">
              <w:rPr>
                <w:rFonts w:asciiTheme="minorHAnsi" w:hAnsiTheme="minorHAnsi"/>
                <w:sz w:val="20"/>
              </w:rPr>
              <w:lastRenderedPageBreak/>
              <w:t>CDP Outcome Evaluation on Focus Area 1: Acceleration of Inclusive Growth (Employment Generation) Author Stephen Chipika, October, 2016</w:t>
            </w:r>
          </w:p>
          <w:p w14:paraId="55B4E78A" w14:textId="19FCC84B" w:rsidR="001225C5" w:rsidRDefault="001225C5" w:rsidP="004D3639">
            <w:pPr>
              <w:pStyle w:val="ListParagraph"/>
              <w:numPr>
                <w:ilvl w:val="0"/>
                <w:numId w:val="17"/>
              </w:numPr>
              <w:jc w:val="both"/>
              <w:rPr>
                <w:rFonts w:asciiTheme="minorHAnsi" w:hAnsiTheme="minorHAnsi"/>
                <w:sz w:val="20"/>
              </w:rPr>
            </w:pPr>
            <w:r w:rsidRPr="0093396C">
              <w:rPr>
                <w:rFonts w:asciiTheme="minorHAnsi" w:hAnsiTheme="minorHAnsi"/>
                <w:sz w:val="20"/>
              </w:rPr>
              <w:t>CDP Outcome Evaluation on Focus Area 2: Sound Environmental Management for Sustainable Development</w:t>
            </w:r>
            <w:r w:rsidR="009B0F67">
              <w:rPr>
                <w:rFonts w:asciiTheme="minorHAnsi" w:hAnsiTheme="minorHAnsi"/>
                <w:sz w:val="20"/>
              </w:rPr>
              <w:t xml:space="preserve"> </w:t>
            </w:r>
            <w:r w:rsidR="00EA2876" w:rsidRPr="001B5A59">
              <w:rPr>
                <w:rFonts w:asciiTheme="minorHAnsi" w:hAnsiTheme="minorHAnsi"/>
                <w:sz w:val="20"/>
              </w:rPr>
              <w:t>Author</w:t>
            </w:r>
            <w:r w:rsidRPr="001B5A59">
              <w:rPr>
                <w:rFonts w:asciiTheme="minorHAnsi" w:hAnsiTheme="minorHAnsi"/>
                <w:sz w:val="20"/>
              </w:rPr>
              <w:t xml:space="preserve"> Richard </w:t>
            </w:r>
            <w:r w:rsidR="00B5526D" w:rsidRPr="001B5A59">
              <w:rPr>
                <w:rFonts w:asciiTheme="minorHAnsi" w:hAnsiTheme="minorHAnsi"/>
                <w:sz w:val="20"/>
              </w:rPr>
              <w:t>C. Worden</w:t>
            </w:r>
            <w:r w:rsidRPr="001B5A59">
              <w:rPr>
                <w:rFonts w:asciiTheme="minorHAnsi" w:hAnsiTheme="minorHAnsi"/>
                <w:sz w:val="20"/>
              </w:rPr>
              <w:t xml:space="preserve">, </w:t>
            </w:r>
            <w:r w:rsidR="00A247EC" w:rsidRPr="001B5A59">
              <w:rPr>
                <w:rFonts w:asciiTheme="minorHAnsi" w:hAnsiTheme="minorHAnsi"/>
                <w:sz w:val="20"/>
              </w:rPr>
              <w:t>October,</w:t>
            </w:r>
            <w:r w:rsidRPr="001B5A59">
              <w:rPr>
                <w:rFonts w:asciiTheme="minorHAnsi" w:hAnsiTheme="minorHAnsi"/>
                <w:sz w:val="20"/>
              </w:rPr>
              <w:t xml:space="preserve"> 2016</w:t>
            </w:r>
          </w:p>
          <w:p w14:paraId="6EECAFBC" w14:textId="22ED1FDD" w:rsidR="00C5315C" w:rsidRPr="00C5315C" w:rsidRDefault="00C5315C" w:rsidP="00C5315C">
            <w:pPr>
              <w:pStyle w:val="ListParagraph"/>
              <w:numPr>
                <w:ilvl w:val="0"/>
                <w:numId w:val="17"/>
              </w:numPr>
              <w:jc w:val="both"/>
              <w:rPr>
                <w:rFonts w:asciiTheme="minorHAnsi" w:hAnsiTheme="minorHAnsi"/>
                <w:sz w:val="20"/>
              </w:rPr>
            </w:pPr>
            <w:r w:rsidRPr="00C5315C">
              <w:rPr>
                <w:rFonts w:asciiTheme="minorHAnsi" w:hAnsiTheme="minorHAnsi"/>
                <w:sz w:val="20"/>
              </w:rPr>
              <w:t>CDP Outcome Ev</w:t>
            </w:r>
            <w:r w:rsidRPr="00DB4BF1">
              <w:rPr>
                <w:rFonts w:asciiTheme="minorHAnsi" w:hAnsiTheme="minorHAnsi"/>
                <w:sz w:val="20"/>
              </w:rPr>
              <w:t>aluation on Focus Area 3:</w:t>
            </w:r>
            <w:r>
              <w:t xml:space="preserve"> </w:t>
            </w:r>
            <w:r w:rsidRPr="00C5315C">
              <w:rPr>
                <w:rFonts w:asciiTheme="minorHAnsi" w:hAnsiTheme="minorHAnsi"/>
                <w:sz w:val="20"/>
              </w:rPr>
              <w:t>‘Good Governance and Accountable Institutions’  Author  Ser</w:t>
            </w:r>
            <w:r w:rsidRPr="00DB4BF1">
              <w:rPr>
                <w:rFonts w:asciiTheme="minorHAnsi" w:hAnsiTheme="minorHAnsi"/>
                <w:sz w:val="20"/>
              </w:rPr>
              <w:t>ena ROSSIGNOLI,</w:t>
            </w:r>
            <w:r>
              <w:rPr>
                <w:rFonts w:asciiTheme="minorHAnsi" w:hAnsiTheme="minorHAnsi"/>
                <w:sz w:val="20"/>
              </w:rPr>
              <w:t xml:space="preserve"> February </w:t>
            </w:r>
            <w:r w:rsidRPr="00C5315C">
              <w:rPr>
                <w:rFonts w:asciiTheme="minorHAnsi" w:hAnsiTheme="minorHAnsi"/>
                <w:sz w:val="20"/>
              </w:rPr>
              <w:t xml:space="preserve"> 2018</w:t>
            </w:r>
          </w:p>
          <w:p w14:paraId="1823827C" w14:textId="40324158" w:rsidR="00F339B6" w:rsidRPr="00DB4BF1" w:rsidRDefault="00B5526D" w:rsidP="001B5A59">
            <w:pPr>
              <w:pStyle w:val="ListParagraph"/>
              <w:numPr>
                <w:ilvl w:val="0"/>
                <w:numId w:val="17"/>
              </w:numPr>
              <w:jc w:val="both"/>
              <w:rPr>
                <w:rFonts w:asciiTheme="minorHAnsi" w:hAnsiTheme="minorHAnsi" w:cs="Arial"/>
                <w:bCs/>
                <w:color w:val="000000"/>
                <w:sz w:val="20"/>
              </w:rPr>
            </w:pPr>
            <w:r w:rsidRPr="00C5315C">
              <w:rPr>
                <w:rFonts w:asciiTheme="minorHAnsi" w:hAnsiTheme="minorHAnsi"/>
                <w:sz w:val="20"/>
              </w:rPr>
              <w:t>Mid-term Evaluation:</w:t>
            </w:r>
            <w:r w:rsidRPr="00DB4BF1">
              <w:rPr>
                <w:rFonts w:eastAsia="Calibri"/>
                <w:sz w:val="20"/>
                <w:lang w:val="en-GB"/>
              </w:rPr>
              <w:t xml:space="preserve"> </w:t>
            </w:r>
            <w:r w:rsidRPr="00DB4BF1">
              <w:rPr>
                <w:rFonts w:asciiTheme="minorHAnsi" w:hAnsiTheme="minorHAnsi" w:cs="Calibri"/>
                <w:color w:val="000000"/>
                <w:sz w:val="20"/>
              </w:rPr>
              <w:t xml:space="preserve">Deepening </w:t>
            </w:r>
            <w:r w:rsidR="00805D2C" w:rsidRPr="00DB4BF1">
              <w:rPr>
                <w:rFonts w:asciiTheme="minorHAnsi" w:hAnsiTheme="minorHAnsi" w:cs="Calibri"/>
                <w:color w:val="000000"/>
                <w:sz w:val="20"/>
              </w:rPr>
              <w:t>Decentralization</w:t>
            </w:r>
            <w:r w:rsidRPr="00DB4BF1">
              <w:rPr>
                <w:rFonts w:asciiTheme="minorHAnsi" w:hAnsiTheme="minorHAnsi" w:cs="Calibri"/>
                <w:color w:val="000000"/>
                <w:sz w:val="20"/>
              </w:rPr>
              <w:t xml:space="preserve"> Project by Hans De Facq, Miguel Trillo</w:t>
            </w:r>
            <w:r w:rsidR="00EA2876" w:rsidRPr="00DB4BF1">
              <w:rPr>
                <w:rFonts w:asciiTheme="minorHAnsi" w:hAnsiTheme="minorHAnsi" w:cs="Calibri"/>
                <w:color w:val="000000"/>
                <w:sz w:val="20"/>
              </w:rPr>
              <w:t xml:space="preserve"> and </w:t>
            </w:r>
            <w:r w:rsidRPr="00DB4BF1">
              <w:rPr>
                <w:rFonts w:asciiTheme="minorHAnsi" w:hAnsiTheme="minorHAnsi" w:cs="Calibri"/>
                <w:color w:val="000000"/>
                <w:sz w:val="20"/>
              </w:rPr>
              <w:t xml:space="preserve">Francois </w:t>
            </w:r>
            <w:r w:rsidR="00EA2876" w:rsidRPr="00DB4BF1">
              <w:rPr>
                <w:rFonts w:asciiTheme="minorHAnsi" w:hAnsiTheme="minorHAnsi" w:cs="Calibri"/>
                <w:color w:val="000000"/>
                <w:sz w:val="20"/>
              </w:rPr>
              <w:t>Dronnet,</w:t>
            </w:r>
            <w:r w:rsidR="00F339B6" w:rsidRPr="00DB4BF1">
              <w:rPr>
                <w:rFonts w:asciiTheme="minorHAnsi" w:hAnsiTheme="minorHAnsi" w:cs="Calibri"/>
                <w:color w:val="000000"/>
                <w:sz w:val="20"/>
              </w:rPr>
              <w:t xml:space="preserve"> </w:t>
            </w:r>
            <w:r w:rsidR="00A247EC" w:rsidRPr="00DB4BF1">
              <w:rPr>
                <w:rFonts w:asciiTheme="minorHAnsi" w:hAnsiTheme="minorHAnsi" w:cs="Calibri"/>
                <w:color w:val="000000"/>
                <w:sz w:val="20"/>
              </w:rPr>
              <w:t>August</w:t>
            </w:r>
            <w:r w:rsidR="00F339B6" w:rsidRPr="00DB4BF1">
              <w:rPr>
                <w:rFonts w:asciiTheme="minorHAnsi" w:hAnsiTheme="minorHAnsi" w:cs="Calibri"/>
                <w:color w:val="000000"/>
                <w:sz w:val="20"/>
              </w:rPr>
              <w:t xml:space="preserve"> 2015</w:t>
            </w:r>
          </w:p>
          <w:p w14:paraId="2551915C" w14:textId="77777777" w:rsidR="00F339B6" w:rsidRPr="0093396C" w:rsidRDefault="00B5526D" w:rsidP="006077E0">
            <w:pPr>
              <w:pStyle w:val="Default"/>
              <w:numPr>
                <w:ilvl w:val="0"/>
                <w:numId w:val="17"/>
              </w:numPr>
              <w:rPr>
                <w:sz w:val="20"/>
                <w:szCs w:val="20"/>
              </w:rPr>
            </w:pPr>
            <w:r w:rsidRPr="0093396C">
              <w:rPr>
                <w:rFonts w:asciiTheme="minorHAnsi" w:hAnsiTheme="minorHAnsi"/>
                <w:sz w:val="20"/>
                <w:szCs w:val="20"/>
              </w:rPr>
              <w:t>End of Project Evaluation: Support to Financial Inclusion in Lesotho (SUFIL) Project</w:t>
            </w:r>
            <w:r w:rsidR="00F339B6" w:rsidRPr="0093396C">
              <w:rPr>
                <w:sz w:val="20"/>
                <w:szCs w:val="20"/>
              </w:rPr>
              <w:t xml:space="preserve"> </w:t>
            </w:r>
          </w:p>
          <w:p w14:paraId="454246BF" w14:textId="65A59C7A" w:rsidR="00B5526D" w:rsidRPr="0093396C" w:rsidRDefault="00BC5DFE" w:rsidP="006077E0">
            <w:pPr>
              <w:pStyle w:val="Default"/>
              <w:numPr>
                <w:ilvl w:val="0"/>
                <w:numId w:val="17"/>
              </w:numPr>
              <w:rPr>
                <w:sz w:val="20"/>
                <w:szCs w:val="20"/>
              </w:rPr>
            </w:pPr>
            <w:r w:rsidRPr="0093396C">
              <w:rPr>
                <w:bCs/>
                <w:sz w:val="20"/>
                <w:szCs w:val="20"/>
              </w:rPr>
              <w:t>End o</w:t>
            </w:r>
            <w:r w:rsidR="00F339B6" w:rsidRPr="0093396C">
              <w:rPr>
                <w:bCs/>
                <w:sz w:val="20"/>
                <w:szCs w:val="20"/>
              </w:rPr>
              <w:t>f Project Evaluation:</w:t>
            </w:r>
            <w:r w:rsidR="00017265" w:rsidRPr="0093396C">
              <w:rPr>
                <w:bCs/>
                <w:sz w:val="20"/>
                <w:szCs w:val="20"/>
              </w:rPr>
              <w:t xml:space="preserve"> The Consolidation o</w:t>
            </w:r>
            <w:r w:rsidR="00F339B6" w:rsidRPr="0093396C">
              <w:rPr>
                <w:bCs/>
                <w:sz w:val="20"/>
                <w:szCs w:val="20"/>
              </w:rPr>
              <w:t xml:space="preserve">f </w:t>
            </w:r>
            <w:r w:rsidR="00EA2876" w:rsidRPr="0093396C">
              <w:rPr>
                <w:bCs/>
                <w:sz w:val="20"/>
                <w:szCs w:val="20"/>
              </w:rPr>
              <w:t>Democracy</w:t>
            </w:r>
            <w:r w:rsidR="00F339B6" w:rsidRPr="0093396C">
              <w:rPr>
                <w:bCs/>
                <w:sz w:val="20"/>
                <w:szCs w:val="20"/>
              </w:rPr>
              <w:t xml:space="preserve"> </w:t>
            </w:r>
            <w:r w:rsidR="00017265" w:rsidRPr="0093396C">
              <w:rPr>
                <w:bCs/>
                <w:sz w:val="20"/>
                <w:szCs w:val="20"/>
              </w:rPr>
              <w:t>a</w:t>
            </w:r>
            <w:r w:rsidR="00F339B6" w:rsidRPr="0093396C">
              <w:rPr>
                <w:bCs/>
                <w:sz w:val="20"/>
                <w:szCs w:val="20"/>
              </w:rPr>
              <w:t xml:space="preserve">nd Good Governance (CDGG) Project by Neddy Matshalaga </w:t>
            </w:r>
          </w:p>
          <w:p w14:paraId="2835805E" w14:textId="7A3EC8DB" w:rsidR="00F339B6" w:rsidRPr="0093396C" w:rsidRDefault="00F339B6" w:rsidP="006077E0">
            <w:pPr>
              <w:pStyle w:val="ListParagraph"/>
              <w:numPr>
                <w:ilvl w:val="0"/>
                <w:numId w:val="17"/>
              </w:numPr>
              <w:rPr>
                <w:rFonts w:ascii="Cambria" w:hAnsi="Cambria" w:cs="Cambria"/>
                <w:color w:val="000000"/>
                <w:sz w:val="20"/>
              </w:rPr>
            </w:pPr>
            <w:r w:rsidRPr="0093396C">
              <w:rPr>
                <w:rFonts w:asciiTheme="minorHAnsi" w:hAnsiTheme="minorHAnsi"/>
                <w:bCs/>
                <w:sz w:val="20"/>
                <w:lang w:eastAsia="en-ZW"/>
              </w:rPr>
              <w:t>Terminal Evaluation:</w:t>
            </w:r>
            <w:r w:rsidRPr="0093396C">
              <w:rPr>
                <w:rFonts w:ascii="Cambria" w:hAnsi="Cambria" w:cs="Cambria"/>
                <w:color w:val="000000"/>
                <w:sz w:val="20"/>
              </w:rPr>
              <w:t xml:space="preserve">  </w:t>
            </w:r>
            <w:r w:rsidRPr="0093396C">
              <w:rPr>
                <w:rFonts w:asciiTheme="minorHAnsi" w:hAnsiTheme="minorHAnsi" w:cs="Cambria"/>
                <w:color w:val="000000"/>
                <w:sz w:val="20"/>
              </w:rPr>
              <w:t>Lesotho Renewable Energy-Based Rural Electrification Project (LREBRE)</w:t>
            </w:r>
            <w:r w:rsidRPr="0093396C">
              <w:rPr>
                <w:rFonts w:ascii="Cambria" w:hAnsi="Cambria" w:cs="Cambria"/>
                <w:color w:val="000000"/>
                <w:sz w:val="20"/>
              </w:rPr>
              <w:t xml:space="preserve"> by Andrew Mears, and Molibeli Taele, July, 2013</w:t>
            </w:r>
          </w:p>
          <w:p w14:paraId="199BC980" w14:textId="3856C2FC" w:rsidR="00EA2876" w:rsidRPr="0093396C" w:rsidRDefault="00EA2876" w:rsidP="006077E0">
            <w:pPr>
              <w:pStyle w:val="ListParagraph"/>
              <w:numPr>
                <w:ilvl w:val="0"/>
                <w:numId w:val="17"/>
              </w:numPr>
              <w:rPr>
                <w:rFonts w:ascii="Cambria" w:hAnsi="Cambria" w:cs="Cambria"/>
                <w:color w:val="000000"/>
                <w:sz w:val="20"/>
              </w:rPr>
            </w:pPr>
            <w:r w:rsidRPr="0093396C">
              <w:rPr>
                <w:rFonts w:asciiTheme="minorHAnsi" w:hAnsiTheme="minorHAnsi"/>
                <w:bCs/>
                <w:sz w:val="20"/>
                <w:lang w:eastAsia="en-ZW"/>
              </w:rPr>
              <w:t>Terminal Evaluation of the ‘Capacity Building and Knowledge Management for Sustainable in Lesotho’.</w:t>
            </w:r>
          </w:p>
          <w:p w14:paraId="621F3E88" w14:textId="5F5BD233" w:rsidR="00166580" w:rsidRPr="0093396C" w:rsidRDefault="000279FC" w:rsidP="006077E0">
            <w:pPr>
              <w:pStyle w:val="ListParagraph"/>
              <w:numPr>
                <w:ilvl w:val="0"/>
                <w:numId w:val="17"/>
              </w:numPr>
              <w:rPr>
                <w:rFonts w:asciiTheme="minorHAnsi" w:hAnsiTheme="minorHAnsi"/>
                <w:b/>
                <w:sz w:val="20"/>
              </w:rPr>
            </w:pPr>
            <w:r>
              <w:rPr>
                <w:rFonts w:asciiTheme="minorHAnsi" w:hAnsiTheme="minorHAnsi"/>
                <w:bCs/>
                <w:sz w:val="20"/>
                <w:lang w:eastAsia="en-ZW"/>
              </w:rPr>
              <w:t xml:space="preserve">Lesotho ROAR 2013, 2014, 2015, </w:t>
            </w:r>
            <w:r w:rsidR="00EA2876" w:rsidRPr="0093396C">
              <w:rPr>
                <w:rFonts w:asciiTheme="minorHAnsi" w:hAnsiTheme="minorHAnsi"/>
                <w:bCs/>
                <w:sz w:val="20"/>
                <w:lang w:eastAsia="en-ZW"/>
              </w:rPr>
              <w:t>2016</w:t>
            </w:r>
            <w:r>
              <w:rPr>
                <w:rFonts w:asciiTheme="minorHAnsi" w:hAnsiTheme="minorHAnsi"/>
                <w:bCs/>
                <w:sz w:val="20"/>
                <w:lang w:eastAsia="en-ZW"/>
              </w:rPr>
              <w:t xml:space="preserve"> and 2017.</w:t>
            </w:r>
          </w:p>
        </w:tc>
      </w:tr>
    </w:tbl>
    <w:p w14:paraId="45D8D5C9" w14:textId="77777777" w:rsidR="00635929" w:rsidRPr="001225C5" w:rsidRDefault="00635929" w:rsidP="00E363BF">
      <w:pPr>
        <w:pStyle w:val="BodyText2"/>
        <w:rPr>
          <w:rFonts w:asciiTheme="minorHAnsi" w:hAnsiTheme="minorHAnsi"/>
          <w:sz w:val="24"/>
          <w:szCs w:val="24"/>
        </w:rPr>
      </w:pPr>
    </w:p>
    <w:sectPr w:rsidR="00635929" w:rsidRPr="001225C5" w:rsidSect="0037523B">
      <w:endnotePr>
        <w:numFmt w:val="decimal"/>
      </w:endnotePr>
      <w:pgSz w:w="16840"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7750D" w14:textId="77777777" w:rsidR="00E4163B" w:rsidRDefault="00E4163B">
      <w:r>
        <w:separator/>
      </w:r>
    </w:p>
  </w:endnote>
  <w:endnote w:type="continuationSeparator" w:id="0">
    <w:p w14:paraId="6086F211" w14:textId="77777777" w:rsidR="00E4163B" w:rsidRDefault="00E4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463BC" w14:textId="77777777" w:rsidR="0073688F" w:rsidRDefault="00736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407"/>
      <w:docPartObj>
        <w:docPartGallery w:val="Page Numbers (Bottom of Page)"/>
        <w:docPartUnique/>
      </w:docPartObj>
    </w:sdtPr>
    <w:sdtEndPr/>
    <w:sdtContent>
      <w:p w14:paraId="304C0BE6" w14:textId="1F4B659B" w:rsidR="0073688F" w:rsidRDefault="0073688F">
        <w:pPr>
          <w:pStyle w:val="Footer"/>
          <w:jc w:val="center"/>
        </w:pPr>
        <w:r>
          <w:fldChar w:fldCharType="begin"/>
        </w:r>
        <w:r>
          <w:instrText xml:space="preserve"> PAGE   \* MERGEFORMAT </w:instrText>
        </w:r>
        <w:r>
          <w:fldChar w:fldCharType="separate"/>
        </w:r>
        <w:r w:rsidR="003E014B">
          <w:rPr>
            <w:noProof/>
          </w:rPr>
          <w:t>6</w:t>
        </w:r>
        <w:r>
          <w:rPr>
            <w:noProof/>
          </w:rPr>
          <w:fldChar w:fldCharType="end"/>
        </w:r>
      </w:p>
    </w:sdtContent>
  </w:sdt>
  <w:p w14:paraId="7071499C" w14:textId="77777777" w:rsidR="0073688F" w:rsidRDefault="00736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6A635" w14:textId="77777777" w:rsidR="0073688F" w:rsidRDefault="00736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EC695" w14:textId="77777777" w:rsidR="00E4163B" w:rsidRDefault="00E4163B">
      <w:r>
        <w:separator/>
      </w:r>
    </w:p>
  </w:footnote>
  <w:footnote w:type="continuationSeparator" w:id="0">
    <w:p w14:paraId="7D1CA97C" w14:textId="77777777" w:rsidR="00E4163B" w:rsidRDefault="00E4163B">
      <w:r>
        <w:continuationSeparator/>
      </w:r>
    </w:p>
  </w:footnote>
  <w:footnote w:id="1">
    <w:p w14:paraId="45B3709A" w14:textId="77777777" w:rsidR="0073688F" w:rsidRPr="0064746F" w:rsidRDefault="0073688F">
      <w:pPr>
        <w:pStyle w:val="FootnoteText"/>
        <w:rPr>
          <w:rFonts w:asciiTheme="minorHAnsi" w:hAnsiTheme="minorHAnsi"/>
        </w:rPr>
      </w:pPr>
      <w:r w:rsidRPr="0064746F">
        <w:rPr>
          <w:rStyle w:val="FootnoteReference"/>
          <w:rFonts w:asciiTheme="minorHAnsi" w:hAnsiTheme="minorHAnsi"/>
        </w:rPr>
        <w:footnoteRef/>
      </w:r>
      <w:r w:rsidRPr="0064746F">
        <w:rPr>
          <w:rFonts w:asciiTheme="minorHAnsi" w:hAnsiTheme="minorHAnsi"/>
        </w:rPr>
        <w:t xml:space="preserve"> This assessment of results is to be prepared only in the absence of a completed Assessment of Development Results (ADR) for the cycle.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17063" w14:textId="77777777" w:rsidR="0073688F" w:rsidRDefault="00736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77E7" w14:textId="77777777" w:rsidR="0073688F" w:rsidRPr="00517955" w:rsidRDefault="0073688F">
    <w:pPr>
      <w:pStyle w:val="Header"/>
      <w:rPr>
        <w:rFonts w:asciiTheme="minorHAnsi" w:hAnsiTheme="minorHAnsi"/>
      </w:rPr>
    </w:pPr>
    <w:r w:rsidRPr="00517955">
      <w:rPr>
        <w:rFonts w:asciiTheme="minorHAnsi" w:hAnsiTheme="minorHAnsi"/>
      </w:rPr>
      <w:t>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DCE1B" w14:textId="77777777" w:rsidR="0073688F" w:rsidRDefault="00736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06F3"/>
    <w:multiLevelType w:val="hybridMultilevel"/>
    <w:tmpl w:val="56988690"/>
    <w:lvl w:ilvl="0" w:tplc="D1C27E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6688"/>
    <w:multiLevelType w:val="hybridMultilevel"/>
    <w:tmpl w:val="4AA04EF4"/>
    <w:lvl w:ilvl="0" w:tplc="B7D036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A656A"/>
    <w:multiLevelType w:val="hybridMultilevel"/>
    <w:tmpl w:val="129C6670"/>
    <w:lvl w:ilvl="0" w:tplc="71E244FE">
      <w:start w:val="1"/>
      <w:numFmt w:val="lowerRoman"/>
      <w:lvlText w:val="%1."/>
      <w:lvlJc w:val="left"/>
      <w:pPr>
        <w:ind w:left="1080" w:hanging="72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E4F86"/>
    <w:multiLevelType w:val="hybridMultilevel"/>
    <w:tmpl w:val="61320F40"/>
    <w:lvl w:ilvl="0" w:tplc="F9D054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E2F9C"/>
    <w:multiLevelType w:val="hybridMultilevel"/>
    <w:tmpl w:val="E88E34E8"/>
    <w:lvl w:ilvl="0" w:tplc="28F0C8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E1CAE"/>
    <w:multiLevelType w:val="hybridMultilevel"/>
    <w:tmpl w:val="D9CC0F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22894"/>
    <w:multiLevelType w:val="hybridMultilevel"/>
    <w:tmpl w:val="7210364A"/>
    <w:lvl w:ilvl="0" w:tplc="8DC68F82">
      <w:start w:val="1"/>
      <w:numFmt w:val="lowerRoman"/>
      <w:lvlText w:val="%1."/>
      <w:lvlJc w:val="left"/>
      <w:pPr>
        <w:ind w:left="720" w:hanging="360"/>
      </w:pPr>
      <w:rPr>
        <w:rFonts w:ascii="Arial" w:eastAsia="Times New Roman" w:hAnsi="Arial"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A3F2C"/>
    <w:multiLevelType w:val="hybridMultilevel"/>
    <w:tmpl w:val="B85E5E90"/>
    <w:lvl w:ilvl="0" w:tplc="1BECA098">
      <w:start w:val="1"/>
      <w:numFmt w:val="lowerRoman"/>
      <w:lvlText w:val="%1."/>
      <w:lvlJc w:val="left"/>
      <w:pPr>
        <w:ind w:left="1080" w:hanging="72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71DE3"/>
    <w:multiLevelType w:val="hybridMultilevel"/>
    <w:tmpl w:val="71FC75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82800"/>
    <w:multiLevelType w:val="hybridMultilevel"/>
    <w:tmpl w:val="FE7ECAFC"/>
    <w:lvl w:ilvl="0" w:tplc="A70E729A">
      <w:start w:val="1"/>
      <w:numFmt w:val="lowerRoman"/>
      <w:lvlText w:val="%1."/>
      <w:lvlJc w:val="left"/>
      <w:pPr>
        <w:ind w:left="1080" w:hanging="720"/>
      </w:pPr>
      <w:rPr>
        <w:rFonts w:asciiTheme="minorHAnsi" w:hAnsiTheme="minorHAns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967FE"/>
    <w:multiLevelType w:val="hybridMultilevel"/>
    <w:tmpl w:val="E724F7A6"/>
    <w:lvl w:ilvl="0" w:tplc="993064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8772B"/>
    <w:multiLevelType w:val="hybridMultilevel"/>
    <w:tmpl w:val="4C966DF4"/>
    <w:lvl w:ilvl="0" w:tplc="A492E99E">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14498"/>
    <w:multiLevelType w:val="hybridMultilevel"/>
    <w:tmpl w:val="5E10E2E4"/>
    <w:lvl w:ilvl="0" w:tplc="D1C27E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FB5053"/>
    <w:multiLevelType w:val="hybridMultilevel"/>
    <w:tmpl w:val="40DC8C7E"/>
    <w:lvl w:ilvl="0" w:tplc="F36ABB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5114E"/>
    <w:multiLevelType w:val="hybridMultilevel"/>
    <w:tmpl w:val="15B876DA"/>
    <w:lvl w:ilvl="0" w:tplc="C7F6A1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E378AF"/>
    <w:multiLevelType w:val="hybridMultilevel"/>
    <w:tmpl w:val="9A8C543C"/>
    <w:lvl w:ilvl="0" w:tplc="D1C27EC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74488"/>
    <w:multiLevelType w:val="hybridMultilevel"/>
    <w:tmpl w:val="0BC03BFA"/>
    <w:lvl w:ilvl="0" w:tplc="FA121F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A453F3"/>
    <w:multiLevelType w:val="hybridMultilevel"/>
    <w:tmpl w:val="29B6AF78"/>
    <w:lvl w:ilvl="0" w:tplc="D1C27E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9F2AC4"/>
    <w:multiLevelType w:val="hybridMultilevel"/>
    <w:tmpl w:val="A11E95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31555"/>
    <w:multiLevelType w:val="hybridMultilevel"/>
    <w:tmpl w:val="E7B21782"/>
    <w:lvl w:ilvl="0" w:tplc="BC24602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DC6B30"/>
    <w:multiLevelType w:val="hybridMultilevel"/>
    <w:tmpl w:val="1F8C84E0"/>
    <w:lvl w:ilvl="0" w:tplc="D1C27E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2F7B65"/>
    <w:multiLevelType w:val="hybridMultilevel"/>
    <w:tmpl w:val="1A44EC82"/>
    <w:lvl w:ilvl="0" w:tplc="6C321D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C60D24"/>
    <w:multiLevelType w:val="hybridMultilevel"/>
    <w:tmpl w:val="2C24B702"/>
    <w:lvl w:ilvl="0" w:tplc="3418F226">
      <w:start w:val="1"/>
      <w:numFmt w:val="low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F49BA"/>
    <w:multiLevelType w:val="hybridMultilevel"/>
    <w:tmpl w:val="5CE434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F51FE5"/>
    <w:multiLevelType w:val="hybridMultilevel"/>
    <w:tmpl w:val="B99E9120"/>
    <w:lvl w:ilvl="0" w:tplc="0409001B">
      <w:start w:val="1"/>
      <w:numFmt w:val="low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3"/>
  </w:num>
  <w:num w:numId="4">
    <w:abstractNumId w:val="9"/>
  </w:num>
  <w:num w:numId="5">
    <w:abstractNumId w:val="24"/>
  </w:num>
  <w:num w:numId="6">
    <w:abstractNumId w:val="11"/>
  </w:num>
  <w:num w:numId="7">
    <w:abstractNumId w:val="2"/>
  </w:num>
  <w:num w:numId="8">
    <w:abstractNumId w:val="7"/>
  </w:num>
  <w:num w:numId="9">
    <w:abstractNumId w:val="16"/>
  </w:num>
  <w:num w:numId="10">
    <w:abstractNumId w:val="12"/>
  </w:num>
  <w:num w:numId="11">
    <w:abstractNumId w:val="15"/>
  </w:num>
  <w:num w:numId="12">
    <w:abstractNumId w:val="0"/>
  </w:num>
  <w:num w:numId="13">
    <w:abstractNumId w:val="20"/>
  </w:num>
  <w:num w:numId="14">
    <w:abstractNumId w:val="5"/>
  </w:num>
  <w:num w:numId="15">
    <w:abstractNumId w:val="17"/>
  </w:num>
  <w:num w:numId="16">
    <w:abstractNumId w:val="8"/>
  </w:num>
  <w:num w:numId="17">
    <w:abstractNumId w:val="18"/>
  </w:num>
  <w:num w:numId="18">
    <w:abstractNumId w:val="19"/>
  </w:num>
  <w:num w:numId="19">
    <w:abstractNumId w:val="21"/>
  </w:num>
  <w:num w:numId="20">
    <w:abstractNumId w:val="13"/>
  </w:num>
  <w:num w:numId="21">
    <w:abstractNumId w:val="22"/>
  </w:num>
  <w:num w:numId="22">
    <w:abstractNumId w:val="1"/>
  </w:num>
  <w:num w:numId="23">
    <w:abstractNumId w:val="14"/>
  </w:num>
  <w:num w:numId="24">
    <w:abstractNumId w:val="4"/>
  </w:num>
  <w:num w:numId="2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68"/>
    <w:rsid w:val="00003F40"/>
    <w:rsid w:val="00007461"/>
    <w:rsid w:val="000079CC"/>
    <w:rsid w:val="00011A63"/>
    <w:rsid w:val="00017265"/>
    <w:rsid w:val="000279FC"/>
    <w:rsid w:val="000334E4"/>
    <w:rsid w:val="000349C2"/>
    <w:rsid w:val="000425FA"/>
    <w:rsid w:val="00043443"/>
    <w:rsid w:val="00044260"/>
    <w:rsid w:val="00045452"/>
    <w:rsid w:val="000502AD"/>
    <w:rsid w:val="000540CF"/>
    <w:rsid w:val="00071AC7"/>
    <w:rsid w:val="00072BCD"/>
    <w:rsid w:val="00075349"/>
    <w:rsid w:val="00081490"/>
    <w:rsid w:val="00081541"/>
    <w:rsid w:val="000823AC"/>
    <w:rsid w:val="00083C0B"/>
    <w:rsid w:val="000867BF"/>
    <w:rsid w:val="00092093"/>
    <w:rsid w:val="000A049E"/>
    <w:rsid w:val="000A0AB5"/>
    <w:rsid w:val="000A1C06"/>
    <w:rsid w:val="000A552C"/>
    <w:rsid w:val="000A7281"/>
    <w:rsid w:val="000C09B4"/>
    <w:rsid w:val="000C2889"/>
    <w:rsid w:val="000C4457"/>
    <w:rsid w:val="000C7394"/>
    <w:rsid w:val="000D4401"/>
    <w:rsid w:val="000D558A"/>
    <w:rsid w:val="000D6DE5"/>
    <w:rsid w:val="000E58E0"/>
    <w:rsid w:val="000E67A8"/>
    <w:rsid w:val="000F46EF"/>
    <w:rsid w:val="000F77FD"/>
    <w:rsid w:val="001024D4"/>
    <w:rsid w:val="001029E2"/>
    <w:rsid w:val="00106790"/>
    <w:rsid w:val="00115481"/>
    <w:rsid w:val="00115EA9"/>
    <w:rsid w:val="001225C5"/>
    <w:rsid w:val="001246D1"/>
    <w:rsid w:val="00126E8D"/>
    <w:rsid w:val="001341D7"/>
    <w:rsid w:val="00140F8A"/>
    <w:rsid w:val="00151CC2"/>
    <w:rsid w:val="00153684"/>
    <w:rsid w:val="0015409F"/>
    <w:rsid w:val="00154967"/>
    <w:rsid w:val="00157815"/>
    <w:rsid w:val="00161B08"/>
    <w:rsid w:val="001663A4"/>
    <w:rsid w:val="00166580"/>
    <w:rsid w:val="00167DA9"/>
    <w:rsid w:val="00173BD5"/>
    <w:rsid w:val="00176076"/>
    <w:rsid w:val="00184266"/>
    <w:rsid w:val="00187656"/>
    <w:rsid w:val="00191C4E"/>
    <w:rsid w:val="001956C7"/>
    <w:rsid w:val="001A05B1"/>
    <w:rsid w:val="001A4D75"/>
    <w:rsid w:val="001B4213"/>
    <w:rsid w:val="001B4755"/>
    <w:rsid w:val="001B5A59"/>
    <w:rsid w:val="001B5ADB"/>
    <w:rsid w:val="001B721D"/>
    <w:rsid w:val="001B7524"/>
    <w:rsid w:val="001C2AFD"/>
    <w:rsid w:val="001D03FB"/>
    <w:rsid w:val="001D26FB"/>
    <w:rsid w:val="001D739C"/>
    <w:rsid w:val="001F3524"/>
    <w:rsid w:val="001F725C"/>
    <w:rsid w:val="00202EFE"/>
    <w:rsid w:val="002037B7"/>
    <w:rsid w:val="002105CD"/>
    <w:rsid w:val="00216A4A"/>
    <w:rsid w:val="00222789"/>
    <w:rsid w:val="00227E11"/>
    <w:rsid w:val="00230A0E"/>
    <w:rsid w:val="002315A5"/>
    <w:rsid w:val="00232597"/>
    <w:rsid w:val="002344F0"/>
    <w:rsid w:val="00234529"/>
    <w:rsid w:val="0024069E"/>
    <w:rsid w:val="00242A2C"/>
    <w:rsid w:val="002454AF"/>
    <w:rsid w:val="00247599"/>
    <w:rsid w:val="002508F7"/>
    <w:rsid w:val="002547CF"/>
    <w:rsid w:val="0026321D"/>
    <w:rsid w:val="002664F9"/>
    <w:rsid w:val="002676D5"/>
    <w:rsid w:val="0028198B"/>
    <w:rsid w:val="00287DA9"/>
    <w:rsid w:val="002946BB"/>
    <w:rsid w:val="002A20D2"/>
    <w:rsid w:val="002A259C"/>
    <w:rsid w:val="002A4E0E"/>
    <w:rsid w:val="002A721A"/>
    <w:rsid w:val="002C35BC"/>
    <w:rsid w:val="002C4B80"/>
    <w:rsid w:val="002D0857"/>
    <w:rsid w:val="002D2A27"/>
    <w:rsid w:val="002E02F3"/>
    <w:rsid w:val="002E1A88"/>
    <w:rsid w:val="002E2E92"/>
    <w:rsid w:val="002E33CE"/>
    <w:rsid w:val="002E7B4B"/>
    <w:rsid w:val="002F3141"/>
    <w:rsid w:val="002F7E65"/>
    <w:rsid w:val="0030648F"/>
    <w:rsid w:val="00312688"/>
    <w:rsid w:val="0032175A"/>
    <w:rsid w:val="00322DEA"/>
    <w:rsid w:val="003245AA"/>
    <w:rsid w:val="00346615"/>
    <w:rsid w:val="003502B2"/>
    <w:rsid w:val="003518EE"/>
    <w:rsid w:val="00353462"/>
    <w:rsid w:val="00354CB5"/>
    <w:rsid w:val="00357B0E"/>
    <w:rsid w:val="00363303"/>
    <w:rsid w:val="00363EC5"/>
    <w:rsid w:val="0036520A"/>
    <w:rsid w:val="00366AD1"/>
    <w:rsid w:val="0037461B"/>
    <w:rsid w:val="0037523B"/>
    <w:rsid w:val="00385B33"/>
    <w:rsid w:val="00387901"/>
    <w:rsid w:val="00397165"/>
    <w:rsid w:val="003A70F8"/>
    <w:rsid w:val="003B037A"/>
    <w:rsid w:val="003B1C0F"/>
    <w:rsid w:val="003B23E7"/>
    <w:rsid w:val="003B422F"/>
    <w:rsid w:val="003C288C"/>
    <w:rsid w:val="003D23EE"/>
    <w:rsid w:val="003D653B"/>
    <w:rsid w:val="003E014B"/>
    <w:rsid w:val="003F57BE"/>
    <w:rsid w:val="004004FC"/>
    <w:rsid w:val="00414469"/>
    <w:rsid w:val="00417008"/>
    <w:rsid w:val="00421F2F"/>
    <w:rsid w:val="0042274E"/>
    <w:rsid w:val="00424E4F"/>
    <w:rsid w:val="00424EC8"/>
    <w:rsid w:val="00427030"/>
    <w:rsid w:val="0043146F"/>
    <w:rsid w:val="00447F56"/>
    <w:rsid w:val="00453B6C"/>
    <w:rsid w:val="00457463"/>
    <w:rsid w:val="00461D62"/>
    <w:rsid w:val="00464AEC"/>
    <w:rsid w:val="0046633F"/>
    <w:rsid w:val="004664C6"/>
    <w:rsid w:val="00493062"/>
    <w:rsid w:val="004A0406"/>
    <w:rsid w:val="004A0EB0"/>
    <w:rsid w:val="004B370B"/>
    <w:rsid w:val="004B3911"/>
    <w:rsid w:val="004B4151"/>
    <w:rsid w:val="004C595C"/>
    <w:rsid w:val="004D1F88"/>
    <w:rsid w:val="004D3639"/>
    <w:rsid w:val="004D3DBE"/>
    <w:rsid w:val="004D438B"/>
    <w:rsid w:val="004D7580"/>
    <w:rsid w:val="004E30F5"/>
    <w:rsid w:val="004E4044"/>
    <w:rsid w:val="004E4808"/>
    <w:rsid w:val="004F6579"/>
    <w:rsid w:val="00506942"/>
    <w:rsid w:val="005107AD"/>
    <w:rsid w:val="00512786"/>
    <w:rsid w:val="00516AC8"/>
    <w:rsid w:val="00517955"/>
    <w:rsid w:val="00523417"/>
    <w:rsid w:val="00526482"/>
    <w:rsid w:val="00527524"/>
    <w:rsid w:val="00530FDE"/>
    <w:rsid w:val="00533764"/>
    <w:rsid w:val="00535593"/>
    <w:rsid w:val="00540D62"/>
    <w:rsid w:val="00541549"/>
    <w:rsid w:val="005444A8"/>
    <w:rsid w:val="005454D0"/>
    <w:rsid w:val="00546947"/>
    <w:rsid w:val="005474ED"/>
    <w:rsid w:val="00547893"/>
    <w:rsid w:val="005557E5"/>
    <w:rsid w:val="00557E41"/>
    <w:rsid w:val="0056532F"/>
    <w:rsid w:val="00566E0B"/>
    <w:rsid w:val="00583F07"/>
    <w:rsid w:val="00584996"/>
    <w:rsid w:val="005A0A22"/>
    <w:rsid w:val="005A12A3"/>
    <w:rsid w:val="005A3BFD"/>
    <w:rsid w:val="005A7B65"/>
    <w:rsid w:val="005B0473"/>
    <w:rsid w:val="005C57AB"/>
    <w:rsid w:val="005C6168"/>
    <w:rsid w:val="005D147A"/>
    <w:rsid w:val="005D1FD4"/>
    <w:rsid w:val="005D3271"/>
    <w:rsid w:val="005D4265"/>
    <w:rsid w:val="005E0C05"/>
    <w:rsid w:val="005E12BF"/>
    <w:rsid w:val="005E62A7"/>
    <w:rsid w:val="005F2E08"/>
    <w:rsid w:val="005F3672"/>
    <w:rsid w:val="005F6261"/>
    <w:rsid w:val="006077E0"/>
    <w:rsid w:val="00612159"/>
    <w:rsid w:val="00616E0E"/>
    <w:rsid w:val="00635929"/>
    <w:rsid w:val="00636BEA"/>
    <w:rsid w:val="00642663"/>
    <w:rsid w:val="00642A4B"/>
    <w:rsid w:val="00643570"/>
    <w:rsid w:val="006466E1"/>
    <w:rsid w:val="0064746F"/>
    <w:rsid w:val="00652ACF"/>
    <w:rsid w:val="00656699"/>
    <w:rsid w:val="0065698F"/>
    <w:rsid w:val="00656B1D"/>
    <w:rsid w:val="00666573"/>
    <w:rsid w:val="00671B5C"/>
    <w:rsid w:val="00673710"/>
    <w:rsid w:val="00674B1A"/>
    <w:rsid w:val="006900FE"/>
    <w:rsid w:val="00690BE9"/>
    <w:rsid w:val="0069475E"/>
    <w:rsid w:val="006A2746"/>
    <w:rsid w:val="006A3FDB"/>
    <w:rsid w:val="006A542A"/>
    <w:rsid w:val="006A63B8"/>
    <w:rsid w:val="006B5718"/>
    <w:rsid w:val="006B6494"/>
    <w:rsid w:val="006B780C"/>
    <w:rsid w:val="006B7EC6"/>
    <w:rsid w:val="006C32D4"/>
    <w:rsid w:val="006C50F9"/>
    <w:rsid w:val="006C655D"/>
    <w:rsid w:val="006D5D51"/>
    <w:rsid w:val="006E7911"/>
    <w:rsid w:val="006F59CE"/>
    <w:rsid w:val="006F5C13"/>
    <w:rsid w:val="006F614F"/>
    <w:rsid w:val="006F6724"/>
    <w:rsid w:val="006F7D2B"/>
    <w:rsid w:val="00700521"/>
    <w:rsid w:val="00712999"/>
    <w:rsid w:val="007179E5"/>
    <w:rsid w:val="007235B6"/>
    <w:rsid w:val="007244C7"/>
    <w:rsid w:val="007308A9"/>
    <w:rsid w:val="00734E64"/>
    <w:rsid w:val="0073688F"/>
    <w:rsid w:val="00737121"/>
    <w:rsid w:val="00740F33"/>
    <w:rsid w:val="00742C70"/>
    <w:rsid w:val="00756E5D"/>
    <w:rsid w:val="00760E32"/>
    <w:rsid w:val="0076244C"/>
    <w:rsid w:val="00764969"/>
    <w:rsid w:val="00764E41"/>
    <w:rsid w:val="007656C4"/>
    <w:rsid w:val="00771515"/>
    <w:rsid w:val="0077411D"/>
    <w:rsid w:val="00776056"/>
    <w:rsid w:val="007762C0"/>
    <w:rsid w:val="0078008E"/>
    <w:rsid w:val="00781F09"/>
    <w:rsid w:val="0078292C"/>
    <w:rsid w:val="00783054"/>
    <w:rsid w:val="00790C12"/>
    <w:rsid w:val="00791596"/>
    <w:rsid w:val="00795631"/>
    <w:rsid w:val="00797A24"/>
    <w:rsid w:val="007B30C1"/>
    <w:rsid w:val="007B3459"/>
    <w:rsid w:val="007C1B15"/>
    <w:rsid w:val="007E1663"/>
    <w:rsid w:val="007E221B"/>
    <w:rsid w:val="007F146B"/>
    <w:rsid w:val="008018C5"/>
    <w:rsid w:val="00802237"/>
    <w:rsid w:val="00805D2C"/>
    <w:rsid w:val="0080722C"/>
    <w:rsid w:val="0081004E"/>
    <w:rsid w:val="00813F1E"/>
    <w:rsid w:val="0081403B"/>
    <w:rsid w:val="00824D85"/>
    <w:rsid w:val="00836F7F"/>
    <w:rsid w:val="00837C4B"/>
    <w:rsid w:val="00842737"/>
    <w:rsid w:val="00842C68"/>
    <w:rsid w:val="00843006"/>
    <w:rsid w:val="008440D9"/>
    <w:rsid w:val="00845340"/>
    <w:rsid w:val="00854CC2"/>
    <w:rsid w:val="008552BE"/>
    <w:rsid w:val="00860FC7"/>
    <w:rsid w:val="00867AAC"/>
    <w:rsid w:val="00867B70"/>
    <w:rsid w:val="0087025B"/>
    <w:rsid w:val="00871EE0"/>
    <w:rsid w:val="008737F5"/>
    <w:rsid w:val="00880465"/>
    <w:rsid w:val="00881EE6"/>
    <w:rsid w:val="00882ECA"/>
    <w:rsid w:val="00890ED7"/>
    <w:rsid w:val="0089558D"/>
    <w:rsid w:val="008A576D"/>
    <w:rsid w:val="008B06DD"/>
    <w:rsid w:val="008B3A44"/>
    <w:rsid w:val="008B3A87"/>
    <w:rsid w:val="008D0E3C"/>
    <w:rsid w:val="008D2120"/>
    <w:rsid w:val="008D4556"/>
    <w:rsid w:val="008D57BA"/>
    <w:rsid w:val="008D739D"/>
    <w:rsid w:val="008D791F"/>
    <w:rsid w:val="008E4B41"/>
    <w:rsid w:val="008F0569"/>
    <w:rsid w:val="008F0A97"/>
    <w:rsid w:val="008F0DD8"/>
    <w:rsid w:val="00901EC1"/>
    <w:rsid w:val="009026F1"/>
    <w:rsid w:val="009125F7"/>
    <w:rsid w:val="00913115"/>
    <w:rsid w:val="00920DBC"/>
    <w:rsid w:val="00925B16"/>
    <w:rsid w:val="00926F36"/>
    <w:rsid w:val="009270B2"/>
    <w:rsid w:val="0093396C"/>
    <w:rsid w:val="009353D7"/>
    <w:rsid w:val="0093567A"/>
    <w:rsid w:val="0094146B"/>
    <w:rsid w:val="00941F87"/>
    <w:rsid w:val="00942B3B"/>
    <w:rsid w:val="009461AA"/>
    <w:rsid w:val="0096594D"/>
    <w:rsid w:val="0097197E"/>
    <w:rsid w:val="009730D4"/>
    <w:rsid w:val="00973AF0"/>
    <w:rsid w:val="009749A6"/>
    <w:rsid w:val="00975566"/>
    <w:rsid w:val="00976A8D"/>
    <w:rsid w:val="0098672B"/>
    <w:rsid w:val="00990CED"/>
    <w:rsid w:val="00997313"/>
    <w:rsid w:val="009B0F67"/>
    <w:rsid w:val="009B2FE7"/>
    <w:rsid w:val="009B3F81"/>
    <w:rsid w:val="009B76A1"/>
    <w:rsid w:val="009C06F7"/>
    <w:rsid w:val="009C534E"/>
    <w:rsid w:val="009D6CDD"/>
    <w:rsid w:val="009E0372"/>
    <w:rsid w:val="009E183A"/>
    <w:rsid w:val="009E513F"/>
    <w:rsid w:val="009E65F1"/>
    <w:rsid w:val="009E7526"/>
    <w:rsid w:val="009F0FD2"/>
    <w:rsid w:val="009F21FD"/>
    <w:rsid w:val="009F740E"/>
    <w:rsid w:val="00A0001A"/>
    <w:rsid w:val="00A12A9B"/>
    <w:rsid w:val="00A138BC"/>
    <w:rsid w:val="00A1786A"/>
    <w:rsid w:val="00A17E43"/>
    <w:rsid w:val="00A210CD"/>
    <w:rsid w:val="00A242A0"/>
    <w:rsid w:val="00A247EC"/>
    <w:rsid w:val="00A30EBB"/>
    <w:rsid w:val="00A35492"/>
    <w:rsid w:val="00A36C77"/>
    <w:rsid w:val="00A40130"/>
    <w:rsid w:val="00A4178F"/>
    <w:rsid w:val="00A41FC9"/>
    <w:rsid w:val="00A44F24"/>
    <w:rsid w:val="00A45528"/>
    <w:rsid w:val="00A52A5D"/>
    <w:rsid w:val="00A52C9A"/>
    <w:rsid w:val="00A55125"/>
    <w:rsid w:val="00A57912"/>
    <w:rsid w:val="00A62B29"/>
    <w:rsid w:val="00A6495C"/>
    <w:rsid w:val="00A73010"/>
    <w:rsid w:val="00A74149"/>
    <w:rsid w:val="00A77CFF"/>
    <w:rsid w:val="00A81EE1"/>
    <w:rsid w:val="00A85E34"/>
    <w:rsid w:val="00A8663D"/>
    <w:rsid w:val="00AA1C0D"/>
    <w:rsid w:val="00AA288A"/>
    <w:rsid w:val="00AB02F1"/>
    <w:rsid w:val="00AB3CB8"/>
    <w:rsid w:val="00AC79F1"/>
    <w:rsid w:val="00AD7404"/>
    <w:rsid w:val="00AE00FD"/>
    <w:rsid w:val="00AE1023"/>
    <w:rsid w:val="00AE3F33"/>
    <w:rsid w:val="00AE7922"/>
    <w:rsid w:val="00AF30C2"/>
    <w:rsid w:val="00AF6367"/>
    <w:rsid w:val="00AF67F7"/>
    <w:rsid w:val="00B00A53"/>
    <w:rsid w:val="00B00E5C"/>
    <w:rsid w:val="00B0434E"/>
    <w:rsid w:val="00B053BE"/>
    <w:rsid w:val="00B157C0"/>
    <w:rsid w:val="00B2050D"/>
    <w:rsid w:val="00B23F9D"/>
    <w:rsid w:val="00B25B8C"/>
    <w:rsid w:val="00B32ADA"/>
    <w:rsid w:val="00B41DD2"/>
    <w:rsid w:val="00B46935"/>
    <w:rsid w:val="00B54119"/>
    <w:rsid w:val="00B5526D"/>
    <w:rsid w:val="00B614C9"/>
    <w:rsid w:val="00B63AE2"/>
    <w:rsid w:val="00B64ACA"/>
    <w:rsid w:val="00B70DDB"/>
    <w:rsid w:val="00B71E70"/>
    <w:rsid w:val="00B845D3"/>
    <w:rsid w:val="00B9040F"/>
    <w:rsid w:val="00B94131"/>
    <w:rsid w:val="00B95B71"/>
    <w:rsid w:val="00B95BA1"/>
    <w:rsid w:val="00BA722F"/>
    <w:rsid w:val="00BB4664"/>
    <w:rsid w:val="00BB4E59"/>
    <w:rsid w:val="00BB4F6A"/>
    <w:rsid w:val="00BC315C"/>
    <w:rsid w:val="00BC38E0"/>
    <w:rsid w:val="00BC5DFE"/>
    <w:rsid w:val="00BC74CB"/>
    <w:rsid w:val="00BC7C45"/>
    <w:rsid w:val="00BD481D"/>
    <w:rsid w:val="00BD63FC"/>
    <w:rsid w:val="00BE0E14"/>
    <w:rsid w:val="00BE0ED1"/>
    <w:rsid w:val="00BE2925"/>
    <w:rsid w:val="00BE4BE4"/>
    <w:rsid w:val="00C01E27"/>
    <w:rsid w:val="00C07E3B"/>
    <w:rsid w:val="00C14653"/>
    <w:rsid w:val="00C218EB"/>
    <w:rsid w:val="00C22C0C"/>
    <w:rsid w:val="00C24CC6"/>
    <w:rsid w:val="00C25D8A"/>
    <w:rsid w:val="00C31764"/>
    <w:rsid w:val="00C317FB"/>
    <w:rsid w:val="00C34B52"/>
    <w:rsid w:val="00C42AAC"/>
    <w:rsid w:val="00C51780"/>
    <w:rsid w:val="00C5315C"/>
    <w:rsid w:val="00C61952"/>
    <w:rsid w:val="00C6453D"/>
    <w:rsid w:val="00C66DE1"/>
    <w:rsid w:val="00C74CA8"/>
    <w:rsid w:val="00C773BD"/>
    <w:rsid w:val="00C83DA2"/>
    <w:rsid w:val="00C94A3E"/>
    <w:rsid w:val="00C97E31"/>
    <w:rsid w:val="00CA38C7"/>
    <w:rsid w:val="00CA4A50"/>
    <w:rsid w:val="00CB49BA"/>
    <w:rsid w:val="00CB647D"/>
    <w:rsid w:val="00CC588F"/>
    <w:rsid w:val="00CD0F6E"/>
    <w:rsid w:val="00CD1D9D"/>
    <w:rsid w:val="00D013DD"/>
    <w:rsid w:val="00D233AA"/>
    <w:rsid w:val="00D25CB3"/>
    <w:rsid w:val="00D30BE3"/>
    <w:rsid w:val="00D329EC"/>
    <w:rsid w:val="00D34F1F"/>
    <w:rsid w:val="00D52AC4"/>
    <w:rsid w:val="00D62E33"/>
    <w:rsid w:val="00D71412"/>
    <w:rsid w:val="00D773AF"/>
    <w:rsid w:val="00D77DF6"/>
    <w:rsid w:val="00D80A4F"/>
    <w:rsid w:val="00D8363B"/>
    <w:rsid w:val="00D9192E"/>
    <w:rsid w:val="00DA6C5D"/>
    <w:rsid w:val="00DB0FA8"/>
    <w:rsid w:val="00DB109B"/>
    <w:rsid w:val="00DB16F8"/>
    <w:rsid w:val="00DB4BF1"/>
    <w:rsid w:val="00DC3C4B"/>
    <w:rsid w:val="00DC3F76"/>
    <w:rsid w:val="00DC4D86"/>
    <w:rsid w:val="00DC7354"/>
    <w:rsid w:val="00DC7494"/>
    <w:rsid w:val="00DD2DF0"/>
    <w:rsid w:val="00DD4368"/>
    <w:rsid w:val="00DD71DC"/>
    <w:rsid w:val="00DE5968"/>
    <w:rsid w:val="00DF0357"/>
    <w:rsid w:val="00DF30C6"/>
    <w:rsid w:val="00DF7CCE"/>
    <w:rsid w:val="00E06A4E"/>
    <w:rsid w:val="00E07813"/>
    <w:rsid w:val="00E07E7D"/>
    <w:rsid w:val="00E10A85"/>
    <w:rsid w:val="00E10D4B"/>
    <w:rsid w:val="00E1547F"/>
    <w:rsid w:val="00E21859"/>
    <w:rsid w:val="00E21C46"/>
    <w:rsid w:val="00E32ACA"/>
    <w:rsid w:val="00E354BE"/>
    <w:rsid w:val="00E363BF"/>
    <w:rsid w:val="00E36EA3"/>
    <w:rsid w:val="00E37E7A"/>
    <w:rsid w:val="00E4163B"/>
    <w:rsid w:val="00E47861"/>
    <w:rsid w:val="00E47EA8"/>
    <w:rsid w:val="00E5160E"/>
    <w:rsid w:val="00E57C94"/>
    <w:rsid w:val="00E62ADA"/>
    <w:rsid w:val="00E661B5"/>
    <w:rsid w:val="00E770DC"/>
    <w:rsid w:val="00E80AB0"/>
    <w:rsid w:val="00E80C65"/>
    <w:rsid w:val="00E866A7"/>
    <w:rsid w:val="00E91C8B"/>
    <w:rsid w:val="00E91E6D"/>
    <w:rsid w:val="00E94826"/>
    <w:rsid w:val="00E9589C"/>
    <w:rsid w:val="00E96CA0"/>
    <w:rsid w:val="00EA15D4"/>
    <w:rsid w:val="00EA2876"/>
    <w:rsid w:val="00EA4C97"/>
    <w:rsid w:val="00EA52AA"/>
    <w:rsid w:val="00EA7740"/>
    <w:rsid w:val="00EA7A65"/>
    <w:rsid w:val="00EB328F"/>
    <w:rsid w:val="00EB6FC9"/>
    <w:rsid w:val="00EC779F"/>
    <w:rsid w:val="00EC7BBC"/>
    <w:rsid w:val="00EC7F56"/>
    <w:rsid w:val="00EE1D60"/>
    <w:rsid w:val="00EE3EB2"/>
    <w:rsid w:val="00EF6CC7"/>
    <w:rsid w:val="00F01FDE"/>
    <w:rsid w:val="00F11488"/>
    <w:rsid w:val="00F16195"/>
    <w:rsid w:val="00F2279E"/>
    <w:rsid w:val="00F26DBE"/>
    <w:rsid w:val="00F31949"/>
    <w:rsid w:val="00F32E3A"/>
    <w:rsid w:val="00F339B6"/>
    <w:rsid w:val="00F36F59"/>
    <w:rsid w:val="00F37FA7"/>
    <w:rsid w:val="00F4150C"/>
    <w:rsid w:val="00F43FA5"/>
    <w:rsid w:val="00F50FAD"/>
    <w:rsid w:val="00F61CCD"/>
    <w:rsid w:val="00F77B29"/>
    <w:rsid w:val="00F80508"/>
    <w:rsid w:val="00F826EC"/>
    <w:rsid w:val="00F84FD4"/>
    <w:rsid w:val="00F865DA"/>
    <w:rsid w:val="00F97C9B"/>
    <w:rsid w:val="00FA095D"/>
    <w:rsid w:val="00FA5715"/>
    <w:rsid w:val="00FA69D6"/>
    <w:rsid w:val="00FA74AD"/>
    <w:rsid w:val="00FB0137"/>
    <w:rsid w:val="00FB2C4C"/>
    <w:rsid w:val="00FB3DB2"/>
    <w:rsid w:val="00FC7C9F"/>
    <w:rsid w:val="00FD1E27"/>
    <w:rsid w:val="00FE0F0C"/>
    <w:rsid w:val="00FE3308"/>
    <w:rsid w:val="00FE3711"/>
    <w:rsid w:val="00FE512B"/>
    <w:rsid w:val="00FE70D0"/>
    <w:rsid w:val="00FF13F4"/>
    <w:rsid w:val="00FF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972E4"/>
  <w15:docId w15:val="{756C3AF6-5F8C-4512-9960-D66D6138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5BC4"/>
    <w:pPr>
      <w:widowControl w:val="0"/>
    </w:pPr>
    <w:rPr>
      <w:sz w:val="24"/>
    </w:rPr>
  </w:style>
  <w:style w:type="paragraph" w:styleId="Heading1">
    <w:name w:val="heading 1"/>
    <w:basedOn w:val="Normal"/>
    <w:next w:val="Normal"/>
    <w:link w:val="Heading1Char"/>
    <w:qFormat/>
    <w:rsid w:val="00DC73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FF5BC4"/>
    <w:pPr>
      <w:keepNext/>
      <w:shd w:val="pct15" w:color="auto" w:fill="FFFFFF"/>
      <w:jc w:val="center"/>
      <w:outlineLvl w:val="2"/>
    </w:pPr>
    <w:rPr>
      <w:rFonts w:ascii="Arial" w:hAnsi="Arial"/>
      <w:bCs/>
    </w:rPr>
  </w:style>
  <w:style w:type="paragraph" w:styleId="Heading4">
    <w:name w:val="heading 4"/>
    <w:basedOn w:val="Normal"/>
    <w:next w:val="Normal"/>
    <w:qFormat/>
    <w:rsid w:val="00FF5BC4"/>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F5BC4"/>
    <w:pPr>
      <w:widowControl/>
    </w:pPr>
    <w:rPr>
      <w:rFonts w:ascii="Univers" w:hAnsi="Univers"/>
      <w:sz w:val="22"/>
    </w:rPr>
  </w:style>
  <w:style w:type="paragraph" w:styleId="BodyText2">
    <w:name w:val="Body Text 2"/>
    <w:basedOn w:val="Normal"/>
    <w:link w:val="BodyText2Char"/>
    <w:rsid w:val="00FF5BC4"/>
    <w:pPr>
      <w:widowControl/>
    </w:pPr>
    <w:rPr>
      <w:rFonts w:ascii="Arial" w:hAnsi="Arial"/>
      <w:sz w:val="20"/>
    </w:rPr>
  </w:style>
  <w:style w:type="paragraph" w:styleId="BodyText3">
    <w:name w:val="Body Text 3"/>
    <w:basedOn w:val="Normal"/>
    <w:rsid w:val="00FF5BC4"/>
    <w:pPr>
      <w:jc w:val="both"/>
    </w:pPr>
    <w:rPr>
      <w:szCs w:val="24"/>
    </w:rPr>
  </w:style>
  <w:style w:type="paragraph" w:styleId="Header">
    <w:name w:val="header"/>
    <w:basedOn w:val="Normal"/>
    <w:rsid w:val="00FF5BC4"/>
    <w:pPr>
      <w:tabs>
        <w:tab w:val="center" w:pos="4320"/>
        <w:tab w:val="right" w:pos="8640"/>
      </w:tabs>
    </w:pPr>
  </w:style>
  <w:style w:type="paragraph" w:styleId="Footer">
    <w:name w:val="footer"/>
    <w:basedOn w:val="Normal"/>
    <w:link w:val="FooterChar"/>
    <w:uiPriority w:val="99"/>
    <w:rsid w:val="00FF5BC4"/>
    <w:pPr>
      <w:tabs>
        <w:tab w:val="center" w:pos="4320"/>
        <w:tab w:val="right" w:pos="8640"/>
      </w:tabs>
    </w:pPr>
  </w:style>
  <w:style w:type="table" w:styleId="TableGrid">
    <w:name w:val="Table Grid"/>
    <w:basedOn w:val="TableNormal"/>
    <w:rsid w:val="008018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C7354"/>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uiPriority w:val="99"/>
    <w:rsid w:val="00A210CD"/>
    <w:rPr>
      <w:sz w:val="24"/>
    </w:rPr>
  </w:style>
  <w:style w:type="paragraph" w:styleId="FootnoteText">
    <w:name w:val="footnote text"/>
    <w:aliases w:val="LM Footnote,LM Note de bas de page,Note de bas de page LM,LM footnote,single space,Footnote Text LM,Footnote Text Char Char,Footnote Text Char Char Char,LM fo...,Footnote Text Char Char Char Char,testo pié di pagina,testo pié di pagina Cha"/>
    <w:basedOn w:val="Normal"/>
    <w:link w:val="FootnoteTextChar"/>
    <w:rsid w:val="001F3524"/>
    <w:rPr>
      <w:sz w:val="20"/>
    </w:rPr>
  </w:style>
  <w:style w:type="character" w:customStyle="1" w:styleId="FootnoteTextChar">
    <w:name w:val="Footnote Text Char"/>
    <w:aliases w:val="LM Footnote Char,LM Note de bas de page Char,Note de bas de page LM Char,LM footnote Char,single space Char,Footnote Text LM Char,Footnote Text Char Char Char1,Footnote Text Char Char Char Char1,LM fo... Char,testo pié di pagina Char"/>
    <w:basedOn w:val="DefaultParagraphFont"/>
    <w:link w:val="FootnoteText"/>
    <w:rsid w:val="001F3524"/>
  </w:style>
  <w:style w:type="character" w:styleId="FootnoteReference">
    <w:name w:val="footnote reference"/>
    <w:basedOn w:val="DefaultParagraphFont"/>
    <w:rsid w:val="001F3524"/>
    <w:rPr>
      <w:vertAlign w:val="superscript"/>
    </w:rPr>
  </w:style>
  <w:style w:type="paragraph" w:styleId="ListParagraph">
    <w:name w:val="List Paragraph"/>
    <w:basedOn w:val="Normal"/>
    <w:uiPriority w:val="34"/>
    <w:qFormat/>
    <w:rsid w:val="006A542A"/>
    <w:pPr>
      <w:ind w:left="720"/>
      <w:contextualSpacing/>
    </w:pPr>
  </w:style>
  <w:style w:type="character" w:customStyle="1" w:styleId="BodyText2Char">
    <w:name w:val="Body Text 2 Char"/>
    <w:basedOn w:val="DefaultParagraphFont"/>
    <w:link w:val="BodyText2"/>
    <w:rsid w:val="00533764"/>
    <w:rPr>
      <w:rFonts w:ascii="Arial" w:hAnsi="Arial"/>
    </w:rPr>
  </w:style>
  <w:style w:type="paragraph" w:customStyle="1" w:styleId="Default">
    <w:name w:val="Default"/>
    <w:rsid w:val="001024D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semiHidden/>
    <w:unhideWhenUsed/>
    <w:rsid w:val="00547893"/>
    <w:rPr>
      <w:rFonts w:ascii="Segoe UI" w:hAnsi="Segoe UI" w:cs="Segoe UI"/>
      <w:sz w:val="18"/>
      <w:szCs w:val="18"/>
    </w:rPr>
  </w:style>
  <w:style w:type="character" w:customStyle="1" w:styleId="BalloonTextChar">
    <w:name w:val="Balloon Text Char"/>
    <w:basedOn w:val="DefaultParagraphFont"/>
    <w:link w:val="BalloonText"/>
    <w:semiHidden/>
    <w:rsid w:val="00547893"/>
    <w:rPr>
      <w:rFonts w:ascii="Segoe UI" w:hAnsi="Segoe UI" w:cs="Segoe UI"/>
      <w:sz w:val="18"/>
      <w:szCs w:val="18"/>
    </w:rPr>
  </w:style>
  <w:style w:type="character" w:customStyle="1" w:styleId="roarquestion">
    <w:name w:val="roar_question"/>
    <w:basedOn w:val="DefaultParagraphFont"/>
    <w:rsid w:val="00E10D4B"/>
  </w:style>
  <w:style w:type="character" w:customStyle="1" w:styleId="BodyTextChar">
    <w:name w:val="Body Text Char"/>
    <w:basedOn w:val="DefaultParagraphFont"/>
    <w:link w:val="BodyText"/>
    <w:rsid w:val="00E661B5"/>
    <w:rPr>
      <w:rFonts w:ascii="Univers" w:hAnsi="Univers"/>
      <w:sz w:val="22"/>
    </w:rPr>
  </w:style>
  <w:style w:type="character" w:styleId="CommentReference">
    <w:name w:val="annotation reference"/>
    <w:basedOn w:val="DefaultParagraphFont"/>
    <w:semiHidden/>
    <w:unhideWhenUsed/>
    <w:rsid w:val="0024069E"/>
    <w:rPr>
      <w:sz w:val="16"/>
      <w:szCs w:val="16"/>
    </w:rPr>
  </w:style>
  <w:style w:type="paragraph" w:styleId="CommentText">
    <w:name w:val="annotation text"/>
    <w:basedOn w:val="Normal"/>
    <w:link w:val="CommentTextChar"/>
    <w:semiHidden/>
    <w:unhideWhenUsed/>
    <w:rsid w:val="0024069E"/>
    <w:rPr>
      <w:sz w:val="20"/>
    </w:rPr>
  </w:style>
  <w:style w:type="character" w:customStyle="1" w:styleId="CommentTextChar">
    <w:name w:val="Comment Text Char"/>
    <w:basedOn w:val="DefaultParagraphFont"/>
    <w:link w:val="CommentText"/>
    <w:semiHidden/>
    <w:rsid w:val="0024069E"/>
  </w:style>
  <w:style w:type="paragraph" w:styleId="CommentSubject">
    <w:name w:val="annotation subject"/>
    <w:basedOn w:val="CommentText"/>
    <w:next w:val="CommentText"/>
    <w:link w:val="CommentSubjectChar"/>
    <w:semiHidden/>
    <w:unhideWhenUsed/>
    <w:rsid w:val="0024069E"/>
    <w:rPr>
      <w:b/>
      <w:bCs/>
    </w:rPr>
  </w:style>
  <w:style w:type="character" w:customStyle="1" w:styleId="CommentSubjectChar">
    <w:name w:val="Comment Subject Char"/>
    <w:basedOn w:val="CommentTextChar"/>
    <w:link w:val="CommentSubject"/>
    <w:semiHidden/>
    <w:rsid w:val="002406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907">
      <w:bodyDiv w:val="1"/>
      <w:marLeft w:val="0"/>
      <w:marRight w:val="0"/>
      <w:marTop w:val="0"/>
      <w:marBottom w:val="0"/>
      <w:divBdr>
        <w:top w:val="none" w:sz="0" w:space="0" w:color="auto"/>
        <w:left w:val="none" w:sz="0" w:space="0" w:color="auto"/>
        <w:bottom w:val="none" w:sz="0" w:space="0" w:color="auto"/>
        <w:right w:val="none" w:sz="0" w:space="0" w:color="auto"/>
      </w:divBdr>
    </w:div>
    <w:div w:id="178547832">
      <w:bodyDiv w:val="1"/>
      <w:marLeft w:val="0"/>
      <w:marRight w:val="0"/>
      <w:marTop w:val="0"/>
      <w:marBottom w:val="0"/>
      <w:divBdr>
        <w:top w:val="none" w:sz="0" w:space="0" w:color="auto"/>
        <w:left w:val="none" w:sz="0" w:space="0" w:color="auto"/>
        <w:bottom w:val="none" w:sz="0" w:space="0" w:color="auto"/>
        <w:right w:val="none" w:sz="0" w:space="0" w:color="auto"/>
      </w:divBdr>
    </w:div>
    <w:div w:id="456602421">
      <w:bodyDiv w:val="1"/>
      <w:marLeft w:val="0"/>
      <w:marRight w:val="0"/>
      <w:marTop w:val="0"/>
      <w:marBottom w:val="0"/>
      <w:divBdr>
        <w:top w:val="none" w:sz="0" w:space="0" w:color="auto"/>
        <w:left w:val="none" w:sz="0" w:space="0" w:color="auto"/>
        <w:bottom w:val="none" w:sz="0" w:space="0" w:color="auto"/>
        <w:right w:val="none" w:sz="0" w:space="0" w:color="auto"/>
      </w:divBdr>
    </w:div>
    <w:div w:id="121138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23A92725C93E4830A7421C44D384B7FC00AA2C51EDC20547BE9D8059E930612AF9" PreviousValue="false"/>
</file>

<file path=customXml/item2.xml><?xml version="1.0" encoding="utf-8"?>
<p:properties xmlns:p="http://schemas.microsoft.com/office/2006/metadata/properties" xmlns:xsi="http://www.w3.org/2001/XMLSchema-instance" xmlns:pc="http://schemas.microsoft.com/office/infopath/2007/PartnerControls">
  <documentManagement>
    <UNDPPlannedReviewDate xmlns="83ed2304-0f0e-45ba-b0cc-7d360cbc1769" xsi:nil="true"/>
    <UNDPEffectiveDate xmlns="83ed2304-0f0e-45ba-b0cc-7d360cbc1769" xsi:nil="true"/>
    <UNDPResponsibleUnit xmlns="83ed2304-0f0e-45ba-b0cc-7d360cbc1769"/>
    <UNDPCreator xmlns="83ed2304-0f0e-45ba-b0cc-7d360cbc1769">
      <UserInfo>
        <DisplayName/>
        <AccountId xsi:nil="true"/>
        <AccountType/>
      </UserInfo>
    </UNDPCreator>
    <UNDPApplicability xmlns="83ed2304-0f0e-45ba-b0cc-7d360cbc1769" xsi:nil="true"/>
    <UNDPActualReviewDate xmlns="83ed2304-0f0e-45ba-b0cc-7d360cbc1769" xsi:nil="true"/>
    <UNDPPOPPFunctionalArea xmlns="83ed2304-0f0e-45ba-b0cc-7d360cbc1769">Programme and Project</UNDPPOPPFunctionalArea>
    <UNDPPOPPSubprocess xmlns="83ed2304-0f0e-45ba-b0cc-7d360cbc1769">Programme Completion and Transition</UNDPPOPPSubprocess>
    <UNDPPublishedDate xmlns="83ed2304-0f0e-45ba-b0cc-7d360cbc1769" xsi:nil="true"/>
    <UNDPPOPPProcess xmlns="83ed2304-0f0e-45ba-b0cc-7d360cbc1769">Programme Management</UNDPPOPPProcess>
    <UNDPPOPPSubsubprocess xmlns="83ed2304-0f0e-45ba-b0cc-7d360cbc1769" xsi:nil="true"/>
    <UNDPIssuanceDate xmlns="83ed2304-0f0e-45ba-b0cc-7d360cbc1769" xsi:nil="true"/>
    <_dlc_DocId xmlns="83ed2304-0f0e-45ba-b0cc-7d360cbc1769">UNDPGBL-229-92</_dlc_DocId>
    <_dlc_DocIdUrl xmlns="83ed2304-0f0e-45ba-b0cc-7d360cbc1769">
      <Url>https://intranet.undp.org/global/documents/_layouts/DocIdRedir.aspx?ID=UNDPGBL-229-92</Url>
      <Description>UNDPGBL-229-92</Description>
    </_dlc_DocIdUrl>
    <UNDPSummary xmlns="83ed2304-0f0e-45ba-b0cc-7d360cbc1769" xsi:nil="true"/>
    <UNDPFocalpoint xmlns="83ed2304-0f0e-45ba-b0cc-7d360cbc1769">
      <UserInfo>
        <DisplayName/>
        <AccountId xsi:nil="true"/>
        <AccountType/>
      </UserInfo>
    </UNDPFocalpoint>
    <UNDPPOPPKeywordsTaxHTField0 xmlns="83ed2304-0f0e-45ba-b0cc-7d360cbc1769">
      <Terms xmlns="http://schemas.microsoft.com/office/infopath/2007/PartnerControls"/>
    </UNDPPOPPKeywordsTaxHTField0>
    <UNDPPOPPSubsubsubprocess xmlns="83ed2304-0f0e-45ba-b0cc-7d360cbc1769" xsi:nil="true"/>
    <UNDPPOPPPrescriptiveContentSelection xmlns="83ed2304-0f0e-45ba-b0cc-7d360cbc1769"/>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OPP Deliverable" ma:contentTypeID="0x01010023A92725C93E4830A7421C44D384B7FC00AA2C51EDC20547BE9D8059E930612AF900BB1DAF2B020D674E95D024E21C9B8446" ma:contentTypeVersion="266" ma:contentTypeDescription="Create a new POPP Deliverable document" ma:contentTypeScope="" ma:versionID="c1250cfb66ef80672605b85c0fd434ba">
  <xsd:schema xmlns:xsd="http://www.w3.org/2001/XMLSchema" xmlns:xs="http://www.w3.org/2001/XMLSchema" xmlns:p="http://schemas.microsoft.com/office/2006/metadata/properties" xmlns:ns2="83ed2304-0f0e-45ba-b0cc-7d360cbc1769" targetNamespace="http://schemas.microsoft.com/office/2006/metadata/properties" ma:root="true" ma:fieldsID="0ce56cadaedc82cf8b2664c217ea985a" ns2:_="">
    <xsd:import namespace="83ed2304-0f0e-45ba-b0cc-7d360cbc1769"/>
    <xsd:element name="properties">
      <xsd:complexType>
        <xsd:sequence>
          <xsd:element name="documentManagement">
            <xsd:complexType>
              <xsd:all>
                <xsd:element ref="ns2:UNDPPOPPFunctionalArea" minOccurs="0"/>
                <xsd:element ref="ns2:UNDPPOPPProcess" minOccurs="0"/>
                <xsd:element ref="ns2:UNDPPOPPSubprocess" minOccurs="0"/>
                <xsd:element ref="ns2:UNDPPOPPSubsubprocess" minOccurs="0"/>
                <xsd:element ref="ns2:UNDPPOPPSubsubsubprocess" minOccurs="0"/>
                <xsd:element ref="ns2:UNDPActualReviewDate" minOccurs="0"/>
                <xsd:element ref="ns2:UNDPSummary" minOccurs="0"/>
                <xsd:element ref="ns2:UNDPPOPPPrescriptiveContentSelection"/>
                <xsd:element ref="ns2:UNDPPOPPKeywordsTaxHTField0"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pplicabilit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FunctionalArea" ma:index="2" nillable="true" ma:displayName="POPP Functional Area"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Partnerships"/>
          <xsd:enumeration value="Programme and Project"/>
          <xsd:enumeration value="Results &amp; Accountability"/>
          <xsd:enumeration value="Prescriptive Content"/>
          <xsd:enumeration value="Security"/>
        </xsd:restriction>
      </xsd:simpleType>
    </xsd:element>
    <xsd:element name="UNDPPOPPProcess" ma:index="3"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ICT Oversight"/>
          <xsd:enumeration value="ICT Security"/>
          <xsd:enumeration value="Information Disclosure"/>
          <xsd:enumeration value="Internal Control Framework"/>
          <xsd:enumeration value="Legal Framework"/>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4" nillable="true" ma:displayName="POPP Subprocess" ma:format="Dropdown" ma:indexed="true" ma:internalName="UNDPPOPPSubprocess">
      <xsd:simpleType>
        <xsd:restriction base="dms:Choice">
          <xsd:enumeration value="Accountability &amp; Delegation of Authority"/>
          <xsd:enumeration value="Activating Fast Track Procedures"/>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Management"/>
          <xsd:enumeration value="Change Control and Release Management Standards"/>
          <xsd:enumeration value="Change Management Clearance"/>
          <xsd:enumeration value="Civil Society Organizations"/>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Defining a Project"/>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gal Framework"/>
          <xsd:enumeration value="Legal Status of IC"/>
          <xsd:enumeration value="Making Information Available to the Public"/>
          <xsd:enumeration value="Management of Obligations (Expenditure)"/>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urchasing Card Management"/>
          <xsd:enumeration value="QA Review and Publishing"/>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ping and Insurance"/>
          <xsd:enumeration value="Solicitation Documents"/>
          <xsd:enumeration value="Sourcing"/>
          <xsd:enumeration value="Standards of Conduct"/>
          <xsd:enumeration value="Statutory and Financial Reporting"/>
          <xsd:enumeration value="Submission and Receipt Offers"/>
          <xsd:enumeration value="System Logon Banner Standards"/>
          <xsd:enumeration value="Termination of IC"/>
          <xsd:enumeration value="Termination of SSA"/>
          <xsd:enumeration value="Transfers where unexpended balances are not refunded to donors"/>
          <xsd:enumeration value="Types of Competition"/>
          <xsd:enumeration value="Types of Leave"/>
          <xsd:enumeration value="Types of Separation"/>
          <xsd:enumeration value="UN Flag Code"/>
          <xsd:enumeration value="UNDP Non Expendable (Fixed) Asset Management"/>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5" nillable="true" ma:displayName="POPP Sub-subprocess" ma:format="Dropdown" ma:internalName="UNDPPOPPSubsubprocess">
      <xsd:simpleType>
        <xsd:restriction base="dms:Choice">
          <xsd:enumeration value="Abandonment of Post"/>
          <xsd:enumeration value="Absence Management Guidelines"/>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stablishment and Use of Electronic Banking Systems"/>
          <xsd:enumeration value="Euro Reporting Guidelines"/>
          <xsd:enumeration value="Executive Board Papers"/>
          <xsd:enumeration value="Expense Management of UNODC Funded Activities"/>
          <xsd:enumeration value="Expenditure of Income Accrued from Cost Recovery"/>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Handling of Cash and Receipts"/>
          <xsd:enumeration value="Hazard Pay"/>
          <xsd:enumeration value="Home Leave"/>
          <xsd:enumeration value="Hospitality Expenditures"/>
          <xsd:enumeration value="Hospitality Expense"/>
          <xsd:enumeration value="Introduction"/>
          <xsd:enumeration value="Issuing Letters of Credit"/>
          <xsd:enumeration value="Language Allowance"/>
          <xsd:enumeration value="Last Day for Pay Purpo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Management of UNODC Funded Activities"/>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pecial Leave"/>
          <xsd:enumeration value="Special Operations Approach (SOA)"/>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UN Flag Code"/>
          <xsd:enumeration value="Unaccompanied Shipment of Personal Effects and Household Good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6" nillable="true" ma:displayName="POPP Sub-sub-subprocess" ma:format="Dropdown" ma:internalName="UNDPPOPPSubsubsubprocess">
      <xsd:simpleType>
        <xsd:restriction base="dms:Choice">
          <xsd:enumeration value="Accounts Receivable"/>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ActualReviewDate" ma:index="7" nillable="true" ma:displayName="Actual Review Date" ma:format="DateOnly" ma:internalName="UNDPActualReviewDate">
      <xsd:simpleType>
        <xsd:restriction base="dms:DateTime"/>
      </xsd:simpleType>
    </xsd:element>
    <xsd:element name="UNDPSummary" ma:index="8" nillable="true" ma:displayName="Summary" ma:internalName="UNDPSummary">
      <xsd:simpleType>
        <xsd:restriction base="dms:Note">
          <xsd:maxLength value="255"/>
        </xsd:restriction>
      </xsd:simpleType>
    </xsd:element>
    <xsd:element name="UNDPPOPPPrescriptiveContentSelection" ma:index="15" ma:displayName="POPP Prescriptive Content Selection" ma:format="RadioButtons" ma:internalName="UNDPPOPPPrescriptiveContentSelection">
      <xsd:simpleType>
        <xsd:restriction base="dms:Choice">
          <xsd:enumeration value="Yes"/>
          <xsd:enumeration value="No"/>
        </xsd:restriction>
      </xsd:simpleType>
    </xsd:element>
    <xsd:element name="UNDPPOPPKeywordsTaxHTField0" ma:index="17"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Focalpoint" ma:index="18" nillable="true" ma:displayName="Focalpoint" ma:SearchPeopleOnly="false" ma:SharePointGroup="0" ma:internalName="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pplicability" ma:index="25" nillable="true" ma:displayName="Applicability" ma:internalName="UNDPApplicability">
      <xsd:simpleType>
        <xsd:restriction base="dms:Text"/>
      </xsd:simple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F1EB-6965-48EE-990A-C332F8C77939}">
  <ds:schemaRefs>
    <ds:schemaRef ds:uri="Microsoft.SharePoint.Taxonomy.ContentTypeSync"/>
  </ds:schemaRefs>
</ds:datastoreItem>
</file>

<file path=customXml/itemProps2.xml><?xml version="1.0" encoding="utf-8"?>
<ds:datastoreItem xmlns:ds="http://schemas.openxmlformats.org/officeDocument/2006/customXml" ds:itemID="{326F30E3-F037-4347-A061-0F786D120BC7}">
  <ds:schemaRefs>
    <ds:schemaRef ds:uri="http://schemas.microsoft.com/office/2006/metadata/properties"/>
    <ds:schemaRef ds:uri="http://schemas.microsoft.com/office/infopath/2007/PartnerControls"/>
    <ds:schemaRef ds:uri="83ed2304-0f0e-45ba-b0cc-7d360cbc1769"/>
  </ds:schemaRefs>
</ds:datastoreItem>
</file>

<file path=customXml/itemProps3.xml><?xml version="1.0" encoding="utf-8"?>
<ds:datastoreItem xmlns:ds="http://schemas.openxmlformats.org/officeDocument/2006/customXml" ds:itemID="{780500B2-D380-49CC-890B-C8F8A14A95BC}">
  <ds:schemaRefs>
    <ds:schemaRef ds:uri="http://schemas.microsoft.com/sharepoint/events"/>
  </ds:schemaRefs>
</ds:datastoreItem>
</file>

<file path=customXml/itemProps4.xml><?xml version="1.0" encoding="utf-8"?>
<ds:datastoreItem xmlns:ds="http://schemas.openxmlformats.org/officeDocument/2006/customXml" ds:itemID="{05E776AA-53A5-40ED-AB02-F651111B29B6}">
  <ds:schemaRefs>
    <ds:schemaRef ds:uri="http://schemas.microsoft.com/sharepoint/v3/contenttype/forms"/>
  </ds:schemaRefs>
</ds:datastoreItem>
</file>

<file path=customXml/itemProps5.xml><?xml version="1.0" encoding="utf-8"?>
<ds:datastoreItem xmlns:ds="http://schemas.openxmlformats.org/officeDocument/2006/customXml" ds:itemID="{2B79CB7C-0125-42C2-B06F-3A94F0200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6E5FC0-2385-4F91-B96F-B3A532E2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5391</Words>
  <Characters>33911</Characters>
  <Application>Microsoft Office Word</Application>
  <DocSecurity>0</DocSecurity>
  <Lines>869</Lines>
  <Paragraphs>341</Paragraphs>
  <ScaleCrop>false</ScaleCrop>
  <HeadingPairs>
    <vt:vector size="2" baseType="variant">
      <vt:variant>
        <vt:lpstr>Title</vt:lpstr>
      </vt:variant>
      <vt:variant>
        <vt:i4>1</vt:i4>
      </vt:variant>
    </vt:vector>
  </HeadingPairs>
  <TitlesOfParts>
    <vt:vector size="1" baseType="lpstr">
      <vt:lpstr>CP results summary</vt:lpstr>
    </vt:vector>
  </TitlesOfParts>
  <Company>UNDP</Company>
  <LinksUpToDate>false</LinksUpToDate>
  <CharactersWithSpaces>38961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results summary</dc:title>
  <dc:subject/>
  <dc:creator>DGO</dc:creator>
  <cp:keywords/>
  <dc:description/>
  <cp:lastModifiedBy>Svetlana Iazykova</cp:lastModifiedBy>
  <cp:revision>2</cp:revision>
  <cp:lastPrinted>2017-02-03T06:02:00Z</cp:lastPrinted>
  <dcterms:created xsi:type="dcterms:W3CDTF">2018-05-17T21:37:00Z</dcterms:created>
  <dcterms:modified xsi:type="dcterms:W3CDTF">2018-05-17T21:37:00Z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0x01010023A92725C93E4830A7421C44D384B7FC00AA2C51EDC20547BE9D8059E930612AF900BB1DAF2B020D674E95D024E21C9B8446</vt:lpwstr>
  </property>
  <property fmtid="{D5CDD505-2E9C-101B-9397-08002B2CF9AE}" pid="3" name="_dlc_DocIdItemGuid">
    <vt:lpwstr>d1e13303-6ece-4102-9f8f-5a459fba30ed</vt:lpwstr>
  </property>
  <property fmtid="{D5CDD505-2E9C-101B-9397-08002B2CF9AE}" pid="4" name="UNDPPOPPKeywords">
    <vt:lpwstr/>
  </property>
  <property fmtid="{D5CDD505-2E9C-101B-9397-08002B2CF9AE}" pid="5" name="TaxCatchAll">
    <vt:lpwstr/>
  </property>
  <property fmtid="{D5CDD505-2E9C-101B-9397-08002B2CF9AE}" pid="6" name="UNDPAuthor">
    <vt:lpwstr/>
  </property>
  <property fmtid="{D5CDD505-2E9C-101B-9397-08002B2CF9AE}" pid="7" name="Order">
    <vt:r8>9200</vt:r8>
  </property>
  <property fmtid="{D5CDD505-2E9C-101B-9397-08002B2CF9AE}" pid="8" name="UNDPPlannedReviewDate">
    <vt:lpwstr/>
  </property>
  <property fmtid="{D5CDD505-2E9C-101B-9397-08002B2CF9AE}" pid="9" name="UNDPEffectiveDate">
    <vt:lpwstr/>
  </property>
  <property fmtid="{D5CDD505-2E9C-101B-9397-08002B2CF9AE}" pid="10" name="UNDPResponsibleUnit">
    <vt:lpwstr/>
  </property>
  <property fmtid="{D5CDD505-2E9C-101B-9397-08002B2CF9AE}" pid="11" name="UNDPCreator">
    <vt:lpwstr/>
  </property>
  <property fmtid="{D5CDD505-2E9C-101B-9397-08002B2CF9AE}" pid="12" name="UNDPApplicability">
    <vt:lpwstr/>
  </property>
  <property fmtid="{D5CDD505-2E9C-101B-9397-08002B2CF9AE}" pid="13" name="UNDPActualReviewDate">
    <vt:lpwstr/>
  </property>
  <property fmtid="{D5CDD505-2E9C-101B-9397-08002B2CF9AE}" pid="14" name="UNDPPOPPFunctionalArea">
    <vt:lpwstr>Programme and Project</vt:lpwstr>
  </property>
  <property fmtid="{D5CDD505-2E9C-101B-9397-08002B2CF9AE}" pid="15" name="UNDPPOPPSubprocess">
    <vt:lpwstr>Programme Completion and Transition</vt:lpwstr>
  </property>
  <property fmtid="{D5CDD505-2E9C-101B-9397-08002B2CF9AE}" pid="16" name="UNDPPublishedDate">
    <vt:lpwstr/>
  </property>
  <property fmtid="{D5CDD505-2E9C-101B-9397-08002B2CF9AE}" pid="17" name="UNDPPOPPProcess">
    <vt:lpwstr>Programme Management</vt:lpwstr>
  </property>
  <property fmtid="{D5CDD505-2E9C-101B-9397-08002B2CF9AE}" pid="18" name="UNDPPOPPSubsubprocess">
    <vt:lpwstr/>
  </property>
  <property fmtid="{D5CDD505-2E9C-101B-9397-08002B2CF9AE}" pid="19" name="UNDPIssuanceDate">
    <vt:lpwstr/>
  </property>
  <property fmtid="{D5CDD505-2E9C-101B-9397-08002B2CF9AE}" pid="20" name="_dlc_DocId">
    <vt:lpwstr>UNDPGBL-229-92</vt:lpwstr>
  </property>
  <property fmtid="{D5CDD505-2E9C-101B-9397-08002B2CF9AE}" pid="21" name="_dlc_DocIdUrl">
    <vt:lpwstr>https://intranet.undp.org/global/documents/_layouts/DocIdRedir.aspx?ID=UNDPGBL-229-92, UNDPGBL-229-92</vt:lpwstr>
  </property>
  <property fmtid="{D5CDD505-2E9C-101B-9397-08002B2CF9AE}" pid="22" name="UNDPSummary">
    <vt:lpwstr/>
  </property>
  <property fmtid="{D5CDD505-2E9C-101B-9397-08002B2CF9AE}" pid="23" name="Focalpoint">
    <vt:lpwstr/>
  </property>
  <property fmtid="{D5CDD505-2E9C-101B-9397-08002B2CF9AE}" pid="24" name="UNDPPOPPKeywordsTaxHTField0">
    <vt:lpwstr/>
  </property>
  <property fmtid="{D5CDD505-2E9C-101B-9397-08002B2CF9AE}" pid="25" name="UNDPPOPPSubsubsubprocess">
    <vt:lpwstr/>
  </property>
  <property fmtid="{D5CDD505-2E9C-101B-9397-08002B2CF9AE}" pid="26" name="UNDPPOPPPrescriptiveContentSelection">
    <vt:lpwstr/>
  </property>
</Properties>
</file>