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C6CEC" w14:textId="77777777" w:rsidR="004C051A" w:rsidRPr="00052AFA" w:rsidRDefault="004C051A" w:rsidP="004C051A">
      <w:pPr>
        <w:tabs>
          <w:tab w:val="left" w:pos="8789"/>
        </w:tabs>
        <w:ind w:right="288"/>
        <w:rPr>
          <w:b/>
          <w:color w:val="000000"/>
          <w:lang w:val="en-GB"/>
        </w:rPr>
      </w:pPr>
      <w:r w:rsidRPr="00052AFA">
        <w:rPr>
          <w:b/>
          <w:color w:val="000000"/>
          <w:lang w:val="en-GB"/>
        </w:rPr>
        <w:t>Second regular session 2018</w:t>
      </w:r>
      <w:bookmarkStart w:id="0" w:name="_GoBack"/>
      <w:bookmarkEnd w:id="0"/>
    </w:p>
    <w:p w14:paraId="4B5B5394" w14:textId="22004945" w:rsidR="004C051A" w:rsidRPr="00052AFA" w:rsidRDefault="004C051A" w:rsidP="004C051A">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color w:val="000000"/>
          <w:lang w:val="en-GB"/>
        </w:rPr>
      </w:pPr>
      <w:r w:rsidRPr="00052AFA">
        <w:rPr>
          <w:color w:val="000000"/>
          <w:lang w:val="en-GB"/>
        </w:rPr>
        <w:t>4</w:t>
      </w:r>
      <w:r w:rsidR="008A35C3">
        <w:rPr>
          <w:color w:val="000000"/>
          <w:lang w:val="en-GB"/>
        </w:rPr>
        <w:t xml:space="preserve"> -</w:t>
      </w:r>
      <w:r w:rsidR="00052AFA">
        <w:rPr>
          <w:color w:val="000000"/>
          <w:lang w:val="en-GB"/>
        </w:rPr>
        <w:t xml:space="preserve"> </w:t>
      </w:r>
      <w:r w:rsidRPr="00052AFA">
        <w:rPr>
          <w:color w:val="000000"/>
          <w:lang w:val="en-GB"/>
        </w:rPr>
        <w:t>7 September 2018, New York</w:t>
      </w:r>
    </w:p>
    <w:p w14:paraId="09A2374D" w14:textId="77777777" w:rsidR="004C051A" w:rsidRPr="00052AFA" w:rsidRDefault="004C051A" w:rsidP="004C051A">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color w:val="000000"/>
          <w:lang w:val="en-GB"/>
        </w:rPr>
      </w:pPr>
      <w:r w:rsidRPr="00052AFA">
        <w:rPr>
          <w:color w:val="000000"/>
          <w:lang w:val="en-GB"/>
        </w:rPr>
        <w:t>Item x of the provisional agenda</w:t>
      </w:r>
    </w:p>
    <w:p w14:paraId="2F3032FB" w14:textId="77777777" w:rsidR="004C051A" w:rsidRPr="00052AFA" w:rsidRDefault="004C051A" w:rsidP="004C051A">
      <w:pPr>
        <w:ind w:right="1260"/>
        <w:rPr>
          <w:b/>
          <w:color w:val="000000"/>
          <w:lang w:val="en-GB"/>
        </w:rPr>
      </w:pPr>
      <w:r w:rsidRPr="00052AFA">
        <w:rPr>
          <w:b/>
          <w:color w:val="000000"/>
          <w:lang w:val="en-GB"/>
        </w:rPr>
        <w:t>Country programmes and related matters</w:t>
      </w:r>
    </w:p>
    <w:p w14:paraId="67208EE3" w14:textId="77777777" w:rsidR="004C051A" w:rsidRPr="00052AFA" w:rsidRDefault="004C051A" w:rsidP="004C051A">
      <w:pPr>
        <w:rPr>
          <w:color w:val="000000"/>
          <w:spacing w:val="-3"/>
          <w:lang w:val="en-GB"/>
        </w:rPr>
      </w:pPr>
    </w:p>
    <w:p w14:paraId="67169425" w14:textId="77777777" w:rsidR="004C051A" w:rsidRPr="00052AFA" w:rsidRDefault="004C051A" w:rsidP="004C051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color w:val="000000"/>
          <w:spacing w:val="4"/>
          <w:w w:val="103"/>
          <w:kern w:val="14"/>
          <w:sz w:val="10"/>
          <w:lang w:val="en-GB"/>
        </w:rPr>
      </w:pPr>
    </w:p>
    <w:p w14:paraId="683E4F0B" w14:textId="77777777" w:rsidR="004C051A" w:rsidRPr="00052AFA" w:rsidRDefault="004C051A" w:rsidP="004C051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color w:val="000000"/>
          <w:spacing w:val="4"/>
          <w:w w:val="103"/>
          <w:kern w:val="14"/>
          <w:sz w:val="10"/>
          <w:lang w:val="en-GB"/>
        </w:rPr>
      </w:pPr>
    </w:p>
    <w:p w14:paraId="396B3FA6" w14:textId="77777777" w:rsidR="004C051A" w:rsidRPr="00052AFA" w:rsidRDefault="004C051A" w:rsidP="004C051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color w:val="000000"/>
          <w:spacing w:val="4"/>
          <w:w w:val="103"/>
          <w:kern w:val="14"/>
          <w:sz w:val="10"/>
          <w:lang w:val="en-GB"/>
        </w:rPr>
      </w:pPr>
    </w:p>
    <w:p w14:paraId="6275974C" w14:textId="77777777" w:rsidR="004C051A" w:rsidRPr="00052AFA" w:rsidRDefault="004C051A" w:rsidP="004C051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300" w:lineRule="exact"/>
        <w:ind w:left="1267" w:right="1260" w:hanging="1267"/>
        <w:outlineLvl w:val="0"/>
        <w:rPr>
          <w:b/>
          <w:color w:val="000000"/>
          <w:spacing w:val="-2"/>
          <w:w w:val="103"/>
          <w:kern w:val="14"/>
          <w:sz w:val="28"/>
          <w:lang w:val="en-GB"/>
        </w:rPr>
      </w:pPr>
      <w:r w:rsidRPr="00052AFA">
        <w:rPr>
          <w:b/>
          <w:color w:val="000000"/>
          <w:spacing w:val="-2"/>
          <w:w w:val="103"/>
          <w:kern w:val="14"/>
          <w:sz w:val="28"/>
          <w:lang w:val="en-GB"/>
        </w:rPr>
        <w:tab/>
      </w:r>
    </w:p>
    <w:p w14:paraId="543A3033" w14:textId="678D30BE" w:rsidR="004C051A" w:rsidRPr="00052AFA" w:rsidRDefault="004C051A" w:rsidP="004C051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300" w:lineRule="exact"/>
        <w:ind w:left="1267" w:right="1260" w:hanging="637"/>
        <w:outlineLvl w:val="0"/>
        <w:rPr>
          <w:b/>
          <w:color w:val="000000"/>
          <w:spacing w:val="-2"/>
          <w:w w:val="103"/>
          <w:kern w:val="14"/>
          <w:sz w:val="28"/>
          <w:lang w:val="en-GB"/>
        </w:rPr>
      </w:pPr>
      <w:r w:rsidRPr="00052AFA">
        <w:rPr>
          <w:b/>
          <w:color w:val="000000"/>
          <w:spacing w:val="-2"/>
          <w:w w:val="103"/>
          <w:kern w:val="14"/>
          <w:sz w:val="28"/>
          <w:lang w:val="en-GB"/>
        </w:rPr>
        <w:t xml:space="preserve">Draft country programme document for </w:t>
      </w:r>
      <w:r w:rsidR="004A37BF" w:rsidRPr="00052AFA">
        <w:rPr>
          <w:b/>
          <w:color w:val="000000"/>
          <w:spacing w:val="-2"/>
          <w:w w:val="103"/>
          <w:kern w:val="14"/>
          <w:sz w:val="28"/>
          <w:lang w:val="en-GB"/>
        </w:rPr>
        <w:t xml:space="preserve">the </w:t>
      </w:r>
      <w:r w:rsidR="004E1C45" w:rsidRPr="00052AFA">
        <w:rPr>
          <w:b/>
          <w:color w:val="000000"/>
          <w:spacing w:val="-2"/>
          <w:w w:val="103"/>
          <w:kern w:val="14"/>
          <w:sz w:val="28"/>
          <w:lang w:val="en-GB"/>
        </w:rPr>
        <w:t>Philippines</w:t>
      </w:r>
    </w:p>
    <w:p w14:paraId="5757FC74" w14:textId="77777777" w:rsidR="004C051A" w:rsidRPr="00052AFA" w:rsidRDefault="004C051A" w:rsidP="004C051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300" w:lineRule="exact"/>
        <w:ind w:left="1267" w:right="1260" w:hanging="637"/>
        <w:outlineLvl w:val="0"/>
        <w:rPr>
          <w:b/>
          <w:color w:val="000000"/>
          <w:spacing w:val="-2"/>
          <w:w w:val="103"/>
          <w:kern w:val="14"/>
          <w:sz w:val="28"/>
          <w:lang w:val="en-GB"/>
        </w:rPr>
      </w:pPr>
      <w:r w:rsidRPr="00052AFA">
        <w:rPr>
          <w:b/>
          <w:color w:val="000000"/>
          <w:spacing w:val="-2"/>
          <w:w w:val="103"/>
          <w:kern w:val="14"/>
          <w:sz w:val="28"/>
          <w:lang w:val="en-GB"/>
        </w:rPr>
        <w:t>(2019-2023)</w:t>
      </w:r>
      <w:r w:rsidRPr="00052AFA">
        <w:rPr>
          <w:b/>
          <w:color w:val="000000"/>
          <w:spacing w:val="-2"/>
          <w:w w:val="103"/>
          <w:kern w:val="14"/>
          <w:sz w:val="28"/>
          <w:lang w:val="en-GB"/>
        </w:rPr>
        <w:br/>
      </w:r>
    </w:p>
    <w:p w14:paraId="657CC581" w14:textId="77777777" w:rsidR="004C051A" w:rsidRPr="00052AFA" w:rsidRDefault="004C051A" w:rsidP="004C051A">
      <w:pPr>
        <w:keepNext/>
        <w:keepLines/>
        <w:tabs>
          <w:tab w:val="right" w:pos="1022"/>
          <w:tab w:val="left" w:pos="1267"/>
          <w:tab w:val="left" w:pos="1620"/>
          <w:tab w:val="left" w:pos="2218"/>
          <w:tab w:val="left" w:pos="2693"/>
          <w:tab w:val="left" w:pos="3182"/>
          <w:tab w:val="left" w:pos="3658"/>
          <w:tab w:val="left" w:pos="4133"/>
          <w:tab w:val="left" w:pos="4622"/>
          <w:tab w:val="left" w:pos="5098"/>
          <w:tab w:val="left" w:pos="5573"/>
          <w:tab w:val="left" w:pos="6048"/>
        </w:tabs>
        <w:suppressAutoHyphens/>
        <w:spacing w:after="120" w:line="300" w:lineRule="exact"/>
        <w:ind w:right="328"/>
        <w:outlineLvl w:val="0"/>
        <w:rPr>
          <w:color w:val="000000"/>
          <w:spacing w:val="-2"/>
          <w:w w:val="103"/>
          <w:kern w:val="14"/>
          <w:sz w:val="28"/>
          <w:lang w:val="en-GB" w:eastAsia="fr-FR"/>
        </w:rPr>
      </w:pPr>
      <w:r w:rsidRPr="00052AFA">
        <w:rPr>
          <w:color w:val="000000"/>
          <w:kern w:val="14"/>
          <w:sz w:val="28"/>
          <w:lang w:val="en-GB" w:eastAsia="fr-FR"/>
        </w:rPr>
        <w:t>Contents</w:t>
      </w:r>
    </w:p>
    <w:p w14:paraId="7EB1DE1F" w14:textId="77777777" w:rsidR="004C051A" w:rsidRPr="00052AFA" w:rsidRDefault="004C051A" w:rsidP="004C051A">
      <w:pPr>
        <w:tabs>
          <w:tab w:val="left" w:pos="1620"/>
        </w:tabs>
        <w:rPr>
          <w:color w:val="000000"/>
          <w:lang w:val="en-GB" w:eastAsia="fr-FR"/>
        </w:rPr>
      </w:pPr>
    </w:p>
    <w:tbl>
      <w:tblPr>
        <w:tblpPr w:leftFromText="180" w:rightFromText="180" w:vertAnchor="text" w:horzAnchor="margin" w:tblpXSpec="center" w:tblpY="68"/>
        <w:tblOverlap w:val="never"/>
        <w:tblW w:w="9902" w:type="dxa"/>
        <w:tblLayout w:type="fixed"/>
        <w:tblCellMar>
          <w:left w:w="0" w:type="dxa"/>
          <w:right w:w="0" w:type="dxa"/>
        </w:tblCellMar>
        <w:tblLook w:val="0000" w:firstRow="0" w:lastRow="0" w:firstColumn="0" w:lastColumn="0" w:noHBand="0" w:noVBand="0"/>
      </w:tblPr>
      <w:tblGrid>
        <w:gridCol w:w="1060"/>
        <w:gridCol w:w="8309"/>
        <w:gridCol w:w="171"/>
        <w:gridCol w:w="362"/>
      </w:tblGrid>
      <w:tr w:rsidR="004C051A" w:rsidRPr="00052AFA" w14:paraId="4728CC9D" w14:textId="77777777" w:rsidTr="00052AFA">
        <w:tc>
          <w:tcPr>
            <w:tcW w:w="1060" w:type="dxa"/>
            <w:shd w:val="clear" w:color="auto" w:fill="auto"/>
          </w:tcPr>
          <w:p w14:paraId="08A3398F" w14:textId="77777777" w:rsidR="004C051A" w:rsidRPr="00052AFA" w:rsidRDefault="004C051A" w:rsidP="004C051A">
            <w:pPr>
              <w:tabs>
                <w:tab w:val="left" w:pos="1620"/>
              </w:tabs>
              <w:suppressAutoHyphens/>
              <w:spacing w:after="120"/>
              <w:jc w:val="right"/>
              <w:rPr>
                <w:i/>
                <w:color w:val="000000"/>
                <w:spacing w:val="4"/>
                <w:w w:val="103"/>
                <w:kern w:val="14"/>
                <w:sz w:val="14"/>
                <w:lang w:val="en-GB" w:eastAsia="fr-FR"/>
              </w:rPr>
            </w:pPr>
          </w:p>
        </w:tc>
        <w:tc>
          <w:tcPr>
            <w:tcW w:w="8480" w:type="dxa"/>
            <w:gridSpan w:val="2"/>
            <w:shd w:val="clear" w:color="auto" w:fill="auto"/>
          </w:tcPr>
          <w:p w14:paraId="78E3E4CF" w14:textId="77777777" w:rsidR="004C051A" w:rsidRPr="00052AFA" w:rsidRDefault="004C051A" w:rsidP="004C051A">
            <w:pPr>
              <w:tabs>
                <w:tab w:val="left" w:pos="1620"/>
              </w:tabs>
              <w:suppressAutoHyphens/>
              <w:spacing w:after="120"/>
              <w:rPr>
                <w:i/>
                <w:color w:val="000000"/>
                <w:spacing w:val="4"/>
                <w:w w:val="103"/>
                <w:kern w:val="14"/>
                <w:sz w:val="14"/>
                <w:lang w:val="en-GB" w:eastAsia="fr-FR"/>
              </w:rPr>
            </w:pPr>
          </w:p>
        </w:tc>
        <w:tc>
          <w:tcPr>
            <w:tcW w:w="362" w:type="dxa"/>
            <w:shd w:val="clear" w:color="auto" w:fill="auto"/>
          </w:tcPr>
          <w:p w14:paraId="59CDCC70" w14:textId="77777777" w:rsidR="004C051A" w:rsidRPr="00052AFA" w:rsidRDefault="004C051A" w:rsidP="004C051A">
            <w:pPr>
              <w:tabs>
                <w:tab w:val="left" w:pos="1620"/>
              </w:tabs>
              <w:suppressAutoHyphens/>
              <w:spacing w:after="120"/>
              <w:jc w:val="right"/>
              <w:rPr>
                <w:i/>
                <w:color w:val="000000"/>
                <w:spacing w:val="4"/>
                <w:w w:val="103"/>
                <w:kern w:val="14"/>
                <w:sz w:val="14"/>
                <w:lang w:val="en-GB" w:eastAsia="fr-FR"/>
              </w:rPr>
            </w:pPr>
            <w:r w:rsidRPr="00052AFA">
              <w:rPr>
                <w:i/>
                <w:iCs/>
                <w:color w:val="000000"/>
                <w:kern w:val="14"/>
                <w:sz w:val="14"/>
                <w:lang w:val="en-GB" w:eastAsia="fr-FR"/>
              </w:rPr>
              <w:t>Page</w:t>
            </w:r>
          </w:p>
        </w:tc>
      </w:tr>
      <w:tr w:rsidR="004C051A" w:rsidRPr="00052AFA" w14:paraId="37BE6C4A" w14:textId="77777777" w:rsidTr="00052AFA">
        <w:tc>
          <w:tcPr>
            <w:tcW w:w="9540" w:type="dxa"/>
            <w:gridSpan w:val="3"/>
            <w:shd w:val="clear" w:color="auto" w:fill="auto"/>
          </w:tcPr>
          <w:p w14:paraId="033E7A68" w14:textId="77777777" w:rsidR="004C051A" w:rsidRPr="00052AFA" w:rsidRDefault="004C051A" w:rsidP="004C051A">
            <w:pPr>
              <w:numPr>
                <w:ilvl w:val="0"/>
                <w:numId w:val="23"/>
              </w:numPr>
              <w:tabs>
                <w:tab w:val="right" w:pos="1080"/>
                <w:tab w:val="left" w:pos="1296"/>
                <w:tab w:val="left" w:pos="1620"/>
                <w:tab w:val="left" w:pos="2160"/>
                <w:tab w:val="left" w:pos="2592"/>
                <w:tab w:val="right" w:leader="dot" w:pos="9090"/>
              </w:tabs>
              <w:suppressAutoHyphens/>
              <w:spacing w:after="120" w:line="240" w:lineRule="exact"/>
              <w:jc w:val="both"/>
              <w:rPr>
                <w:color w:val="000000"/>
                <w:spacing w:val="4"/>
                <w:w w:val="103"/>
                <w:kern w:val="14"/>
                <w:lang w:val="en-GB" w:eastAsia="fr-FR"/>
              </w:rPr>
            </w:pPr>
            <w:r w:rsidRPr="00052AFA">
              <w:rPr>
                <w:color w:val="000000"/>
                <w:kern w:val="14"/>
                <w:lang w:val="en-GB" w:eastAsia="fr-FR"/>
              </w:rPr>
              <w:tab/>
              <w:t>Programme rationale</w:t>
            </w:r>
            <w:r w:rsidRPr="00052AFA">
              <w:rPr>
                <w:color w:val="000000"/>
                <w:sz w:val="24"/>
                <w:szCs w:val="24"/>
                <w:lang w:val="en-GB" w:eastAsia="fr-FR"/>
              </w:rPr>
              <w:tab/>
            </w:r>
          </w:p>
        </w:tc>
        <w:tc>
          <w:tcPr>
            <w:tcW w:w="362" w:type="dxa"/>
            <w:vMerge w:val="restart"/>
            <w:shd w:val="clear" w:color="auto" w:fill="auto"/>
            <w:vAlign w:val="bottom"/>
          </w:tcPr>
          <w:p w14:paraId="0EEA9351" w14:textId="77777777" w:rsidR="004C051A" w:rsidRPr="00052AFA" w:rsidRDefault="004C051A" w:rsidP="004C051A">
            <w:pPr>
              <w:tabs>
                <w:tab w:val="left" w:pos="1620"/>
              </w:tabs>
              <w:suppressAutoHyphens/>
              <w:spacing w:after="120" w:line="240" w:lineRule="exact"/>
              <w:jc w:val="right"/>
              <w:rPr>
                <w:color w:val="000000"/>
                <w:spacing w:val="4"/>
                <w:w w:val="103"/>
                <w:kern w:val="14"/>
                <w:lang w:val="en-GB" w:eastAsia="fr-FR"/>
              </w:rPr>
            </w:pPr>
            <w:r w:rsidRPr="00052AFA">
              <w:rPr>
                <w:color w:val="000000"/>
                <w:kern w:val="14"/>
                <w:lang w:val="en-GB" w:eastAsia="fr-FR"/>
              </w:rPr>
              <w:t>2</w:t>
            </w:r>
          </w:p>
          <w:p w14:paraId="5822525C" w14:textId="37142817" w:rsidR="004C051A" w:rsidRPr="00052AFA" w:rsidRDefault="005F7B99" w:rsidP="004C051A">
            <w:pPr>
              <w:tabs>
                <w:tab w:val="left" w:pos="1620"/>
              </w:tabs>
              <w:suppressAutoHyphens/>
              <w:spacing w:after="120" w:line="240" w:lineRule="exact"/>
              <w:jc w:val="right"/>
              <w:rPr>
                <w:color w:val="000000"/>
                <w:spacing w:val="4"/>
                <w:w w:val="103"/>
                <w:kern w:val="14"/>
                <w:lang w:val="en-GB" w:eastAsia="fr-FR"/>
              </w:rPr>
            </w:pPr>
            <w:r>
              <w:rPr>
                <w:color w:val="000000"/>
                <w:spacing w:val="4"/>
                <w:w w:val="103"/>
                <w:kern w:val="14"/>
                <w:lang w:val="en-GB" w:eastAsia="fr-FR"/>
              </w:rPr>
              <w:t>4</w:t>
            </w:r>
          </w:p>
        </w:tc>
      </w:tr>
      <w:tr w:rsidR="004C051A" w:rsidRPr="00052AFA" w14:paraId="399AA346" w14:textId="77777777" w:rsidTr="00052AFA">
        <w:tc>
          <w:tcPr>
            <w:tcW w:w="9540" w:type="dxa"/>
            <w:gridSpan w:val="3"/>
            <w:shd w:val="clear" w:color="auto" w:fill="auto"/>
          </w:tcPr>
          <w:p w14:paraId="1F4D16B2" w14:textId="77777777" w:rsidR="004C051A" w:rsidRPr="00052AFA" w:rsidRDefault="004C051A" w:rsidP="004C051A">
            <w:pPr>
              <w:numPr>
                <w:ilvl w:val="0"/>
                <w:numId w:val="23"/>
              </w:numPr>
              <w:tabs>
                <w:tab w:val="right" w:pos="1080"/>
                <w:tab w:val="left" w:pos="1296"/>
                <w:tab w:val="left" w:pos="1620"/>
                <w:tab w:val="left" w:pos="2160"/>
                <w:tab w:val="left" w:pos="2592"/>
                <w:tab w:val="left" w:pos="3024"/>
                <w:tab w:val="left" w:pos="3456"/>
                <w:tab w:val="left" w:pos="3888"/>
                <w:tab w:val="left" w:pos="4320"/>
                <w:tab w:val="left" w:pos="8220"/>
                <w:tab w:val="right" w:leader="dot" w:pos="9090"/>
              </w:tabs>
              <w:suppressAutoHyphens/>
              <w:spacing w:after="120" w:line="240" w:lineRule="exact"/>
              <w:jc w:val="both"/>
              <w:rPr>
                <w:color w:val="000000"/>
                <w:spacing w:val="4"/>
                <w:w w:val="103"/>
                <w:kern w:val="14"/>
                <w:lang w:val="en-GB" w:eastAsia="fr-FR"/>
              </w:rPr>
            </w:pPr>
            <w:r w:rsidRPr="00052AFA">
              <w:rPr>
                <w:color w:val="000000"/>
                <w:kern w:val="14"/>
                <w:lang w:val="en-GB" w:eastAsia="fr-FR"/>
              </w:rPr>
              <w:tab/>
              <w:t>Programme priorities and partnerships………………………………………………….</w:t>
            </w:r>
            <w:r w:rsidRPr="00052AFA">
              <w:rPr>
                <w:color w:val="000000"/>
                <w:kern w:val="14"/>
                <w:sz w:val="17"/>
                <w:lang w:val="en-GB" w:eastAsia="fr-FR"/>
              </w:rPr>
              <w:tab/>
            </w:r>
            <w:r w:rsidRPr="00052AFA">
              <w:rPr>
                <w:color w:val="000000"/>
                <w:kern w:val="14"/>
                <w:lang w:val="en-GB" w:eastAsia="fr-FR"/>
              </w:rPr>
              <w:t>……….…</w:t>
            </w:r>
          </w:p>
        </w:tc>
        <w:tc>
          <w:tcPr>
            <w:tcW w:w="362" w:type="dxa"/>
            <w:vMerge/>
            <w:shd w:val="clear" w:color="auto" w:fill="auto"/>
            <w:vAlign w:val="bottom"/>
          </w:tcPr>
          <w:p w14:paraId="6B6C6CE6" w14:textId="77777777" w:rsidR="004C051A" w:rsidRPr="00052AFA" w:rsidRDefault="004C051A" w:rsidP="004C051A">
            <w:pPr>
              <w:tabs>
                <w:tab w:val="left" w:pos="1620"/>
              </w:tabs>
              <w:suppressAutoHyphens/>
              <w:spacing w:after="120" w:line="240" w:lineRule="exact"/>
              <w:jc w:val="right"/>
              <w:rPr>
                <w:color w:val="000000"/>
                <w:spacing w:val="4"/>
                <w:w w:val="103"/>
                <w:kern w:val="14"/>
                <w:lang w:val="en-GB" w:eastAsia="fr-FR"/>
              </w:rPr>
            </w:pPr>
          </w:p>
        </w:tc>
      </w:tr>
      <w:tr w:rsidR="004C051A" w:rsidRPr="00052AFA" w14:paraId="404D18D9" w14:textId="77777777" w:rsidTr="00052AFA">
        <w:tc>
          <w:tcPr>
            <w:tcW w:w="9540" w:type="dxa"/>
            <w:gridSpan w:val="3"/>
            <w:shd w:val="clear" w:color="auto" w:fill="auto"/>
          </w:tcPr>
          <w:p w14:paraId="7C7687AC" w14:textId="77777777" w:rsidR="004C051A" w:rsidRPr="00052AFA" w:rsidRDefault="004C051A" w:rsidP="004C051A">
            <w:pPr>
              <w:numPr>
                <w:ilvl w:val="0"/>
                <w:numId w:val="23"/>
              </w:numPr>
              <w:tabs>
                <w:tab w:val="right" w:pos="1080"/>
                <w:tab w:val="left" w:pos="1296"/>
                <w:tab w:val="left" w:pos="1620"/>
                <w:tab w:val="left" w:pos="2160"/>
                <w:tab w:val="left" w:pos="2592"/>
                <w:tab w:val="left" w:pos="3024"/>
                <w:tab w:val="right" w:leader="dot" w:pos="9090"/>
              </w:tabs>
              <w:suppressAutoHyphens/>
              <w:spacing w:after="120" w:line="240" w:lineRule="exact"/>
              <w:jc w:val="both"/>
              <w:rPr>
                <w:color w:val="000000"/>
                <w:spacing w:val="4"/>
                <w:w w:val="103"/>
                <w:kern w:val="14"/>
                <w:lang w:val="en-GB" w:eastAsia="fr-FR"/>
              </w:rPr>
            </w:pPr>
            <w:r w:rsidRPr="00052AFA">
              <w:rPr>
                <w:color w:val="000000"/>
                <w:kern w:val="14"/>
                <w:lang w:val="en-GB" w:eastAsia="fr-FR"/>
              </w:rPr>
              <w:tab/>
              <w:t>Programme and risk management</w:t>
            </w:r>
            <w:r w:rsidRPr="00052AFA">
              <w:rPr>
                <w:color w:val="000000"/>
                <w:sz w:val="24"/>
                <w:szCs w:val="24"/>
                <w:lang w:val="en-GB" w:eastAsia="fr-FR"/>
              </w:rPr>
              <w:tab/>
            </w:r>
          </w:p>
        </w:tc>
        <w:tc>
          <w:tcPr>
            <w:tcW w:w="362" w:type="dxa"/>
            <w:vMerge w:val="restart"/>
            <w:shd w:val="clear" w:color="auto" w:fill="auto"/>
            <w:vAlign w:val="bottom"/>
          </w:tcPr>
          <w:p w14:paraId="6A3FCA1E" w14:textId="02BA7D04" w:rsidR="004C051A" w:rsidRPr="00052AFA" w:rsidRDefault="005F7B99" w:rsidP="004C051A">
            <w:pPr>
              <w:tabs>
                <w:tab w:val="left" w:pos="1620"/>
              </w:tabs>
              <w:suppressAutoHyphens/>
              <w:spacing w:after="120" w:line="240" w:lineRule="exact"/>
              <w:jc w:val="right"/>
              <w:rPr>
                <w:color w:val="000000"/>
                <w:spacing w:val="4"/>
                <w:w w:val="103"/>
                <w:kern w:val="14"/>
                <w:lang w:val="en-GB" w:eastAsia="fr-FR"/>
              </w:rPr>
            </w:pPr>
            <w:r>
              <w:rPr>
                <w:color w:val="000000"/>
                <w:spacing w:val="4"/>
                <w:w w:val="103"/>
                <w:kern w:val="14"/>
                <w:lang w:val="en-GB" w:eastAsia="fr-FR"/>
              </w:rPr>
              <w:t>8</w:t>
            </w:r>
          </w:p>
          <w:p w14:paraId="2C39CBD3" w14:textId="66E8192F" w:rsidR="004C051A" w:rsidRPr="00052AFA" w:rsidRDefault="005F7B99" w:rsidP="004C051A">
            <w:pPr>
              <w:tabs>
                <w:tab w:val="left" w:pos="1620"/>
              </w:tabs>
              <w:suppressAutoHyphens/>
              <w:spacing w:after="120" w:line="240" w:lineRule="exact"/>
              <w:jc w:val="right"/>
              <w:rPr>
                <w:color w:val="000000"/>
                <w:spacing w:val="4"/>
                <w:w w:val="103"/>
                <w:kern w:val="14"/>
                <w:lang w:val="en-GB" w:eastAsia="fr-FR"/>
              </w:rPr>
            </w:pPr>
            <w:r>
              <w:rPr>
                <w:color w:val="000000"/>
                <w:spacing w:val="4"/>
                <w:w w:val="103"/>
                <w:kern w:val="14"/>
                <w:lang w:val="en-GB" w:eastAsia="fr-FR"/>
              </w:rPr>
              <w:t>9</w:t>
            </w:r>
          </w:p>
        </w:tc>
      </w:tr>
      <w:tr w:rsidR="004C051A" w:rsidRPr="00052AFA" w14:paraId="4AF79E21" w14:textId="77777777" w:rsidTr="00052AFA">
        <w:tc>
          <w:tcPr>
            <w:tcW w:w="9540" w:type="dxa"/>
            <w:gridSpan w:val="3"/>
            <w:shd w:val="clear" w:color="auto" w:fill="auto"/>
          </w:tcPr>
          <w:p w14:paraId="68BF0356" w14:textId="77777777" w:rsidR="004C051A" w:rsidRPr="00052AFA" w:rsidRDefault="004C051A" w:rsidP="004C051A">
            <w:pPr>
              <w:numPr>
                <w:ilvl w:val="0"/>
                <w:numId w:val="23"/>
              </w:numPr>
              <w:tabs>
                <w:tab w:val="right" w:pos="1080"/>
                <w:tab w:val="left" w:pos="1296"/>
                <w:tab w:val="left" w:pos="1620"/>
                <w:tab w:val="left" w:pos="2160"/>
                <w:tab w:val="left" w:pos="2592"/>
                <w:tab w:val="left" w:pos="3024"/>
                <w:tab w:val="left" w:pos="3420"/>
                <w:tab w:val="left" w:pos="3456"/>
                <w:tab w:val="left" w:pos="9090"/>
              </w:tabs>
              <w:suppressAutoHyphens/>
              <w:spacing w:after="120" w:line="240" w:lineRule="exact"/>
              <w:jc w:val="both"/>
              <w:rPr>
                <w:color w:val="000000"/>
                <w:spacing w:val="4"/>
                <w:w w:val="103"/>
                <w:kern w:val="14"/>
                <w:lang w:val="en-GB" w:eastAsia="fr-FR"/>
              </w:rPr>
            </w:pPr>
            <w:r w:rsidRPr="00052AFA">
              <w:rPr>
                <w:color w:val="000000"/>
                <w:kern w:val="14"/>
                <w:lang w:val="en-GB" w:eastAsia="fr-FR"/>
              </w:rPr>
              <w:tab/>
              <w:t>Monitoring and evaluation</w:t>
            </w:r>
            <w:r w:rsidRPr="00052AFA">
              <w:rPr>
                <w:color w:val="000000"/>
                <w:sz w:val="24"/>
                <w:szCs w:val="24"/>
                <w:lang w:val="en-GB" w:eastAsia="fr-FR"/>
              </w:rPr>
              <w:tab/>
            </w:r>
            <w:r w:rsidRPr="00052AFA">
              <w:rPr>
                <w:color w:val="000000"/>
                <w:lang w:val="en-GB" w:eastAsia="fr-FR"/>
              </w:rPr>
              <w:t>…………………………………………………….……………………</w:t>
            </w:r>
          </w:p>
        </w:tc>
        <w:tc>
          <w:tcPr>
            <w:tcW w:w="362" w:type="dxa"/>
            <w:vMerge/>
            <w:shd w:val="clear" w:color="auto" w:fill="auto"/>
            <w:vAlign w:val="bottom"/>
          </w:tcPr>
          <w:p w14:paraId="02EFF787" w14:textId="77777777" w:rsidR="004C051A" w:rsidRPr="00052AFA" w:rsidRDefault="004C051A" w:rsidP="004C051A">
            <w:pPr>
              <w:tabs>
                <w:tab w:val="left" w:pos="1620"/>
              </w:tabs>
              <w:suppressAutoHyphens/>
              <w:spacing w:after="120" w:line="240" w:lineRule="exact"/>
              <w:jc w:val="right"/>
              <w:rPr>
                <w:color w:val="000000"/>
                <w:spacing w:val="4"/>
                <w:w w:val="103"/>
                <w:kern w:val="14"/>
                <w:lang w:val="en-GB" w:eastAsia="fr-FR"/>
              </w:rPr>
            </w:pPr>
          </w:p>
        </w:tc>
      </w:tr>
      <w:tr w:rsidR="004C051A" w:rsidRPr="00052AFA" w14:paraId="4C354CAD" w14:textId="77777777" w:rsidTr="00052AFA">
        <w:tc>
          <w:tcPr>
            <w:tcW w:w="9369" w:type="dxa"/>
            <w:gridSpan w:val="2"/>
            <w:shd w:val="clear" w:color="auto" w:fill="auto"/>
          </w:tcPr>
          <w:p w14:paraId="187A38A7" w14:textId="77777777" w:rsidR="004C051A" w:rsidRPr="00052AFA" w:rsidRDefault="004C051A" w:rsidP="004C051A">
            <w:pPr>
              <w:tabs>
                <w:tab w:val="right" w:pos="1080"/>
                <w:tab w:val="left" w:pos="1296"/>
                <w:tab w:val="left" w:pos="1620"/>
                <w:tab w:val="right" w:pos="1714"/>
                <w:tab w:val="left" w:pos="2160"/>
                <w:tab w:val="left" w:pos="2592"/>
                <w:tab w:val="left" w:pos="3024"/>
                <w:tab w:val="left" w:pos="3456"/>
              </w:tabs>
              <w:suppressAutoHyphens/>
              <w:spacing w:after="120" w:line="240" w:lineRule="exact"/>
              <w:ind w:left="475"/>
              <w:rPr>
                <w:color w:val="000000"/>
                <w:spacing w:val="4"/>
                <w:w w:val="103"/>
                <w:kern w:val="14"/>
                <w:lang w:val="en-GB" w:eastAsia="fr-FR"/>
              </w:rPr>
            </w:pPr>
            <w:r w:rsidRPr="00052AFA">
              <w:rPr>
                <w:color w:val="000000"/>
                <w:kern w:val="14"/>
                <w:lang w:val="en-GB" w:eastAsia="fr-FR"/>
              </w:rPr>
              <w:t xml:space="preserve">     Annex</w:t>
            </w:r>
          </w:p>
        </w:tc>
        <w:tc>
          <w:tcPr>
            <w:tcW w:w="533" w:type="dxa"/>
            <w:gridSpan w:val="2"/>
            <w:shd w:val="clear" w:color="auto" w:fill="auto"/>
            <w:vAlign w:val="bottom"/>
          </w:tcPr>
          <w:p w14:paraId="23DC0EED" w14:textId="77777777" w:rsidR="004C051A" w:rsidRPr="00052AFA" w:rsidRDefault="004C051A" w:rsidP="004C051A">
            <w:pPr>
              <w:tabs>
                <w:tab w:val="left" w:pos="1620"/>
              </w:tabs>
              <w:suppressAutoHyphens/>
              <w:spacing w:after="120" w:line="240" w:lineRule="exact"/>
              <w:jc w:val="right"/>
              <w:rPr>
                <w:color w:val="000000"/>
                <w:spacing w:val="4"/>
                <w:w w:val="103"/>
                <w:kern w:val="14"/>
                <w:lang w:val="en-GB" w:eastAsia="fr-FR"/>
              </w:rPr>
            </w:pPr>
          </w:p>
        </w:tc>
      </w:tr>
      <w:tr w:rsidR="004C051A" w:rsidRPr="00052AFA" w14:paraId="2467D50A" w14:textId="77777777" w:rsidTr="00052AFA">
        <w:tc>
          <w:tcPr>
            <w:tcW w:w="9369" w:type="dxa"/>
            <w:gridSpan w:val="2"/>
            <w:shd w:val="clear" w:color="auto" w:fill="auto"/>
          </w:tcPr>
          <w:p w14:paraId="33CB53A1" w14:textId="5780BC7A" w:rsidR="004C051A" w:rsidRPr="00052AFA" w:rsidRDefault="004C051A" w:rsidP="004C051A">
            <w:pPr>
              <w:tabs>
                <w:tab w:val="right" w:pos="1080"/>
                <w:tab w:val="left" w:pos="1296"/>
                <w:tab w:val="left" w:pos="1620"/>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uppressAutoHyphens/>
              <w:spacing w:after="120" w:line="240" w:lineRule="exact"/>
              <w:ind w:left="1296"/>
              <w:rPr>
                <w:color w:val="000000"/>
                <w:spacing w:val="60"/>
                <w:w w:val="103"/>
                <w:kern w:val="14"/>
                <w:sz w:val="17"/>
                <w:lang w:val="en-GB" w:eastAsia="fr-FR"/>
              </w:rPr>
            </w:pPr>
            <w:r w:rsidRPr="00052AFA">
              <w:rPr>
                <w:color w:val="000000"/>
                <w:kern w:val="14"/>
                <w:lang w:val="en-GB" w:eastAsia="fr-FR"/>
              </w:rPr>
              <w:t xml:space="preserve">Results and resources framework for </w:t>
            </w:r>
            <w:r w:rsidR="004A37BF" w:rsidRPr="00052AFA">
              <w:rPr>
                <w:color w:val="000000"/>
                <w:kern w:val="14"/>
                <w:lang w:val="en-GB" w:eastAsia="fr-FR"/>
              </w:rPr>
              <w:t xml:space="preserve">the </w:t>
            </w:r>
            <w:r w:rsidR="004E1C45" w:rsidRPr="00052AFA">
              <w:rPr>
                <w:color w:val="000000"/>
                <w:kern w:val="14"/>
                <w:lang w:val="en-GB" w:eastAsia="fr-FR"/>
              </w:rPr>
              <w:t>Philippines</w:t>
            </w:r>
            <w:r w:rsidRPr="00052AFA">
              <w:rPr>
                <w:color w:val="000000"/>
                <w:kern w:val="14"/>
                <w:lang w:val="en-GB" w:eastAsia="fr-FR"/>
              </w:rPr>
              <w:t xml:space="preserve"> (2019-2023)</w:t>
            </w:r>
          </w:p>
        </w:tc>
        <w:tc>
          <w:tcPr>
            <w:tcW w:w="533" w:type="dxa"/>
            <w:gridSpan w:val="2"/>
            <w:shd w:val="clear" w:color="auto" w:fill="auto"/>
            <w:vAlign w:val="bottom"/>
          </w:tcPr>
          <w:p w14:paraId="1A54059B" w14:textId="77777777" w:rsidR="004C051A" w:rsidRPr="00052AFA" w:rsidRDefault="004C051A" w:rsidP="004C051A">
            <w:pPr>
              <w:tabs>
                <w:tab w:val="left" w:pos="1620"/>
              </w:tabs>
              <w:suppressAutoHyphens/>
              <w:spacing w:after="120" w:line="240" w:lineRule="exact"/>
              <w:jc w:val="right"/>
              <w:rPr>
                <w:color w:val="000000"/>
                <w:spacing w:val="4"/>
                <w:w w:val="103"/>
                <w:kern w:val="14"/>
                <w:lang w:val="en-GB" w:eastAsia="fr-FR"/>
              </w:rPr>
            </w:pPr>
            <w:r w:rsidRPr="00052AFA">
              <w:rPr>
                <w:color w:val="000000"/>
                <w:kern w:val="14"/>
                <w:lang w:val="en-GB" w:eastAsia="fr-FR"/>
              </w:rPr>
              <w:t>10</w:t>
            </w:r>
          </w:p>
        </w:tc>
      </w:tr>
    </w:tbl>
    <w:p w14:paraId="63228D55" w14:textId="77777777" w:rsidR="007F4F4D" w:rsidRPr="00052AFA" w:rsidRDefault="007F4F4D" w:rsidP="007F4F4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b/>
          <w:color w:val="000000"/>
          <w:lang w:val="en-GB"/>
        </w:rPr>
      </w:pPr>
    </w:p>
    <w:p w14:paraId="3F94DCF1" w14:textId="77777777" w:rsidR="007F4F4D" w:rsidRPr="00052AFA" w:rsidRDefault="007F4F4D" w:rsidP="007F4F4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b/>
          <w:color w:val="000000"/>
          <w:lang w:val="en-GB"/>
        </w:rPr>
        <w:sectPr w:rsidR="007F4F4D" w:rsidRPr="00052AFA" w:rsidSect="00677A8F">
          <w:headerReference w:type="even" r:id="rId12"/>
          <w:headerReference w:type="default" r:id="rId13"/>
          <w:footerReference w:type="even" r:id="rId14"/>
          <w:footerReference w:type="default" r:id="rId15"/>
          <w:headerReference w:type="first" r:id="rId16"/>
          <w:footnotePr>
            <w:numRestart w:val="eachSect"/>
          </w:footnotePr>
          <w:endnotePr>
            <w:numFmt w:val="decimal"/>
            <w:numStart w:val="7"/>
          </w:endnotePr>
          <w:pgSz w:w="12240" w:h="15840" w:code="1"/>
          <w:pgMar w:top="1166" w:right="1195" w:bottom="1440" w:left="1195" w:header="576" w:footer="1030" w:gutter="0"/>
          <w:pgNumType w:start="1"/>
          <w:cols w:space="720"/>
          <w:titlePg/>
        </w:sectPr>
      </w:pPr>
    </w:p>
    <w:p w14:paraId="0726687F" w14:textId="58CF6918" w:rsidR="00A918A7" w:rsidRPr="00052AFA" w:rsidRDefault="4435C01B" w:rsidP="001751AC">
      <w:pPr>
        <w:pStyle w:val="ListParagraph"/>
        <w:tabs>
          <w:tab w:val="left" w:pos="1170"/>
          <w:tab w:val="left" w:pos="1260"/>
        </w:tabs>
        <w:ind w:left="0" w:right="4" w:firstLine="810"/>
        <w:contextualSpacing/>
        <w:jc w:val="both"/>
        <w:rPr>
          <w:b/>
          <w:bCs/>
          <w:sz w:val="24"/>
          <w:szCs w:val="24"/>
          <w:lang w:val="en-GB"/>
        </w:rPr>
      </w:pPr>
      <w:r w:rsidRPr="00052AFA">
        <w:rPr>
          <w:b/>
          <w:bCs/>
          <w:sz w:val="24"/>
          <w:szCs w:val="24"/>
          <w:lang w:val="en-GB"/>
        </w:rPr>
        <w:lastRenderedPageBreak/>
        <w:t>I.</w:t>
      </w:r>
      <w:r w:rsidR="00940E90" w:rsidRPr="00052AFA">
        <w:rPr>
          <w:b/>
          <w:bCs/>
          <w:sz w:val="24"/>
          <w:szCs w:val="24"/>
          <w:lang w:val="en-GB"/>
        </w:rPr>
        <w:tab/>
      </w:r>
      <w:r w:rsidRPr="00052AFA">
        <w:rPr>
          <w:b/>
          <w:bCs/>
          <w:sz w:val="24"/>
          <w:szCs w:val="24"/>
          <w:lang w:val="en-GB"/>
        </w:rPr>
        <w:t xml:space="preserve">Programme </w:t>
      </w:r>
      <w:r w:rsidR="00940E90" w:rsidRPr="00052AFA">
        <w:rPr>
          <w:b/>
          <w:bCs/>
          <w:sz w:val="24"/>
          <w:szCs w:val="24"/>
          <w:lang w:val="en-GB"/>
        </w:rPr>
        <w:t>r</w:t>
      </w:r>
      <w:r w:rsidRPr="00052AFA">
        <w:rPr>
          <w:b/>
          <w:bCs/>
          <w:sz w:val="24"/>
          <w:szCs w:val="24"/>
          <w:lang w:val="en-GB"/>
        </w:rPr>
        <w:t xml:space="preserve">ationale </w:t>
      </w:r>
    </w:p>
    <w:p w14:paraId="211F4A0C" w14:textId="77777777" w:rsidR="008E017D" w:rsidRPr="00052AFA" w:rsidRDefault="008E017D" w:rsidP="001751AC">
      <w:pPr>
        <w:pStyle w:val="ListParagraph"/>
        <w:tabs>
          <w:tab w:val="left" w:pos="1080"/>
        </w:tabs>
        <w:ind w:left="1170" w:right="4"/>
        <w:contextualSpacing/>
        <w:jc w:val="both"/>
        <w:rPr>
          <w:lang w:val="en-GB"/>
        </w:rPr>
      </w:pPr>
    </w:p>
    <w:p w14:paraId="0C3600A2" w14:textId="242B8365" w:rsidR="00E729C6" w:rsidRPr="00052AFA" w:rsidRDefault="4435C01B" w:rsidP="001751AC">
      <w:pPr>
        <w:pStyle w:val="ListParagraph"/>
        <w:numPr>
          <w:ilvl w:val="0"/>
          <w:numId w:val="17"/>
        </w:numPr>
        <w:tabs>
          <w:tab w:val="left" w:pos="1080"/>
        </w:tabs>
        <w:spacing w:after="120"/>
        <w:ind w:left="1170" w:right="4" w:firstLine="0"/>
        <w:contextualSpacing/>
        <w:jc w:val="both"/>
        <w:rPr>
          <w:lang w:val="en-GB"/>
        </w:rPr>
      </w:pPr>
      <w:r w:rsidRPr="00715998">
        <w:rPr>
          <w:bCs/>
          <w:i/>
          <w:iCs/>
          <w:lang w:val="en-GB"/>
        </w:rPr>
        <w:t xml:space="preserve">Ambisyon Natin 2040, the </w:t>
      </w:r>
      <w:r w:rsidR="009520E0" w:rsidRPr="00715998">
        <w:rPr>
          <w:bCs/>
          <w:i/>
          <w:iCs/>
          <w:lang w:val="en-GB"/>
        </w:rPr>
        <w:t xml:space="preserve">Philippine </w:t>
      </w:r>
      <w:r w:rsidRPr="00715998">
        <w:rPr>
          <w:bCs/>
          <w:i/>
          <w:iCs/>
          <w:lang w:val="en-GB"/>
        </w:rPr>
        <w:t>long-term visio</w:t>
      </w:r>
      <w:r w:rsidR="009520E0" w:rsidRPr="00715998">
        <w:rPr>
          <w:bCs/>
          <w:i/>
          <w:iCs/>
          <w:lang w:val="en-GB"/>
        </w:rPr>
        <w:t>n</w:t>
      </w:r>
      <w:r w:rsidRPr="00715998">
        <w:rPr>
          <w:bCs/>
          <w:i/>
          <w:iCs/>
          <w:lang w:val="en-GB"/>
        </w:rPr>
        <w:t xml:space="preserve"> charts a bold trajectory.</w:t>
      </w:r>
      <w:r w:rsidRPr="00052AFA">
        <w:rPr>
          <w:lang w:val="en-GB"/>
        </w:rPr>
        <w:t xml:space="preserve"> It sees the Philippines as a middle-class society where no one is poor, and people enjoy healthy and long lives. Development is driven by innovation and a globally competitive populace. Families thrive in a </w:t>
      </w:r>
      <w:r w:rsidR="007A5A50" w:rsidRPr="00052AFA">
        <w:rPr>
          <w:lang w:val="en-GB"/>
        </w:rPr>
        <w:t xml:space="preserve">culturally diverse </w:t>
      </w:r>
      <w:r w:rsidRPr="00052AFA">
        <w:rPr>
          <w:lang w:val="en-GB"/>
        </w:rPr>
        <w:t xml:space="preserve">society that is resilient to </w:t>
      </w:r>
      <w:r w:rsidR="00052AFA">
        <w:rPr>
          <w:lang w:val="en-GB"/>
        </w:rPr>
        <w:t>human</w:t>
      </w:r>
      <w:r w:rsidRPr="00052AFA">
        <w:rPr>
          <w:lang w:val="en-GB"/>
        </w:rPr>
        <w:t xml:space="preserve">-made and natural shocks. </w:t>
      </w:r>
    </w:p>
    <w:p w14:paraId="6BCD5A5F" w14:textId="77777777" w:rsidR="00E729C6" w:rsidRPr="00052AFA" w:rsidRDefault="00E729C6" w:rsidP="001751AC">
      <w:pPr>
        <w:pStyle w:val="ListParagraph"/>
        <w:tabs>
          <w:tab w:val="left" w:pos="1080"/>
        </w:tabs>
        <w:ind w:left="1170" w:right="4"/>
        <w:contextualSpacing/>
        <w:jc w:val="both"/>
        <w:rPr>
          <w:sz w:val="12"/>
          <w:szCs w:val="12"/>
          <w:lang w:val="en-GB"/>
        </w:rPr>
      </w:pPr>
    </w:p>
    <w:p w14:paraId="0997AB9B" w14:textId="4CF6959B" w:rsidR="003F2983" w:rsidRPr="00052AFA" w:rsidRDefault="00596A8B" w:rsidP="001751AC">
      <w:pPr>
        <w:pStyle w:val="ListParagraph"/>
        <w:numPr>
          <w:ilvl w:val="0"/>
          <w:numId w:val="17"/>
        </w:numPr>
        <w:tabs>
          <w:tab w:val="left" w:pos="1080"/>
        </w:tabs>
        <w:ind w:left="1170" w:right="4" w:firstLine="0"/>
        <w:contextualSpacing/>
        <w:jc w:val="both"/>
        <w:rPr>
          <w:lang w:val="en-GB"/>
        </w:rPr>
      </w:pPr>
      <w:r w:rsidRPr="00715998">
        <w:rPr>
          <w:bCs/>
          <w:i/>
          <w:iCs/>
          <w:lang w:val="en-GB"/>
        </w:rPr>
        <w:t>The prospects for realizing t</w:t>
      </w:r>
      <w:r w:rsidR="00A140FC" w:rsidRPr="00715998">
        <w:rPr>
          <w:bCs/>
          <w:i/>
          <w:iCs/>
          <w:lang w:val="en-GB"/>
        </w:rPr>
        <w:t>h</w:t>
      </w:r>
      <w:r w:rsidR="00BE60C2" w:rsidRPr="00715998">
        <w:rPr>
          <w:bCs/>
          <w:i/>
          <w:iCs/>
          <w:lang w:val="en-GB"/>
        </w:rPr>
        <w:t>is</w:t>
      </w:r>
      <w:r w:rsidRPr="00715998">
        <w:rPr>
          <w:bCs/>
          <w:i/>
          <w:iCs/>
          <w:lang w:val="en-GB"/>
        </w:rPr>
        <w:t xml:space="preserve"> vision have substantially improved</w:t>
      </w:r>
      <w:r w:rsidR="00720B37" w:rsidRPr="00715998">
        <w:rPr>
          <w:bCs/>
          <w:i/>
          <w:iCs/>
          <w:lang w:val="en-GB"/>
        </w:rPr>
        <w:t>.</w:t>
      </w:r>
      <w:r w:rsidR="00720B37" w:rsidRPr="00052AFA">
        <w:rPr>
          <w:b/>
          <w:bCs/>
          <w:i/>
          <w:iCs/>
          <w:lang w:val="en-GB"/>
        </w:rPr>
        <w:t xml:space="preserve"> </w:t>
      </w:r>
      <w:r w:rsidR="00720B37" w:rsidRPr="00052AFA">
        <w:rPr>
          <w:lang w:val="en-GB"/>
        </w:rPr>
        <w:t xml:space="preserve">The </w:t>
      </w:r>
      <w:r w:rsidRPr="00052AFA">
        <w:rPr>
          <w:lang w:val="en-GB"/>
        </w:rPr>
        <w:t>Philippines</w:t>
      </w:r>
      <w:r w:rsidR="003F2983" w:rsidRPr="00052AFA">
        <w:rPr>
          <w:lang w:val="en-GB"/>
        </w:rPr>
        <w:t xml:space="preserve"> </w:t>
      </w:r>
      <w:r w:rsidR="00427964" w:rsidRPr="00052AFA">
        <w:rPr>
          <w:lang w:val="en-GB"/>
        </w:rPr>
        <w:t xml:space="preserve">is </w:t>
      </w:r>
      <w:r w:rsidR="003F2983" w:rsidRPr="00052AFA">
        <w:rPr>
          <w:lang w:val="en-GB"/>
        </w:rPr>
        <w:t>one of the most dynam</w:t>
      </w:r>
      <w:r w:rsidR="002B23FF" w:rsidRPr="00052AFA">
        <w:rPr>
          <w:lang w:val="en-GB"/>
        </w:rPr>
        <w:t xml:space="preserve">ic </w:t>
      </w:r>
      <w:r w:rsidR="00D25E3D" w:rsidRPr="00052AFA">
        <w:rPr>
          <w:lang w:val="en-GB"/>
        </w:rPr>
        <w:t xml:space="preserve">economies </w:t>
      </w:r>
      <w:r w:rsidR="002B23FF" w:rsidRPr="00052AFA">
        <w:rPr>
          <w:lang w:val="en-GB"/>
        </w:rPr>
        <w:t xml:space="preserve">in the region, </w:t>
      </w:r>
      <w:r w:rsidR="00052AFA">
        <w:rPr>
          <w:lang w:val="en-GB"/>
        </w:rPr>
        <w:t xml:space="preserve">having </w:t>
      </w:r>
      <w:r w:rsidR="00D25E3D" w:rsidRPr="00052AFA">
        <w:rPr>
          <w:lang w:val="en-GB"/>
        </w:rPr>
        <w:t>achiev</w:t>
      </w:r>
      <w:r w:rsidR="00052AFA">
        <w:rPr>
          <w:lang w:val="en-GB"/>
        </w:rPr>
        <w:t>ed</w:t>
      </w:r>
      <w:r w:rsidR="00D25E3D" w:rsidRPr="00052AFA">
        <w:rPr>
          <w:lang w:val="en-GB"/>
        </w:rPr>
        <w:t xml:space="preserve"> </w:t>
      </w:r>
      <w:r w:rsidR="003F2983" w:rsidRPr="00052AFA">
        <w:rPr>
          <w:lang w:val="en-GB"/>
        </w:rPr>
        <w:t xml:space="preserve">an average </w:t>
      </w:r>
      <w:r w:rsidR="664AC1BF" w:rsidRPr="00052AFA">
        <w:rPr>
          <w:lang w:val="en-GB"/>
        </w:rPr>
        <w:t xml:space="preserve">annual </w:t>
      </w:r>
      <w:r w:rsidR="003F2983" w:rsidRPr="00052AFA">
        <w:rPr>
          <w:lang w:val="en-GB"/>
        </w:rPr>
        <w:t>growth rate of 6.6 per</w:t>
      </w:r>
      <w:r w:rsidR="00052AFA">
        <w:rPr>
          <w:lang w:val="en-GB"/>
        </w:rPr>
        <w:t xml:space="preserve"> </w:t>
      </w:r>
      <w:r w:rsidR="003F2983" w:rsidRPr="00052AFA">
        <w:rPr>
          <w:lang w:val="en-GB"/>
        </w:rPr>
        <w:t>cent over the last five years.</w:t>
      </w:r>
      <w:r w:rsidR="004743BE" w:rsidRPr="00052AFA">
        <w:rPr>
          <w:rStyle w:val="FootnoteReference"/>
          <w:lang w:val="en-GB"/>
        </w:rPr>
        <w:footnoteReference w:id="2"/>
      </w:r>
      <w:r w:rsidR="001D66AD" w:rsidRPr="00052AFA">
        <w:rPr>
          <w:lang w:val="en-GB"/>
        </w:rPr>
        <w:t xml:space="preserve"> </w:t>
      </w:r>
      <w:r w:rsidR="00052AFA">
        <w:rPr>
          <w:lang w:val="en-GB"/>
        </w:rPr>
        <w:t>In 2016, e</w:t>
      </w:r>
      <w:r w:rsidR="003F2983" w:rsidRPr="00052AFA">
        <w:rPr>
          <w:lang w:val="en-GB"/>
        </w:rPr>
        <w:t>mployment reached a decade high of 95.3 per</w:t>
      </w:r>
      <w:r w:rsidR="00052AFA">
        <w:rPr>
          <w:lang w:val="en-GB"/>
        </w:rPr>
        <w:t xml:space="preserve"> </w:t>
      </w:r>
      <w:r w:rsidR="003F2983" w:rsidRPr="00052AFA">
        <w:rPr>
          <w:lang w:val="en-GB"/>
        </w:rPr>
        <w:t>cent.</w:t>
      </w:r>
      <w:r w:rsidR="004743BE" w:rsidRPr="00052AFA">
        <w:rPr>
          <w:rStyle w:val="FootnoteReference"/>
          <w:lang w:val="en-GB"/>
        </w:rPr>
        <w:footnoteReference w:id="3"/>
      </w:r>
      <w:r w:rsidR="001D66AD" w:rsidRPr="00052AFA">
        <w:rPr>
          <w:lang w:val="en-GB"/>
        </w:rPr>
        <w:t xml:space="preserve"> </w:t>
      </w:r>
      <w:r w:rsidR="003F2983" w:rsidRPr="00052AFA">
        <w:rPr>
          <w:lang w:val="en-GB"/>
        </w:rPr>
        <w:t>Poverty incidence, using the national poverty threshold, substantially declined from 25.2 per</w:t>
      </w:r>
      <w:r w:rsidR="00052AFA">
        <w:rPr>
          <w:lang w:val="en-GB"/>
        </w:rPr>
        <w:t xml:space="preserve"> </w:t>
      </w:r>
      <w:r w:rsidR="003F2983" w:rsidRPr="00052AFA">
        <w:rPr>
          <w:lang w:val="en-GB"/>
        </w:rPr>
        <w:t>cent in 2012 to 21.6 per</w:t>
      </w:r>
      <w:r w:rsidR="00052AFA">
        <w:rPr>
          <w:lang w:val="en-GB"/>
        </w:rPr>
        <w:t xml:space="preserve"> </w:t>
      </w:r>
      <w:r w:rsidR="003F2983" w:rsidRPr="00052AFA">
        <w:rPr>
          <w:lang w:val="en-GB"/>
        </w:rPr>
        <w:t>cent in 2015.</w:t>
      </w:r>
      <w:r w:rsidR="004743BE" w:rsidRPr="00052AFA">
        <w:rPr>
          <w:rStyle w:val="FootnoteReference"/>
          <w:lang w:val="en-GB"/>
        </w:rPr>
        <w:footnoteReference w:id="4"/>
      </w:r>
      <w:r w:rsidR="001D66AD" w:rsidRPr="00052AFA">
        <w:rPr>
          <w:lang w:val="en-GB"/>
        </w:rPr>
        <w:t xml:space="preserve"> I</w:t>
      </w:r>
      <w:r w:rsidR="003F2983" w:rsidRPr="00052AFA">
        <w:rPr>
          <w:lang w:val="en-GB"/>
        </w:rPr>
        <w:t>mprovements in universal primary education</w:t>
      </w:r>
      <w:r w:rsidR="00805BD1" w:rsidRPr="00052AFA">
        <w:rPr>
          <w:lang w:val="en-GB"/>
        </w:rPr>
        <w:t xml:space="preserve"> and health coverage</w:t>
      </w:r>
      <w:r w:rsidR="003F2983" w:rsidRPr="00052AFA">
        <w:rPr>
          <w:lang w:val="en-GB"/>
        </w:rPr>
        <w:t>, gender equality, child mortality and access to</w:t>
      </w:r>
      <w:r w:rsidR="00636DEF" w:rsidRPr="00052AFA">
        <w:rPr>
          <w:lang w:val="en-GB"/>
        </w:rPr>
        <w:t xml:space="preserve"> water and sanitation underline</w:t>
      </w:r>
      <w:r w:rsidR="003F2983" w:rsidRPr="00052AFA">
        <w:rPr>
          <w:lang w:val="en-GB"/>
        </w:rPr>
        <w:t xml:space="preserve"> good performance against </w:t>
      </w:r>
      <w:r w:rsidR="00720B37" w:rsidRPr="00052AFA">
        <w:rPr>
          <w:lang w:val="en-GB"/>
        </w:rPr>
        <w:t xml:space="preserve">many of the </w:t>
      </w:r>
      <w:r w:rsidR="2AA4FF39" w:rsidRPr="00052AFA">
        <w:rPr>
          <w:lang w:val="en-GB"/>
        </w:rPr>
        <w:t xml:space="preserve">Millennium </w:t>
      </w:r>
      <w:r w:rsidR="00052AFA">
        <w:rPr>
          <w:lang w:val="en-GB"/>
        </w:rPr>
        <w:t xml:space="preserve">Development </w:t>
      </w:r>
      <w:r w:rsidR="6D31E811" w:rsidRPr="00052AFA">
        <w:rPr>
          <w:lang w:val="en-GB"/>
        </w:rPr>
        <w:t>Goal</w:t>
      </w:r>
      <w:r w:rsidR="00C92B5F" w:rsidRPr="00052AFA">
        <w:rPr>
          <w:lang w:val="en-GB"/>
        </w:rPr>
        <w:t xml:space="preserve">s </w:t>
      </w:r>
      <w:r w:rsidR="00636DEF" w:rsidRPr="00052AFA">
        <w:rPr>
          <w:lang w:val="en-GB"/>
        </w:rPr>
        <w:t>and provide</w:t>
      </w:r>
      <w:r w:rsidR="003F2983" w:rsidRPr="00052AFA">
        <w:rPr>
          <w:lang w:val="en-GB"/>
        </w:rPr>
        <w:t xml:space="preserve"> a solid foundation </w:t>
      </w:r>
      <w:r w:rsidR="00D25E3D" w:rsidRPr="00052AFA">
        <w:rPr>
          <w:lang w:val="en-GB"/>
        </w:rPr>
        <w:t xml:space="preserve">to </w:t>
      </w:r>
      <w:r w:rsidR="003F2983" w:rsidRPr="00052AFA">
        <w:rPr>
          <w:lang w:val="en-GB"/>
        </w:rPr>
        <w:t xml:space="preserve">achieve the </w:t>
      </w:r>
      <w:r w:rsidR="4A87B1BF" w:rsidRPr="00052AFA">
        <w:rPr>
          <w:lang w:val="en-GB"/>
        </w:rPr>
        <w:t>Sustainable Development Goals</w:t>
      </w:r>
      <w:r w:rsidR="00AA2776">
        <w:rPr>
          <w:lang w:val="en-GB"/>
        </w:rPr>
        <w:t xml:space="preserve"> (the Goals)</w:t>
      </w:r>
      <w:r w:rsidR="003F2983" w:rsidRPr="00052AFA">
        <w:rPr>
          <w:lang w:val="en-GB"/>
        </w:rPr>
        <w:t>.</w:t>
      </w:r>
      <w:r w:rsidR="001D66AD" w:rsidRPr="00052AFA">
        <w:rPr>
          <w:lang w:val="en-GB"/>
        </w:rPr>
        <w:t xml:space="preserve"> </w:t>
      </w:r>
      <w:r w:rsidR="00644696" w:rsidRPr="00052AFA">
        <w:rPr>
          <w:lang w:val="en-GB"/>
        </w:rPr>
        <w:t xml:space="preserve">Growth in tax receipts </w:t>
      </w:r>
      <w:r w:rsidR="00052AFA">
        <w:rPr>
          <w:lang w:val="en-GB"/>
        </w:rPr>
        <w:t xml:space="preserve">has </w:t>
      </w:r>
      <w:r w:rsidR="003F2983" w:rsidRPr="00052AFA">
        <w:rPr>
          <w:lang w:val="en-GB"/>
        </w:rPr>
        <w:t>led to a strong fiscal position</w:t>
      </w:r>
      <w:r w:rsidR="00052AFA">
        <w:rPr>
          <w:lang w:val="en-GB"/>
        </w:rPr>
        <w:t>,</w:t>
      </w:r>
      <w:r w:rsidR="003F2983" w:rsidRPr="00052AFA">
        <w:rPr>
          <w:lang w:val="en-GB"/>
        </w:rPr>
        <w:t xml:space="preserve"> with significant</w:t>
      </w:r>
      <w:r w:rsidR="00636DEF" w:rsidRPr="00052AFA">
        <w:rPr>
          <w:lang w:val="en-GB"/>
        </w:rPr>
        <w:t>ly</w:t>
      </w:r>
      <w:r w:rsidR="003F2983" w:rsidRPr="00052AFA">
        <w:rPr>
          <w:lang w:val="en-GB"/>
        </w:rPr>
        <w:t xml:space="preserve"> increased budget allocations for infrastructure and the social sectors.</w:t>
      </w:r>
      <w:r w:rsidR="004743BE" w:rsidRPr="00052AFA">
        <w:rPr>
          <w:rStyle w:val="FootnoteReference"/>
          <w:lang w:val="en-GB"/>
        </w:rPr>
        <w:footnoteReference w:id="5"/>
      </w:r>
      <w:r w:rsidR="001D66AD" w:rsidRPr="00052AFA">
        <w:rPr>
          <w:lang w:val="en-GB"/>
        </w:rPr>
        <w:t xml:space="preserve"> </w:t>
      </w:r>
      <w:r w:rsidR="00EA3E60" w:rsidRPr="00052AFA">
        <w:rPr>
          <w:lang w:val="en-GB"/>
        </w:rPr>
        <w:t>P</w:t>
      </w:r>
      <w:r w:rsidR="003F2983" w:rsidRPr="00052AFA">
        <w:rPr>
          <w:lang w:val="en-GB"/>
        </w:rPr>
        <w:t>rivate financial</w:t>
      </w:r>
      <w:r w:rsidR="00336019" w:rsidRPr="00052AFA">
        <w:rPr>
          <w:lang w:val="en-GB"/>
        </w:rPr>
        <w:t xml:space="preserve"> flows</w:t>
      </w:r>
      <w:r w:rsidR="00970BDE" w:rsidRPr="00052AFA">
        <w:rPr>
          <w:lang w:val="en-GB"/>
        </w:rPr>
        <w:t xml:space="preserve"> in remittances (</w:t>
      </w:r>
      <w:r w:rsidR="00E11F6A" w:rsidRPr="00052AFA">
        <w:rPr>
          <w:lang w:val="en-GB"/>
        </w:rPr>
        <w:t>more than 1</w:t>
      </w:r>
      <w:r w:rsidR="00C82B0A" w:rsidRPr="00052AFA">
        <w:rPr>
          <w:lang w:val="en-GB"/>
        </w:rPr>
        <w:t>0 per</w:t>
      </w:r>
      <w:r w:rsidR="00052AFA">
        <w:rPr>
          <w:lang w:val="en-GB"/>
        </w:rPr>
        <w:t xml:space="preserve"> </w:t>
      </w:r>
      <w:r w:rsidR="00C82B0A" w:rsidRPr="00052AFA">
        <w:rPr>
          <w:lang w:val="en-GB"/>
        </w:rPr>
        <w:t>cent</w:t>
      </w:r>
      <w:r w:rsidR="00644696" w:rsidRPr="00052AFA">
        <w:rPr>
          <w:lang w:val="en-GB"/>
        </w:rPr>
        <w:t xml:space="preserve"> of </w:t>
      </w:r>
      <w:r w:rsidR="00052AFA">
        <w:rPr>
          <w:lang w:val="en-GB"/>
        </w:rPr>
        <w:t>g</w:t>
      </w:r>
      <w:r w:rsidR="427FF5BC" w:rsidRPr="00052AFA">
        <w:rPr>
          <w:lang w:val="en-GB"/>
        </w:rPr>
        <w:t>ro</w:t>
      </w:r>
      <w:r w:rsidR="22A12D37" w:rsidRPr="00052AFA">
        <w:rPr>
          <w:lang w:val="en-GB"/>
        </w:rPr>
        <w:t xml:space="preserve">ss </w:t>
      </w:r>
      <w:r w:rsidR="00052AFA">
        <w:rPr>
          <w:lang w:val="en-GB"/>
        </w:rPr>
        <w:t>d</w:t>
      </w:r>
      <w:r w:rsidR="22A12D37" w:rsidRPr="00052AFA">
        <w:rPr>
          <w:lang w:val="en-GB"/>
        </w:rPr>
        <w:t xml:space="preserve">omestic </w:t>
      </w:r>
      <w:r w:rsidR="00052AFA">
        <w:rPr>
          <w:lang w:val="en-GB"/>
        </w:rPr>
        <w:t>p</w:t>
      </w:r>
      <w:r w:rsidR="22A12D37" w:rsidRPr="00052AFA">
        <w:rPr>
          <w:lang w:val="en-GB"/>
        </w:rPr>
        <w:t>roduct</w:t>
      </w:r>
      <w:r w:rsidR="006E5777" w:rsidRPr="00052AFA">
        <w:rPr>
          <w:lang w:val="en-GB"/>
        </w:rPr>
        <w:t>)</w:t>
      </w:r>
      <w:r w:rsidR="00052AFA">
        <w:rPr>
          <w:lang w:val="en-GB"/>
        </w:rPr>
        <w:t>,</w:t>
      </w:r>
      <w:r w:rsidR="00C92B5F" w:rsidRPr="00052AFA">
        <w:rPr>
          <w:lang w:val="en-GB"/>
        </w:rPr>
        <w:t xml:space="preserve"> </w:t>
      </w:r>
      <w:r w:rsidR="00EB313F" w:rsidRPr="00052AFA">
        <w:rPr>
          <w:lang w:val="en-GB"/>
        </w:rPr>
        <w:t xml:space="preserve">together with </w:t>
      </w:r>
      <w:r w:rsidR="00644696" w:rsidRPr="00052AFA">
        <w:rPr>
          <w:lang w:val="en-GB"/>
        </w:rPr>
        <w:t>high level</w:t>
      </w:r>
      <w:r w:rsidR="00C92B5F" w:rsidRPr="00052AFA">
        <w:rPr>
          <w:lang w:val="en-GB"/>
        </w:rPr>
        <w:t>s</w:t>
      </w:r>
      <w:r w:rsidR="00644696" w:rsidRPr="00052AFA">
        <w:rPr>
          <w:lang w:val="en-GB"/>
        </w:rPr>
        <w:t xml:space="preserve"> of domestic credit, pro</w:t>
      </w:r>
      <w:r w:rsidR="00EA3E60" w:rsidRPr="00052AFA">
        <w:rPr>
          <w:lang w:val="en-GB"/>
        </w:rPr>
        <w:t xml:space="preserve">vide ample </w:t>
      </w:r>
      <w:r w:rsidR="00D25E3D" w:rsidRPr="00052AFA">
        <w:rPr>
          <w:lang w:val="en-GB"/>
        </w:rPr>
        <w:t xml:space="preserve">resources </w:t>
      </w:r>
      <w:r w:rsidR="00EA3E60" w:rsidRPr="00052AFA">
        <w:rPr>
          <w:lang w:val="en-GB"/>
        </w:rPr>
        <w:t xml:space="preserve">to finance </w:t>
      </w:r>
      <w:r w:rsidR="00B1466C" w:rsidRPr="00052AFA">
        <w:rPr>
          <w:lang w:val="en-GB"/>
        </w:rPr>
        <w:t>development ambitions</w:t>
      </w:r>
      <w:r w:rsidR="00644696" w:rsidRPr="00052AFA">
        <w:rPr>
          <w:lang w:val="en-GB"/>
        </w:rPr>
        <w:t>.</w:t>
      </w:r>
    </w:p>
    <w:p w14:paraId="1A9F18DA" w14:textId="79F28CB4" w:rsidR="003F2983" w:rsidRPr="00052AFA" w:rsidRDefault="003F2983" w:rsidP="001751AC">
      <w:pPr>
        <w:pStyle w:val="ListParagraph"/>
        <w:tabs>
          <w:tab w:val="left" w:pos="1080"/>
        </w:tabs>
        <w:ind w:left="1170" w:right="4"/>
        <w:contextualSpacing/>
        <w:jc w:val="both"/>
        <w:rPr>
          <w:sz w:val="12"/>
          <w:szCs w:val="12"/>
          <w:lang w:val="en-GB"/>
        </w:rPr>
      </w:pPr>
    </w:p>
    <w:p w14:paraId="672C7513" w14:textId="7F8B03CA" w:rsidR="00F7429D" w:rsidRPr="00052AFA" w:rsidRDefault="00AC13FC" w:rsidP="001751AC">
      <w:pPr>
        <w:pStyle w:val="ListParagraph"/>
        <w:numPr>
          <w:ilvl w:val="0"/>
          <w:numId w:val="17"/>
        </w:numPr>
        <w:tabs>
          <w:tab w:val="left" w:pos="1080"/>
        </w:tabs>
        <w:ind w:left="1170" w:right="4" w:firstLine="0"/>
        <w:contextualSpacing/>
        <w:jc w:val="both"/>
        <w:rPr>
          <w:lang w:val="en-GB"/>
        </w:rPr>
      </w:pPr>
      <w:r w:rsidRPr="00715998">
        <w:rPr>
          <w:bCs/>
          <w:i/>
          <w:iCs/>
          <w:lang w:val="en-GB"/>
        </w:rPr>
        <w:t>Impressive economic performance</w:t>
      </w:r>
      <w:r w:rsidR="00052AFA" w:rsidRPr="00715998">
        <w:rPr>
          <w:bCs/>
          <w:i/>
          <w:iCs/>
          <w:lang w:val="en-GB"/>
        </w:rPr>
        <w:t xml:space="preserve">, </w:t>
      </w:r>
      <w:r w:rsidR="006D4A25" w:rsidRPr="00715998">
        <w:rPr>
          <w:bCs/>
          <w:i/>
          <w:iCs/>
          <w:lang w:val="en-GB"/>
        </w:rPr>
        <w:t>howeve</w:t>
      </w:r>
      <w:r w:rsidR="00052AFA" w:rsidRPr="00715998">
        <w:rPr>
          <w:bCs/>
          <w:i/>
          <w:iCs/>
          <w:lang w:val="en-GB"/>
        </w:rPr>
        <w:t>r,</w:t>
      </w:r>
      <w:r w:rsidR="006D4A25" w:rsidRPr="00715998">
        <w:rPr>
          <w:bCs/>
          <w:i/>
          <w:iCs/>
          <w:lang w:val="en-GB"/>
        </w:rPr>
        <w:t xml:space="preserve"> </w:t>
      </w:r>
      <w:r w:rsidR="00F93611" w:rsidRPr="00715998">
        <w:rPr>
          <w:bCs/>
          <w:i/>
          <w:iCs/>
          <w:lang w:val="en-GB"/>
        </w:rPr>
        <w:t>ha</w:t>
      </w:r>
      <w:r w:rsidR="0012571C" w:rsidRPr="00715998">
        <w:rPr>
          <w:bCs/>
          <w:i/>
          <w:iCs/>
          <w:lang w:val="en-GB"/>
        </w:rPr>
        <w:t>s</w:t>
      </w:r>
      <w:r w:rsidR="00F93611" w:rsidRPr="00715998">
        <w:rPr>
          <w:bCs/>
          <w:i/>
          <w:iCs/>
          <w:lang w:val="en-GB"/>
        </w:rPr>
        <w:t xml:space="preserve"> not</w:t>
      </w:r>
      <w:r w:rsidR="00B40403" w:rsidRPr="00715998">
        <w:rPr>
          <w:bCs/>
          <w:i/>
          <w:iCs/>
          <w:lang w:val="en-GB"/>
        </w:rPr>
        <w:t xml:space="preserve"> </w:t>
      </w:r>
      <w:r w:rsidR="00AA2776" w:rsidRPr="00715998">
        <w:rPr>
          <w:bCs/>
          <w:i/>
          <w:iCs/>
          <w:lang w:val="en-GB"/>
        </w:rPr>
        <w:t xml:space="preserve">extended </w:t>
      </w:r>
      <w:r w:rsidR="00B40403" w:rsidRPr="00715998">
        <w:rPr>
          <w:bCs/>
          <w:i/>
          <w:iCs/>
          <w:lang w:val="en-GB"/>
        </w:rPr>
        <w:t>e</w:t>
      </w:r>
      <w:r w:rsidR="006D4A25" w:rsidRPr="00715998">
        <w:rPr>
          <w:bCs/>
          <w:i/>
          <w:iCs/>
          <w:lang w:val="en-GB"/>
        </w:rPr>
        <w:t>qually throughout the population and across the country</w:t>
      </w:r>
      <w:r w:rsidR="003A427C" w:rsidRPr="00052AFA">
        <w:rPr>
          <w:lang w:val="en-GB"/>
        </w:rPr>
        <w:t>.</w:t>
      </w:r>
      <w:r w:rsidR="003A427C" w:rsidRPr="00052AFA">
        <w:rPr>
          <w:rStyle w:val="FootnoteReference"/>
          <w:lang w:val="en-GB"/>
        </w:rPr>
        <w:footnoteReference w:id="6"/>
      </w:r>
      <w:r w:rsidR="003A427C" w:rsidRPr="00052AFA">
        <w:rPr>
          <w:lang w:val="en-GB"/>
        </w:rPr>
        <w:t xml:space="preserve"> </w:t>
      </w:r>
      <w:r w:rsidR="00C92B5F" w:rsidRPr="00052AFA">
        <w:rPr>
          <w:lang w:val="en-GB"/>
        </w:rPr>
        <w:t>T</w:t>
      </w:r>
      <w:r w:rsidR="00611AD0" w:rsidRPr="00052AFA">
        <w:rPr>
          <w:lang w:val="en-GB"/>
        </w:rPr>
        <w:t xml:space="preserve">he Gini </w:t>
      </w:r>
      <w:r w:rsidR="00EA3E60" w:rsidRPr="00052AFA">
        <w:rPr>
          <w:lang w:val="en-GB"/>
        </w:rPr>
        <w:t>coefficient</w:t>
      </w:r>
      <w:r w:rsidR="00611AD0" w:rsidRPr="00052AFA">
        <w:rPr>
          <w:lang w:val="en-GB"/>
        </w:rPr>
        <w:t xml:space="preserve"> has remained stubbornly high</w:t>
      </w:r>
      <w:r w:rsidR="00C92B5F" w:rsidRPr="00052AFA">
        <w:rPr>
          <w:lang w:val="en-GB"/>
        </w:rPr>
        <w:t xml:space="preserve"> and</w:t>
      </w:r>
      <w:r w:rsidR="00611AD0" w:rsidRPr="00052AFA">
        <w:rPr>
          <w:lang w:val="en-GB"/>
        </w:rPr>
        <w:t xml:space="preserve"> above the world average.</w:t>
      </w:r>
      <w:r w:rsidR="004743BE" w:rsidRPr="00052AFA">
        <w:rPr>
          <w:vertAlign w:val="superscript"/>
          <w:lang w:val="en-GB"/>
        </w:rPr>
        <w:footnoteReference w:id="7"/>
      </w:r>
      <w:r w:rsidR="00611AD0" w:rsidRPr="00052AFA">
        <w:rPr>
          <w:lang w:val="en-GB"/>
        </w:rPr>
        <w:t xml:space="preserve"> Around two</w:t>
      </w:r>
      <w:r w:rsidR="00AA2776">
        <w:rPr>
          <w:lang w:val="en-GB"/>
        </w:rPr>
        <w:t xml:space="preserve"> </w:t>
      </w:r>
      <w:r w:rsidR="00611AD0" w:rsidRPr="00052AFA">
        <w:rPr>
          <w:lang w:val="en-GB"/>
        </w:rPr>
        <w:t xml:space="preserve">thirds of </w:t>
      </w:r>
      <w:r w:rsidR="00336019" w:rsidRPr="00052AFA">
        <w:rPr>
          <w:lang w:val="en-GB"/>
        </w:rPr>
        <w:t>the</w:t>
      </w:r>
      <w:r w:rsidR="00720B37" w:rsidRPr="00052AFA">
        <w:rPr>
          <w:lang w:val="en-GB"/>
        </w:rPr>
        <w:t xml:space="preserve"> </w:t>
      </w:r>
      <w:r w:rsidR="00611AD0" w:rsidRPr="00052AFA">
        <w:rPr>
          <w:lang w:val="en-GB"/>
        </w:rPr>
        <w:t xml:space="preserve">poor are located in </w:t>
      </w:r>
      <w:r w:rsidR="00336019" w:rsidRPr="00052AFA">
        <w:rPr>
          <w:lang w:val="en-GB"/>
        </w:rPr>
        <w:t>the Visayas and Mindanao</w:t>
      </w:r>
      <w:r w:rsidR="008F5E1F" w:rsidRPr="00052AFA">
        <w:rPr>
          <w:lang w:val="en-GB"/>
        </w:rPr>
        <w:t>. All</w:t>
      </w:r>
      <w:r w:rsidR="00336019" w:rsidRPr="00052AFA">
        <w:rPr>
          <w:lang w:val="en-GB"/>
        </w:rPr>
        <w:t xml:space="preserve"> regions, except one</w:t>
      </w:r>
      <w:r w:rsidR="008F5E1F" w:rsidRPr="00052AFA">
        <w:rPr>
          <w:lang w:val="en-GB"/>
        </w:rPr>
        <w:t>, have per capita income of less than one</w:t>
      </w:r>
      <w:r w:rsidR="00AA2776">
        <w:rPr>
          <w:lang w:val="en-GB"/>
        </w:rPr>
        <w:t xml:space="preserve"> </w:t>
      </w:r>
      <w:r w:rsidR="008F5E1F" w:rsidRPr="00052AFA">
        <w:rPr>
          <w:lang w:val="en-GB"/>
        </w:rPr>
        <w:t xml:space="preserve">third </w:t>
      </w:r>
      <w:r w:rsidR="00AA2776">
        <w:rPr>
          <w:lang w:val="en-GB"/>
        </w:rPr>
        <w:t xml:space="preserve">that </w:t>
      </w:r>
      <w:r w:rsidR="008F5E1F" w:rsidRPr="00052AFA">
        <w:rPr>
          <w:lang w:val="en-GB"/>
        </w:rPr>
        <w:t xml:space="preserve">of the </w:t>
      </w:r>
      <w:r w:rsidR="002E788C">
        <w:rPr>
          <w:lang w:val="en-GB"/>
        </w:rPr>
        <w:t xml:space="preserve">national </w:t>
      </w:r>
      <w:r w:rsidR="00AA2776">
        <w:rPr>
          <w:lang w:val="en-GB"/>
        </w:rPr>
        <w:t>c</w:t>
      </w:r>
      <w:r w:rsidR="008F5E1F" w:rsidRPr="00052AFA">
        <w:rPr>
          <w:lang w:val="en-GB"/>
        </w:rPr>
        <w:t xml:space="preserve">apital </w:t>
      </w:r>
      <w:r w:rsidR="00AA2776">
        <w:rPr>
          <w:lang w:val="en-GB"/>
        </w:rPr>
        <w:t>r</w:t>
      </w:r>
      <w:r w:rsidR="008F5E1F" w:rsidRPr="00052AFA">
        <w:rPr>
          <w:lang w:val="en-GB"/>
        </w:rPr>
        <w:t>egion. Th</w:t>
      </w:r>
      <w:r w:rsidR="00AA2776">
        <w:rPr>
          <w:lang w:val="en-GB"/>
        </w:rPr>
        <w:t>is</w:t>
      </w:r>
      <w:r w:rsidR="008F5E1F" w:rsidRPr="00052AFA">
        <w:rPr>
          <w:lang w:val="en-GB"/>
        </w:rPr>
        <w:t xml:space="preserve"> </w:t>
      </w:r>
      <w:r w:rsidR="00611AD0" w:rsidRPr="00052AFA">
        <w:rPr>
          <w:lang w:val="en-GB"/>
        </w:rPr>
        <w:t>highligh</w:t>
      </w:r>
      <w:r w:rsidR="008F5E1F" w:rsidRPr="00052AFA">
        <w:rPr>
          <w:lang w:val="en-GB"/>
        </w:rPr>
        <w:t>t</w:t>
      </w:r>
      <w:r w:rsidR="00AA2776">
        <w:rPr>
          <w:lang w:val="en-GB"/>
        </w:rPr>
        <w:t>s</w:t>
      </w:r>
      <w:r w:rsidR="00611AD0" w:rsidRPr="00052AFA">
        <w:rPr>
          <w:lang w:val="en-GB"/>
        </w:rPr>
        <w:t xml:space="preserve"> the </w:t>
      </w:r>
      <w:r w:rsidR="005B1FAB" w:rsidRPr="00052AFA">
        <w:rPr>
          <w:lang w:val="en-GB"/>
        </w:rPr>
        <w:t xml:space="preserve">country’s </w:t>
      </w:r>
      <w:r w:rsidR="00611AD0" w:rsidRPr="00052AFA">
        <w:rPr>
          <w:lang w:val="en-GB"/>
        </w:rPr>
        <w:t>substantial s</w:t>
      </w:r>
      <w:r w:rsidR="005B1FAB" w:rsidRPr="00052AFA">
        <w:rPr>
          <w:lang w:val="en-GB"/>
        </w:rPr>
        <w:t>patial inequality</w:t>
      </w:r>
      <w:r w:rsidR="00EA3E60" w:rsidRPr="00052AFA">
        <w:rPr>
          <w:lang w:val="en-GB"/>
        </w:rPr>
        <w:t xml:space="preserve">. </w:t>
      </w:r>
      <w:r w:rsidR="00004D27" w:rsidRPr="00052AFA">
        <w:rPr>
          <w:lang w:val="en-GB"/>
        </w:rPr>
        <w:t>P</w:t>
      </w:r>
      <w:r w:rsidR="00F7429D" w:rsidRPr="00052AFA">
        <w:rPr>
          <w:lang w:val="en-GB"/>
        </w:rPr>
        <w:t xml:space="preserve">rogress </w:t>
      </w:r>
      <w:r w:rsidR="00C82B0A" w:rsidRPr="00052AFA">
        <w:rPr>
          <w:lang w:val="en-GB"/>
        </w:rPr>
        <w:t>against</w:t>
      </w:r>
      <w:r w:rsidR="00F7429D" w:rsidRPr="00052AFA">
        <w:rPr>
          <w:lang w:val="en-GB"/>
        </w:rPr>
        <w:t xml:space="preserve"> </w:t>
      </w:r>
      <w:r w:rsidR="00720B37" w:rsidRPr="00052AFA">
        <w:rPr>
          <w:lang w:val="en-GB"/>
        </w:rPr>
        <w:t xml:space="preserve">some </w:t>
      </w:r>
      <w:r w:rsidR="00C82B0A" w:rsidRPr="00052AFA">
        <w:rPr>
          <w:lang w:val="en-GB"/>
        </w:rPr>
        <w:t>M</w:t>
      </w:r>
      <w:r w:rsidR="70BB0B67" w:rsidRPr="00052AFA">
        <w:rPr>
          <w:lang w:val="en-GB"/>
        </w:rPr>
        <w:t xml:space="preserve">illennium </w:t>
      </w:r>
      <w:r w:rsidR="00AA2776">
        <w:rPr>
          <w:lang w:val="en-GB"/>
        </w:rPr>
        <w:t xml:space="preserve">Development </w:t>
      </w:r>
      <w:r w:rsidR="70BB0B67" w:rsidRPr="00052AFA">
        <w:rPr>
          <w:lang w:val="en-GB"/>
        </w:rPr>
        <w:t xml:space="preserve">Goals </w:t>
      </w:r>
      <w:r w:rsidR="00F7429D" w:rsidRPr="00052AFA">
        <w:rPr>
          <w:lang w:val="en-GB"/>
        </w:rPr>
        <w:t xml:space="preserve">has lagged substantially, </w:t>
      </w:r>
      <w:r w:rsidR="00D25E3D" w:rsidRPr="00052AFA">
        <w:rPr>
          <w:lang w:val="en-GB"/>
        </w:rPr>
        <w:t>particularly</w:t>
      </w:r>
      <w:r w:rsidR="00F7429D" w:rsidRPr="00052AFA">
        <w:rPr>
          <w:lang w:val="en-GB"/>
        </w:rPr>
        <w:t xml:space="preserve"> </w:t>
      </w:r>
      <w:r w:rsidR="00720B37" w:rsidRPr="00052AFA">
        <w:rPr>
          <w:lang w:val="en-GB"/>
        </w:rPr>
        <w:t xml:space="preserve">improving </w:t>
      </w:r>
      <w:r w:rsidR="00F7429D" w:rsidRPr="00052AFA">
        <w:rPr>
          <w:lang w:val="en-GB"/>
        </w:rPr>
        <w:t xml:space="preserve">maternal </w:t>
      </w:r>
      <w:r w:rsidR="00D25E3D" w:rsidRPr="00052AFA">
        <w:rPr>
          <w:lang w:val="en-GB"/>
        </w:rPr>
        <w:t xml:space="preserve">and child </w:t>
      </w:r>
      <w:r w:rsidR="00F7429D" w:rsidRPr="00052AFA">
        <w:rPr>
          <w:lang w:val="en-GB"/>
        </w:rPr>
        <w:t xml:space="preserve">health and eradicating hunger. </w:t>
      </w:r>
    </w:p>
    <w:p w14:paraId="534C4DEB" w14:textId="77777777" w:rsidR="00E729C6" w:rsidRPr="00052AFA" w:rsidRDefault="00E729C6" w:rsidP="001751AC">
      <w:pPr>
        <w:pStyle w:val="ListParagraph"/>
        <w:tabs>
          <w:tab w:val="left" w:pos="1080"/>
        </w:tabs>
        <w:ind w:left="1170" w:right="4"/>
        <w:contextualSpacing/>
        <w:jc w:val="both"/>
        <w:rPr>
          <w:sz w:val="12"/>
          <w:szCs w:val="12"/>
          <w:lang w:val="en-GB"/>
        </w:rPr>
      </w:pPr>
    </w:p>
    <w:p w14:paraId="648917DE" w14:textId="3D2BB93A" w:rsidR="003F2983" w:rsidRPr="00052AFA" w:rsidRDefault="4435C01B" w:rsidP="001751AC">
      <w:pPr>
        <w:pStyle w:val="ListParagraph"/>
        <w:numPr>
          <w:ilvl w:val="0"/>
          <w:numId w:val="17"/>
        </w:numPr>
        <w:tabs>
          <w:tab w:val="left" w:pos="1080"/>
        </w:tabs>
        <w:ind w:left="1170" w:right="4" w:firstLine="0"/>
        <w:contextualSpacing/>
        <w:jc w:val="both"/>
        <w:rPr>
          <w:lang w:val="en-GB"/>
        </w:rPr>
      </w:pPr>
      <w:r w:rsidRPr="00715998">
        <w:rPr>
          <w:bCs/>
          <w:i/>
          <w:iCs/>
          <w:lang w:val="en-GB"/>
        </w:rPr>
        <w:t xml:space="preserve">The paradox of high growth </w:t>
      </w:r>
      <w:r w:rsidR="00AA2776" w:rsidRPr="00715998">
        <w:rPr>
          <w:bCs/>
          <w:i/>
          <w:iCs/>
          <w:lang w:val="en-GB"/>
        </w:rPr>
        <w:t xml:space="preserve">and </w:t>
      </w:r>
      <w:r w:rsidRPr="00715998">
        <w:rPr>
          <w:bCs/>
          <w:i/>
          <w:iCs/>
          <w:lang w:val="en-GB"/>
        </w:rPr>
        <w:t xml:space="preserve">high inequality emphasizes the need to tackle </w:t>
      </w:r>
      <w:r w:rsidR="00A94721" w:rsidRPr="00A94721">
        <w:rPr>
          <w:bCs/>
          <w:i/>
          <w:iCs/>
          <w:lang w:val="en-GB"/>
        </w:rPr>
        <w:t>several</w:t>
      </w:r>
      <w:r w:rsidR="00767104" w:rsidRPr="00715998">
        <w:rPr>
          <w:bCs/>
          <w:i/>
          <w:iCs/>
          <w:lang w:val="en-GB"/>
        </w:rPr>
        <w:t xml:space="preserve"> </w:t>
      </w:r>
      <w:r w:rsidRPr="00715998">
        <w:rPr>
          <w:bCs/>
          <w:i/>
          <w:iCs/>
          <w:lang w:val="en-GB"/>
        </w:rPr>
        <w:t>critical challenges.</w:t>
      </w:r>
      <w:r w:rsidRPr="00052AFA">
        <w:rPr>
          <w:lang w:val="en-GB"/>
        </w:rPr>
        <w:t xml:space="preserve"> </w:t>
      </w:r>
      <w:r w:rsidR="67DD6C0D" w:rsidRPr="00052AFA">
        <w:rPr>
          <w:lang w:val="en-GB"/>
        </w:rPr>
        <w:t>T</w:t>
      </w:r>
      <w:r w:rsidRPr="00052AFA">
        <w:rPr>
          <w:lang w:val="en-GB"/>
        </w:rPr>
        <w:t>h</w:t>
      </w:r>
      <w:r w:rsidR="00B62B82" w:rsidRPr="00052AFA">
        <w:rPr>
          <w:lang w:val="en-GB"/>
        </w:rPr>
        <w:t>e drivers of inequality are many</w:t>
      </w:r>
      <w:r w:rsidR="00AA2776">
        <w:rPr>
          <w:lang w:val="en-GB"/>
        </w:rPr>
        <w:t>,</w:t>
      </w:r>
      <w:r w:rsidR="00B62B82" w:rsidRPr="00052AFA">
        <w:rPr>
          <w:lang w:val="en-GB"/>
        </w:rPr>
        <w:t xml:space="preserve"> but from the perspective of </w:t>
      </w:r>
      <w:r w:rsidR="00AA2776">
        <w:rPr>
          <w:lang w:val="en-GB"/>
        </w:rPr>
        <w:t xml:space="preserve">the </w:t>
      </w:r>
      <w:r w:rsidR="00B62B82" w:rsidRPr="00052AFA">
        <w:rPr>
          <w:lang w:val="en-GB"/>
        </w:rPr>
        <w:t>UNDP comparative advantage in providing support, th</w:t>
      </w:r>
      <w:r w:rsidRPr="00052AFA">
        <w:rPr>
          <w:lang w:val="en-GB"/>
        </w:rPr>
        <w:t xml:space="preserve">ree challenges stand out: weak institutions </w:t>
      </w:r>
      <w:r w:rsidR="00AA2776">
        <w:rPr>
          <w:lang w:val="en-GB"/>
        </w:rPr>
        <w:t xml:space="preserve">that </w:t>
      </w:r>
      <w:r w:rsidRPr="00052AFA">
        <w:rPr>
          <w:lang w:val="en-GB"/>
        </w:rPr>
        <w:t xml:space="preserve">lead to poor service delivery; high levels of exposure to the impacts of climate change </w:t>
      </w:r>
      <w:r w:rsidR="00AA2776">
        <w:rPr>
          <w:lang w:val="en-GB"/>
        </w:rPr>
        <w:t xml:space="preserve">that </w:t>
      </w:r>
      <w:r w:rsidRPr="00052AFA">
        <w:rPr>
          <w:lang w:val="en-GB"/>
        </w:rPr>
        <w:t xml:space="preserve">push people back into poverty; and persistent conflict </w:t>
      </w:r>
      <w:r w:rsidR="00AA2776">
        <w:rPr>
          <w:lang w:val="en-GB"/>
        </w:rPr>
        <w:t xml:space="preserve">that </w:t>
      </w:r>
      <w:r w:rsidR="00AA2776" w:rsidRPr="00052AFA">
        <w:rPr>
          <w:lang w:val="en-GB"/>
        </w:rPr>
        <w:t>hinder</w:t>
      </w:r>
      <w:r w:rsidR="00AA2776">
        <w:rPr>
          <w:lang w:val="en-GB"/>
        </w:rPr>
        <w:t>s</w:t>
      </w:r>
      <w:r w:rsidR="00012AA2" w:rsidRPr="00052AFA">
        <w:rPr>
          <w:lang w:val="en-GB"/>
        </w:rPr>
        <w:t xml:space="preserve"> development in </w:t>
      </w:r>
      <w:r w:rsidRPr="00052AFA">
        <w:rPr>
          <w:lang w:val="en-GB"/>
        </w:rPr>
        <w:t xml:space="preserve">parts of the country. </w:t>
      </w:r>
    </w:p>
    <w:p w14:paraId="7A659415" w14:textId="690CD238" w:rsidR="003F2983" w:rsidRPr="00052AFA" w:rsidRDefault="003F2983" w:rsidP="001751AC">
      <w:pPr>
        <w:pStyle w:val="ListParagraph"/>
        <w:tabs>
          <w:tab w:val="left" w:pos="1080"/>
        </w:tabs>
        <w:ind w:left="1170" w:right="4"/>
        <w:contextualSpacing/>
        <w:jc w:val="both"/>
        <w:rPr>
          <w:sz w:val="12"/>
          <w:szCs w:val="12"/>
          <w:lang w:val="en-GB"/>
        </w:rPr>
      </w:pPr>
    </w:p>
    <w:p w14:paraId="0403046F" w14:textId="1953F10C" w:rsidR="00355B81" w:rsidRPr="00052AFA" w:rsidRDefault="002E3CF1" w:rsidP="001751AC">
      <w:pPr>
        <w:pStyle w:val="ListParagraph"/>
        <w:numPr>
          <w:ilvl w:val="0"/>
          <w:numId w:val="17"/>
        </w:numPr>
        <w:tabs>
          <w:tab w:val="left" w:pos="1080"/>
        </w:tabs>
        <w:ind w:left="1170" w:right="4" w:firstLine="0"/>
        <w:contextualSpacing/>
        <w:jc w:val="both"/>
        <w:rPr>
          <w:lang w:val="en-GB"/>
        </w:rPr>
      </w:pPr>
      <w:r w:rsidRPr="00715998">
        <w:rPr>
          <w:bCs/>
          <w:i/>
          <w:iCs/>
          <w:lang w:val="en-GB"/>
        </w:rPr>
        <w:t>S</w:t>
      </w:r>
      <w:r w:rsidR="008A5F74" w:rsidRPr="00715998">
        <w:rPr>
          <w:i/>
          <w:lang w:val="en-GB"/>
        </w:rPr>
        <w:t xml:space="preserve">tructural bottlenecks constrain </w:t>
      </w:r>
      <w:r w:rsidRPr="00715998">
        <w:rPr>
          <w:i/>
          <w:lang w:val="en-GB"/>
        </w:rPr>
        <w:t xml:space="preserve">institutional capacity to </w:t>
      </w:r>
      <w:r w:rsidR="00D3207C" w:rsidRPr="00715998">
        <w:rPr>
          <w:bCs/>
          <w:i/>
          <w:iCs/>
          <w:lang w:val="en-GB"/>
        </w:rPr>
        <w:t>exploit</w:t>
      </w:r>
      <w:r w:rsidR="6C960B11" w:rsidRPr="00715998">
        <w:rPr>
          <w:bCs/>
          <w:i/>
          <w:iCs/>
          <w:lang w:val="en-GB"/>
        </w:rPr>
        <w:t xml:space="preserve"> </w:t>
      </w:r>
      <w:r w:rsidR="008A5F74" w:rsidRPr="00715998">
        <w:rPr>
          <w:i/>
          <w:lang w:val="en-GB"/>
        </w:rPr>
        <w:t>greater fiscal space</w:t>
      </w:r>
      <w:r w:rsidR="005B687E" w:rsidRPr="00715998">
        <w:rPr>
          <w:i/>
          <w:lang w:val="en-GB"/>
        </w:rPr>
        <w:t>.</w:t>
      </w:r>
      <w:r w:rsidR="001D66AD" w:rsidRPr="00052AFA">
        <w:rPr>
          <w:lang w:val="en-GB"/>
        </w:rPr>
        <w:t xml:space="preserve"> </w:t>
      </w:r>
      <w:r w:rsidR="00533F57" w:rsidRPr="00052AFA">
        <w:rPr>
          <w:lang w:val="en-GB"/>
        </w:rPr>
        <w:t>G</w:t>
      </w:r>
      <w:r w:rsidR="00720B37" w:rsidRPr="00052AFA">
        <w:rPr>
          <w:lang w:val="en-GB"/>
        </w:rPr>
        <w:t xml:space="preserve">overnment </w:t>
      </w:r>
      <w:r w:rsidR="00355B81" w:rsidRPr="00052AFA">
        <w:rPr>
          <w:lang w:val="en-GB"/>
        </w:rPr>
        <w:t>agencies with lo</w:t>
      </w:r>
      <w:r w:rsidR="282A7DBE" w:rsidRPr="00052AFA">
        <w:rPr>
          <w:lang w:val="en-GB"/>
        </w:rPr>
        <w:t>w</w:t>
      </w:r>
      <w:r w:rsidR="00355B81" w:rsidRPr="00052AFA">
        <w:rPr>
          <w:lang w:val="en-GB"/>
        </w:rPr>
        <w:t xml:space="preserve"> disbursement rates </w:t>
      </w:r>
      <w:r w:rsidR="005B687E" w:rsidRPr="00052AFA">
        <w:rPr>
          <w:lang w:val="en-GB"/>
        </w:rPr>
        <w:t>suffer from</w:t>
      </w:r>
      <w:r w:rsidR="00355B81" w:rsidRPr="00052AFA">
        <w:rPr>
          <w:lang w:val="en-GB"/>
        </w:rPr>
        <w:t xml:space="preserve"> </w:t>
      </w:r>
      <w:r w:rsidR="00A43846" w:rsidRPr="00052AFA">
        <w:rPr>
          <w:lang w:val="en-GB"/>
        </w:rPr>
        <w:t xml:space="preserve">weak </w:t>
      </w:r>
      <w:r w:rsidR="00355B81" w:rsidRPr="00052AFA">
        <w:rPr>
          <w:lang w:val="en-GB"/>
        </w:rPr>
        <w:t>planning, procurement and contract management.</w:t>
      </w:r>
      <w:r w:rsidR="004743BE" w:rsidRPr="00052AFA">
        <w:rPr>
          <w:rStyle w:val="FootnoteReference"/>
          <w:lang w:val="en-GB"/>
        </w:rPr>
        <w:footnoteReference w:id="8"/>
      </w:r>
      <w:r w:rsidR="001D66AD" w:rsidRPr="00052AFA">
        <w:rPr>
          <w:lang w:val="en-GB"/>
        </w:rPr>
        <w:t xml:space="preserve"> </w:t>
      </w:r>
      <w:r w:rsidR="00250784" w:rsidRPr="00052AFA">
        <w:rPr>
          <w:lang w:val="en-GB"/>
        </w:rPr>
        <w:t>O</w:t>
      </w:r>
      <w:r w:rsidR="008A5F74" w:rsidRPr="00052AFA">
        <w:rPr>
          <w:lang w:val="en-GB"/>
        </w:rPr>
        <w:t>verlapping</w:t>
      </w:r>
      <w:r w:rsidR="00AA2776">
        <w:rPr>
          <w:lang w:val="en-GB"/>
        </w:rPr>
        <w:t xml:space="preserve">, </w:t>
      </w:r>
      <w:r w:rsidR="008A5F74" w:rsidRPr="00052AFA">
        <w:rPr>
          <w:lang w:val="en-GB"/>
        </w:rPr>
        <w:t>inconsistent</w:t>
      </w:r>
      <w:r w:rsidR="00DD2BD4" w:rsidRPr="00052AFA">
        <w:rPr>
          <w:lang w:val="en-GB"/>
        </w:rPr>
        <w:t xml:space="preserve"> </w:t>
      </w:r>
      <w:r w:rsidR="00355B81" w:rsidRPr="00052AFA">
        <w:rPr>
          <w:lang w:val="en-GB"/>
        </w:rPr>
        <w:t>institutional structures and program</w:t>
      </w:r>
      <w:r w:rsidR="00AA2776">
        <w:rPr>
          <w:lang w:val="en-GB"/>
        </w:rPr>
        <w:t>me</w:t>
      </w:r>
      <w:r w:rsidR="00355B81" w:rsidRPr="00052AFA">
        <w:rPr>
          <w:lang w:val="en-GB"/>
        </w:rPr>
        <w:t>s further undermine perf</w:t>
      </w:r>
      <w:r w:rsidR="005B687E" w:rsidRPr="00052AFA">
        <w:rPr>
          <w:lang w:val="en-GB"/>
        </w:rPr>
        <w:t>ormance. </w:t>
      </w:r>
      <w:r w:rsidR="00250784" w:rsidRPr="00052AFA">
        <w:rPr>
          <w:lang w:val="en-GB"/>
        </w:rPr>
        <w:t>P</w:t>
      </w:r>
      <w:r w:rsidR="00355B81" w:rsidRPr="00052AFA">
        <w:rPr>
          <w:lang w:val="en-GB"/>
        </w:rPr>
        <w:t xml:space="preserve">rogramming and delivery of public services </w:t>
      </w:r>
      <w:r w:rsidR="00250784" w:rsidRPr="00052AFA">
        <w:rPr>
          <w:lang w:val="en-GB"/>
        </w:rPr>
        <w:t>are</w:t>
      </w:r>
      <w:r w:rsidR="00355B81" w:rsidRPr="00052AFA">
        <w:rPr>
          <w:lang w:val="en-GB"/>
        </w:rPr>
        <w:t xml:space="preserve"> not compatible with ecosystem-based governance</w:t>
      </w:r>
      <w:r w:rsidR="00B62B82" w:rsidRPr="00052AFA">
        <w:rPr>
          <w:lang w:val="en-GB"/>
        </w:rPr>
        <w:t>,</w:t>
      </w:r>
      <w:r w:rsidR="00355B81" w:rsidRPr="00052AFA">
        <w:rPr>
          <w:lang w:val="en-GB"/>
        </w:rPr>
        <w:t xml:space="preserve"> </w:t>
      </w:r>
      <w:r w:rsidR="7B69ACD6" w:rsidRPr="00052AFA">
        <w:rPr>
          <w:lang w:val="en-GB"/>
        </w:rPr>
        <w:t xml:space="preserve">required </w:t>
      </w:r>
      <w:r w:rsidR="02CAA2E5" w:rsidRPr="00052AFA">
        <w:rPr>
          <w:lang w:val="en-GB"/>
        </w:rPr>
        <w:t xml:space="preserve">by </w:t>
      </w:r>
      <w:r w:rsidR="7B69ACD6" w:rsidRPr="00052AFA">
        <w:rPr>
          <w:lang w:val="en-GB"/>
        </w:rPr>
        <w:t>the integrated nature of the Goals</w:t>
      </w:r>
      <w:r w:rsidR="00355B81" w:rsidRPr="00052AFA">
        <w:rPr>
          <w:lang w:val="en-GB"/>
        </w:rPr>
        <w:t xml:space="preserve">. </w:t>
      </w:r>
      <w:r w:rsidR="0009781C" w:rsidRPr="00052AFA">
        <w:rPr>
          <w:lang w:val="en-GB"/>
        </w:rPr>
        <w:t>Lack of widespread adoption of e-</w:t>
      </w:r>
      <w:r w:rsidR="00496B59" w:rsidRPr="00052AFA">
        <w:rPr>
          <w:lang w:val="en-GB"/>
        </w:rPr>
        <w:t xml:space="preserve">governance </w:t>
      </w:r>
      <w:r w:rsidR="003B2470" w:rsidRPr="00052AFA">
        <w:rPr>
          <w:lang w:val="en-GB"/>
        </w:rPr>
        <w:t>limit</w:t>
      </w:r>
      <w:r w:rsidR="00AA2776">
        <w:rPr>
          <w:lang w:val="en-GB"/>
        </w:rPr>
        <w:t>s</w:t>
      </w:r>
      <w:r w:rsidR="0083535C" w:rsidRPr="00052AFA">
        <w:rPr>
          <w:lang w:val="en-GB"/>
        </w:rPr>
        <w:t xml:space="preserve"> transparency, efficiency and access.</w:t>
      </w:r>
      <w:r w:rsidR="001D66AD" w:rsidRPr="00052AFA">
        <w:rPr>
          <w:lang w:val="en-GB"/>
        </w:rPr>
        <w:t xml:space="preserve"> </w:t>
      </w:r>
      <w:r w:rsidR="00715C2A" w:rsidRPr="00052AFA">
        <w:rPr>
          <w:lang w:val="en-GB"/>
        </w:rPr>
        <w:t>D</w:t>
      </w:r>
      <w:r w:rsidR="00355B81" w:rsidRPr="00052AFA">
        <w:rPr>
          <w:lang w:val="en-GB"/>
        </w:rPr>
        <w:t xml:space="preserve">eficits in </w:t>
      </w:r>
      <w:r w:rsidR="00AA2776">
        <w:rPr>
          <w:lang w:val="en-GB"/>
        </w:rPr>
        <w:t xml:space="preserve">citizens’ ability to check </w:t>
      </w:r>
      <w:r w:rsidR="00355B81" w:rsidRPr="00052AFA">
        <w:rPr>
          <w:lang w:val="en-GB"/>
        </w:rPr>
        <w:t>p</w:t>
      </w:r>
      <w:r w:rsidR="00AD1B6B" w:rsidRPr="00052AFA">
        <w:rPr>
          <w:lang w:val="en-GB"/>
        </w:rPr>
        <w:t xml:space="preserve">ower </w:t>
      </w:r>
      <w:r w:rsidR="00355B81" w:rsidRPr="00052AFA">
        <w:rPr>
          <w:lang w:val="en-GB"/>
        </w:rPr>
        <w:t xml:space="preserve">and </w:t>
      </w:r>
      <w:r w:rsidR="00AA2776">
        <w:rPr>
          <w:lang w:val="en-GB"/>
        </w:rPr>
        <w:t xml:space="preserve">ensure </w:t>
      </w:r>
      <w:r w:rsidR="00355B81" w:rsidRPr="00052AFA">
        <w:rPr>
          <w:lang w:val="en-GB"/>
        </w:rPr>
        <w:t xml:space="preserve">accountability </w:t>
      </w:r>
      <w:r w:rsidR="00720B37" w:rsidRPr="00052AFA">
        <w:rPr>
          <w:lang w:val="en-GB"/>
        </w:rPr>
        <w:t>further</w:t>
      </w:r>
      <w:r w:rsidR="00355B81" w:rsidRPr="00052AFA">
        <w:rPr>
          <w:lang w:val="en-GB"/>
        </w:rPr>
        <w:t xml:space="preserve"> </w:t>
      </w:r>
      <w:r w:rsidR="00715C2A" w:rsidRPr="00052AFA">
        <w:rPr>
          <w:lang w:val="en-GB"/>
        </w:rPr>
        <w:t xml:space="preserve">erode </w:t>
      </w:r>
      <w:r w:rsidR="00720B37" w:rsidRPr="00052AFA">
        <w:rPr>
          <w:lang w:val="en-GB"/>
        </w:rPr>
        <w:t xml:space="preserve">public </w:t>
      </w:r>
      <w:r w:rsidR="00355B81" w:rsidRPr="00052AFA">
        <w:rPr>
          <w:lang w:val="en-GB"/>
        </w:rPr>
        <w:t>institution</w:t>
      </w:r>
      <w:r w:rsidR="00AA2776">
        <w:rPr>
          <w:lang w:val="en-GB"/>
        </w:rPr>
        <w:t>s’</w:t>
      </w:r>
      <w:r w:rsidR="000122BB" w:rsidRPr="00052AFA">
        <w:rPr>
          <w:lang w:val="en-GB"/>
        </w:rPr>
        <w:t xml:space="preserve"> responsiveness</w:t>
      </w:r>
      <w:r w:rsidR="00355B81" w:rsidRPr="00052AFA">
        <w:rPr>
          <w:lang w:val="en-GB"/>
        </w:rPr>
        <w:t>.</w:t>
      </w:r>
    </w:p>
    <w:p w14:paraId="5B221A5A" w14:textId="77777777" w:rsidR="005C2DC7" w:rsidRPr="00052AFA" w:rsidRDefault="005C2DC7" w:rsidP="001751AC">
      <w:pPr>
        <w:pStyle w:val="ListParagraph"/>
        <w:tabs>
          <w:tab w:val="left" w:pos="1080"/>
        </w:tabs>
        <w:ind w:left="1170" w:right="4"/>
        <w:contextualSpacing/>
        <w:jc w:val="both"/>
        <w:rPr>
          <w:sz w:val="12"/>
          <w:szCs w:val="12"/>
          <w:lang w:val="en-GB"/>
        </w:rPr>
      </w:pPr>
    </w:p>
    <w:p w14:paraId="4659C730" w14:textId="47A22795" w:rsidR="005C2DC7" w:rsidRPr="00052AFA" w:rsidRDefault="007C725B" w:rsidP="001751AC">
      <w:pPr>
        <w:pStyle w:val="ListParagraph"/>
        <w:numPr>
          <w:ilvl w:val="0"/>
          <w:numId w:val="17"/>
        </w:numPr>
        <w:tabs>
          <w:tab w:val="left" w:pos="1080"/>
        </w:tabs>
        <w:ind w:left="1170" w:right="4" w:firstLine="0"/>
        <w:contextualSpacing/>
        <w:jc w:val="both"/>
        <w:rPr>
          <w:lang w:val="en-GB"/>
        </w:rPr>
      </w:pPr>
      <w:r w:rsidRPr="00715998">
        <w:rPr>
          <w:bCs/>
          <w:i/>
          <w:iCs/>
          <w:lang w:val="en-GB"/>
        </w:rPr>
        <w:t xml:space="preserve">Frequent </w:t>
      </w:r>
      <w:r w:rsidR="00711C46" w:rsidRPr="00715998">
        <w:rPr>
          <w:bCs/>
          <w:i/>
          <w:iCs/>
          <w:lang w:val="en-GB"/>
        </w:rPr>
        <w:t>disaste</w:t>
      </w:r>
      <w:r w:rsidR="00E541CD" w:rsidRPr="00715998">
        <w:rPr>
          <w:bCs/>
          <w:i/>
          <w:iCs/>
          <w:lang w:val="en-GB"/>
        </w:rPr>
        <w:t>r</w:t>
      </w:r>
      <w:r w:rsidR="00737580" w:rsidRPr="00715998">
        <w:rPr>
          <w:bCs/>
          <w:i/>
          <w:iCs/>
          <w:lang w:val="en-GB"/>
        </w:rPr>
        <w:t>s</w:t>
      </w:r>
      <w:r w:rsidR="008A5F74" w:rsidRPr="00715998">
        <w:rPr>
          <w:bCs/>
          <w:i/>
          <w:iCs/>
          <w:lang w:val="en-GB"/>
        </w:rPr>
        <w:t xml:space="preserve"> </w:t>
      </w:r>
      <w:r w:rsidR="004F2F01" w:rsidRPr="00715998">
        <w:rPr>
          <w:bCs/>
          <w:i/>
          <w:iCs/>
          <w:lang w:val="en-GB"/>
        </w:rPr>
        <w:t>impose</w:t>
      </w:r>
      <w:r w:rsidRPr="00715998">
        <w:rPr>
          <w:bCs/>
          <w:i/>
          <w:iCs/>
          <w:lang w:val="en-GB"/>
        </w:rPr>
        <w:t xml:space="preserve"> a huge cost</w:t>
      </w:r>
      <w:r w:rsidR="005C2DC7" w:rsidRPr="00715998">
        <w:rPr>
          <w:i/>
          <w:lang w:val="en-GB"/>
        </w:rPr>
        <w:t>.</w:t>
      </w:r>
      <w:r w:rsidR="005C2DC7" w:rsidRPr="00052AFA">
        <w:rPr>
          <w:vertAlign w:val="superscript"/>
          <w:lang w:val="en-GB"/>
        </w:rPr>
        <w:footnoteReference w:id="9"/>
      </w:r>
      <w:r w:rsidR="00F6297A" w:rsidRPr="00052AFA">
        <w:rPr>
          <w:lang w:val="en-GB"/>
        </w:rPr>
        <w:t xml:space="preserve"> </w:t>
      </w:r>
      <w:r w:rsidR="00EB42E0" w:rsidRPr="00052AFA">
        <w:rPr>
          <w:lang w:val="en-GB"/>
        </w:rPr>
        <w:t xml:space="preserve">An average of 22 typhoons </w:t>
      </w:r>
      <w:r w:rsidR="00DC41E1" w:rsidRPr="00052AFA">
        <w:rPr>
          <w:lang w:val="en-GB"/>
        </w:rPr>
        <w:t xml:space="preserve">hit </w:t>
      </w:r>
      <w:r w:rsidR="00EB42E0" w:rsidRPr="00052AFA">
        <w:rPr>
          <w:lang w:val="en-GB"/>
        </w:rPr>
        <w:t xml:space="preserve">the </w:t>
      </w:r>
      <w:r w:rsidR="00DC41E1" w:rsidRPr="00052AFA">
        <w:rPr>
          <w:lang w:val="en-GB"/>
        </w:rPr>
        <w:t>Philippines</w:t>
      </w:r>
      <w:r w:rsidR="0083739F" w:rsidRPr="00052AFA">
        <w:rPr>
          <w:lang w:val="en-GB"/>
        </w:rPr>
        <w:t xml:space="preserve"> annually</w:t>
      </w:r>
      <w:r w:rsidR="00EB42E0" w:rsidRPr="00052AFA">
        <w:rPr>
          <w:lang w:val="en-GB"/>
        </w:rPr>
        <w:t>, causing millions of dollars in damage and loss of li</w:t>
      </w:r>
      <w:r w:rsidR="00720B37" w:rsidRPr="00052AFA">
        <w:rPr>
          <w:lang w:val="en-GB"/>
        </w:rPr>
        <w:t>fe</w:t>
      </w:r>
      <w:r w:rsidR="007A45B2" w:rsidRPr="00052AFA">
        <w:rPr>
          <w:lang w:val="en-GB"/>
        </w:rPr>
        <w:t>.</w:t>
      </w:r>
      <w:r w:rsidR="001D66AD" w:rsidRPr="00052AFA">
        <w:rPr>
          <w:lang w:val="en-GB"/>
        </w:rPr>
        <w:t xml:space="preserve"> </w:t>
      </w:r>
      <w:r w:rsidR="00715C2A" w:rsidRPr="00052AFA">
        <w:rPr>
          <w:lang w:val="en-GB"/>
        </w:rPr>
        <w:t>T</w:t>
      </w:r>
      <w:r w:rsidR="00BE739B" w:rsidRPr="00052AFA">
        <w:rPr>
          <w:lang w:val="en-GB"/>
        </w:rPr>
        <w:t>he hot</w:t>
      </w:r>
      <w:r w:rsidR="00970BDE" w:rsidRPr="00052AFA">
        <w:rPr>
          <w:lang w:val="en-GB"/>
        </w:rPr>
        <w:t xml:space="preserve">test temperatures </w:t>
      </w:r>
      <w:r w:rsidR="00611E5F" w:rsidRPr="00052AFA">
        <w:rPr>
          <w:lang w:val="en-GB"/>
        </w:rPr>
        <w:t>were recorded in 2016</w:t>
      </w:r>
      <w:r w:rsidR="00AA2776">
        <w:rPr>
          <w:lang w:val="en-GB"/>
        </w:rPr>
        <w:t>,</w:t>
      </w:r>
      <w:r w:rsidR="00611E5F" w:rsidRPr="00052AFA">
        <w:rPr>
          <w:lang w:val="en-GB"/>
        </w:rPr>
        <w:t xml:space="preserve"> with widespread drought</w:t>
      </w:r>
      <w:r w:rsidR="00BE739B" w:rsidRPr="00052AFA">
        <w:rPr>
          <w:lang w:val="en-GB"/>
        </w:rPr>
        <w:t>.</w:t>
      </w:r>
      <w:r w:rsidR="001D66AD" w:rsidRPr="00052AFA">
        <w:rPr>
          <w:lang w:val="en-GB"/>
        </w:rPr>
        <w:t xml:space="preserve"> </w:t>
      </w:r>
      <w:r w:rsidR="00B957D6" w:rsidRPr="00052AFA">
        <w:rPr>
          <w:lang w:val="en-GB"/>
        </w:rPr>
        <w:t>Rapid loss of forest cover, degradation of biodiversity and coastal and marine pollution have reduced the natural r</w:t>
      </w:r>
      <w:r w:rsidR="005B687E" w:rsidRPr="00052AFA">
        <w:rPr>
          <w:lang w:val="en-GB"/>
        </w:rPr>
        <w:t xml:space="preserve">esilience of ecosystems, </w:t>
      </w:r>
      <w:r w:rsidR="00B957D6" w:rsidRPr="00052AFA">
        <w:rPr>
          <w:lang w:val="en-GB"/>
        </w:rPr>
        <w:t>magnifying the impact of disasters.</w:t>
      </w:r>
      <w:r w:rsidR="001D66AD" w:rsidRPr="00052AFA">
        <w:rPr>
          <w:lang w:val="en-GB"/>
        </w:rPr>
        <w:t xml:space="preserve"> </w:t>
      </w:r>
      <w:r w:rsidR="0038429E" w:rsidRPr="00052AFA">
        <w:rPr>
          <w:lang w:val="en-GB"/>
        </w:rPr>
        <w:t xml:space="preserve">The average annualized </w:t>
      </w:r>
      <w:r w:rsidR="006D7BF5" w:rsidRPr="00052AFA">
        <w:rPr>
          <w:lang w:val="en-GB"/>
        </w:rPr>
        <w:t>long-term</w:t>
      </w:r>
      <w:r w:rsidR="00D34B84" w:rsidRPr="00052AFA">
        <w:rPr>
          <w:lang w:val="en-GB"/>
        </w:rPr>
        <w:t xml:space="preserve"> loss from </w:t>
      </w:r>
      <w:r w:rsidR="00D34B84" w:rsidRPr="00052AFA">
        <w:rPr>
          <w:lang w:val="en-GB"/>
        </w:rPr>
        <w:lastRenderedPageBreak/>
        <w:t>multi-</w:t>
      </w:r>
      <w:r w:rsidR="0038429E" w:rsidRPr="00052AFA">
        <w:rPr>
          <w:lang w:val="en-GB"/>
        </w:rPr>
        <w:t xml:space="preserve">hazards </w:t>
      </w:r>
      <w:r w:rsidR="008F5E1F" w:rsidRPr="00052AFA">
        <w:rPr>
          <w:lang w:val="en-GB"/>
        </w:rPr>
        <w:t>is</w:t>
      </w:r>
      <w:r w:rsidR="00D34B84" w:rsidRPr="00052AFA">
        <w:rPr>
          <w:lang w:val="en-GB"/>
        </w:rPr>
        <w:t xml:space="preserve"> equivalent</w:t>
      </w:r>
      <w:r w:rsidR="008A5F74" w:rsidRPr="00052AFA">
        <w:rPr>
          <w:lang w:val="en-GB"/>
        </w:rPr>
        <w:t xml:space="preserve"> to </w:t>
      </w:r>
      <w:r w:rsidR="0038429E" w:rsidRPr="00052AFA">
        <w:rPr>
          <w:lang w:val="en-GB"/>
        </w:rPr>
        <w:t>69 per</w:t>
      </w:r>
      <w:r w:rsidR="00AA2776">
        <w:rPr>
          <w:lang w:val="en-GB"/>
        </w:rPr>
        <w:t xml:space="preserve"> </w:t>
      </w:r>
      <w:r w:rsidR="0038429E" w:rsidRPr="00052AFA">
        <w:rPr>
          <w:lang w:val="en-GB"/>
        </w:rPr>
        <w:t>cent of social expenditures and 14 per</w:t>
      </w:r>
      <w:r w:rsidR="00AA2776">
        <w:rPr>
          <w:lang w:val="en-GB"/>
        </w:rPr>
        <w:t xml:space="preserve"> </w:t>
      </w:r>
      <w:r w:rsidR="0038429E" w:rsidRPr="00052AFA">
        <w:rPr>
          <w:lang w:val="en-GB"/>
        </w:rPr>
        <w:t>cent of capital investments</w:t>
      </w:r>
      <w:r w:rsidR="00AD1B6B" w:rsidRPr="00052AFA">
        <w:rPr>
          <w:lang w:val="en-GB"/>
        </w:rPr>
        <w:t>.</w:t>
      </w:r>
      <w:r w:rsidR="00533F57" w:rsidRPr="00052AFA">
        <w:rPr>
          <w:vertAlign w:val="superscript"/>
          <w:lang w:val="en-GB"/>
        </w:rPr>
        <w:footnoteReference w:id="10"/>
      </w:r>
      <w:r w:rsidR="00AD1B6B" w:rsidRPr="00052AFA">
        <w:rPr>
          <w:lang w:val="en-GB"/>
        </w:rPr>
        <w:t xml:space="preserve"> </w:t>
      </w:r>
      <w:r w:rsidR="008A5F74" w:rsidRPr="00052AFA">
        <w:rPr>
          <w:lang w:val="en-GB"/>
        </w:rPr>
        <w:t xml:space="preserve">The </w:t>
      </w:r>
      <w:r w:rsidR="007E0B4C" w:rsidRPr="00052AFA">
        <w:rPr>
          <w:lang w:val="en-GB"/>
        </w:rPr>
        <w:t>country needs</w:t>
      </w:r>
      <w:r w:rsidR="00234E27" w:rsidRPr="00052AFA">
        <w:rPr>
          <w:lang w:val="en-GB"/>
        </w:rPr>
        <w:t xml:space="preserve"> to </w:t>
      </w:r>
      <w:r w:rsidR="007636CD" w:rsidRPr="00052AFA">
        <w:rPr>
          <w:lang w:val="en-GB"/>
        </w:rPr>
        <w:t xml:space="preserve">improve </w:t>
      </w:r>
      <w:r w:rsidR="00234E27" w:rsidRPr="00052AFA">
        <w:rPr>
          <w:lang w:val="en-GB"/>
        </w:rPr>
        <w:t>its adaptive capacities and resilience.</w:t>
      </w:r>
      <w:r w:rsidR="001D66AD" w:rsidRPr="00052AFA">
        <w:rPr>
          <w:lang w:val="en-GB"/>
        </w:rPr>
        <w:t xml:space="preserve"> </w:t>
      </w:r>
      <w:r w:rsidR="004523CA" w:rsidRPr="00052AFA">
        <w:rPr>
          <w:lang w:val="en-GB"/>
        </w:rPr>
        <w:t>R</w:t>
      </w:r>
      <w:r w:rsidR="00B8745D" w:rsidRPr="00052AFA">
        <w:rPr>
          <w:lang w:val="en-GB"/>
        </w:rPr>
        <w:t>isk</w:t>
      </w:r>
      <w:r w:rsidR="00AD1B6B" w:rsidRPr="00052AFA">
        <w:rPr>
          <w:lang w:val="en-GB"/>
        </w:rPr>
        <w:t xml:space="preserve"> and evidence</w:t>
      </w:r>
      <w:r w:rsidR="00B8745D" w:rsidRPr="00052AFA">
        <w:rPr>
          <w:lang w:val="en-GB"/>
        </w:rPr>
        <w:t>-based</w:t>
      </w:r>
      <w:r w:rsidR="00234E27" w:rsidRPr="00052AFA">
        <w:rPr>
          <w:lang w:val="en-GB"/>
        </w:rPr>
        <w:t xml:space="preserve"> planning </w:t>
      </w:r>
      <w:r w:rsidR="00533F57" w:rsidRPr="00052AFA">
        <w:rPr>
          <w:lang w:val="en-GB"/>
        </w:rPr>
        <w:t>can</w:t>
      </w:r>
      <w:r w:rsidR="004523CA" w:rsidRPr="00052AFA">
        <w:rPr>
          <w:lang w:val="en-GB"/>
        </w:rPr>
        <w:t xml:space="preserve"> be strengthened</w:t>
      </w:r>
      <w:r w:rsidR="00AE7729" w:rsidRPr="00052AFA">
        <w:rPr>
          <w:lang w:val="en-GB"/>
        </w:rPr>
        <w:t>.</w:t>
      </w:r>
      <w:r w:rsidR="001D66AD" w:rsidRPr="00052AFA">
        <w:rPr>
          <w:lang w:val="en-GB"/>
        </w:rPr>
        <w:t xml:space="preserve"> </w:t>
      </w:r>
      <w:r w:rsidR="00AE7729" w:rsidRPr="00052AFA">
        <w:rPr>
          <w:lang w:val="en-GB"/>
        </w:rPr>
        <w:t>E</w:t>
      </w:r>
      <w:r w:rsidR="00234E27" w:rsidRPr="00052AFA">
        <w:rPr>
          <w:lang w:val="en-GB"/>
        </w:rPr>
        <w:t xml:space="preserve">ffective structures </w:t>
      </w:r>
      <w:r w:rsidR="002B23FF" w:rsidRPr="00052AFA">
        <w:rPr>
          <w:lang w:val="en-GB"/>
        </w:rPr>
        <w:t xml:space="preserve">and frameworks </w:t>
      </w:r>
      <w:r w:rsidR="00234E27" w:rsidRPr="00052AFA">
        <w:rPr>
          <w:lang w:val="en-GB"/>
        </w:rPr>
        <w:t>for managing disasters and rec</w:t>
      </w:r>
      <w:r w:rsidR="00AE7729" w:rsidRPr="00052AFA">
        <w:rPr>
          <w:lang w:val="en-GB"/>
        </w:rPr>
        <w:t xml:space="preserve">overy need to be </w:t>
      </w:r>
      <w:r w:rsidR="00F92EEE" w:rsidRPr="00052AFA">
        <w:rPr>
          <w:lang w:val="en-GB"/>
        </w:rPr>
        <w:t>institutionalized</w:t>
      </w:r>
      <w:r w:rsidR="008338A0" w:rsidRPr="00052AFA">
        <w:rPr>
          <w:lang w:val="en-GB"/>
        </w:rPr>
        <w:t xml:space="preserve"> </w:t>
      </w:r>
      <w:r w:rsidR="002F671E" w:rsidRPr="00052AFA">
        <w:rPr>
          <w:lang w:val="en-GB"/>
        </w:rPr>
        <w:t>and backed with p</w:t>
      </w:r>
      <w:r w:rsidR="002B23FF" w:rsidRPr="00052AFA">
        <w:rPr>
          <w:lang w:val="en-GB"/>
        </w:rPr>
        <w:t>roactive investment in adaptation and mitigation</w:t>
      </w:r>
      <w:r w:rsidR="00234E27" w:rsidRPr="00052AFA">
        <w:rPr>
          <w:lang w:val="en-GB"/>
        </w:rPr>
        <w:t>.</w:t>
      </w:r>
      <w:r w:rsidR="001D66AD" w:rsidRPr="00052AFA">
        <w:rPr>
          <w:lang w:val="en-GB"/>
        </w:rPr>
        <w:t xml:space="preserve"> </w:t>
      </w:r>
      <w:r w:rsidR="00BD1503" w:rsidRPr="00052AFA">
        <w:rPr>
          <w:lang w:val="en-GB"/>
        </w:rPr>
        <w:t xml:space="preserve">Climate </w:t>
      </w:r>
      <w:r w:rsidR="008A5F74" w:rsidRPr="00052AFA">
        <w:rPr>
          <w:lang w:val="en-GB"/>
        </w:rPr>
        <w:t>c</w:t>
      </w:r>
      <w:r w:rsidR="00BD1503" w:rsidRPr="00052AFA">
        <w:rPr>
          <w:lang w:val="en-GB"/>
        </w:rPr>
        <w:t xml:space="preserve">hange and </w:t>
      </w:r>
      <w:r w:rsidR="008A5F74" w:rsidRPr="00052AFA">
        <w:rPr>
          <w:lang w:val="en-GB"/>
        </w:rPr>
        <w:t>d</w:t>
      </w:r>
      <w:r w:rsidR="00BD1503" w:rsidRPr="00052AFA">
        <w:rPr>
          <w:lang w:val="en-GB"/>
        </w:rPr>
        <w:t xml:space="preserve">isaster </w:t>
      </w:r>
      <w:r w:rsidR="008A5F74" w:rsidRPr="00052AFA">
        <w:rPr>
          <w:lang w:val="en-GB"/>
        </w:rPr>
        <w:t>r</w:t>
      </w:r>
      <w:r w:rsidR="00BD1503" w:rsidRPr="00052AFA">
        <w:rPr>
          <w:lang w:val="en-GB"/>
        </w:rPr>
        <w:t xml:space="preserve">isk reduction considerations </w:t>
      </w:r>
      <w:r w:rsidR="00533F57" w:rsidRPr="00052AFA">
        <w:rPr>
          <w:lang w:val="en-GB"/>
        </w:rPr>
        <w:t xml:space="preserve">can </w:t>
      </w:r>
      <w:r w:rsidR="00BD1503" w:rsidRPr="00052AFA">
        <w:rPr>
          <w:lang w:val="en-GB"/>
        </w:rPr>
        <w:t>also be better i</w:t>
      </w:r>
      <w:r w:rsidR="003B593A" w:rsidRPr="00052AFA">
        <w:rPr>
          <w:lang w:val="en-GB"/>
        </w:rPr>
        <w:t xml:space="preserve">ntegrated into </w:t>
      </w:r>
      <w:r w:rsidR="00F47BB9" w:rsidRPr="00052AFA">
        <w:rPr>
          <w:lang w:val="en-GB"/>
        </w:rPr>
        <w:t>environment</w:t>
      </w:r>
      <w:r w:rsidR="00AA2776">
        <w:rPr>
          <w:lang w:val="en-GB"/>
        </w:rPr>
        <w:t>al management</w:t>
      </w:r>
      <w:r w:rsidR="00BD1503" w:rsidRPr="00052AFA">
        <w:rPr>
          <w:lang w:val="en-GB"/>
        </w:rPr>
        <w:t>.</w:t>
      </w:r>
    </w:p>
    <w:p w14:paraId="2243DF45" w14:textId="77777777" w:rsidR="00CD4F4A" w:rsidRPr="00052AFA" w:rsidRDefault="00CD4F4A" w:rsidP="001751AC">
      <w:pPr>
        <w:pStyle w:val="ListParagraph"/>
        <w:tabs>
          <w:tab w:val="left" w:pos="1080"/>
        </w:tabs>
        <w:ind w:left="1170" w:right="4"/>
        <w:contextualSpacing/>
        <w:jc w:val="both"/>
        <w:rPr>
          <w:sz w:val="12"/>
          <w:szCs w:val="12"/>
          <w:lang w:val="en-GB"/>
        </w:rPr>
      </w:pPr>
    </w:p>
    <w:p w14:paraId="4A84018C" w14:textId="4665033F" w:rsidR="00741184" w:rsidRPr="00052AFA" w:rsidRDefault="005C7A31" w:rsidP="001751AC">
      <w:pPr>
        <w:pStyle w:val="ListParagraph"/>
        <w:numPr>
          <w:ilvl w:val="0"/>
          <w:numId w:val="17"/>
        </w:numPr>
        <w:tabs>
          <w:tab w:val="left" w:pos="1080"/>
        </w:tabs>
        <w:ind w:left="1170" w:right="4" w:firstLine="0"/>
        <w:contextualSpacing/>
        <w:jc w:val="both"/>
        <w:rPr>
          <w:lang w:val="en-GB"/>
        </w:rPr>
      </w:pPr>
      <w:r w:rsidRPr="00715998">
        <w:rPr>
          <w:i/>
          <w:lang w:val="en-GB"/>
        </w:rPr>
        <w:t>I</w:t>
      </w:r>
      <w:r w:rsidR="00F8736E" w:rsidRPr="00715998">
        <w:rPr>
          <w:i/>
          <w:lang w:val="en-GB"/>
        </w:rPr>
        <w:t>ntergenerational cycle</w:t>
      </w:r>
      <w:r w:rsidRPr="00715998">
        <w:rPr>
          <w:i/>
          <w:lang w:val="en-GB"/>
        </w:rPr>
        <w:t>s</w:t>
      </w:r>
      <w:r w:rsidR="00F8736E" w:rsidRPr="00715998">
        <w:rPr>
          <w:i/>
          <w:lang w:val="en-GB"/>
        </w:rPr>
        <w:t xml:space="preserve"> of armed violence </w:t>
      </w:r>
      <w:r w:rsidR="00591884" w:rsidRPr="00715998">
        <w:rPr>
          <w:bCs/>
          <w:i/>
          <w:iCs/>
          <w:lang w:val="en-GB"/>
        </w:rPr>
        <w:t xml:space="preserve">affecting parts of the country </w:t>
      </w:r>
      <w:r w:rsidR="001725BB" w:rsidRPr="00715998">
        <w:rPr>
          <w:bCs/>
          <w:i/>
          <w:iCs/>
          <w:lang w:val="en-GB"/>
        </w:rPr>
        <w:t xml:space="preserve">consign </w:t>
      </w:r>
      <w:r w:rsidR="002540FD" w:rsidRPr="00715998">
        <w:rPr>
          <w:bCs/>
          <w:i/>
          <w:iCs/>
          <w:lang w:val="en-GB"/>
        </w:rPr>
        <w:t>populations</w:t>
      </w:r>
      <w:r w:rsidR="00CE4F21" w:rsidRPr="00715998">
        <w:rPr>
          <w:bCs/>
          <w:i/>
          <w:iCs/>
          <w:lang w:val="en-GB"/>
        </w:rPr>
        <w:t xml:space="preserve"> to enduring poverty</w:t>
      </w:r>
      <w:r w:rsidR="001725BB" w:rsidRPr="00715998">
        <w:rPr>
          <w:bCs/>
          <w:i/>
          <w:iCs/>
          <w:lang w:val="en-GB"/>
        </w:rPr>
        <w:t>.</w:t>
      </w:r>
      <w:r w:rsidR="001725BB" w:rsidRPr="00052AFA">
        <w:rPr>
          <w:b/>
          <w:bCs/>
          <w:i/>
          <w:iCs/>
          <w:lang w:val="en-GB"/>
        </w:rPr>
        <w:t xml:space="preserve"> </w:t>
      </w:r>
      <w:r w:rsidR="001D61E5" w:rsidRPr="00052AFA">
        <w:rPr>
          <w:lang w:val="en-GB"/>
        </w:rPr>
        <w:t>T</w:t>
      </w:r>
      <w:r w:rsidR="00F8736E" w:rsidRPr="00052AFA">
        <w:rPr>
          <w:lang w:val="en-GB"/>
        </w:rPr>
        <w:t xml:space="preserve">he </w:t>
      </w:r>
      <w:r w:rsidR="007454D1" w:rsidRPr="00052AFA">
        <w:rPr>
          <w:lang w:val="en-GB"/>
        </w:rPr>
        <w:t>Autonomous Region of Muslim Mindanao</w:t>
      </w:r>
      <w:r w:rsidR="77E7EF3E" w:rsidRPr="00052AFA">
        <w:rPr>
          <w:lang w:val="en-GB"/>
        </w:rPr>
        <w:t>,</w:t>
      </w:r>
      <w:r w:rsidR="003515DB" w:rsidRPr="00052AFA">
        <w:rPr>
          <w:lang w:val="en-GB"/>
        </w:rPr>
        <w:t xml:space="preserve"> locus of much of the c</w:t>
      </w:r>
      <w:r w:rsidR="77E7EF3E" w:rsidRPr="00052AFA">
        <w:rPr>
          <w:lang w:val="en-GB"/>
        </w:rPr>
        <w:t>ountry</w:t>
      </w:r>
      <w:r w:rsidR="19380EC6" w:rsidRPr="00052AFA">
        <w:rPr>
          <w:lang w:val="en-GB"/>
        </w:rPr>
        <w:t xml:space="preserve">'s </w:t>
      </w:r>
      <w:r w:rsidR="003515DB" w:rsidRPr="00052AFA">
        <w:rPr>
          <w:lang w:val="en-GB"/>
        </w:rPr>
        <w:t>conflict</w:t>
      </w:r>
      <w:r w:rsidR="77E7EF3E" w:rsidRPr="00052AFA">
        <w:rPr>
          <w:lang w:val="en-GB"/>
        </w:rPr>
        <w:t>,</w:t>
      </w:r>
      <w:r w:rsidR="00CF3308" w:rsidRPr="00052AFA">
        <w:rPr>
          <w:lang w:val="en-GB"/>
        </w:rPr>
        <w:t xml:space="preserve"> </w:t>
      </w:r>
      <w:r w:rsidR="001D61E5" w:rsidRPr="00052AFA">
        <w:rPr>
          <w:lang w:val="en-GB"/>
        </w:rPr>
        <w:t>is</w:t>
      </w:r>
      <w:r w:rsidR="00F8736E" w:rsidRPr="00052AFA">
        <w:rPr>
          <w:lang w:val="en-GB"/>
        </w:rPr>
        <w:t xml:space="preserve"> the poorest</w:t>
      </w:r>
      <w:r w:rsidR="002E788C">
        <w:rPr>
          <w:lang w:val="en-GB"/>
        </w:rPr>
        <w:t>,</w:t>
      </w:r>
      <w:r w:rsidR="00F8736E" w:rsidRPr="00052AFA">
        <w:rPr>
          <w:lang w:val="en-GB"/>
        </w:rPr>
        <w:t xml:space="preserve"> with </w:t>
      </w:r>
      <w:r w:rsidR="00C82B0A" w:rsidRPr="00052AFA">
        <w:rPr>
          <w:lang w:val="en-GB"/>
        </w:rPr>
        <w:t>a</w:t>
      </w:r>
      <w:r w:rsidR="00FF468A" w:rsidRPr="00052AFA">
        <w:rPr>
          <w:lang w:val="en-GB"/>
        </w:rPr>
        <w:t xml:space="preserve"> </w:t>
      </w:r>
      <w:r w:rsidR="002E788C">
        <w:rPr>
          <w:lang w:val="en-GB"/>
        </w:rPr>
        <w:t>h</w:t>
      </w:r>
      <w:r w:rsidR="00C4622B" w:rsidRPr="00052AFA">
        <w:rPr>
          <w:lang w:val="en-GB"/>
        </w:rPr>
        <w:t xml:space="preserve">uman </w:t>
      </w:r>
      <w:r w:rsidR="002E788C">
        <w:rPr>
          <w:lang w:val="en-GB"/>
        </w:rPr>
        <w:t>d</w:t>
      </w:r>
      <w:r w:rsidR="00C4622B" w:rsidRPr="00052AFA">
        <w:rPr>
          <w:lang w:val="en-GB"/>
        </w:rPr>
        <w:t xml:space="preserve">evelopment </w:t>
      </w:r>
      <w:r w:rsidR="002E788C">
        <w:rPr>
          <w:lang w:val="en-GB"/>
        </w:rPr>
        <w:t>i</w:t>
      </w:r>
      <w:r w:rsidR="00C4622B" w:rsidRPr="00052AFA">
        <w:rPr>
          <w:lang w:val="en-GB"/>
        </w:rPr>
        <w:t>ndex</w:t>
      </w:r>
      <w:r w:rsidR="00FF468A" w:rsidRPr="00052AFA">
        <w:rPr>
          <w:lang w:val="en-GB"/>
        </w:rPr>
        <w:t xml:space="preserve"> 60</w:t>
      </w:r>
      <w:r w:rsidR="002E788C">
        <w:rPr>
          <w:lang w:val="en-GB"/>
        </w:rPr>
        <w:t> </w:t>
      </w:r>
      <w:r w:rsidR="00FF468A" w:rsidRPr="00052AFA">
        <w:rPr>
          <w:lang w:val="en-GB"/>
        </w:rPr>
        <w:t>pe</w:t>
      </w:r>
      <w:r w:rsidR="00C82B0A" w:rsidRPr="00052AFA">
        <w:rPr>
          <w:lang w:val="en-GB"/>
        </w:rPr>
        <w:t xml:space="preserve">rcentage points lower </w:t>
      </w:r>
      <w:r w:rsidR="00817F0C" w:rsidRPr="00052AFA">
        <w:rPr>
          <w:lang w:val="en-GB"/>
        </w:rPr>
        <w:t xml:space="preserve">than </w:t>
      </w:r>
      <w:r w:rsidR="00C82B0A" w:rsidRPr="00052AFA">
        <w:rPr>
          <w:lang w:val="en-GB"/>
        </w:rPr>
        <w:t xml:space="preserve">the </w:t>
      </w:r>
      <w:r w:rsidR="002E788C">
        <w:rPr>
          <w:lang w:val="en-GB"/>
        </w:rPr>
        <w:t>n</w:t>
      </w:r>
      <w:r w:rsidR="00C82B0A" w:rsidRPr="00052AFA">
        <w:rPr>
          <w:lang w:val="en-GB"/>
        </w:rPr>
        <w:t xml:space="preserve">ational </w:t>
      </w:r>
      <w:r w:rsidR="002E788C">
        <w:rPr>
          <w:lang w:val="en-GB"/>
        </w:rPr>
        <w:t>c</w:t>
      </w:r>
      <w:r w:rsidR="00C82B0A" w:rsidRPr="00052AFA">
        <w:rPr>
          <w:lang w:val="en-GB"/>
        </w:rPr>
        <w:t xml:space="preserve">apital </w:t>
      </w:r>
      <w:r w:rsidR="002E788C">
        <w:rPr>
          <w:lang w:val="en-GB"/>
        </w:rPr>
        <w:t>r</w:t>
      </w:r>
      <w:r w:rsidR="00FF468A" w:rsidRPr="00052AFA">
        <w:rPr>
          <w:lang w:val="en-GB"/>
        </w:rPr>
        <w:t>egion</w:t>
      </w:r>
      <w:r w:rsidR="007454D1" w:rsidRPr="00052AFA">
        <w:rPr>
          <w:lang w:val="en-GB"/>
        </w:rPr>
        <w:t>.</w:t>
      </w:r>
      <w:r w:rsidR="00365576" w:rsidRPr="00052AFA">
        <w:rPr>
          <w:lang w:val="en-GB"/>
        </w:rPr>
        <w:t xml:space="preserve"> </w:t>
      </w:r>
      <w:r w:rsidR="00AD1B6B" w:rsidRPr="00052AFA">
        <w:rPr>
          <w:lang w:val="en-GB"/>
        </w:rPr>
        <w:t>L</w:t>
      </w:r>
      <w:r w:rsidR="00365576" w:rsidRPr="00052AFA">
        <w:rPr>
          <w:lang w:val="en-GB"/>
        </w:rPr>
        <w:t>ife expectancy lags by 19</w:t>
      </w:r>
      <w:r w:rsidR="002E788C">
        <w:rPr>
          <w:lang w:val="en-GB"/>
        </w:rPr>
        <w:t> </w:t>
      </w:r>
      <w:r w:rsidR="00365576" w:rsidRPr="00052AFA">
        <w:rPr>
          <w:lang w:val="en-GB"/>
        </w:rPr>
        <w:t>per</w:t>
      </w:r>
      <w:r w:rsidR="002E788C">
        <w:rPr>
          <w:lang w:val="en-GB"/>
        </w:rPr>
        <w:t xml:space="preserve"> </w:t>
      </w:r>
      <w:r w:rsidR="00365576" w:rsidRPr="00052AFA">
        <w:rPr>
          <w:lang w:val="en-GB"/>
        </w:rPr>
        <w:t>cent</w:t>
      </w:r>
      <w:r w:rsidR="00817F0C" w:rsidRPr="00052AFA">
        <w:rPr>
          <w:lang w:val="en-GB"/>
        </w:rPr>
        <w:t>. M</w:t>
      </w:r>
      <w:r w:rsidR="00365576" w:rsidRPr="00052AFA">
        <w:rPr>
          <w:lang w:val="en-GB"/>
        </w:rPr>
        <w:t>ean years of schooling is 27 per</w:t>
      </w:r>
      <w:r w:rsidR="002E788C">
        <w:rPr>
          <w:lang w:val="en-GB"/>
        </w:rPr>
        <w:t xml:space="preserve"> </w:t>
      </w:r>
      <w:r w:rsidR="00533F57" w:rsidRPr="00052AFA">
        <w:rPr>
          <w:lang w:val="en-GB"/>
        </w:rPr>
        <w:t>cent less. P</w:t>
      </w:r>
      <w:r w:rsidR="00365576" w:rsidRPr="00052AFA">
        <w:rPr>
          <w:lang w:val="en-GB"/>
        </w:rPr>
        <w:t>er capita purchasing power is 40 per</w:t>
      </w:r>
      <w:r w:rsidR="002E788C">
        <w:rPr>
          <w:lang w:val="en-GB"/>
        </w:rPr>
        <w:t xml:space="preserve"> </w:t>
      </w:r>
      <w:r w:rsidR="00365576" w:rsidRPr="00052AFA">
        <w:rPr>
          <w:lang w:val="en-GB"/>
        </w:rPr>
        <w:t xml:space="preserve">cent </w:t>
      </w:r>
      <w:r w:rsidR="3FA13B29" w:rsidRPr="00052AFA">
        <w:rPr>
          <w:lang w:val="en-GB"/>
        </w:rPr>
        <w:t>lower</w:t>
      </w:r>
      <w:r w:rsidR="00365576" w:rsidRPr="00052AFA">
        <w:rPr>
          <w:lang w:val="en-GB"/>
        </w:rPr>
        <w:t>.</w:t>
      </w:r>
      <w:r w:rsidR="00393E4D" w:rsidRPr="00052AFA">
        <w:rPr>
          <w:vertAlign w:val="superscript"/>
          <w:lang w:val="en-GB"/>
        </w:rPr>
        <w:footnoteReference w:id="11"/>
      </w:r>
      <w:r w:rsidR="00160B29" w:rsidRPr="00052AFA">
        <w:rPr>
          <w:lang w:val="en-GB"/>
        </w:rPr>
        <w:t xml:space="preserve"> The</w:t>
      </w:r>
      <w:r w:rsidR="00F026FB" w:rsidRPr="00052AFA">
        <w:rPr>
          <w:lang w:val="en-GB"/>
        </w:rPr>
        <w:t>se</w:t>
      </w:r>
      <w:r w:rsidR="00160B29" w:rsidRPr="00052AFA">
        <w:rPr>
          <w:lang w:val="en-GB"/>
        </w:rPr>
        <w:t xml:space="preserve"> </w:t>
      </w:r>
      <w:r w:rsidR="00FF468A" w:rsidRPr="00052AFA">
        <w:rPr>
          <w:lang w:val="en-GB"/>
        </w:rPr>
        <w:t xml:space="preserve">desperately poor </w:t>
      </w:r>
      <w:r w:rsidR="00160B29" w:rsidRPr="00052AFA">
        <w:rPr>
          <w:lang w:val="en-GB"/>
        </w:rPr>
        <w:t>conditions cannot be reversed by ambitious plans and increas</w:t>
      </w:r>
      <w:r w:rsidR="002F671E" w:rsidRPr="00052AFA">
        <w:rPr>
          <w:lang w:val="en-GB"/>
        </w:rPr>
        <w:t>es in</w:t>
      </w:r>
      <w:r w:rsidR="00160B29" w:rsidRPr="00052AFA">
        <w:rPr>
          <w:lang w:val="en-GB"/>
        </w:rPr>
        <w:t xml:space="preserve"> budget allocations </w:t>
      </w:r>
      <w:r w:rsidR="005B687E" w:rsidRPr="00052AFA">
        <w:rPr>
          <w:lang w:val="en-GB"/>
        </w:rPr>
        <w:t>alone.</w:t>
      </w:r>
      <w:r w:rsidR="001D66AD" w:rsidRPr="00052AFA">
        <w:rPr>
          <w:lang w:val="en-GB"/>
        </w:rPr>
        <w:t xml:space="preserve"> </w:t>
      </w:r>
      <w:r w:rsidR="73008738" w:rsidRPr="00052AFA">
        <w:rPr>
          <w:lang w:val="en-GB"/>
        </w:rPr>
        <w:t>D</w:t>
      </w:r>
      <w:r w:rsidR="00492F80" w:rsidRPr="00052AFA">
        <w:rPr>
          <w:lang w:val="en-GB"/>
        </w:rPr>
        <w:t xml:space="preserve">eep </w:t>
      </w:r>
      <w:r w:rsidR="00FF468A" w:rsidRPr="00052AFA">
        <w:rPr>
          <w:lang w:val="en-GB"/>
        </w:rPr>
        <w:t xml:space="preserve">social and economic </w:t>
      </w:r>
      <w:r w:rsidR="00492F80" w:rsidRPr="00052AFA">
        <w:rPr>
          <w:lang w:val="en-GB"/>
        </w:rPr>
        <w:t>marginalization and decades of poor local governance</w:t>
      </w:r>
      <w:r w:rsidR="7D45AEC9" w:rsidRPr="00052AFA">
        <w:rPr>
          <w:lang w:val="en-GB"/>
        </w:rPr>
        <w:t xml:space="preserve"> must be comprehensively t</w:t>
      </w:r>
      <w:r w:rsidR="73008738" w:rsidRPr="00052AFA">
        <w:rPr>
          <w:lang w:val="en-GB"/>
        </w:rPr>
        <w:t xml:space="preserve">ackled to achieve </w:t>
      </w:r>
      <w:r w:rsidR="00F8736E" w:rsidRPr="00052AFA">
        <w:rPr>
          <w:lang w:val="en-GB"/>
        </w:rPr>
        <w:t>lasting peace and stability</w:t>
      </w:r>
      <w:r w:rsidR="00FF468A" w:rsidRPr="00052AFA">
        <w:rPr>
          <w:lang w:val="en-GB"/>
        </w:rPr>
        <w:t>.</w:t>
      </w:r>
      <w:r w:rsidR="00CA3D17" w:rsidRPr="00052AFA">
        <w:rPr>
          <w:vertAlign w:val="superscript"/>
          <w:lang w:val="en-GB"/>
        </w:rPr>
        <w:footnoteReference w:id="12"/>
      </w:r>
    </w:p>
    <w:p w14:paraId="194F8230" w14:textId="0ED1E005" w:rsidR="00741184" w:rsidRPr="00052AFA" w:rsidRDefault="00741184" w:rsidP="001751AC">
      <w:pPr>
        <w:pStyle w:val="ListParagraph"/>
        <w:tabs>
          <w:tab w:val="left" w:pos="1080"/>
        </w:tabs>
        <w:ind w:left="1170" w:right="4"/>
        <w:contextualSpacing/>
        <w:jc w:val="both"/>
        <w:rPr>
          <w:sz w:val="12"/>
          <w:szCs w:val="12"/>
          <w:lang w:val="en-GB"/>
        </w:rPr>
      </w:pPr>
    </w:p>
    <w:p w14:paraId="7D205FEF" w14:textId="21A8D599" w:rsidR="00AD1C3B" w:rsidRPr="00715998" w:rsidRDefault="006B719C" w:rsidP="00715998">
      <w:pPr>
        <w:pStyle w:val="ListParagraph"/>
        <w:tabs>
          <w:tab w:val="left" w:pos="1080"/>
        </w:tabs>
        <w:ind w:left="1170" w:right="4"/>
        <w:contextualSpacing/>
        <w:jc w:val="both"/>
        <w:rPr>
          <w:b/>
          <w:lang w:val="en-GB"/>
        </w:rPr>
      </w:pPr>
      <w:r w:rsidRPr="00164516">
        <w:rPr>
          <w:b/>
          <w:bCs/>
          <w:iCs/>
          <w:lang w:val="en-GB"/>
        </w:rPr>
        <w:t>The UNDP c</w:t>
      </w:r>
      <w:r w:rsidR="4435C01B" w:rsidRPr="00715998">
        <w:rPr>
          <w:b/>
          <w:bCs/>
          <w:iCs/>
          <w:lang w:val="en-GB"/>
        </w:rPr>
        <w:t xml:space="preserve">ountry </w:t>
      </w:r>
      <w:r w:rsidRPr="00164516">
        <w:rPr>
          <w:b/>
          <w:bCs/>
          <w:iCs/>
          <w:lang w:val="en-GB"/>
        </w:rPr>
        <w:t>p</w:t>
      </w:r>
      <w:r w:rsidR="4435C01B" w:rsidRPr="00715998">
        <w:rPr>
          <w:b/>
          <w:bCs/>
          <w:iCs/>
          <w:lang w:val="en-GB"/>
        </w:rPr>
        <w:t>rogramme</w:t>
      </w:r>
      <w:r w:rsidRPr="00164516">
        <w:rPr>
          <w:b/>
          <w:bCs/>
          <w:iCs/>
          <w:lang w:val="en-GB"/>
        </w:rPr>
        <w:t>,</w:t>
      </w:r>
      <w:r w:rsidR="4435C01B" w:rsidRPr="00715998">
        <w:rPr>
          <w:b/>
          <w:bCs/>
          <w:iCs/>
          <w:lang w:val="en-GB"/>
        </w:rPr>
        <w:t xml:space="preserve"> </w:t>
      </w:r>
      <w:r w:rsidRPr="00164516">
        <w:rPr>
          <w:b/>
          <w:bCs/>
          <w:iCs/>
          <w:lang w:val="en-GB"/>
        </w:rPr>
        <w:t xml:space="preserve">2014-2018, </w:t>
      </w:r>
      <w:r w:rsidR="4435C01B" w:rsidRPr="00715998">
        <w:rPr>
          <w:b/>
          <w:bCs/>
          <w:iCs/>
          <w:lang w:val="en-GB"/>
        </w:rPr>
        <w:t xml:space="preserve">aligned strongly to the </w:t>
      </w:r>
      <w:r w:rsidRPr="00164516">
        <w:rPr>
          <w:b/>
          <w:bCs/>
          <w:iCs/>
          <w:lang w:val="en-GB"/>
        </w:rPr>
        <w:t>G</w:t>
      </w:r>
      <w:r w:rsidR="4435C01B" w:rsidRPr="00715998">
        <w:rPr>
          <w:b/>
          <w:bCs/>
          <w:iCs/>
          <w:lang w:val="en-GB"/>
        </w:rPr>
        <w:t xml:space="preserve">overnment’s priorities and helped </w:t>
      </w:r>
      <w:r w:rsidRPr="00164516">
        <w:rPr>
          <w:b/>
          <w:bCs/>
          <w:iCs/>
          <w:lang w:val="en-GB"/>
        </w:rPr>
        <w:t xml:space="preserve">to </w:t>
      </w:r>
      <w:r w:rsidR="4435C01B" w:rsidRPr="00715998">
        <w:rPr>
          <w:b/>
          <w:bCs/>
          <w:iCs/>
          <w:lang w:val="en-GB"/>
        </w:rPr>
        <w:t xml:space="preserve">tackle </w:t>
      </w:r>
      <w:r w:rsidR="008338A0" w:rsidRPr="00715998">
        <w:rPr>
          <w:b/>
          <w:bCs/>
          <w:iCs/>
          <w:lang w:val="en-GB"/>
        </w:rPr>
        <w:t>a number of</w:t>
      </w:r>
      <w:r w:rsidR="00530D2C" w:rsidRPr="00715998">
        <w:rPr>
          <w:b/>
          <w:bCs/>
          <w:iCs/>
          <w:lang w:val="en-GB"/>
        </w:rPr>
        <w:t xml:space="preserve"> </w:t>
      </w:r>
      <w:r w:rsidR="4435C01B" w:rsidRPr="00715998">
        <w:rPr>
          <w:b/>
          <w:bCs/>
          <w:iCs/>
          <w:lang w:val="en-GB"/>
        </w:rPr>
        <w:t xml:space="preserve">binding </w:t>
      </w:r>
      <w:r w:rsidR="00530D2C" w:rsidRPr="00715998">
        <w:rPr>
          <w:b/>
          <w:bCs/>
          <w:iCs/>
          <w:lang w:val="en-GB"/>
        </w:rPr>
        <w:t xml:space="preserve">development </w:t>
      </w:r>
      <w:r w:rsidR="4435C01B" w:rsidRPr="00715998">
        <w:rPr>
          <w:b/>
          <w:bCs/>
          <w:iCs/>
          <w:lang w:val="en-GB"/>
        </w:rPr>
        <w:t>constraints.</w:t>
      </w:r>
      <w:r w:rsidR="4435C01B" w:rsidRPr="00715998">
        <w:rPr>
          <w:b/>
          <w:lang w:val="en-GB"/>
        </w:rPr>
        <w:t xml:space="preserve"> </w:t>
      </w:r>
    </w:p>
    <w:p w14:paraId="40D8FCCE" w14:textId="77777777" w:rsidR="00AD1C3B" w:rsidRPr="00052AFA" w:rsidRDefault="00AD1C3B" w:rsidP="001751AC">
      <w:pPr>
        <w:pStyle w:val="ListParagraph"/>
        <w:tabs>
          <w:tab w:val="left" w:pos="1080"/>
        </w:tabs>
        <w:ind w:left="1170" w:right="4"/>
        <w:contextualSpacing/>
        <w:jc w:val="both"/>
        <w:rPr>
          <w:sz w:val="12"/>
          <w:szCs w:val="12"/>
          <w:lang w:val="en-GB"/>
        </w:rPr>
      </w:pPr>
    </w:p>
    <w:p w14:paraId="6D79021A" w14:textId="6E6E7FD1" w:rsidR="003E6BAF" w:rsidRPr="00052AFA" w:rsidRDefault="00195A5D" w:rsidP="001751AC">
      <w:pPr>
        <w:pStyle w:val="ListParagraph"/>
        <w:numPr>
          <w:ilvl w:val="0"/>
          <w:numId w:val="17"/>
        </w:numPr>
        <w:tabs>
          <w:tab w:val="left" w:pos="1080"/>
        </w:tabs>
        <w:ind w:left="1170" w:right="4" w:firstLine="0"/>
        <w:contextualSpacing/>
        <w:jc w:val="both"/>
        <w:rPr>
          <w:lang w:val="en-GB"/>
        </w:rPr>
      </w:pPr>
      <w:r w:rsidRPr="00715998">
        <w:rPr>
          <w:bCs/>
          <w:i/>
          <w:iCs/>
          <w:lang w:val="en-GB"/>
        </w:rPr>
        <w:t xml:space="preserve">UNDP </w:t>
      </w:r>
      <w:r w:rsidR="00EB313F" w:rsidRPr="00715998">
        <w:rPr>
          <w:bCs/>
          <w:i/>
          <w:iCs/>
          <w:lang w:val="en-GB"/>
        </w:rPr>
        <w:t xml:space="preserve">support </w:t>
      </w:r>
      <w:r w:rsidR="00994340" w:rsidRPr="00715998">
        <w:rPr>
          <w:bCs/>
          <w:i/>
          <w:iCs/>
          <w:lang w:val="en-GB"/>
        </w:rPr>
        <w:t>str</w:t>
      </w:r>
      <w:r w:rsidR="002D38A1" w:rsidRPr="00715998">
        <w:rPr>
          <w:bCs/>
          <w:i/>
          <w:iCs/>
          <w:lang w:val="en-GB"/>
        </w:rPr>
        <w:t>engthen</w:t>
      </w:r>
      <w:r w:rsidR="00EB313F" w:rsidRPr="00715998">
        <w:rPr>
          <w:bCs/>
          <w:i/>
          <w:iCs/>
          <w:lang w:val="en-GB"/>
        </w:rPr>
        <w:t>ed</w:t>
      </w:r>
      <w:r w:rsidR="002D38A1" w:rsidRPr="00715998">
        <w:rPr>
          <w:bCs/>
          <w:i/>
          <w:iCs/>
          <w:lang w:val="en-GB"/>
        </w:rPr>
        <w:t xml:space="preserve"> </w:t>
      </w:r>
      <w:r w:rsidR="00ED4574" w:rsidRPr="00715998">
        <w:rPr>
          <w:bCs/>
          <w:i/>
          <w:iCs/>
          <w:lang w:val="en-GB"/>
        </w:rPr>
        <w:t>democratic</w:t>
      </w:r>
      <w:r w:rsidR="42637333" w:rsidRPr="00715998">
        <w:rPr>
          <w:bCs/>
          <w:i/>
          <w:iCs/>
          <w:lang w:val="en-GB"/>
        </w:rPr>
        <w:t xml:space="preserve"> </w:t>
      </w:r>
      <w:r w:rsidR="002D38A1" w:rsidRPr="00715998">
        <w:rPr>
          <w:bCs/>
          <w:i/>
          <w:iCs/>
          <w:lang w:val="en-GB"/>
        </w:rPr>
        <w:t xml:space="preserve">institutions </w:t>
      </w:r>
      <w:r w:rsidR="00994340" w:rsidRPr="00715998">
        <w:rPr>
          <w:bCs/>
          <w:i/>
          <w:iCs/>
          <w:lang w:val="en-GB"/>
        </w:rPr>
        <w:t>and</w:t>
      </w:r>
      <w:r w:rsidR="00EB313F" w:rsidRPr="00715998">
        <w:rPr>
          <w:bCs/>
          <w:i/>
          <w:iCs/>
          <w:lang w:val="en-GB"/>
        </w:rPr>
        <w:t xml:space="preserve"> improved</w:t>
      </w:r>
      <w:r w:rsidR="00994340" w:rsidRPr="00715998">
        <w:rPr>
          <w:bCs/>
          <w:i/>
          <w:iCs/>
          <w:lang w:val="en-GB"/>
        </w:rPr>
        <w:t xml:space="preserve"> </w:t>
      </w:r>
      <w:r w:rsidR="0081424A" w:rsidRPr="00715998">
        <w:rPr>
          <w:bCs/>
          <w:i/>
          <w:iCs/>
          <w:lang w:val="en-GB"/>
        </w:rPr>
        <w:t xml:space="preserve">governance </w:t>
      </w:r>
      <w:r w:rsidR="00994340" w:rsidRPr="00715998">
        <w:rPr>
          <w:bCs/>
          <w:i/>
          <w:iCs/>
          <w:lang w:val="en-GB"/>
        </w:rPr>
        <w:t>effectiveness.</w:t>
      </w:r>
      <w:r w:rsidR="00BF4A77" w:rsidRPr="00052AFA">
        <w:rPr>
          <w:vertAlign w:val="superscript"/>
          <w:lang w:val="en-GB"/>
        </w:rPr>
        <w:footnoteReference w:id="13"/>
      </w:r>
      <w:r w:rsidR="001D66AD" w:rsidRPr="00052AFA">
        <w:rPr>
          <w:lang w:val="en-GB"/>
        </w:rPr>
        <w:t xml:space="preserve"> </w:t>
      </w:r>
      <w:r w:rsidR="005D4F0C" w:rsidRPr="00052AFA">
        <w:rPr>
          <w:lang w:val="en-GB"/>
        </w:rPr>
        <w:t>To enhance transparency and accountability</w:t>
      </w:r>
      <w:r>
        <w:rPr>
          <w:lang w:val="en-GB"/>
        </w:rPr>
        <w:t xml:space="preserve">, UNDP </w:t>
      </w:r>
      <w:r w:rsidR="0081424A" w:rsidRPr="00052AFA">
        <w:rPr>
          <w:lang w:val="en-GB"/>
        </w:rPr>
        <w:t xml:space="preserve">supported the </w:t>
      </w:r>
      <w:r w:rsidR="00970BDE" w:rsidRPr="00052AFA">
        <w:rPr>
          <w:lang w:val="en-GB"/>
        </w:rPr>
        <w:t>formulat</w:t>
      </w:r>
      <w:r w:rsidR="0081424A" w:rsidRPr="00052AFA">
        <w:rPr>
          <w:lang w:val="en-GB"/>
        </w:rPr>
        <w:t>ion</w:t>
      </w:r>
      <w:r w:rsidR="00F26C0B" w:rsidRPr="00052AFA">
        <w:rPr>
          <w:lang w:val="en-GB"/>
        </w:rPr>
        <w:t xml:space="preserve"> </w:t>
      </w:r>
      <w:r w:rsidR="00817F0C" w:rsidRPr="00052AFA">
        <w:rPr>
          <w:lang w:val="en-GB"/>
        </w:rPr>
        <w:t xml:space="preserve">of </w:t>
      </w:r>
      <w:r w:rsidR="42637333" w:rsidRPr="00052AFA">
        <w:rPr>
          <w:lang w:val="en-GB"/>
        </w:rPr>
        <w:t>a</w:t>
      </w:r>
      <w:r w:rsidR="770ABFDA" w:rsidRPr="00052AFA">
        <w:rPr>
          <w:lang w:val="en-GB"/>
        </w:rPr>
        <w:t xml:space="preserve"> </w:t>
      </w:r>
      <w:r w:rsidR="00BB36B0" w:rsidRPr="00052AFA">
        <w:rPr>
          <w:lang w:val="en-GB"/>
        </w:rPr>
        <w:t>national</w:t>
      </w:r>
      <w:r w:rsidR="00F26C0B" w:rsidRPr="00052AFA">
        <w:rPr>
          <w:lang w:val="en-GB"/>
        </w:rPr>
        <w:t xml:space="preserve"> anti-corruption framework</w:t>
      </w:r>
      <w:r w:rsidR="00BB36B0" w:rsidRPr="00052AFA">
        <w:rPr>
          <w:lang w:val="en-GB"/>
        </w:rPr>
        <w:t>.</w:t>
      </w:r>
      <w:r w:rsidR="001D66AD" w:rsidRPr="00052AFA">
        <w:rPr>
          <w:lang w:val="en-GB"/>
        </w:rPr>
        <w:t xml:space="preserve"> </w:t>
      </w:r>
      <w:r>
        <w:rPr>
          <w:lang w:val="en-GB"/>
        </w:rPr>
        <w:t xml:space="preserve">It </w:t>
      </w:r>
      <w:r w:rsidR="005D4F0C" w:rsidRPr="00052AFA">
        <w:rPr>
          <w:lang w:val="en-GB"/>
        </w:rPr>
        <w:t xml:space="preserve">worked closely with </w:t>
      </w:r>
      <w:r w:rsidR="006D5073" w:rsidRPr="00052AFA">
        <w:rPr>
          <w:lang w:val="en-GB"/>
        </w:rPr>
        <w:t>g</w:t>
      </w:r>
      <w:r w:rsidR="007B3BD7" w:rsidRPr="00052AFA">
        <w:rPr>
          <w:lang w:val="en-GB"/>
        </w:rPr>
        <w:t xml:space="preserve">overnment and </w:t>
      </w:r>
      <w:r w:rsidR="006D5073" w:rsidRPr="00052AFA">
        <w:rPr>
          <w:lang w:val="en-GB"/>
        </w:rPr>
        <w:t>c</w:t>
      </w:r>
      <w:r w:rsidR="00C4622B" w:rsidRPr="00052AFA">
        <w:rPr>
          <w:lang w:val="en-GB"/>
        </w:rPr>
        <w:t xml:space="preserve">ivil </w:t>
      </w:r>
      <w:r w:rsidR="006D5073" w:rsidRPr="00052AFA">
        <w:rPr>
          <w:lang w:val="en-GB"/>
        </w:rPr>
        <w:t>s</w:t>
      </w:r>
      <w:r w:rsidR="00C4622B" w:rsidRPr="00052AFA">
        <w:rPr>
          <w:lang w:val="en-GB"/>
        </w:rPr>
        <w:t xml:space="preserve">ociety </w:t>
      </w:r>
      <w:r w:rsidR="00AD1B6B" w:rsidRPr="00052AFA">
        <w:rPr>
          <w:lang w:val="en-GB"/>
        </w:rPr>
        <w:t>to pass</w:t>
      </w:r>
      <w:r w:rsidR="007B3BD7" w:rsidRPr="00052AFA">
        <w:rPr>
          <w:lang w:val="en-GB"/>
        </w:rPr>
        <w:t xml:space="preserve"> critical </w:t>
      </w:r>
      <w:r w:rsidR="00F8736E" w:rsidRPr="00052AFA">
        <w:rPr>
          <w:lang w:val="en-GB"/>
        </w:rPr>
        <w:t xml:space="preserve">legislation to enhance </w:t>
      </w:r>
      <w:r w:rsidR="007B3BD7" w:rsidRPr="00052AFA">
        <w:rPr>
          <w:lang w:val="en-GB"/>
        </w:rPr>
        <w:t>human rights</w:t>
      </w:r>
      <w:r w:rsidR="00F8736E" w:rsidRPr="00052AFA">
        <w:rPr>
          <w:lang w:val="en-GB"/>
        </w:rPr>
        <w:t>.</w:t>
      </w:r>
      <w:r w:rsidR="00F8736E" w:rsidRPr="00052AFA">
        <w:rPr>
          <w:rStyle w:val="FootnoteReference"/>
          <w:lang w:val="en-GB"/>
        </w:rPr>
        <w:footnoteReference w:id="14"/>
      </w:r>
      <w:r w:rsidR="007B3BD7" w:rsidRPr="00052AFA">
        <w:rPr>
          <w:lang w:val="en-GB"/>
        </w:rPr>
        <w:t xml:space="preserve"> </w:t>
      </w:r>
      <w:r>
        <w:rPr>
          <w:lang w:val="en-GB"/>
        </w:rPr>
        <w:t xml:space="preserve">It </w:t>
      </w:r>
      <w:r w:rsidR="005D4F0C" w:rsidRPr="00052AFA">
        <w:rPr>
          <w:lang w:val="en-GB"/>
        </w:rPr>
        <w:t>helped increase</w:t>
      </w:r>
      <w:r w:rsidR="00711C46" w:rsidRPr="00052AFA">
        <w:rPr>
          <w:lang w:val="en-GB"/>
        </w:rPr>
        <w:t xml:space="preserve"> access to quality basic services nationwide by </w:t>
      </w:r>
      <w:r w:rsidR="00D82255" w:rsidRPr="00052AFA">
        <w:rPr>
          <w:lang w:val="en-GB"/>
        </w:rPr>
        <w:t xml:space="preserve">strengthening planning and </w:t>
      </w:r>
      <w:r w:rsidR="00711C46" w:rsidRPr="00052AFA">
        <w:rPr>
          <w:lang w:val="en-GB"/>
        </w:rPr>
        <w:t>procurement</w:t>
      </w:r>
      <w:r w:rsidR="00E11F07" w:rsidRPr="00052AFA">
        <w:rPr>
          <w:lang w:val="en-GB"/>
        </w:rPr>
        <w:t>.</w:t>
      </w:r>
      <w:r w:rsidR="00711C46" w:rsidRPr="00052AFA">
        <w:rPr>
          <w:lang w:val="en-GB"/>
        </w:rPr>
        <w:t xml:space="preserve"> </w:t>
      </w:r>
      <w:r>
        <w:rPr>
          <w:lang w:val="en-GB"/>
        </w:rPr>
        <w:t xml:space="preserve">UNDP </w:t>
      </w:r>
      <w:r w:rsidR="005D4F0C" w:rsidRPr="00052AFA">
        <w:rPr>
          <w:lang w:val="en-GB"/>
        </w:rPr>
        <w:t>work with</w:t>
      </w:r>
      <w:r w:rsidR="00E11F07" w:rsidRPr="00052AFA">
        <w:rPr>
          <w:lang w:val="en-GB"/>
        </w:rPr>
        <w:t xml:space="preserve"> </w:t>
      </w:r>
      <w:r w:rsidR="006D5073" w:rsidRPr="00052AFA">
        <w:rPr>
          <w:lang w:val="en-GB"/>
        </w:rPr>
        <w:t>c</w:t>
      </w:r>
      <w:r w:rsidR="00E11F07" w:rsidRPr="00052AFA">
        <w:rPr>
          <w:lang w:val="en-GB"/>
        </w:rPr>
        <w:t xml:space="preserve">itizen </w:t>
      </w:r>
      <w:r w:rsidR="006D5073" w:rsidRPr="00052AFA">
        <w:rPr>
          <w:lang w:val="en-GB"/>
        </w:rPr>
        <w:t>m</w:t>
      </w:r>
      <w:r w:rsidR="00AD1B6B" w:rsidRPr="00052AFA">
        <w:rPr>
          <w:lang w:val="en-GB"/>
        </w:rPr>
        <w:t>onitor</w:t>
      </w:r>
      <w:r w:rsidR="00E11F07" w:rsidRPr="00052AFA">
        <w:rPr>
          <w:lang w:val="en-GB"/>
        </w:rPr>
        <w:t xml:space="preserve">s helped </w:t>
      </w:r>
      <w:r w:rsidR="00D82255" w:rsidRPr="00052AFA">
        <w:rPr>
          <w:lang w:val="en-GB"/>
        </w:rPr>
        <w:t>make</w:t>
      </w:r>
      <w:r w:rsidR="00F26C0B" w:rsidRPr="00052AFA">
        <w:rPr>
          <w:lang w:val="en-GB"/>
        </w:rPr>
        <w:t xml:space="preserve"> </w:t>
      </w:r>
      <w:r w:rsidR="00970BDE" w:rsidRPr="00052AFA">
        <w:rPr>
          <w:lang w:val="en-GB"/>
        </w:rPr>
        <w:t>information</w:t>
      </w:r>
      <w:r w:rsidR="00F26C0B" w:rsidRPr="00052AFA">
        <w:rPr>
          <w:lang w:val="en-GB"/>
        </w:rPr>
        <w:t xml:space="preserve"> on revenues, budgets, procurement and audits more accessible to </w:t>
      </w:r>
      <w:r w:rsidR="006D5073" w:rsidRPr="00052AFA">
        <w:rPr>
          <w:lang w:val="en-GB"/>
        </w:rPr>
        <w:t>the public</w:t>
      </w:r>
      <w:r w:rsidR="0041632B" w:rsidRPr="00052AFA">
        <w:rPr>
          <w:lang w:val="en-GB"/>
        </w:rPr>
        <w:t xml:space="preserve">. </w:t>
      </w:r>
      <w:r w:rsidR="00F26C0B" w:rsidRPr="00052AFA">
        <w:rPr>
          <w:lang w:val="en-GB"/>
        </w:rPr>
        <w:t xml:space="preserve">While </w:t>
      </w:r>
      <w:r>
        <w:rPr>
          <w:lang w:val="en-GB"/>
        </w:rPr>
        <w:t xml:space="preserve">UNDP </w:t>
      </w:r>
      <w:r w:rsidR="005D4F0C" w:rsidRPr="00052AFA">
        <w:rPr>
          <w:lang w:val="en-GB"/>
        </w:rPr>
        <w:t>played</w:t>
      </w:r>
      <w:r w:rsidR="00F26C0B" w:rsidRPr="00052AFA">
        <w:rPr>
          <w:lang w:val="en-GB"/>
        </w:rPr>
        <w:t xml:space="preserve"> an important role in strengthening access to justice and human rights</w:t>
      </w:r>
      <w:r w:rsidR="002F1E24" w:rsidRPr="00052AFA">
        <w:rPr>
          <w:lang w:val="en-GB"/>
        </w:rPr>
        <w:t xml:space="preserve"> and</w:t>
      </w:r>
      <w:r w:rsidR="00F26C0B" w:rsidRPr="00052AFA">
        <w:rPr>
          <w:lang w:val="en-GB"/>
        </w:rPr>
        <w:t xml:space="preserve"> </w:t>
      </w:r>
      <w:r>
        <w:rPr>
          <w:lang w:val="en-GB"/>
        </w:rPr>
        <w:t xml:space="preserve">in </w:t>
      </w:r>
      <w:r w:rsidR="00F26C0B" w:rsidRPr="00052AFA">
        <w:rPr>
          <w:lang w:val="en-GB"/>
        </w:rPr>
        <w:t xml:space="preserve">deepening democracy, </w:t>
      </w:r>
      <w:r w:rsidR="007F5FCE" w:rsidRPr="00052AFA">
        <w:rPr>
          <w:lang w:val="en-GB"/>
        </w:rPr>
        <w:t xml:space="preserve">limited and inconsistent funding prevented a systematic approach to </w:t>
      </w:r>
      <w:r>
        <w:rPr>
          <w:lang w:val="en-GB"/>
        </w:rPr>
        <w:t xml:space="preserve">its </w:t>
      </w:r>
      <w:r w:rsidR="00F26C0B" w:rsidRPr="00052AFA">
        <w:rPr>
          <w:lang w:val="en-GB"/>
        </w:rPr>
        <w:t>support</w:t>
      </w:r>
      <w:r w:rsidR="007F5FCE" w:rsidRPr="00052AFA">
        <w:rPr>
          <w:lang w:val="en-GB"/>
        </w:rPr>
        <w:t>.</w:t>
      </w:r>
      <w:r w:rsidR="00E93827" w:rsidRPr="00052AFA">
        <w:rPr>
          <w:rStyle w:val="FootnoteReference"/>
          <w:lang w:val="en-GB"/>
        </w:rPr>
        <w:footnoteReference w:id="15"/>
      </w:r>
      <w:r w:rsidR="00F26C0B" w:rsidRPr="00052AFA">
        <w:rPr>
          <w:lang w:val="en-GB"/>
        </w:rPr>
        <w:t xml:space="preserve"> </w:t>
      </w:r>
      <w:r w:rsidR="003E6BAF" w:rsidRPr="00052AFA">
        <w:rPr>
          <w:lang w:val="en-GB"/>
        </w:rPr>
        <w:t xml:space="preserve">To </w:t>
      </w:r>
      <w:r w:rsidR="656282BF" w:rsidRPr="00052AFA">
        <w:rPr>
          <w:lang w:val="en-GB"/>
        </w:rPr>
        <w:t xml:space="preserve">increase </w:t>
      </w:r>
      <w:r w:rsidR="15A1C2D3" w:rsidRPr="00052AFA">
        <w:rPr>
          <w:lang w:val="en-GB"/>
        </w:rPr>
        <w:t xml:space="preserve">the </w:t>
      </w:r>
      <w:r w:rsidR="55F0B950" w:rsidRPr="00052AFA">
        <w:rPr>
          <w:lang w:val="en-GB"/>
        </w:rPr>
        <w:t xml:space="preserve">future </w:t>
      </w:r>
      <w:r w:rsidR="15A1C2D3" w:rsidRPr="00052AFA">
        <w:rPr>
          <w:lang w:val="en-GB"/>
        </w:rPr>
        <w:t xml:space="preserve">impact of </w:t>
      </w:r>
      <w:r>
        <w:rPr>
          <w:lang w:val="en-GB"/>
        </w:rPr>
        <w:t xml:space="preserve">UNDP </w:t>
      </w:r>
      <w:r w:rsidR="003E6BAF" w:rsidRPr="00052AFA">
        <w:rPr>
          <w:lang w:val="en-GB"/>
        </w:rPr>
        <w:t>governance initiatives</w:t>
      </w:r>
      <w:r w:rsidR="2DB76E14" w:rsidRPr="00052AFA">
        <w:rPr>
          <w:lang w:val="en-GB"/>
        </w:rPr>
        <w:t>,</w:t>
      </w:r>
      <w:r w:rsidR="003E6BAF" w:rsidRPr="00052AFA">
        <w:rPr>
          <w:lang w:val="en-GB"/>
        </w:rPr>
        <w:t xml:space="preserve"> </w:t>
      </w:r>
      <w:r w:rsidR="00061EA9">
        <w:rPr>
          <w:lang w:val="en-GB"/>
        </w:rPr>
        <w:t>these</w:t>
      </w:r>
      <w:r w:rsidR="00061EA9" w:rsidRPr="00052AFA">
        <w:rPr>
          <w:lang w:val="en-GB"/>
        </w:rPr>
        <w:t xml:space="preserve"> </w:t>
      </w:r>
      <w:r w:rsidR="003E6BAF" w:rsidRPr="00052AFA">
        <w:rPr>
          <w:lang w:val="en-GB"/>
        </w:rPr>
        <w:t xml:space="preserve">will </w:t>
      </w:r>
      <w:r w:rsidR="007F5FCE" w:rsidRPr="00052AFA">
        <w:rPr>
          <w:lang w:val="en-GB"/>
        </w:rPr>
        <w:t xml:space="preserve">need to be </w:t>
      </w:r>
      <w:r w:rsidR="46579EAB" w:rsidRPr="00052AFA">
        <w:rPr>
          <w:lang w:val="en-GB"/>
        </w:rPr>
        <w:t xml:space="preserve">consistently </w:t>
      </w:r>
      <w:r w:rsidR="007F5FCE" w:rsidRPr="00052AFA">
        <w:rPr>
          <w:lang w:val="en-GB"/>
        </w:rPr>
        <w:t>inco</w:t>
      </w:r>
      <w:r w:rsidR="00EB313F" w:rsidRPr="00052AFA">
        <w:rPr>
          <w:lang w:val="en-GB"/>
        </w:rPr>
        <w:t xml:space="preserve">rporated as </w:t>
      </w:r>
      <w:r w:rsidR="003E6BAF" w:rsidRPr="00052AFA">
        <w:rPr>
          <w:lang w:val="en-GB"/>
        </w:rPr>
        <w:t xml:space="preserve">crosscutting interventions </w:t>
      </w:r>
      <w:r>
        <w:rPr>
          <w:lang w:val="en-GB"/>
        </w:rPr>
        <w:t xml:space="preserve">in its </w:t>
      </w:r>
      <w:r w:rsidR="007F5FCE" w:rsidRPr="00052AFA">
        <w:rPr>
          <w:lang w:val="en-GB"/>
        </w:rPr>
        <w:t>thematic areas of engagement</w:t>
      </w:r>
      <w:r w:rsidR="00F26C0B" w:rsidRPr="00052AFA">
        <w:rPr>
          <w:lang w:val="en-GB"/>
        </w:rPr>
        <w:t>.</w:t>
      </w:r>
      <w:r w:rsidR="001D66AD" w:rsidRPr="00052AFA">
        <w:rPr>
          <w:lang w:val="en-GB"/>
        </w:rPr>
        <w:t xml:space="preserve"> </w:t>
      </w:r>
    </w:p>
    <w:p w14:paraId="2D434BCE" w14:textId="18F30C4A" w:rsidR="00BE0607" w:rsidRPr="00052AFA" w:rsidRDefault="00BE0607" w:rsidP="001751AC">
      <w:pPr>
        <w:pStyle w:val="ListParagraph"/>
        <w:tabs>
          <w:tab w:val="left" w:pos="1080"/>
        </w:tabs>
        <w:ind w:left="1170" w:right="4"/>
        <w:contextualSpacing/>
        <w:jc w:val="both"/>
        <w:rPr>
          <w:sz w:val="12"/>
          <w:szCs w:val="12"/>
          <w:lang w:val="en-GB"/>
        </w:rPr>
      </w:pPr>
    </w:p>
    <w:p w14:paraId="45C52A62" w14:textId="6CA4606C" w:rsidR="008734BA" w:rsidRPr="00052AFA" w:rsidRDefault="00186A69" w:rsidP="001751AC">
      <w:pPr>
        <w:pStyle w:val="ListParagraph"/>
        <w:numPr>
          <w:ilvl w:val="0"/>
          <w:numId w:val="17"/>
        </w:numPr>
        <w:tabs>
          <w:tab w:val="left" w:pos="1080"/>
        </w:tabs>
        <w:ind w:left="1170" w:right="4" w:firstLine="0"/>
        <w:contextualSpacing/>
        <w:jc w:val="both"/>
        <w:rPr>
          <w:lang w:val="en-GB"/>
        </w:rPr>
      </w:pPr>
      <w:r w:rsidRPr="00715998">
        <w:rPr>
          <w:bCs/>
          <w:i/>
          <w:iCs/>
          <w:lang w:val="en-GB"/>
        </w:rPr>
        <w:t>C</w:t>
      </w:r>
      <w:r w:rsidR="00071404" w:rsidRPr="00715998">
        <w:rPr>
          <w:bCs/>
          <w:i/>
          <w:iCs/>
          <w:lang w:val="en-GB"/>
        </w:rPr>
        <w:t xml:space="preserve">limate </w:t>
      </w:r>
      <w:r w:rsidR="0081424A" w:rsidRPr="00715998">
        <w:rPr>
          <w:bCs/>
          <w:i/>
          <w:iCs/>
          <w:lang w:val="en-GB"/>
        </w:rPr>
        <w:t>c</w:t>
      </w:r>
      <w:r w:rsidR="00071404" w:rsidRPr="00715998">
        <w:rPr>
          <w:bCs/>
          <w:i/>
          <w:iCs/>
          <w:lang w:val="en-GB"/>
        </w:rPr>
        <w:t>hange</w:t>
      </w:r>
      <w:r w:rsidR="004C7917" w:rsidRPr="00715998">
        <w:rPr>
          <w:bCs/>
          <w:i/>
          <w:iCs/>
          <w:lang w:val="en-GB"/>
        </w:rPr>
        <w:t xml:space="preserve"> adaptation</w:t>
      </w:r>
      <w:r w:rsidR="00071404" w:rsidRPr="00715998">
        <w:rPr>
          <w:bCs/>
          <w:i/>
          <w:iCs/>
          <w:lang w:val="en-GB"/>
        </w:rPr>
        <w:t xml:space="preserve"> </w:t>
      </w:r>
      <w:r w:rsidRPr="00715998">
        <w:rPr>
          <w:bCs/>
          <w:i/>
          <w:iCs/>
          <w:lang w:val="en-GB"/>
        </w:rPr>
        <w:t xml:space="preserve">and mitigation </w:t>
      </w:r>
      <w:r w:rsidR="00E23741" w:rsidRPr="00715998">
        <w:rPr>
          <w:bCs/>
          <w:i/>
          <w:iCs/>
          <w:lang w:val="en-GB"/>
        </w:rPr>
        <w:t>have</w:t>
      </w:r>
      <w:r w:rsidR="00071404" w:rsidRPr="00715998">
        <w:rPr>
          <w:bCs/>
          <w:i/>
          <w:iCs/>
          <w:lang w:val="en-GB"/>
        </w:rPr>
        <w:t xml:space="preserve"> been a cornerstone of </w:t>
      </w:r>
      <w:r w:rsidR="00195A5D" w:rsidRPr="00715998">
        <w:rPr>
          <w:bCs/>
          <w:i/>
          <w:iCs/>
          <w:lang w:val="en-GB"/>
        </w:rPr>
        <w:t xml:space="preserve">the </w:t>
      </w:r>
      <w:r w:rsidR="00071404" w:rsidRPr="00715998">
        <w:rPr>
          <w:bCs/>
          <w:i/>
          <w:iCs/>
          <w:lang w:val="en-GB"/>
        </w:rPr>
        <w:t>country programme.</w:t>
      </w:r>
      <w:r w:rsidR="00071404" w:rsidRPr="00195A5D">
        <w:rPr>
          <w:lang w:val="en-GB"/>
        </w:rPr>
        <w:t xml:space="preserve"> </w:t>
      </w:r>
      <w:r w:rsidR="00195A5D">
        <w:rPr>
          <w:lang w:val="en-GB"/>
        </w:rPr>
        <w:t xml:space="preserve">UNDP </w:t>
      </w:r>
      <w:r w:rsidR="002141FE" w:rsidRPr="00052AFA">
        <w:rPr>
          <w:lang w:val="en-GB"/>
        </w:rPr>
        <w:t xml:space="preserve">provided technical assistance and guidance </w:t>
      </w:r>
      <w:r w:rsidR="5A291E64" w:rsidRPr="00052AFA">
        <w:rPr>
          <w:lang w:val="en-GB"/>
        </w:rPr>
        <w:t>t</w:t>
      </w:r>
      <w:r w:rsidR="433B737B" w:rsidRPr="00052AFA">
        <w:rPr>
          <w:lang w:val="en-GB"/>
        </w:rPr>
        <w:t>o help</w:t>
      </w:r>
      <w:r w:rsidR="5A291E64" w:rsidRPr="00052AFA">
        <w:rPr>
          <w:lang w:val="en-GB"/>
        </w:rPr>
        <w:t xml:space="preserve"> formulat</w:t>
      </w:r>
      <w:r w:rsidR="433B737B" w:rsidRPr="00052AFA">
        <w:rPr>
          <w:lang w:val="en-GB"/>
        </w:rPr>
        <w:t>e</w:t>
      </w:r>
      <w:r w:rsidR="00071404" w:rsidRPr="00052AFA">
        <w:rPr>
          <w:lang w:val="en-GB"/>
        </w:rPr>
        <w:t xml:space="preserve"> the </w:t>
      </w:r>
      <w:r w:rsidR="00195A5D">
        <w:rPr>
          <w:lang w:val="en-GB"/>
        </w:rPr>
        <w:t>i</w:t>
      </w:r>
      <w:r w:rsidR="00071404" w:rsidRPr="00052AFA">
        <w:rPr>
          <w:lang w:val="en-GB"/>
        </w:rPr>
        <w:t xml:space="preserve">ntended </w:t>
      </w:r>
      <w:r w:rsidR="00195A5D">
        <w:rPr>
          <w:lang w:val="en-GB"/>
        </w:rPr>
        <w:t>n</w:t>
      </w:r>
      <w:r w:rsidR="00071404" w:rsidRPr="00052AFA">
        <w:rPr>
          <w:lang w:val="en-GB"/>
        </w:rPr>
        <w:t xml:space="preserve">ationally </w:t>
      </w:r>
      <w:r w:rsidR="00195A5D">
        <w:rPr>
          <w:lang w:val="en-GB"/>
        </w:rPr>
        <w:t>d</w:t>
      </w:r>
      <w:r w:rsidR="00071404" w:rsidRPr="00052AFA">
        <w:rPr>
          <w:lang w:val="en-GB"/>
        </w:rPr>
        <w:t xml:space="preserve">etermined </w:t>
      </w:r>
      <w:r w:rsidR="00195A5D">
        <w:rPr>
          <w:lang w:val="en-GB"/>
        </w:rPr>
        <w:t>c</w:t>
      </w:r>
      <w:r w:rsidR="00071404" w:rsidRPr="00052AFA">
        <w:rPr>
          <w:lang w:val="en-GB"/>
        </w:rPr>
        <w:t>ontributions</w:t>
      </w:r>
      <w:r w:rsidR="00EF33C0" w:rsidRPr="00052AFA">
        <w:rPr>
          <w:lang w:val="en-GB"/>
        </w:rPr>
        <w:t xml:space="preserve"> to the United Nations Framework </w:t>
      </w:r>
      <w:r w:rsidR="00195A5D">
        <w:rPr>
          <w:lang w:val="en-GB"/>
        </w:rPr>
        <w:t xml:space="preserve">Convention </w:t>
      </w:r>
      <w:r w:rsidR="00EF33C0" w:rsidRPr="00052AFA">
        <w:rPr>
          <w:lang w:val="en-GB"/>
        </w:rPr>
        <w:t>on Climate Change</w:t>
      </w:r>
      <w:r w:rsidR="00A721AB">
        <w:rPr>
          <w:lang w:val="en-GB"/>
        </w:rPr>
        <w:t xml:space="preserve"> (UNFCCC)</w:t>
      </w:r>
      <w:r w:rsidR="00071404" w:rsidRPr="00052AFA">
        <w:rPr>
          <w:lang w:val="en-GB"/>
        </w:rPr>
        <w:t>.</w:t>
      </w:r>
      <w:r w:rsidR="006D5073" w:rsidRPr="00052AFA">
        <w:rPr>
          <w:rStyle w:val="FootnoteReference"/>
          <w:lang w:val="en-GB"/>
        </w:rPr>
        <w:footnoteReference w:id="16"/>
      </w:r>
      <w:r w:rsidR="00071404" w:rsidRPr="00052AFA">
        <w:rPr>
          <w:lang w:val="en-GB"/>
        </w:rPr>
        <w:t xml:space="preserve"> </w:t>
      </w:r>
      <w:r w:rsidR="00195A5D">
        <w:rPr>
          <w:lang w:val="en-GB"/>
        </w:rPr>
        <w:t xml:space="preserve">It </w:t>
      </w:r>
      <w:r w:rsidR="00E23741" w:rsidRPr="00052AFA">
        <w:rPr>
          <w:lang w:val="en-GB"/>
        </w:rPr>
        <w:t xml:space="preserve">piloted </w:t>
      </w:r>
      <w:r w:rsidR="00716732" w:rsidRPr="00052AFA">
        <w:rPr>
          <w:lang w:val="en-GB"/>
        </w:rPr>
        <w:t xml:space="preserve">an </w:t>
      </w:r>
      <w:r w:rsidR="00071404" w:rsidRPr="00052AFA">
        <w:rPr>
          <w:lang w:val="en-GB"/>
        </w:rPr>
        <w:t>innovative weather index-based</w:t>
      </w:r>
      <w:r w:rsidR="00893C6C" w:rsidRPr="00052AFA">
        <w:rPr>
          <w:lang w:val="en-GB"/>
        </w:rPr>
        <w:t xml:space="preserve"> climate insurance </w:t>
      </w:r>
      <w:r w:rsidR="00851188" w:rsidRPr="00052AFA">
        <w:rPr>
          <w:lang w:val="en-GB"/>
        </w:rPr>
        <w:t xml:space="preserve">that </w:t>
      </w:r>
      <w:r w:rsidR="00893C6C" w:rsidRPr="00052AFA">
        <w:rPr>
          <w:lang w:val="en-GB"/>
        </w:rPr>
        <w:t>provid</w:t>
      </w:r>
      <w:r w:rsidR="4E13A10C" w:rsidRPr="00052AFA">
        <w:rPr>
          <w:lang w:val="en-GB"/>
        </w:rPr>
        <w:t>e</w:t>
      </w:r>
      <w:r w:rsidR="00195A5D">
        <w:rPr>
          <w:lang w:val="en-GB"/>
        </w:rPr>
        <w:t>s</w:t>
      </w:r>
      <w:r w:rsidR="00071404" w:rsidRPr="00052AFA">
        <w:rPr>
          <w:lang w:val="en-GB"/>
        </w:rPr>
        <w:t xml:space="preserve"> </w:t>
      </w:r>
      <w:r w:rsidR="004C7917" w:rsidRPr="00052AFA">
        <w:rPr>
          <w:lang w:val="en-GB"/>
        </w:rPr>
        <w:t xml:space="preserve">rapid </w:t>
      </w:r>
      <w:r w:rsidR="00071404" w:rsidRPr="00052AFA">
        <w:rPr>
          <w:lang w:val="en-GB"/>
        </w:rPr>
        <w:t>compensation</w:t>
      </w:r>
      <w:r w:rsidR="00CA02B7" w:rsidRPr="00052AFA">
        <w:rPr>
          <w:lang w:val="en-GB"/>
        </w:rPr>
        <w:t xml:space="preserve"> to </w:t>
      </w:r>
      <w:r w:rsidR="006D45D0" w:rsidRPr="00052AFA">
        <w:rPr>
          <w:lang w:val="en-GB"/>
        </w:rPr>
        <w:t xml:space="preserve">poor </w:t>
      </w:r>
      <w:r w:rsidR="00CA02B7" w:rsidRPr="00052AFA">
        <w:rPr>
          <w:lang w:val="en-GB"/>
        </w:rPr>
        <w:t xml:space="preserve">farmers. </w:t>
      </w:r>
      <w:r w:rsidR="00195A5D">
        <w:rPr>
          <w:lang w:val="en-GB"/>
        </w:rPr>
        <w:t xml:space="preserve">UNDP </w:t>
      </w:r>
      <w:r w:rsidR="00893C6C" w:rsidRPr="00052AFA">
        <w:rPr>
          <w:lang w:val="en-GB"/>
        </w:rPr>
        <w:t>support</w:t>
      </w:r>
      <w:r w:rsidR="002141FE" w:rsidRPr="00052AFA">
        <w:rPr>
          <w:lang w:val="en-GB"/>
        </w:rPr>
        <w:t xml:space="preserve"> for the production of</w:t>
      </w:r>
      <w:r w:rsidR="00893C6C" w:rsidRPr="00052AFA">
        <w:rPr>
          <w:lang w:val="en-GB"/>
        </w:rPr>
        <w:t xml:space="preserve"> </w:t>
      </w:r>
      <w:r w:rsidR="00071404" w:rsidRPr="00052AFA">
        <w:rPr>
          <w:lang w:val="en-GB"/>
        </w:rPr>
        <w:t>climate</w:t>
      </w:r>
      <w:r w:rsidR="004C7917" w:rsidRPr="00052AFA">
        <w:rPr>
          <w:lang w:val="en-GB"/>
        </w:rPr>
        <w:t>-</w:t>
      </w:r>
      <w:r w:rsidR="00071404" w:rsidRPr="00052AFA">
        <w:rPr>
          <w:lang w:val="en-GB"/>
        </w:rPr>
        <w:t>adjusted multi</w:t>
      </w:r>
      <w:r w:rsidR="004C7917" w:rsidRPr="00052AFA">
        <w:rPr>
          <w:lang w:val="en-GB"/>
        </w:rPr>
        <w:t>-</w:t>
      </w:r>
      <w:r w:rsidR="00071404" w:rsidRPr="00052AFA">
        <w:rPr>
          <w:lang w:val="en-GB"/>
        </w:rPr>
        <w:t xml:space="preserve">hazard maps </w:t>
      </w:r>
      <w:r w:rsidR="00E11F07" w:rsidRPr="00052AFA">
        <w:rPr>
          <w:lang w:val="en-GB"/>
        </w:rPr>
        <w:t>and an open source climate-exposure database</w:t>
      </w:r>
      <w:r w:rsidR="00893C6C" w:rsidRPr="00052AFA">
        <w:rPr>
          <w:lang w:val="en-GB"/>
        </w:rPr>
        <w:t xml:space="preserve"> </w:t>
      </w:r>
      <w:r w:rsidR="00E11F07" w:rsidRPr="00052AFA">
        <w:rPr>
          <w:lang w:val="en-GB"/>
        </w:rPr>
        <w:t>provide</w:t>
      </w:r>
      <w:r w:rsidR="006D45D0" w:rsidRPr="00052AFA">
        <w:rPr>
          <w:lang w:val="en-GB"/>
        </w:rPr>
        <w:t>s</w:t>
      </w:r>
      <w:r w:rsidR="00E11F07" w:rsidRPr="00052AFA">
        <w:rPr>
          <w:lang w:val="en-GB"/>
        </w:rPr>
        <w:t xml:space="preserve"> the basis for risk</w:t>
      </w:r>
      <w:r w:rsidR="00195A5D">
        <w:rPr>
          <w:lang w:val="en-GB"/>
        </w:rPr>
        <w:t>-</w:t>
      </w:r>
      <w:r w:rsidR="00E11F07" w:rsidRPr="00052AFA">
        <w:rPr>
          <w:lang w:val="en-GB"/>
        </w:rPr>
        <w:t>informed development plan</w:t>
      </w:r>
      <w:r w:rsidR="006D45D0" w:rsidRPr="00052AFA">
        <w:rPr>
          <w:lang w:val="en-GB"/>
        </w:rPr>
        <w:t>ning</w:t>
      </w:r>
      <w:r w:rsidR="00E11F07" w:rsidRPr="00052AFA">
        <w:rPr>
          <w:lang w:val="en-GB"/>
        </w:rPr>
        <w:t xml:space="preserve">, </w:t>
      </w:r>
      <w:r w:rsidR="00071404" w:rsidRPr="00052AFA">
        <w:rPr>
          <w:lang w:val="en-GB"/>
        </w:rPr>
        <w:t xml:space="preserve">investments, construction standards, preparedness, </w:t>
      </w:r>
      <w:r w:rsidR="00E11F07" w:rsidRPr="00052AFA">
        <w:rPr>
          <w:lang w:val="en-GB"/>
        </w:rPr>
        <w:t xml:space="preserve">and </w:t>
      </w:r>
      <w:r w:rsidR="00071404" w:rsidRPr="00052AFA">
        <w:rPr>
          <w:lang w:val="en-GB"/>
        </w:rPr>
        <w:t xml:space="preserve">contingency </w:t>
      </w:r>
      <w:r w:rsidR="006D45D0" w:rsidRPr="00052AFA">
        <w:rPr>
          <w:lang w:val="en-GB"/>
        </w:rPr>
        <w:t>arrangements across</w:t>
      </w:r>
      <w:r w:rsidR="00E11F07" w:rsidRPr="00052AFA">
        <w:rPr>
          <w:lang w:val="en-GB"/>
        </w:rPr>
        <w:t xml:space="preserve"> the country.</w:t>
      </w:r>
      <w:r w:rsidR="00071404" w:rsidRPr="00052AFA">
        <w:rPr>
          <w:lang w:val="en-GB"/>
        </w:rPr>
        <w:t xml:space="preserve"> For municipalities </w:t>
      </w:r>
      <w:r w:rsidR="00E11F07" w:rsidRPr="00052AFA">
        <w:rPr>
          <w:lang w:val="en-GB"/>
        </w:rPr>
        <w:t xml:space="preserve">ravaged </w:t>
      </w:r>
      <w:r w:rsidR="00071404" w:rsidRPr="00052AFA">
        <w:rPr>
          <w:lang w:val="en-GB"/>
        </w:rPr>
        <w:t xml:space="preserve">by </w:t>
      </w:r>
      <w:r w:rsidR="00195A5D">
        <w:rPr>
          <w:lang w:val="en-GB"/>
        </w:rPr>
        <w:t>s</w:t>
      </w:r>
      <w:r w:rsidR="00071404" w:rsidRPr="00052AFA">
        <w:rPr>
          <w:lang w:val="en-GB"/>
        </w:rPr>
        <w:t xml:space="preserve">uper </w:t>
      </w:r>
      <w:r w:rsidR="00195A5D">
        <w:rPr>
          <w:lang w:val="en-GB"/>
        </w:rPr>
        <w:t>t</w:t>
      </w:r>
      <w:r w:rsidR="00071404" w:rsidRPr="00052AFA">
        <w:rPr>
          <w:lang w:val="en-GB"/>
        </w:rPr>
        <w:t xml:space="preserve">yphoon Haiyan, </w:t>
      </w:r>
      <w:r w:rsidR="002141FE" w:rsidRPr="00052AFA">
        <w:rPr>
          <w:lang w:val="en-GB"/>
        </w:rPr>
        <w:t>the</w:t>
      </w:r>
      <w:r w:rsidR="002A4739" w:rsidRPr="00052AFA">
        <w:rPr>
          <w:lang w:val="en-GB"/>
        </w:rPr>
        <w:t xml:space="preserve"> </w:t>
      </w:r>
      <w:r w:rsidR="00893C6C" w:rsidRPr="00052AFA">
        <w:rPr>
          <w:lang w:val="en-GB"/>
        </w:rPr>
        <w:t>evacuation centr</w:t>
      </w:r>
      <w:r w:rsidR="00195A5D">
        <w:rPr>
          <w:lang w:val="en-GB"/>
        </w:rPr>
        <w:t>e</w:t>
      </w:r>
      <w:r w:rsidR="002A4739" w:rsidRPr="00052AFA">
        <w:rPr>
          <w:lang w:val="en-GB"/>
        </w:rPr>
        <w:t>s</w:t>
      </w:r>
      <w:r w:rsidR="002141FE" w:rsidRPr="00052AFA">
        <w:rPr>
          <w:lang w:val="en-GB"/>
        </w:rPr>
        <w:t xml:space="preserve"> </w:t>
      </w:r>
      <w:r w:rsidR="00195A5D">
        <w:rPr>
          <w:lang w:val="en-GB"/>
        </w:rPr>
        <w:t xml:space="preserve">UNDP </w:t>
      </w:r>
      <w:r w:rsidR="002141FE" w:rsidRPr="00052AFA">
        <w:rPr>
          <w:lang w:val="en-GB"/>
        </w:rPr>
        <w:t>built, the</w:t>
      </w:r>
      <w:r w:rsidR="002A4739" w:rsidRPr="00052AFA">
        <w:rPr>
          <w:lang w:val="en-GB"/>
        </w:rPr>
        <w:t xml:space="preserve"> </w:t>
      </w:r>
      <w:r w:rsidR="006D45D0" w:rsidRPr="00052AFA">
        <w:rPr>
          <w:lang w:val="en-GB"/>
        </w:rPr>
        <w:t xml:space="preserve">disaster risk reduction and management </w:t>
      </w:r>
      <w:r w:rsidR="00071404" w:rsidRPr="00052AFA">
        <w:rPr>
          <w:lang w:val="en-GB"/>
        </w:rPr>
        <w:t>training</w:t>
      </w:r>
      <w:r w:rsidR="002141FE" w:rsidRPr="00052AFA">
        <w:rPr>
          <w:lang w:val="en-GB"/>
        </w:rPr>
        <w:t xml:space="preserve"> </w:t>
      </w:r>
      <w:r w:rsidR="00195A5D">
        <w:rPr>
          <w:lang w:val="en-GB"/>
        </w:rPr>
        <w:t xml:space="preserve">it </w:t>
      </w:r>
      <w:r w:rsidR="002141FE" w:rsidRPr="00052AFA">
        <w:rPr>
          <w:lang w:val="en-GB"/>
        </w:rPr>
        <w:t xml:space="preserve">provided and </w:t>
      </w:r>
      <w:r w:rsidR="00195A5D">
        <w:rPr>
          <w:lang w:val="en-GB"/>
        </w:rPr>
        <w:t xml:space="preserve">its </w:t>
      </w:r>
      <w:r w:rsidR="00E11F07" w:rsidRPr="00052AFA">
        <w:rPr>
          <w:lang w:val="en-GB"/>
        </w:rPr>
        <w:t xml:space="preserve">support for </w:t>
      </w:r>
      <w:r w:rsidR="00071404" w:rsidRPr="00052AFA">
        <w:rPr>
          <w:lang w:val="en-GB"/>
        </w:rPr>
        <w:t>sustainable livelihood</w:t>
      </w:r>
      <w:r w:rsidR="002A4739" w:rsidRPr="00052AFA">
        <w:rPr>
          <w:lang w:val="en-GB"/>
        </w:rPr>
        <w:t xml:space="preserve">s helped </w:t>
      </w:r>
      <w:r w:rsidR="006F370E" w:rsidRPr="00052AFA">
        <w:rPr>
          <w:lang w:val="en-GB"/>
        </w:rPr>
        <w:t xml:space="preserve">thousands of families </w:t>
      </w:r>
      <w:r w:rsidR="002A4739" w:rsidRPr="00052AFA">
        <w:rPr>
          <w:lang w:val="en-GB"/>
        </w:rPr>
        <w:t>o</w:t>
      </w:r>
      <w:r w:rsidR="00E11F07" w:rsidRPr="00052AFA">
        <w:rPr>
          <w:lang w:val="en-GB"/>
        </w:rPr>
        <w:t xml:space="preserve">n the </w:t>
      </w:r>
      <w:r w:rsidR="002A4739" w:rsidRPr="00052AFA">
        <w:rPr>
          <w:lang w:val="en-GB"/>
        </w:rPr>
        <w:t>road to recovery</w:t>
      </w:r>
      <w:r w:rsidR="00071404" w:rsidRPr="00052AFA">
        <w:rPr>
          <w:lang w:val="en-GB"/>
        </w:rPr>
        <w:t xml:space="preserve">. </w:t>
      </w:r>
      <w:r w:rsidR="00195A5D">
        <w:rPr>
          <w:lang w:val="en-GB"/>
        </w:rPr>
        <w:t xml:space="preserve">UNDP </w:t>
      </w:r>
      <w:r w:rsidR="002141FE" w:rsidRPr="00052AFA">
        <w:rPr>
          <w:lang w:val="en-GB"/>
        </w:rPr>
        <w:t xml:space="preserve">can do more by helping to integrate </w:t>
      </w:r>
      <w:r w:rsidR="00195A5D">
        <w:rPr>
          <w:lang w:val="en-GB"/>
        </w:rPr>
        <w:t xml:space="preserve">its </w:t>
      </w:r>
      <w:r w:rsidR="002141FE" w:rsidRPr="00052AFA">
        <w:rPr>
          <w:lang w:val="en-GB"/>
        </w:rPr>
        <w:t>p</w:t>
      </w:r>
      <w:r w:rsidR="00071404" w:rsidRPr="00052AFA">
        <w:rPr>
          <w:lang w:val="en-GB"/>
        </w:rPr>
        <w:t>ost</w:t>
      </w:r>
      <w:r w:rsidR="00DD12A9" w:rsidRPr="00052AFA">
        <w:rPr>
          <w:lang w:val="en-GB"/>
        </w:rPr>
        <w:t>-</w:t>
      </w:r>
      <w:r w:rsidR="00071404" w:rsidRPr="00052AFA">
        <w:rPr>
          <w:lang w:val="en-GB"/>
        </w:rPr>
        <w:t>disaster recovery interventions into longer</w:t>
      </w:r>
      <w:r w:rsidR="00DD12A9" w:rsidRPr="00052AFA">
        <w:rPr>
          <w:lang w:val="en-GB"/>
        </w:rPr>
        <w:t>-</w:t>
      </w:r>
      <w:r w:rsidR="00071404" w:rsidRPr="00052AFA">
        <w:rPr>
          <w:lang w:val="en-GB"/>
        </w:rPr>
        <w:t xml:space="preserve">term support </w:t>
      </w:r>
      <w:r w:rsidR="006D45D0" w:rsidRPr="00052AFA">
        <w:rPr>
          <w:lang w:val="en-GB"/>
        </w:rPr>
        <w:t xml:space="preserve">to </w:t>
      </w:r>
      <w:r w:rsidR="00071404" w:rsidRPr="00052AFA">
        <w:rPr>
          <w:lang w:val="en-GB"/>
        </w:rPr>
        <w:t>build the institutions and systems for disaster risk reduction and management.</w:t>
      </w:r>
      <w:r w:rsidR="00365F7E" w:rsidRPr="00052AFA">
        <w:rPr>
          <w:rStyle w:val="FootnoteReference"/>
          <w:lang w:val="en-GB"/>
        </w:rPr>
        <w:footnoteReference w:id="17"/>
      </w:r>
      <w:r w:rsidR="001D66AD" w:rsidRPr="00052AFA">
        <w:rPr>
          <w:lang w:val="en-GB"/>
        </w:rPr>
        <w:t xml:space="preserve"> </w:t>
      </w:r>
      <w:r w:rsidR="006D45D0" w:rsidRPr="00052AFA">
        <w:rPr>
          <w:lang w:val="en-GB"/>
        </w:rPr>
        <w:t xml:space="preserve">To strengthen national mitigation and adaptive measures, </w:t>
      </w:r>
      <w:r w:rsidR="00195A5D">
        <w:rPr>
          <w:lang w:val="en-GB"/>
        </w:rPr>
        <w:t xml:space="preserve">UNDP </w:t>
      </w:r>
      <w:r w:rsidR="002141FE" w:rsidRPr="00052AFA">
        <w:rPr>
          <w:lang w:val="en-GB"/>
        </w:rPr>
        <w:t>can help</w:t>
      </w:r>
      <w:r w:rsidR="003E6BAF" w:rsidRPr="00052AFA">
        <w:rPr>
          <w:lang w:val="en-GB"/>
        </w:rPr>
        <w:t xml:space="preserve"> </w:t>
      </w:r>
      <w:r w:rsidR="006D45D0" w:rsidRPr="00052AFA">
        <w:rPr>
          <w:lang w:val="en-GB"/>
        </w:rPr>
        <w:t xml:space="preserve">improve </w:t>
      </w:r>
      <w:r w:rsidR="00071404" w:rsidRPr="00052AFA">
        <w:rPr>
          <w:lang w:val="en-GB"/>
        </w:rPr>
        <w:t>understand</w:t>
      </w:r>
      <w:r w:rsidR="002141FE" w:rsidRPr="00052AFA">
        <w:rPr>
          <w:lang w:val="en-GB"/>
        </w:rPr>
        <w:t>ing of</w:t>
      </w:r>
      <w:r w:rsidR="00071404" w:rsidRPr="00052AFA">
        <w:rPr>
          <w:lang w:val="en-GB"/>
        </w:rPr>
        <w:t xml:space="preserve"> the longer-term consequences of climate change.</w:t>
      </w:r>
    </w:p>
    <w:p w14:paraId="36305D68" w14:textId="77777777" w:rsidR="00071404" w:rsidRPr="00052AFA" w:rsidRDefault="00071404" w:rsidP="001751AC">
      <w:pPr>
        <w:pStyle w:val="ListParagraph"/>
        <w:tabs>
          <w:tab w:val="left" w:pos="1080"/>
        </w:tabs>
        <w:ind w:left="1170" w:right="4"/>
        <w:contextualSpacing/>
        <w:jc w:val="both"/>
        <w:rPr>
          <w:sz w:val="12"/>
          <w:szCs w:val="12"/>
          <w:lang w:val="en-GB"/>
        </w:rPr>
      </w:pPr>
    </w:p>
    <w:p w14:paraId="6A543161" w14:textId="1C055B0C" w:rsidR="005D788B" w:rsidRPr="00052AFA" w:rsidRDefault="009338FA" w:rsidP="001751AC">
      <w:pPr>
        <w:pStyle w:val="ListParagraph"/>
        <w:numPr>
          <w:ilvl w:val="0"/>
          <w:numId w:val="17"/>
        </w:numPr>
        <w:tabs>
          <w:tab w:val="left" w:pos="1080"/>
        </w:tabs>
        <w:ind w:left="1170" w:right="4" w:firstLine="0"/>
        <w:contextualSpacing/>
        <w:jc w:val="both"/>
        <w:rPr>
          <w:lang w:val="en-GB"/>
        </w:rPr>
      </w:pPr>
      <w:r>
        <w:rPr>
          <w:b/>
          <w:bCs/>
          <w:iCs/>
          <w:lang w:val="en-GB"/>
        </w:rPr>
        <w:t xml:space="preserve"> </w:t>
      </w:r>
      <w:r w:rsidR="00B1310B" w:rsidRPr="00715998">
        <w:rPr>
          <w:bCs/>
          <w:i/>
          <w:iCs/>
          <w:lang w:val="en-GB"/>
        </w:rPr>
        <w:t xml:space="preserve">UNDP </w:t>
      </w:r>
      <w:r w:rsidR="00851188" w:rsidRPr="00715998">
        <w:rPr>
          <w:bCs/>
          <w:i/>
          <w:iCs/>
          <w:lang w:val="en-GB"/>
        </w:rPr>
        <w:t xml:space="preserve">worked closely with </w:t>
      </w:r>
      <w:r w:rsidR="00B1310B" w:rsidRPr="00715998">
        <w:rPr>
          <w:bCs/>
          <w:i/>
          <w:iCs/>
          <w:lang w:val="en-GB"/>
        </w:rPr>
        <w:t>the G</w:t>
      </w:r>
      <w:r w:rsidR="00851188" w:rsidRPr="00715998">
        <w:rPr>
          <w:bCs/>
          <w:i/>
          <w:iCs/>
          <w:lang w:val="en-GB"/>
        </w:rPr>
        <w:t>ove</w:t>
      </w:r>
      <w:r w:rsidR="003E6BAF" w:rsidRPr="00715998">
        <w:rPr>
          <w:bCs/>
          <w:i/>
          <w:iCs/>
          <w:lang w:val="en-GB"/>
        </w:rPr>
        <w:t xml:space="preserve">rnment and armed groups to </w:t>
      </w:r>
      <w:r w:rsidR="00851188" w:rsidRPr="00715998">
        <w:rPr>
          <w:bCs/>
          <w:i/>
          <w:iCs/>
          <w:lang w:val="en-GB"/>
        </w:rPr>
        <w:t>find lasting</w:t>
      </w:r>
      <w:r w:rsidR="00893DD0" w:rsidRPr="00715998">
        <w:rPr>
          <w:bCs/>
          <w:i/>
          <w:iCs/>
          <w:lang w:val="en-GB"/>
        </w:rPr>
        <w:t xml:space="preserve"> solutions to long-standing conflict</w:t>
      </w:r>
      <w:r w:rsidR="00F026FB" w:rsidRPr="00715998">
        <w:rPr>
          <w:bCs/>
          <w:i/>
          <w:iCs/>
          <w:lang w:val="en-GB"/>
        </w:rPr>
        <w:t>.</w:t>
      </w:r>
      <w:r w:rsidR="001D66AD" w:rsidRPr="00B1310B">
        <w:rPr>
          <w:lang w:val="en-GB"/>
        </w:rPr>
        <w:t xml:space="preserve"> </w:t>
      </w:r>
      <w:r w:rsidR="00B1310B">
        <w:rPr>
          <w:lang w:val="en-GB"/>
        </w:rPr>
        <w:t xml:space="preserve">UNDP </w:t>
      </w:r>
      <w:r w:rsidR="00851188" w:rsidRPr="00052AFA">
        <w:rPr>
          <w:lang w:val="en-GB"/>
        </w:rPr>
        <w:t>supported</w:t>
      </w:r>
      <w:r w:rsidR="002C7FEE" w:rsidRPr="00052AFA">
        <w:rPr>
          <w:lang w:val="en-GB"/>
        </w:rPr>
        <w:t xml:space="preserve"> </w:t>
      </w:r>
      <w:r w:rsidR="00B957D6" w:rsidRPr="00052AFA">
        <w:rPr>
          <w:lang w:val="en-GB"/>
        </w:rPr>
        <w:t xml:space="preserve">the </w:t>
      </w:r>
      <w:r w:rsidR="005D788B" w:rsidRPr="00052AFA">
        <w:rPr>
          <w:lang w:val="en-GB"/>
        </w:rPr>
        <w:t xml:space="preserve">drafting </w:t>
      </w:r>
      <w:r w:rsidR="00C0583A" w:rsidRPr="00052AFA">
        <w:rPr>
          <w:lang w:val="en-GB"/>
        </w:rPr>
        <w:t xml:space="preserve">of </w:t>
      </w:r>
      <w:r w:rsidR="005D788B" w:rsidRPr="00052AFA">
        <w:rPr>
          <w:lang w:val="en-GB"/>
        </w:rPr>
        <w:t>a new version of the B</w:t>
      </w:r>
      <w:r w:rsidR="00DA01CE" w:rsidRPr="00052AFA">
        <w:rPr>
          <w:lang w:val="en-GB"/>
        </w:rPr>
        <w:t xml:space="preserve">angsamoro </w:t>
      </w:r>
      <w:r w:rsidR="005D788B" w:rsidRPr="00052AFA">
        <w:rPr>
          <w:lang w:val="en-GB"/>
        </w:rPr>
        <w:t>B</w:t>
      </w:r>
      <w:r w:rsidR="00DA01CE" w:rsidRPr="00052AFA">
        <w:rPr>
          <w:lang w:val="en-GB"/>
        </w:rPr>
        <w:t xml:space="preserve">asic </w:t>
      </w:r>
      <w:r w:rsidR="005D788B" w:rsidRPr="00052AFA">
        <w:rPr>
          <w:lang w:val="en-GB"/>
        </w:rPr>
        <w:t>L</w:t>
      </w:r>
      <w:r w:rsidR="00B957D6" w:rsidRPr="00052AFA">
        <w:rPr>
          <w:lang w:val="en-GB"/>
        </w:rPr>
        <w:t xml:space="preserve">aw, </w:t>
      </w:r>
      <w:r w:rsidR="00E13002" w:rsidRPr="00052AFA">
        <w:rPr>
          <w:lang w:val="en-GB"/>
        </w:rPr>
        <w:t>established</w:t>
      </w:r>
      <w:r w:rsidR="00DA01CE" w:rsidRPr="00052AFA">
        <w:rPr>
          <w:lang w:val="en-GB"/>
        </w:rPr>
        <w:t xml:space="preserve"> a high</w:t>
      </w:r>
      <w:r w:rsidR="00C04DA7" w:rsidRPr="00052AFA">
        <w:rPr>
          <w:lang w:val="en-GB"/>
        </w:rPr>
        <w:t xml:space="preserve">-level group </w:t>
      </w:r>
      <w:r w:rsidR="00DA01CE" w:rsidRPr="00052AFA">
        <w:rPr>
          <w:lang w:val="en-GB"/>
        </w:rPr>
        <w:t>comprised of eminent Filipinos</w:t>
      </w:r>
      <w:r w:rsidR="00382D93" w:rsidRPr="00052AFA">
        <w:rPr>
          <w:lang w:val="en-GB"/>
        </w:rPr>
        <w:t xml:space="preserve"> to </w:t>
      </w:r>
      <w:r w:rsidR="00E13002" w:rsidRPr="00052AFA">
        <w:rPr>
          <w:lang w:val="en-GB"/>
        </w:rPr>
        <w:t>advocate</w:t>
      </w:r>
      <w:r w:rsidR="00C0583A" w:rsidRPr="00052AFA">
        <w:rPr>
          <w:lang w:val="en-GB"/>
        </w:rPr>
        <w:t xml:space="preserve"> for the passage of </w:t>
      </w:r>
      <w:r w:rsidR="00893DD0" w:rsidRPr="00052AFA">
        <w:rPr>
          <w:lang w:val="en-GB"/>
        </w:rPr>
        <w:t>the l</w:t>
      </w:r>
      <w:r w:rsidR="00B957D6" w:rsidRPr="00052AFA">
        <w:rPr>
          <w:lang w:val="en-GB"/>
        </w:rPr>
        <w:t>aw</w:t>
      </w:r>
      <w:r w:rsidR="00A5688C" w:rsidRPr="00052AFA">
        <w:rPr>
          <w:lang w:val="en-GB"/>
        </w:rPr>
        <w:t xml:space="preserve">, and </w:t>
      </w:r>
      <w:r w:rsidR="00E23741" w:rsidRPr="00052AFA">
        <w:rPr>
          <w:lang w:val="en-GB"/>
        </w:rPr>
        <w:t>supported</w:t>
      </w:r>
      <w:r w:rsidR="006D45D0" w:rsidRPr="00052AFA">
        <w:rPr>
          <w:lang w:val="en-GB"/>
        </w:rPr>
        <w:t xml:space="preserve"> </w:t>
      </w:r>
      <w:r w:rsidR="00E84F96" w:rsidRPr="00052AFA">
        <w:rPr>
          <w:lang w:val="en-GB"/>
        </w:rPr>
        <w:t xml:space="preserve">influential intermediaries to </w:t>
      </w:r>
      <w:r w:rsidR="00716732" w:rsidRPr="00052AFA">
        <w:rPr>
          <w:lang w:val="en-GB"/>
        </w:rPr>
        <w:t xml:space="preserve">facilitate </w:t>
      </w:r>
      <w:r w:rsidR="00E23741" w:rsidRPr="00052AFA">
        <w:rPr>
          <w:lang w:val="en-GB"/>
        </w:rPr>
        <w:t>converge</w:t>
      </w:r>
      <w:r w:rsidR="00716732" w:rsidRPr="00052AFA">
        <w:rPr>
          <w:lang w:val="en-GB"/>
        </w:rPr>
        <w:t xml:space="preserve">nce </w:t>
      </w:r>
      <w:r w:rsidR="00851188" w:rsidRPr="00052AFA">
        <w:rPr>
          <w:lang w:val="en-GB"/>
        </w:rPr>
        <w:t xml:space="preserve">of </w:t>
      </w:r>
      <w:r w:rsidR="00DA01CE" w:rsidRPr="00052AFA">
        <w:rPr>
          <w:lang w:val="en-GB"/>
        </w:rPr>
        <w:t xml:space="preserve">Moro </w:t>
      </w:r>
      <w:r w:rsidR="00716732" w:rsidRPr="00052AFA">
        <w:rPr>
          <w:lang w:val="en-GB"/>
        </w:rPr>
        <w:t>perspectives</w:t>
      </w:r>
      <w:r w:rsidR="00C0583A" w:rsidRPr="00052AFA">
        <w:rPr>
          <w:lang w:val="en-GB"/>
        </w:rPr>
        <w:t>.</w:t>
      </w:r>
      <w:r w:rsidR="00E93827" w:rsidRPr="00052AFA">
        <w:rPr>
          <w:rStyle w:val="FootnoteReference"/>
          <w:lang w:val="en-GB"/>
        </w:rPr>
        <w:footnoteReference w:id="18"/>
      </w:r>
      <w:r w:rsidR="001D66AD" w:rsidRPr="00052AFA">
        <w:rPr>
          <w:lang w:val="en-GB"/>
        </w:rPr>
        <w:t xml:space="preserve"> </w:t>
      </w:r>
      <w:r w:rsidR="00B1310B">
        <w:rPr>
          <w:lang w:val="en-GB"/>
        </w:rPr>
        <w:t xml:space="preserve">UNDP </w:t>
      </w:r>
      <w:r w:rsidR="00851188" w:rsidRPr="00052AFA">
        <w:rPr>
          <w:lang w:val="en-GB"/>
        </w:rPr>
        <w:t xml:space="preserve">worked with academic institutions and </w:t>
      </w:r>
      <w:r w:rsidR="00B1310B">
        <w:rPr>
          <w:lang w:val="en-GB"/>
        </w:rPr>
        <w:t>the G</w:t>
      </w:r>
      <w:r w:rsidR="00DB145A" w:rsidRPr="00052AFA">
        <w:rPr>
          <w:lang w:val="en-GB"/>
        </w:rPr>
        <w:t>overnment</w:t>
      </w:r>
      <w:r w:rsidR="00851188" w:rsidRPr="00052AFA">
        <w:rPr>
          <w:lang w:val="en-GB"/>
        </w:rPr>
        <w:t xml:space="preserve"> on</w:t>
      </w:r>
      <w:r w:rsidR="005D7621" w:rsidRPr="00052AFA">
        <w:rPr>
          <w:lang w:val="en-GB"/>
        </w:rPr>
        <w:t xml:space="preserve"> </w:t>
      </w:r>
      <w:r w:rsidR="005D788B" w:rsidRPr="00052AFA">
        <w:rPr>
          <w:lang w:val="en-GB"/>
        </w:rPr>
        <w:t>conflict analys</w:t>
      </w:r>
      <w:r w:rsidR="006D45D0" w:rsidRPr="00052AFA">
        <w:rPr>
          <w:lang w:val="en-GB"/>
        </w:rPr>
        <w:t>i</w:t>
      </w:r>
      <w:r w:rsidR="005D788B" w:rsidRPr="00052AFA">
        <w:rPr>
          <w:lang w:val="en-GB"/>
        </w:rPr>
        <w:t xml:space="preserve">s and research </w:t>
      </w:r>
      <w:r w:rsidR="002C7FEE" w:rsidRPr="00052AFA">
        <w:rPr>
          <w:lang w:val="en-GB"/>
        </w:rPr>
        <w:t>on</w:t>
      </w:r>
      <w:r w:rsidR="00840A5B" w:rsidRPr="00052AFA">
        <w:rPr>
          <w:lang w:val="en-GB"/>
        </w:rPr>
        <w:t xml:space="preserve"> violent extremis</w:t>
      </w:r>
      <w:r w:rsidR="000706E2" w:rsidRPr="00052AFA">
        <w:rPr>
          <w:lang w:val="en-GB"/>
        </w:rPr>
        <w:t>m</w:t>
      </w:r>
      <w:r w:rsidR="00B1310B">
        <w:rPr>
          <w:lang w:val="en-GB"/>
        </w:rPr>
        <w:t>,</w:t>
      </w:r>
      <w:r w:rsidR="00840A5B" w:rsidRPr="00052AFA">
        <w:rPr>
          <w:lang w:val="en-GB"/>
        </w:rPr>
        <w:t xml:space="preserve"> and </w:t>
      </w:r>
      <w:r w:rsidR="005D788B" w:rsidRPr="00052AFA">
        <w:rPr>
          <w:lang w:val="en-GB"/>
        </w:rPr>
        <w:t>facilitate</w:t>
      </w:r>
      <w:r w:rsidR="00B957D6" w:rsidRPr="00052AFA">
        <w:rPr>
          <w:lang w:val="en-GB"/>
        </w:rPr>
        <w:t>d</w:t>
      </w:r>
      <w:r w:rsidR="005D788B" w:rsidRPr="00052AFA">
        <w:rPr>
          <w:lang w:val="en-GB"/>
        </w:rPr>
        <w:t xml:space="preserve"> </w:t>
      </w:r>
      <w:r w:rsidR="00840A5B" w:rsidRPr="00052AFA">
        <w:rPr>
          <w:lang w:val="en-GB"/>
        </w:rPr>
        <w:t>knowledge</w:t>
      </w:r>
      <w:r w:rsidR="00B1310B">
        <w:rPr>
          <w:lang w:val="en-GB"/>
        </w:rPr>
        <w:t>-</w:t>
      </w:r>
      <w:r w:rsidR="006D45D0" w:rsidRPr="00052AFA">
        <w:rPr>
          <w:lang w:val="en-GB"/>
        </w:rPr>
        <w:t xml:space="preserve">sharing </w:t>
      </w:r>
      <w:r w:rsidR="002C7FEE" w:rsidRPr="00052AFA">
        <w:rPr>
          <w:lang w:val="en-GB"/>
        </w:rPr>
        <w:t xml:space="preserve">within the </w:t>
      </w:r>
      <w:r w:rsidR="00DB145A" w:rsidRPr="00052AFA">
        <w:rPr>
          <w:lang w:val="en-GB"/>
        </w:rPr>
        <w:t>S</w:t>
      </w:r>
      <w:r w:rsidR="002A4739" w:rsidRPr="00052AFA">
        <w:rPr>
          <w:lang w:val="en-GB"/>
        </w:rPr>
        <w:t>outheast</w:t>
      </w:r>
      <w:r w:rsidR="002C7FEE" w:rsidRPr="00052AFA">
        <w:rPr>
          <w:lang w:val="en-GB"/>
        </w:rPr>
        <w:t xml:space="preserve"> Asian region</w:t>
      </w:r>
      <w:r w:rsidR="000706E2" w:rsidRPr="00052AFA">
        <w:rPr>
          <w:lang w:val="en-GB"/>
        </w:rPr>
        <w:t>.</w:t>
      </w:r>
      <w:r w:rsidR="001D66AD" w:rsidRPr="00052AFA">
        <w:rPr>
          <w:lang w:val="en-GB"/>
        </w:rPr>
        <w:t xml:space="preserve"> </w:t>
      </w:r>
      <w:r w:rsidR="00B957D6" w:rsidRPr="00052AFA">
        <w:rPr>
          <w:lang w:val="en-GB"/>
        </w:rPr>
        <w:t>Following the</w:t>
      </w:r>
      <w:r w:rsidR="005D788B" w:rsidRPr="00052AFA">
        <w:rPr>
          <w:lang w:val="en-GB"/>
        </w:rPr>
        <w:t xml:space="preserve"> </w:t>
      </w:r>
      <w:r w:rsidR="006D45D0" w:rsidRPr="00052AFA">
        <w:rPr>
          <w:lang w:val="en-GB"/>
        </w:rPr>
        <w:t>armed conflict in</w:t>
      </w:r>
      <w:r w:rsidR="005D788B" w:rsidRPr="00052AFA">
        <w:rPr>
          <w:lang w:val="en-GB"/>
        </w:rPr>
        <w:t xml:space="preserve"> Mar</w:t>
      </w:r>
      <w:r w:rsidR="00B957D6" w:rsidRPr="00052AFA">
        <w:rPr>
          <w:lang w:val="en-GB"/>
        </w:rPr>
        <w:t>awi City</w:t>
      </w:r>
      <w:r w:rsidR="005D788B" w:rsidRPr="00052AFA">
        <w:rPr>
          <w:lang w:val="en-GB"/>
        </w:rPr>
        <w:t xml:space="preserve">, </w:t>
      </w:r>
      <w:r w:rsidR="00B1310B">
        <w:rPr>
          <w:lang w:val="en-GB"/>
        </w:rPr>
        <w:t xml:space="preserve">UNDP was </w:t>
      </w:r>
      <w:r w:rsidR="00851188" w:rsidRPr="00052AFA">
        <w:rPr>
          <w:lang w:val="en-GB"/>
        </w:rPr>
        <w:t>the first to help local governments build their</w:t>
      </w:r>
      <w:r w:rsidR="00462DEB" w:rsidRPr="00052AFA">
        <w:rPr>
          <w:lang w:val="en-GB"/>
        </w:rPr>
        <w:t xml:space="preserve"> </w:t>
      </w:r>
      <w:r w:rsidR="00C0583A" w:rsidRPr="00052AFA">
        <w:rPr>
          <w:lang w:val="en-GB"/>
        </w:rPr>
        <w:t>capacit</w:t>
      </w:r>
      <w:r w:rsidR="006D45D0" w:rsidRPr="00052AFA">
        <w:rPr>
          <w:lang w:val="en-GB"/>
        </w:rPr>
        <w:t>y</w:t>
      </w:r>
      <w:r w:rsidR="00C0583A" w:rsidRPr="00052AFA">
        <w:rPr>
          <w:lang w:val="en-GB"/>
        </w:rPr>
        <w:t xml:space="preserve"> </w:t>
      </w:r>
      <w:r w:rsidR="00462DEB" w:rsidRPr="00052AFA">
        <w:rPr>
          <w:lang w:val="en-GB"/>
        </w:rPr>
        <w:t xml:space="preserve">for </w:t>
      </w:r>
      <w:r w:rsidR="005D788B" w:rsidRPr="00052AFA">
        <w:rPr>
          <w:lang w:val="en-GB"/>
        </w:rPr>
        <w:t>conflict</w:t>
      </w:r>
      <w:r w:rsidR="00462DEB" w:rsidRPr="00052AFA">
        <w:rPr>
          <w:lang w:val="en-GB"/>
        </w:rPr>
        <w:t>-</w:t>
      </w:r>
      <w:r w:rsidR="005D788B" w:rsidRPr="00052AFA">
        <w:rPr>
          <w:lang w:val="en-GB"/>
        </w:rPr>
        <w:t>sensitive recovery planning</w:t>
      </w:r>
      <w:r w:rsidR="00C0583A" w:rsidRPr="00052AFA">
        <w:rPr>
          <w:lang w:val="en-GB"/>
        </w:rPr>
        <w:t>.</w:t>
      </w:r>
      <w:r w:rsidR="001D66AD" w:rsidRPr="00052AFA">
        <w:rPr>
          <w:lang w:val="en-GB"/>
        </w:rPr>
        <w:t xml:space="preserve"> </w:t>
      </w:r>
      <w:r w:rsidR="005D788B" w:rsidRPr="00052AFA">
        <w:rPr>
          <w:lang w:val="en-GB"/>
        </w:rPr>
        <w:t>While national and local efforts to sustain peace</w:t>
      </w:r>
      <w:r w:rsidR="00B546C8" w:rsidRPr="00052AFA">
        <w:rPr>
          <w:lang w:val="en-GB"/>
        </w:rPr>
        <w:t xml:space="preserve"> </w:t>
      </w:r>
      <w:r w:rsidR="005D788B" w:rsidRPr="00052AFA">
        <w:rPr>
          <w:lang w:val="en-GB"/>
        </w:rPr>
        <w:t xml:space="preserve">and prevent violent extremism have had </w:t>
      </w:r>
      <w:r w:rsidR="00462DEB" w:rsidRPr="00052AFA">
        <w:rPr>
          <w:lang w:val="en-GB"/>
        </w:rPr>
        <w:t xml:space="preserve">some </w:t>
      </w:r>
      <w:r w:rsidR="005D788B" w:rsidRPr="00052AFA">
        <w:rPr>
          <w:lang w:val="en-GB"/>
        </w:rPr>
        <w:t xml:space="preserve">initial </w:t>
      </w:r>
      <w:r w:rsidR="00C0583A" w:rsidRPr="00052AFA">
        <w:rPr>
          <w:lang w:val="en-GB"/>
        </w:rPr>
        <w:t xml:space="preserve">success, </w:t>
      </w:r>
      <w:r w:rsidR="00E84F96" w:rsidRPr="00052AFA">
        <w:rPr>
          <w:lang w:val="en-GB"/>
        </w:rPr>
        <w:t xml:space="preserve">more investment </w:t>
      </w:r>
      <w:r w:rsidR="00E31677" w:rsidRPr="00052AFA">
        <w:rPr>
          <w:lang w:val="en-GB"/>
        </w:rPr>
        <w:t xml:space="preserve">is needed </w:t>
      </w:r>
      <w:r w:rsidR="007E2706" w:rsidRPr="00052AFA">
        <w:rPr>
          <w:lang w:val="en-GB"/>
        </w:rPr>
        <w:t>to tackle</w:t>
      </w:r>
      <w:r w:rsidR="006D45D0" w:rsidRPr="00052AFA">
        <w:rPr>
          <w:lang w:val="en-GB"/>
        </w:rPr>
        <w:t xml:space="preserve"> </w:t>
      </w:r>
      <w:r w:rsidR="005D788B" w:rsidRPr="00052AFA">
        <w:rPr>
          <w:lang w:val="en-GB"/>
        </w:rPr>
        <w:t xml:space="preserve">the underlying </w:t>
      </w:r>
      <w:r w:rsidR="00186A69" w:rsidRPr="00052AFA">
        <w:rPr>
          <w:lang w:val="en-GB"/>
        </w:rPr>
        <w:t xml:space="preserve">causes </w:t>
      </w:r>
      <w:r w:rsidR="006D45D0" w:rsidRPr="00052AFA">
        <w:rPr>
          <w:lang w:val="en-GB"/>
        </w:rPr>
        <w:t>of</w:t>
      </w:r>
      <w:r w:rsidR="005D788B" w:rsidRPr="00052AFA">
        <w:rPr>
          <w:lang w:val="en-GB"/>
        </w:rPr>
        <w:t xml:space="preserve"> repeated cycles of violence</w:t>
      </w:r>
      <w:r w:rsidR="00E84F96" w:rsidRPr="00052AFA">
        <w:rPr>
          <w:lang w:val="en-GB"/>
        </w:rPr>
        <w:t xml:space="preserve">. </w:t>
      </w:r>
    </w:p>
    <w:p w14:paraId="4396609E" w14:textId="77777777" w:rsidR="00FC4022" w:rsidRPr="00052AFA" w:rsidRDefault="00FC4022" w:rsidP="001751AC">
      <w:pPr>
        <w:pStyle w:val="ListParagraph"/>
        <w:tabs>
          <w:tab w:val="left" w:pos="1080"/>
        </w:tabs>
        <w:ind w:left="1170" w:right="4"/>
        <w:contextualSpacing/>
        <w:jc w:val="both"/>
        <w:rPr>
          <w:sz w:val="12"/>
          <w:szCs w:val="12"/>
          <w:lang w:val="en-GB"/>
        </w:rPr>
      </w:pPr>
    </w:p>
    <w:p w14:paraId="267EDAA2" w14:textId="1CA99D9A" w:rsidR="003F2983" w:rsidRPr="00052AFA" w:rsidRDefault="00B1310B" w:rsidP="001751AC">
      <w:pPr>
        <w:pStyle w:val="ListParagraph"/>
        <w:numPr>
          <w:ilvl w:val="0"/>
          <w:numId w:val="17"/>
        </w:numPr>
        <w:tabs>
          <w:tab w:val="left" w:pos="1080"/>
        </w:tabs>
        <w:ind w:left="1170" w:right="4" w:firstLine="0"/>
        <w:contextualSpacing/>
        <w:jc w:val="both"/>
        <w:rPr>
          <w:lang w:val="en-GB"/>
        </w:rPr>
      </w:pPr>
      <w:r>
        <w:rPr>
          <w:b/>
          <w:bCs/>
          <w:i/>
          <w:iCs/>
          <w:lang w:val="en-GB"/>
        </w:rPr>
        <w:t xml:space="preserve"> </w:t>
      </w:r>
      <w:r w:rsidR="00E84F96" w:rsidRPr="00715998">
        <w:rPr>
          <w:bCs/>
          <w:i/>
          <w:iCs/>
          <w:lang w:val="en-GB"/>
        </w:rPr>
        <w:t xml:space="preserve">To increase </w:t>
      </w:r>
      <w:r w:rsidR="00FF60F3" w:rsidRPr="00715998">
        <w:rPr>
          <w:bCs/>
          <w:i/>
          <w:iCs/>
          <w:lang w:val="en-GB"/>
        </w:rPr>
        <w:t>impact,</w:t>
      </w:r>
      <w:r w:rsidR="00B546C8" w:rsidRPr="00715998">
        <w:rPr>
          <w:bCs/>
          <w:i/>
          <w:iCs/>
          <w:lang w:val="en-GB"/>
        </w:rPr>
        <w:t xml:space="preserve"> </w:t>
      </w:r>
      <w:r w:rsidRPr="00715998">
        <w:rPr>
          <w:bCs/>
          <w:i/>
          <w:iCs/>
          <w:lang w:val="en-GB"/>
        </w:rPr>
        <w:t xml:space="preserve">UNDP </w:t>
      </w:r>
      <w:r w:rsidR="00E84F96" w:rsidRPr="00715998">
        <w:rPr>
          <w:bCs/>
          <w:i/>
          <w:iCs/>
          <w:lang w:val="en-GB"/>
        </w:rPr>
        <w:t>need</w:t>
      </w:r>
      <w:r w:rsidRPr="00715998">
        <w:rPr>
          <w:bCs/>
          <w:i/>
          <w:iCs/>
          <w:lang w:val="en-GB"/>
        </w:rPr>
        <w:t>s</w:t>
      </w:r>
      <w:r w:rsidR="00E84F96" w:rsidRPr="00715998">
        <w:rPr>
          <w:bCs/>
          <w:i/>
          <w:iCs/>
          <w:lang w:val="en-GB"/>
        </w:rPr>
        <w:t xml:space="preserve"> to enhance </w:t>
      </w:r>
      <w:r w:rsidRPr="00715998">
        <w:rPr>
          <w:bCs/>
          <w:i/>
          <w:iCs/>
          <w:lang w:val="en-GB"/>
        </w:rPr>
        <w:t xml:space="preserve">its </w:t>
      </w:r>
      <w:r w:rsidR="00E84F96" w:rsidRPr="00715998">
        <w:rPr>
          <w:bCs/>
          <w:i/>
          <w:iCs/>
          <w:lang w:val="en-GB"/>
        </w:rPr>
        <w:t>crosscutting strategies and partnerships</w:t>
      </w:r>
      <w:r w:rsidR="00E84F96" w:rsidRPr="00715998">
        <w:rPr>
          <w:b/>
          <w:bCs/>
          <w:iCs/>
          <w:lang w:val="en-GB"/>
        </w:rPr>
        <w:t>.</w:t>
      </w:r>
      <w:r w:rsidR="00E84F96" w:rsidRPr="00B1310B">
        <w:rPr>
          <w:b/>
          <w:bCs/>
          <w:lang w:val="en-GB"/>
        </w:rPr>
        <w:t xml:space="preserve"> </w:t>
      </w:r>
      <w:r w:rsidRPr="00715998">
        <w:rPr>
          <w:bCs/>
          <w:lang w:val="en-GB"/>
        </w:rPr>
        <w:t xml:space="preserve">UNDP </w:t>
      </w:r>
      <w:r w:rsidR="00E84F96" w:rsidRPr="00052AFA">
        <w:rPr>
          <w:lang w:val="en-GB"/>
        </w:rPr>
        <w:t>ha</w:t>
      </w:r>
      <w:r>
        <w:rPr>
          <w:lang w:val="en-GB"/>
        </w:rPr>
        <w:t xml:space="preserve">s </w:t>
      </w:r>
      <w:r w:rsidR="00E84F96" w:rsidRPr="00052AFA">
        <w:rPr>
          <w:lang w:val="en-GB"/>
        </w:rPr>
        <w:t xml:space="preserve">developed interventions </w:t>
      </w:r>
      <w:r w:rsidR="00EA38EB" w:rsidRPr="00052AFA">
        <w:rPr>
          <w:lang w:val="en-GB"/>
        </w:rPr>
        <w:t xml:space="preserve">targeting </w:t>
      </w:r>
      <w:r w:rsidR="00B55746" w:rsidRPr="00052AFA">
        <w:rPr>
          <w:lang w:val="en-GB"/>
        </w:rPr>
        <w:t>disadvantaged</w:t>
      </w:r>
      <w:r w:rsidR="007234CB" w:rsidRPr="00052AFA">
        <w:rPr>
          <w:lang w:val="en-GB"/>
        </w:rPr>
        <w:t xml:space="preserve"> groups</w:t>
      </w:r>
      <w:r>
        <w:rPr>
          <w:lang w:val="en-GB"/>
        </w:rPr>
        <w:t>,</w:t>
      </w:r>
      <w:r w:rsidR="001A2004" w:rsidRPr="00052AFA">
        <w:rPr>
          <w:rStyle w:val="FootnoteReference"/>
          <w:lang w:val="en-GB" w:eastAsia="en-PH"/>
        </w:rPr>
        <w:footnoteReference w:id="19"/>
      </w:r>
      <w:r w:rsidR="002406F7" w:rsidRPr="00052AFA">
        <w:rPr>
          <w:lang w:val="en-GB"/>
        </w:rPr>
        <w:t xml:space="preserve"> f</w:t>
      </w:r>
      <w:r w:rsidR="002406F7" w:rsidRPr="00052AFA">
        <w:rPr>
          <w:color w:val="000000" w:themeColor="text1"/>
          <w:lang w:val="en-GB"/>
        </w:rPr>
        <w:t>ishermen</w:t>
      </w:r>
      <w:r w:rsidR="001700C0" w:rsidRPr="00052AFA">
        <w:rPr>
          <w:color w:val="000000" w:themeColor="text1"/>
          <w:lang w:val="en-GB"/>
        </w:rPr>
        <w:t xml:space="preserve"> and farmers, </w:t>
      </w:r>
      <w:r w:rsidR="002406F7" w:rsidRPr="00052AFA">
        <w:rPr>
          <w:lang w:val="en-GB"/>
        </w:rPr>
        <w:t>poor women</w:t>
      </w:r>
      <w:r>
        <w:rPr>
          <w:lang w:val="en-GB"/>
        </w:rPr>
        <w:t xml:space="preserve">, </w:t>
      </w:r>
      <w:r w:rsidR="001700C0" w:rsidRPr="00052AFA">
        <w:rPr>
          <w:lang w:val="en-GB"/>
        </w:rPr>
        <w:t>people with disabilities,</w:t>
      </w:r>
      <w:r w:rsidR="002406F7" w:rsidRPr="00052AFA">
        <w:rPr>
          <w:lang w:val="en-GB"/>
        </w:rPr>
        <w:t xml:space="preserve"> </w:t>
      </w:r>
      <w:r w:rsidR="001700C0" w:rsidRPr="00052AFA">
        <w:rPr>
          <w:lang w:val="en-GB"/>
        </w:rPr>
        <w:t xml:space="preserve">indigenous groups, former combatants and </w:t>
      </w:r>
      <w:r w:rsidR="002406F7" w:rsidRPr="00052AFA">
        <w:rPr>
          <w:lang w:val="en-GB"/>
        </w:rPr>
        <w:t xml:space="preserve">the displaced. </w:t>
      </w:r>
      <w:r w:rsidR="661BF9B8" w:rsidRPr="00052AFA">
        <w:rPr>
          <w:lang w:val="en-GB"/>
        </w:rPr>
        <w:t>T</w:t>
      </w:r>
      <w:r w:rsidR="30B6D145" w:rsidRPr="00052AFA">
        <w:rPr>
          <w:lang w:val="en-GB"/>
        </w:rPr>
        <w:t xml:space="preserve">o scale up and deepen the impact of </w:t>
      </w:r>
      <w:r>
        <w:rPr>
          <w:lang w:val="en-GB"/>
        </w:rPr>
        <w:t xml:space="preserve">its </w:t>
      </w:r>
      <w:r w:rsidR="30B6D145" w:rsidRPr="00052AFA">
        <w:rPr>
          <w:lang w:val="en-GB"/>
        </w:rPr>
        <w:t>su</w:t>
      </w:r>
      <w:r w:rsidR="230C95B6" w:rsidRPr="00052AFA">
        <w:rPr>
          <w:lang w:val="en-GB"/>
        </w:rPr>
        <w:t>pport</w:t>
      </w:r>
      <w:r>
        <w:rPr>
          <w:lang w:val="en-GB"/>
        </w:rPr>
        <w:t>,</w:t>
      </w:r>
      <w:r w:rsidR="00E84F96" w:rsidRPr="00052AFA">
        <w:rPr>
          <w:lang w:val="en-GB"/>
        </w:rPr>
        <w:t xml:space="preserve"> </w:t>
      </w:r>
      <w:r>
        <w:rPr>
          <w:lang w:val="en-GB"/>
        </w:rPr>
        <w:t xml:space="preserve">UNDP </w:t>
      </w:r>
      <w:r w:rsidR="230C95B6" w:rsidRPr="00052AFA">
        <w:rPr>
          <w:lang w:val="en-GB"/>
        </w:rPr>
        <w:t>need</w:t>
      </w:r>
      <w:r>
        <w:rPr>
          <w:lang w:val="en-GB"/>
        </w:rPr>
        <w:t>s</w:t>
      </w:r>
      <w:r w:rsidR="230C95B6" w:rsidRPr="00052AFA">
        <w:rPr>
          <w:lang w:val="en-GB"/>
        </w:rPr>
        <w:t xml:space="preserve"> to </w:t>
      </w:r>
      <w:r w:rsidR="002C561B" w:rsidRPr="00052AFA">
        <w:rPr>
          <w:lang w:val="en-GB"/>
        </w:rPr>
        <w:t>adopt</w:t>
      </w:r>
      <w:r w:rsidR="230C95B6" w:rsidRPr="00052AFA">
        <w:rPr>
          <w:lang w:val="en-GB"/>
        </w:rPr>
        <w:t xml:space="preserve"> a</w:t>
      </w:r>
      <w:r w:rsidR="00E84F96" w:rsidRPr="00052AFA">
        <w:rPr>
          <w:lang w:val="en-GB"/>
        </w:rPr>
        <w:t xml:space="preserve"> crosscutting strategy focused on leaving</w:t>
      </w:r>
      <w:r>
        <w:rPr>
          <w:lang w:val="en-GB"/>
        </w:rPr>
        <w:t>-</w:t>
      </w:r>
      <w:r w:rsidR="00E84F96" w:rsidRPr="00052AFA">
        <w:rPr>
          <w:lang w:val="en-GB"/>
        </w:rPr>
        <w:t>no</w:t>
      </w:r>
      <w:r>
        <w:rPr>
          <w:lang w:val="en-GB"/>
        </w:rPr>
        <w:t>-</w:t>
      </w:r>
      <w:r w:rsidR="00E84F96" w:rsidRPr="00052AFA">
        <w:rPr>
          <w:lang w:val="en-GB"/>
        </w:rPr>
        <w:t>one</w:t>
      </w:r>
      <w:r>
        <w:rPr>
          <w:lang w:val="en-GB"/>
        </w:rPr>
        <w:t>-</w:t>
      </w:r>
      <w:r w:rsidR="00E84F96" w:rsidRPr="00052AFA">
        <w:rPr>
          <w:lang w:val="en-GB"/>
        </w:rPr>
        <w:t>behind.</w:t>
      </w:r>
      <w:r w:rsidR="00E84F96" w:rsidRPr="00052AFA">
        <w:rPr>
          <w:vertAlign w:val="superscript"/>
          <w:lang w:val="en-GB"/>
        </w:rPr>
        <w:footnoteReference w:id="20"/>
      </w:r>
      <w:r w:rsidR="00E84F96" w:rsidRPr="00052AFA">
        <w:rPr>
          <w:lang w:val="en-GB"/>
        </w:rPr>
        <w:t xml:space="preserve"> </w:t>
      </w:r>
      <w:r>
        <w:rPr>
          <w:lang w:val="en-GB"/>
        </w:rPr>
        <w:t xml:space="preserve">UNDP </w:t>
      </w:r>
      <w:r w:rsidR="00E84F96" w:rsidRPr="00052AFA">
        <w:rPr>
          <w:lang w:val="en-GB"/>
        </w:rPr>
        <w:t>need</w:t>
      </w:r>
      <w:r>
        <w:rPr>
          <w:lang w:val="en-GB"/>
        </w:rPr>
        <w:t>s</w:t>
      </w:r>
      <w:r w:rsidR="00E84F96" w:rsidRPr="00052AFA">
        <w:rPr>
          <w:lang w:val="en-GB"/>
        </w:rPr>
        <w:t xml:space="preserve"> </w:t>
      </w:r>
      <w:r w:rsidR="00DF0BB2" w:rsidRPr="00052AFA">
        <w:rPr>
          <w:lang w:val="en-GB"/>
        </w:rPr>
        <w:t>to better analy</w:t>
      </w:r>
      <w:r>
        <w:rPr>
          <w:lang w:val="en-GB"/>
        </w:rPr>
        <w:t>s</w:t>
      </w:r>
      <w:r w:rsidR="00DF0BB2" w:rsidRPr="00052AFA">
        <w:rPr>
          <w:lang w:val="en-GB"/>
        </w:rPr>
        <w:t xml:space="preserve">e and </w:t>
      </w:r>
      <w:r w:rsidR="4A940A66" w:rsidRPr="00052AFA">
        <w:rPr>
          <w:lang w:val="en-GB"/>
        </w:rPr>
        <w:t xml:space="preserve">contribute to removing </w:t>
      </w:r>
      <w:r w:rsidR="00DF0BB2" w:rsidRPr="00052AFA">
        <w:rPr>
          <w:lang w:val="en-GB"/>
        </w:rPr>
        <w:t>structural gender inequality and discriminatory practices</w:t>
      </w:r>
      <w:r w:rsidR="4A940A66" w:rsidRPr="00052AFA">
        <w:rPr>
          <w:lang w:val="en-GB"/>
        </w:rPr>
        <w:t>.</w:t>
      </w:r>
      <w:r w:rsidR="00365F7E" w:rsidRPr="00052AFA">
        <w:rPr>
          <w:rStyle w:val="FootnoteReference"/>
          <w:lang w:val="en-GB"/>
        </w:rPr>
        <w:footnoteReference w:id="21"/>
      </w:r>
      <w:r w:rsidR="00E84F96" w:rsidRPr="00052AFA">
        <w:rPr>
          <w:lang w:val="en-GB"/>
        </w:rPr>
        <w:t xml:space="preserve"> </w:t>
      </w:r>
      <w:r>
        <w:rPr>
          <w:lang w:val="en-GB"/>
        </w:rPr>
        <w:t xml:space="preserve">It can further deepen its </w:t>
      </w:r>
      <w:r w:rsidR="00DF2738" w:rsidRPr="00052AFA">
        <w:rPr>
          <w:lang w:val="en-GB"/>
        </w:rPr>
        <w:t>p</w:t>
      </w:r>
      <w:r w:rsidR="00DD75AF" w:rsidRPr="00052AFA">
        <w:rPr>
          <w:lang w:val="en-GB"/>
        </w:rPr>
        <w:t>artnerships with the</w:t>
      </w:r>
      <w:r w:rsidR="00EE0E70" w:rsidRPr="00052AFA">
        <w:rPr>
          <w:lang w:val="en-GB"/>
        </w:rPr>
        <w:t xml:space="preserve"> </w:t>
      </w:r>
      <w:r w:rsidR="006F3C6B" w:rsidRPr="00052AFA">
        <w:rPr>
          <w:lang w:val="en-GB"/>
        </w:rPr>
        <w:t xml:space="preserve">private sector </w:t>
      </w:r>
      <w:r w:rsidR="00DD75AF" w:rsidRPr="00052AFA">
        <w:rPr>
          <w:lang w:val="en-GB"/>
        </w:rPr>
        <w:t>to draw on capacities for complementary financ</w:t>
      </w:r>
      <w:r w:rsidR="00EF7A13" w:rsidRPr="00052AFA">
        <w:rPr>
          <w:lang w:val="en-GB"/>
        </w:rPr>
        <w:t>ing</w:t>
      </w:r>
      <w:r w:rsidR="00DD75AF" w:rsidRPr="00052AFA">
        <w:rPr>
          <w:lang w:val="en-GB"/>
        </w:rPr>
        <w:t>,</w:t>
      </w:r>
      <w:r w:rsidR="00EE0E70" w:rsidRPr="00052AFA">
        <w:rPr>
          <w:lang w:val="en-GB"/>
        </w:rPr>
        <w:t xml:space="preserve"> innovation and </w:t>
      </w:r>
      <w:r w:rsidR="00EF7A13" w:rsidRPr="00052AFA">
        <w:rPr>
          <w:lang w:val="en-GB"/>
        </w:rPr>
        <w:t xml:space="preserve">the </w:t>
      </w:r>
      <w:r w:rsidR="00EE0E70" w:rsidRPr="00052AFA">
        <w:rPr>
          <w:lang w:val="en-GB"/>
        </w:rPr>
        <w:t>potential t</w:t>
      </w:r>
      <w:r w:rsidR="00DD273A" w:rsidRPr="00052AFA">
        <w:rPr>
          <w:lang w:val="en-GB"/>
        </w:rPr>
        <w:t>o</w:t>
      </w:r>
      <w:r w:rsidR="00EE0E70" w:rsidRPr="00052AFA">
        <w:rPr>
          <w:lang w:val="en-GB"/>
        </w:rPr>
        <w:t xml:space="preserve"> reach </w:t>
      </w:r>
      <w:r w:rsidR="00EF7A13" w:rsidRPr="00052AFA">
        <w:rPr>
          <w:lang w:val="en-GB"/>
        </w:rPr>
        <w:t xml:space="preserve">people at </w:t>
      </w:r>
      <w:r w:rsidR="00EE0E70" w:rsidRPr="00052AFA">
        <w:rPr>
          <w:lang w:val="en-GB"/>
        </w:rPr>
        <w:t>the bottom of the economic pyramid.</w:t>
      </w:r>
      <w:r w:rsidR="001D66AD" w:rsidRPr="00052AFA">
        <w:rPr>
          <w:lang w:val="en-GB"/>
        </w:rPr>
        <w:t xml:space="preserve"> </w:t>
      </w:r>
      <w:r>
        <w:rPr>
          <w:lang w:val="en-GB"/>
        </w:rPr>
        <w:t xml:space="preserve">UNDP </w:t>
      </w:r>
      <w:r w:rsidR="004D09D8" w:rsidRPr="00052AFA">
        <w:rPr>
          <w:lang w:val="en-GB"/>
        </w:rPr>
        <w:t>need</w:t>
      </w:r>
      <w:r>
        <w:rPr>
          <w:lang w:val="en-GB"/>
        </w:rPr>
        <w:t>s</w:t>
      </w:r>
      <w:r w:rsidR="004D09D8" w:rsidRPr="00052AFA">
        <w:rPr>
          <w:lang w:val="en-GB"/>
        </w:rPr>
        <w:t xml:space="preserve"> to facilitate knowledge</w:t>
      </w:r>
      <w:r>
        <w:rPr>
          <w:lang w:val="en-GB"/>
        </w:rPr>
        <w:t>-</w:t>
      </w:r>
      <w:r w:rsidR="004D09D8" w:rsidRPr="00052AFA">
        <w:rPr>
          <w:lang w:val="en-GB"/>
        </w:rPr>
        <w:t>exchange</w:t>
      </w:r>
      <w:r>
        <w:rPr>
          <w:lang w:val="en-GB"/>
        </w:rPr>
        <w:t>,</w:t>
      </w:r>
      <w:r w:rsidR="004D09D8" w:rsidRPr="00052AFA">
        <w:rPr>
          <w:lang w:val="en-GB"/>
        </w:rPr>
        <w:t xml:space="preserve"> </w:t>
      </w:r>
      <w:r w:rsidR="0016203A" w:rsidRPr="00052AFA">
        <w:rPr>
          <w:lang w:val="en-GB"/>
        </w:rPr>
        <w:t>noting</w:t>
      </w:r>
      <w:r w:rsidR="004D09D8" w:rsidRPr="00052AFA">
        <w:rPr>
          <w:lang w:val="en-GB"/>
        </w:rPr>
        <w:t xml:space="preserve"> that the </w:t>
      </w:r>
      <w:r w:rsidR="00A95F79">
        <w:rPr>
          <w:lang w:val="en-GB"/>
        </w:rPr>
        <w:t>country</w:t>
      </w:r>
      <w:r w:rsidR="00A95F79" w:rsidRPr="00052AFA">
        <w:rPr>
          <w:lang w:val="en-GB"/>
        </w:rPr>
        <w:t xml:space="preserve"> </w:t>
      </w:r>
      <w:r w:rsidR="004D09D8" w:rsidRPr="00052AFA">
        <w:rPr>
          <w:lang w:val="en-GB"/>
        </w:rPr>
        <w:t xml:space="preserve">has much </w:t>
      </w:r>
      <w:r w:rsidR="0016203A" w:rsidRPr="00052AFA">
        <w:rPr>
          <w:lang w:val="en-GB"/>
        </w:rPr>
        <w:t xml:space="preserve">experience </w:t>
      </w:r>
      <w:r w:rsidR="004D09D8" w:rsidRPr="00052AFA">
        <w:rPr>
          <w:lang w:val="en-GB"/>
        </w:rPr>
        <w:t>to share with its neighbo</w:t>
      </w:r>
      <w:r>
        <w:rPr>
          <w:lang w:val="en-GB"/>
        </w:rPr>
        <w:t>u</w:t>
      </w:r>
      <w:r w:rsidR="0016203A" w:rsidRPr="00052AFA">
        <w:rPr>
          <w:lang w:val="en-GB"/>
        </w:rPr>
        <w:t>rs.</w:t>
      </w:r>
      <w:r>
        <w:rPr>
          <w:lang w:val="en-GB"/>
        </w:rPr>
        <w:t xml:space="preserve"> </w:t>
      </w:r>
    </w:p>
    <w:p w14:paraId="1018C60F" w14:textId="73172607" w:rsidR="009A4543" w:rsidRPr="00052AFA" w:rsidRDefault="009A4543" w:rsidP="001751AC">
      <w:pPr>
        <w:pStyle w:val="ListParagraph"/>
        <w:tabs>
          <w:tab w:val="left" w:pos="1080"/>
        </w:tabs>
        <w:ind w:left="1170" w:right="4"/>
        <w:contextualSpacing/>
        <w:jc w:val="both"/>
        <w:rPr>
          <w:lang w:val="en-GB"/>
        </w:rPr>
      </w:pPr>
    </w:p>
    <w:p w14:paraId="4988B7EB" w14:textId="1679D4C7" w:rsidR="0037472B" w:rsidRPr="00052AFA" w:rsidRDefault="4435C01B" w:rsidP="00475DE8">
      <w:pPr>
        <w:pStyle w:val="ListParagraph"/>
        <w:tabs>
          <w:tab w:val="left" w:pos="1170"/>
        </w:tabs>
        <w:ind w:left="1170" w:right="4" w:hanging="450"/>
        <w:contextualSpacing/>
        <w:jc w:val="both"/>
        <w:rPr>
          <w:b/>
          <w:bCs/>
          <w:sz w:val="24"/>
          <w:szCs w:val="24"/>
          <w:lang w:val="en-GB"/>
        </w:rPr>
      </w:pPr>
      <w:r w:rsidRPr="00052AFA">
        <w:rPr>
          <w:b/>
          <w:bCs/>
          <w:sz w:val="24"/>
          <w:szCs w:val="24"/>
          <w:lang w:val="en-GB"/>
        </w:rPr>
        <w:t xml:space="preserve">II. </w:t>
      </w:r>
      <w:r w:rsidR="00475DE8" w:rsidRPr="00052AFA">
        <w:rPr>
          <w:b/>
          <w:bCs/>
          <w:sz w:val="24"/>
          <w:szCs w:val="24"/>
          <w:lang w:val="en-GB"/>
        </w:rPr>
        <w:tab/>
      </w:r>
      <w:r w:rsidRPr="00052AFA">
        <w:rPr>
          <w:b/>
          <w:bCs/>
          <w:sz w:val="24"/>
          <w:szCs w:val="24"/>
          <w:lang w:val="en-GB"/>
        </w:rPr>
        <w:t xml:space="preserve">Programme </w:t>
      </w:r>
      <w:r w:rsidR="00475DE8" w:rsidRPr="00052AFA">
        <w:rPr>
          <w:b/>
          <w:bCs/>
          <w:sz w:val="24"/>
          <w:szCs w:val="24"/>
          <w:lang w:val="en-GB"/>
        </w:rPr>
        <w:t>p</w:t>
      </w:r>
      <w:r w:rsidRPr="00052AFA">
        <w:rPr>
          <w:b/>
          <w:bCs/>
          <w:sz w:val="24"/>
          <w:szCs w:val="24"/>
          <w:lang w:val="en-GB"/>
        </w:rPr>
        <w:t xml:space="preserve">riorities and </w:t>
      </w:r>
      <w:r w:rsidR="00475DE8" w:rsidRPr="00052AFA">
        <w:rPr>
          <w:b/>
          <w:bCs/>
          <w:sz w:val="24"/>
          <w:szCs w:val="24"/>
          <w:lang w:val="en-GB"/>
        </w:rPr>
        <w:t>p</w:t>
      </w:r>
      <w:r w:rsidRPr="00052AFA">
        <w:rPr>
          <w:b/>
          <w:bCs/>
          <w:sz w:val="24"/>
          <w:szCs w:val="24"/>
          <w:lang w:val="en-GB"/>
        </w:rPr>
        <w:t xml:space="preserve">artnerships </w:t>
      </w:r>
    </w:p>
    <w:p w14:paraId="53B40F27" w14:textId="77777777" w:rsidR="0037472B" w:rsidRPr="00052AFA" w:rsidRDefault="0037472B" w:rsidP="00475DE8">
      <w:pPr>
        <w:pStyle w:val="ListParagraph"/>
        <w:tabs>
          <w:tab w:val="left" w:pos="1080"/>
        </w:tabs>
        <w:ind w:left="1170" w:right="4" w:hanging="450"/>
        <w:contextualSpacing/>
        <w:jc w:val="both"/>
        <w:rPr>
          <w:lang w:val="en-GB"/>
        </w:rPr>
      </w:pPr>
    </w:p>
    <w:p w14:paraId="71CB8419" w14:textId="00E87C4E" w:rsidR="00CC6899" w:rsidRPr="00052AFA" w:rsidRDefault="001801DA" w:rsidP="001751AC">
      <w:pPr>
        <w:pStyle w:val="ListParagraph"/>
        <w:numPr>
          <w:ilvl w:val="0"/>
          <w:numId w:val="17"/>
        </w:numPr>
        <w:tabs>
          <w:tab w:val="left" w:pos="1080"/>
        </w:tabs>
        <w:ind w:left="1170" w:right="4" w:firstLine="0"/>
        <w:contextualSpacing/>
        <w:jc w:val="both"/>
        <w:rPr>
          <w:lang w:val="en-GB"/>
        </w:rPr>
      </w:pPr>
      <w:r>
        <w:rPr>
          <w:b/>
          <w:bCs/>
          <w:i/>
          <w:iCs/>
          <w:lang w:val="en-GB"/>
        </w:rPr>
        <w:t xml:space="preserve"> </w:t>
      </w:r>
      <w:r w:rsidR="4435C01B" w:rsidRPr="00715998">
        <w:rPr>
          <w:bCs/>
          <w:i/>
          <w:iCs/>
          <w:lang w:val="en-GB"/>
        </w:rPr>
        <w:t xml:space="preserve">UNDP will </w:t>
      </w:r>
      <w:r w:rsidR="00704458" w:rsidRPr="00715998">
        <w:rPr>
          <w:bCs/>
          <w:i/>
          <w:iCs/>
          <w:lang w:val="en-GB"/>
        </w:rPr>
        <w:t xml:space="preserve">draw on </w:t>
      </w:r>
      <w:r w:rsidR="005E7ACF" w:rsidRPr="00715998">
        <w:rPr>
          <w:bCs/>
          <w:i/>
          <w:iCs/>
          <w:lang w:val="en-GB"/>
        </w:rPr>
        <w:t xml:space="preserve">its </w:t>
      </w:r>
      <w:r w:rsidR="00704458" w:rsidRPr="00715998">
        <w:rPr>
          <w:bCs/>
          <w:i/>
          <w:iCs/>
          <w:lang w:val="en-GB"/>
        </w:rPr>
        <w:t>signature solutions and deep appreciation of the national context</w:t>
      </w:r>
      <w:r w:rsidR="00C86A5B" w:rsidRPr="00715998">
        <w:rPr>
          <w:bCs/>
          <w:i/>
          <w:iCs/>
          <w:lang w:val="en-GB"/>
        </w:rPr>
        <w:t xml:space="preserve"> </w:t>
      </w:r>
      <w:r w:rsidR="4435C01B" w:rsidRPr="00715998">
        <w:rPr>
          <w:bCs/>
          <w:i/>
          <w:iCs/>
          <w:lang w:val="en-GB"/>
        </w:rPr>
        <w:t>to help the Philippines translate</w:t>
      </w:r>
      <w:r w:rsidR="4435C01B" w:rsidRPr="00715998">
        <w:rPr>
          <w:i/>
          <w:lang w:val="en-GB"/>
        </w:rPr>
        <w:t xml:space="preserve"> </w:t>
      </w:r>
      <w:r w:rsidR="00B10DB0" w:rsidRPr="00715998">
        <w:rPr>
          <w:bCs/>
          <w:i/>
          <w:iCs/>
          <w:lang w:val="en-GB"/>
        </w:rPr>
        <w:t xml:space="preserve">economic </w:t>
      </w:r>
      <w:r w:rsidR="4435C01B" w:rsidRPr="00715998">
        <w:rPr>
          <w:bCs/>
          <w:i/>
          <w:iCs/>
          <w:lang w:val="en-GB"/>
        </w:rPr>
        <w:t>growth and fiscal space into inclusive national development.</w:t>
      </w:r>
      <w:r w:rsidR="4435C01B" w:rsidRPr="00052AFA">
        <w:rPr>
          <w:lang w:val="en-GB"/>
        </w:rPr>
        <w:t xml:space="preserve"> </w:t>
      </w:r>
      <w:r w:rsidR="005E7ACF">
        <w:rPr>
          <w:lang w:val="en-GB"/>
        </w:rPr>
        <w:t xml:space="preserve">UNDP </w:t>
      </w:r>
      <w:r w:rsidR="4435C01B" w:rsidRPr="00052AFA">
        <w:rPr>
          <w:lang w:val="en-GB"/>
        </w:rPr>
        <w:t xml:space="preserve">will </w:t>
      </w:r>
      <w:r w:rsidR="005327DD" w:rsidRPr="00052AFA">
        <w:rPr>
          <w:lang w:val="en-GB"/>
        </w:rPr>
        <w:t>build on</w:t>
      </w:r>
      <w:r w:rsidR="00A42167" w:rsidRPr="00052AFA">
        <w:rPr>
          <w:lang w:val="en-GB"/>
        </w:rPr>
        <w:t xml:space="preserve"> </w:t>
      </w:r>
      <w:r w:rsidR="005E7ACF">
        <w:rPr>
          <w:lang w:val="en-GB"/>
        </w:rPr>
        <w:t xml:space="preserve">its </w:t>
      </w:r>
      <w:r w:rsidR="003074EE" w:rsidRPr="00052AFA">
        <w:rPr>
          <w:lang w:val="en-GB"/>
        </w:rPr>
        <w:t>existing pr</w:t>
      </w:r>
      <w:r w:rsidR="000F17FD" w:rsidRPr="00052AFA">
        <w:rPr>
          <w:lang w:val="en-GB"/>
        </w:rPr>
        <w:t>o</w:t>
      </w:r>
      <w:r w:rsidR="003074EE" w:rsidRPr="00052AFA">
        <w:rPr>
          <w:lang w:val="en-GB"/>
        </w:rPr>
        <w:t xml:space="preserve">gramme </w:t>
      </w:r>
      <w:r w:rsidR="009F001C" w:rsidRPr="00052AFA">
        <w:rPr>
          <w:lang w:val="en-GB"/>
        </w:rPr>
        <w:t xml:space="preserve">to help deliver on the </w:t>
      </w:r>
      <w:r w:rsidR="005E7ACF">
        <w:rPr>
          <w:lang w:val="en-GB"/>
        </w:rPr>
        <w:t>n</w:t>
      </w:r>
      <w:r w:rsidR="009F001C" w:rsidRPr="00052AFA">
        <w:rPr>
          <w:lang w:val="en-GB"/>
        </w:rPr>
        <w:t xml:space="preserve">ational </w:t>
      </w:r>
      <w:r w:rsidR="005E7ACF">
        <w:rPr>
          <w:lang w:val="en-GB"/>
        </w:rPr>
        <w:t>d</w:t>
      </w:r>
      <w:r w:rsidR="009F001C" w:rsidRPr="00052AFA">
        <w:rPr>
          <w:lang w:val="en-GB"/>
        </w:rPr>
        <w:t xml:space="preserve">evelopment </w:t>
      </w:r>
      <w:r w:rsidR="005E7ACF">
        <w:rPr>
          <w:lang w:val="en-GB"/>
        </w:rPr>
        <w:t>p</w:t>
      </w:r>
      <w:r w:rsidR="009F001C" w:rsidRPr="00052AFA">
        <w:rPr>
          <w:lang w:val="en-GB"/>
        </w:rPr>
        <w:t>lan</w:t>
      </w:r>
      <w:r w:rsidR="0038113D" w:rsidRPr="00052AFA">
        <w:rPr>
          <w:lang w:val="en-GB"/>
        </w:rPr>
        <w:t xml:space="preserve"> </w:t>
      </w:r>
      <w:r w:rsidR="00F05180" w:rsidRPr="00052AFA">
        <w:rPr>
          <w:lang w:val="en-GB"/>
        </w:rPr>
        <w:t>that is aligned to</w:t>
      </w:r>
      <w:r w:rsidR="0038113D" w:rsidRPr="00052AFA">
        <w:rPr>
          <w:lang w:val="en-GB"/>
        </w:rPr>
        <w:t xml:space="preserve"> the Goals</w:t>
      </w:r>
      <w:r w:rsidR="009F001C" w:rsidRPr="00052AFA">
        <w:rPr>
          <w:lang w:val="en-GB"/>
        </w:rPr>
        <w:t xml:space="preserve">. </w:t>
      </w:r>
      <w:r w:rsidR="005E7ACF">
        <w:rPr>
          <w:lang w:val="en-GB"/>
        </w:rPr>
        <w:t xml:space="preserve">It </w:t>
      </w:r>
      <w:r w:rsidR="00581DBE" w:rsidRPr="00052AFA">
        <w:rPr>
          <w:lang w:val="en-GB"/>
        </w:rPr>
        <w:t>will</w:t>
      </w:r>
      <w:r w:rsidR="005E7ACF">
        <w:rPr>
          <w:lang w:val="en-GB"/>
        </w:rPr>
        <w:t xml:space="preserve"> </w:t>
      </w:r>
      <w:r w:rsidR="4435C01B" w:rsidRPr="00052AFA">
        <w:rPr>
          <w:lang w:val="en-GB"/>
        </w:rPr>
        <w:t>strengthen institution</w:t>
      </w:r>
      <w:r w:rsidR="001B6829" w:rsidRPr="00052AFA">
        <w:rPr>
          <w:lang w:val="en-GB"/>
        </w:rPr>
        <w:t>al</w:t>
      </w:r>
      <w:r w:rsidR="4435C01B" w:rsidRPr="00052AFA">
        <w:rPr>
          <w:lang w:val="en-GB"/>
        </w:rPr>
        <w:t xml:space="preserve"> </w:t>
      </w:r>
      <w:r w:rsidR="004A1A50" w:rsidRPr="00052AFA">
        <w:rPr>
          <w:lang w:val="en-GB"/>
        </w:rPr>
        <w:t>capacity</w:t>
      </w:r>
      <w:r w:rsidR="4435C01B" w:rsidRPr="00052AFA">
        <w:rPr>
          <w:lang w:val="en-GB"/>
        </w:rPr>
        <w:t xml:space="preserve"> to </w:t>
      </w:r>
      <w:r w:rsidR="001B6829" w:rsidRPr="00052AFA">
        <w:rPr>
          <w:lang w:val="en-GB"/>
        </w:rPr>
        <w:t xml:space="preserve">deliver </w:t>
      </w:r>
      <w:r w:rsidR="00383EDF" w:rsidRPr="00052AFA">
        <w:rPr>
          <w:lang w:val="en-GB"/>
        </w:rPr>
        <w:t xml:space="preserve">targeted </w:t>
      </w:r>
      <w:r w:rsidR="001B6829" w:rsidRPr="00052AFA">
        <w:rPr>
          <w:lang w:val="en-GB"/>
        </w:rPr>
        <w:t>program</w:t>
      </w:r>
      <w:r w:rsidR="005E7ACF">
        <w:rPr>
          <w:lang w:val="en-GB"/>
        </w:rPr>
        <w:t>me</w:t>
      </w:r>
      <w:r w:rsidR="001B6829" w:rsidRPr="00052AFA">
        <w:rPr>
          <w:lang w:val="en-GB"/>
        </w:rPr>
        <w:t xml:space="preserve">s </w:t>
      </w:r>
      <w:r w:rsidR="00A64A3C" w:rsidRPr="00052AFA">
        <w:rPr>
          <w:lang w:val="en-GB"/>
        </w:rPr>
        <w:t xml:space="preserve">that </w:t>
      </w:r>
      <w:r w:rsidR="00C475A2" w:rsidRPr="00052AFA">
        <w:rPr>
          <w:lang w:val="en-GB"/>
        </w:rPr>
        <w:t>ensure no one is left behind</w:t>
      </w:r>
      <w:r w:rsidR="4435C01B" w:rsidRPr="00052AFA">
        <w:rPr>
          <w:lang w:val="en-GB"/>
        </w:rPr>
        <w:t xml:space="preserve">; </w:t>
      </w:r>
      <w:r w:rsidR="00B80153" w:rsidRPr="00052AFA">
        <w:rPr>
          <w:lang w:val="en-GB"/>
        </w:rPr>
        <w:t xml:space="preserve">assist </w:t>
      </w:r>
      <w:r w:rsidR="4435C01B" w:rsidRPr="00052AFA">
        <w:rPr>
          <w:lang w:val="en-GB"/>
        </w:rPr>
        <w:t>the country’s structural transformation to low-carbon and climate</w:t>
      </w:r>
      <w:r w:rsidR="4C412294" w:rsidRPr="00052AFA">
        <w:rPr>
          <w:lang w:val="en-GB"/>
        </w:rPr>
        <w:t>-</w:t>
      </w:r>
      <w:r w:rsidR="4435C01B" w:rsidRPr="00052AFA">
        <w:rPr>
          <w:lang w:val="en-GB"/>
        </w:rPr>
        <w:t xml:space="preserve">resilient </w:t>
      </w:r>
      <w:r w:rsidR="2046BD0F" w:rsidRPr="00052AFA">
        <w:rPr>
          <w:lang w:val="en-GB"/>
        </w:rPr>
        <w:t>development</w:t>
      </w:r>
      <w:r w:rsidR="4435C01B" w:rsidRPr="00052AFA">
        <w:rPr>
          <w:lang w:val="en-GB"/>
        </w:rPr>
        <w:t xml:space="preserve">; and address the key drivers of conflict and </w:t>
      </w:r>
      <w:r w:rsidR="008374A1" w:rsidRPr="00052AFA">
        <w:rPr>
          <w:lang w:val="en-GB"/>
        </w:rPr>
        <w:t>in</w:t>
      </w:r>
      <w:r w:rsidR="4435C01B" w:rsidRPr="00052AFA">
        <w:rPr>
          <w:lang w:val="en-GB"/>
        </w:rPr>
        <w:t xml:space="preserve">stability. Strengthening </w:t>
      </w:r>
      <w:r w:rsidR="002E53A1" w:rsidRPr="00052AFA">
        <w:rPr>
          <w:lang w:val="en-GB"/>
        </w:rPr>
        <w:t>governance</w:t>
      </w:r>
      <w:r w:rsidR="4435C01B" w:rsidRPr="00052AFA">
        <w:rPr>
          <w:lang w:val="en-GB"/>
        </w:rPr>
        <w:t xml:space="preserve"> and concentrat</w:t>
      </w:r>
      <w:r w:rsidR="005E7ACF">
        <w:rPr>
          <w:lang w:val="en-GB"/>
        </w:rPr>
        <w:t>ing</w:t>
      </w:r>
      <w:r w:rsidR="4435C01B" w:rsidRPr="00052AFA">
        <w:rPr>
          <w:lang w:val="en-GB"/>
        </w:rPr>
        <w:t xml:space="preserve"> </w:t>
      </w:r>
      <w:r w:rsidR="005E7ACF">
        <w:rPr>
          <w:lang w:val="en-GB"/>
        </w:rPr>
        <w:t xml:space="preserve">UNDP </w:t>
      </w:r>
      <w:r w:rsidR="4435C01B" w:rsidRPr="00052AFA">
        <w:rPr>
          <w:lang w:val="en-GB"/>
        </w:rPr>
        <w:t xml:space="preserve">engagement on </w:t>
      </w:r>
      <w:r w:rsidR="002446CB" w:rsidRPr="00052AFA">
        <w:rPr>
          <w:lang w:val="en-GB"/>
        </w:rPr>
        <w:t>targeted</w:t>
      </w:r>
      <w:r w:rsidR="4C412294" w:rsidRPr="00052AFA">
        <w:rPr>
          <w:lang w:val="en-GB"/>
        </w:rPr>
        <w:t xml:space="preserve"> </w:t>
      </w:r>
      <w:r w:rsidR="4435C01B" w:rsidRPr="00052AFA">
        <w:rPr>
          <w:lang w:val="en-GB"/>
        </w:rPr>
        <w:t xml:space="preserve">geographically isolated and disadvantaged areas will provide the integrating focus of </w:t>
      </w:r>
      <w:r w:rsidR="005E7ACF">
        <w:rPr>
          <w:lang w:val="en-GB"/>
        </w:rPr>
        <w:t xml:space="preserve">its </w:t>
      </w:r>
      <w:r w:rsidR="4435C01B" w:rsidRPr="00052AFA">
        <w:rPr>
          <w:lang w:val="en-GB"/>
        </w:rPr>
        <w:t>work</w:t>
      </w:r>
      <w:r w:rsidR="005E7ACF">
        <w:rPr>
          <w:lang w:val="en-GB"/>
        </w:rPr>
        <w:t xml:space="preserve">. UNDP </w:t>
      </w:r>
      <w:r w:rsidR="00D85DFA" w:rsidRPr="00052AFA">
        <w:rPr>
          <w:lang w:val="en-GB"/>
        </w:rPr>
        <w:t xml:space="preserve">will seek to </w:t>
      </w:r>
      <w:r w:rsidR="4435C01B" w:rsidRPr="00052AFA">
        <w:rPr>
          <w:lang w:val="en-GB"/>
        </w:rPr>
        <w:t>create multiplier effects across the</w:t>
      </w:r>
      <w:r w:rsidR="0D66B8C1" w:rsidRPr="00052AFA">
        <w:rPr>
          <w:lang w:val="en-GB"/>
        </w:rPr>
        <w:t xml:space="preserve"> Goals</w:t>
      </w:r>
      <w:r w:rsidR="00D85DFA" w:rsidRPr="00052AFA">
        <w:rPr>
          <w:lang w:val="en-GB"/>
        </w:rPr>
        <w:t xml:space="preserve"> from each of </w:t>
      </w:r>
      <w:r w:rsidR="005E7ACF">
        <w:rPr>
          <w:lang w:val="en-GB"/>
        </w:rPr>
        <w:t xml:space="preserve">its </w:t>
      </w:r>
      <w:r w:rsidR="00D85DFA" w:rsidRPr="00052AFA">
        <w:rPr>
          <w:lang w:val="en-GB"/>
        </w:rPr>
        <w:t>thematic areas of engagement</w:t>
      </w:r>
      <w:r w:rsidR="4435C01B" w:rsidRPr="00052AFA">
        <w:rPr>
          <w:lang w:val="en-GB"/>
        </w:rPr>
        <w:t>.</w:t>
      </w:r>
    </w:p>
    <w:p w14:paraId="7041B74F" w14:textId="737A8210" w:rsidR="2217B5E1" w:rsidRPr="00052AFA" w:rsidRDefault="2217B5E1" w:rsidP="001751AC">
      <w:pPr>
        <w:pStyle w:val="ListParagraph"/>
        <w:tabs>
          <w:tab w:val="left" w:pos="1080"/>
        </w:tabs>
        <w:ind w:left="1170" w:right="4"/>
        <w:jc w:val="both"/>
        <w:rPr>
          <w:sz w:val="12"/>
          <w:szCs w:val="12"/>
          <w:lang w:val="en-GB"/>
        </w:rPr>
      </w:pPr>
    </w:p>
    <w:p w14:paraId="4FF58154" w14:textId="71F573C8" w:rsidR="00B948E7" w:rsidRPr="00715998" w:rsidRDefault="4435C01B" w:rsidP="00715998">
      <w:pPr>
        <w:pStyle w:val="ListParagraph"/>
        <w:tabs>
          <w:tab w:val="left" w:pos="1080"/>
        </w:tabs>
        <w:ind w:left="1170" w:right="4"/>
        <w:contextualSpacing/>
        <w:jc w:val="both"/>
        <w:rPr>
          <w:b/>
          <w:lang w:val="en-GB"/>
        </w:rPr>
      </w:pPr>
      <w:r w:rsidRPr="00715998">
        <w:rPr>
          <w:b/>
          <w:bCs/>
          <w:iCs/>
          <w:lang w:val="en-GB"/>
        </w:rPr>
        <w:t xml:space="preserve">To </w:t>
      </w:r>
      <w:r w:rsidR="1A24C4A7" w:rsidRPr="00715998">
        <w:rPr>
          <w:b/>
          <w:bCs/>
          <w:iCs/>
          <w:lang w:val="en-GB"/>
        </w:rPr>
        <w:t>improve</w:t>
      </w:r>
      <w:r w:rsidRPr="00715998">
        <w:rPr>
          <w:b/>
          <w:bCs/>
          <w:iCs/>
          <w:lang w:val="en-GB"/>
        </w:rPr>
        <w:t xml:space="preserve"> access to quality social services for the </w:t>
      </w:r>
      <w:r w:rsidR="00EE4D94" w:rsidRPr="00715998">
        <w:rPr>
          <w:b/>
          <w:bCs/>
          <w:iCs/>
          <w:lang w:val="en-GB"/>
        </w:rPr>
        <w:t xml:space="preserve">poor, </w:t>
      </w:r>
      <w:r w:rsidRPr="00715998">
        <w:rPr>
          <w:b/>
          <w:bCs/>
          <w:iCs/>
          <w:lang w:val="en-GB"/>
        </w:rPr>
        <w:t xml:space="preserve">marginalized and at-risk, </w:t>
      </w:r>
      <w:r w:rsidR="005E7ACF" w:rsidRPr="00164516">
        <w:rPr>
          <w:b/>
          <w:bCs/>
          <w:iCs/>
          <w:lang w:val="en-GB"/>
        </w:rPr>
        <w:t xml:space="preserve">UNDP </w:t>
      </w:r>
      <w:r w:rsidRPr="00715998">
        <w:rPr>
          <w:b/>
          <w:bCs/>
          <w:iCs/>
          <w:lang w:val="en-GB"/>
        </w:rPr>
        <w:t xml:space="preserve">will further develop the capacity of </w:t>
      </w:r>
      <w:r w:rsidR="00A4243B" w:rsidRPr="00715998">
        <w:rPr>
          <w:b/>
          <w:bCs/>
          <w:iCs/>
          <w:lang w:val="en-GB"/>
        </w:rPr>
        <w:t xml:space="preserve">targeted </w:t>
      </w:r>
      <w:r w:rsidRPr="00715998">
        <w:rPr>
          <w:b/>
          <w:bCs/>
          <w:iCs/>
          <w:lang w:val="en-GB"/>
        </w:rPr>
        <w:t>local governments</w:t>
      </w:r>
      <w:r w:rsidR="25C2FF6E" w:rsidRPr="00715998">
        <w:rPr>
          <w:b/>
          <w:bCs/>
          <w:iCs/>
          <w:lang w:val="en-GB"/>
        </w:rPr>
        <w:t>,</w:t>
      </w:r>
      <w:r w:rsidRPr="00715998">
        <w:rPr>
          <w:b/>
          <w:bCs/>
          <w:iCs/>
          <w:lang w:val="en-GB"/>
        </w:rPr>
        <w:t xml:space="preserve"> strengthen governance in key national agencie</w:t>
      </w:r>
      <w:r w:rsidR="00C06A53" w:rsidRPr="00715998">
        <w:rPr>
          <w:b/>
          <w:bCs/>
          <w:iCs/>
          <w:lang w:val="en-GB"/>
        </w:rPr>
        <w:t>s</w:t>
      </w:r>
      <w:r w:rsidR="25C2FF6E" w:rsidRPr="00715998">
        <w:rPr>
          <w:b/>
          <w:bCs/>
          <w:iCs/>
          <w:lang w:val="en-GB"/>
        </w:rPr>
        <w:t>,</w:t>
      </w:r>
      <w:r w:rsidRPr="00715998">
        <w:rPr>
          <w:b/>
          <w:bCs/>
          <w:iCs/>
          <w:lang w:val="en-GB"/>
        </w:rPr>
        <w:t xml:space="preserve"> and expand citizen engagement in government policy and program</w:t>
      </w:r>
      <w:r w:rsidR="00164516">
        <w:rPr>
          <w:b/>
          <w:bCs/>
          <w:iCs/>
          <w:lang w:val="en-GB"/>
        </w:rPr>
        <w:t>me</w:t>
      </w:r>
      <w:r w:rsidRPr="00715998">
        <w:rPr>
          <w:b/>
          <w:bCs/>
          <w:iCs/>
          <w:lang w:val="en-GB"/>
        </w:rPr>
        <w:t>s</w:t>
      </w:r>
      <w:r w:rsidRPr="00715998">
        <w:rPr>
          <w:b/>
          <w:lang w:val="en-GB"/>
        </w:rPr>
        <w:t>.</w:t>
      </w:r>
    </w:p>
    <w:p w14:paraId="041689C8" w14:textId="77777777" w:rsidR="00B948E7" w:rsidRPr="00052AFA" w:rsidRDefault="00B948E7" w:rsidP="001751AC">
      <w:pPr>
        <w:pStyle w:val="ListParagraph"/>
        <w:tabs>
          <w:tab w:val="left" w:pos="1080"/>
        </w:tabs>
        <w:ind w:left="1170" w:right="4"/>
        <w:contextualSpacing/>
        <w:jc w:val="both"/>
        <w:rPr>
          <w:sz w:val="12"/>
          <w:szCs w:val="12"/>
          <w:lang w:val="en-GB"/>
        </w:rPr>
      </w:pPr>
    </w:p>
    <w:p w14:paraId="200A63AD" w14:textId="6CD211FC" w:rsidR="001C3B6F" w:rsidRPr="00052AFA" w:rsidRDefault="005E7ACF" w:rsidP="001751AC">
      <w:pPr>
        <w:pStyle w:val="ListParagraph"/>
        <w:numPr>
          <w:ilvl w:val="0"/>
          <w:numId w:val="17"/>
        </w:numPr>
        <w:tabs>
          <w:tab w:val="left" w:pos="1080"/>
        </w:tabs>
        <w:ind w:left="1170" w:right="4" w:firstLine="0"/>
        <w:contextualSpacing/>
        <w:jc w:val="both"/>
        <w:rPr>
          <w:lang w:val="en-GB"/>
        </w:rPr>
      </w:pPr>
      <w:r>
        <w:rPr>
          <w:b/>
          <w:bCs/>
          <w:i/>
          <w:iCs/>
          <w:lang w:val="en-GB"/>
        </w:rPr>
        <w:t xml:space="preserve"> </w:t>
      </w:r>
      <w:r w:rsidRPr="00715998">
        <w:rPr>
          <w:bCs/>
          <w:i/>
          <w:iCs/>
          <w:lang w:val="en-GB"/>
        </w:rPr>
        <w:t xml:space="preserve">UNDP </w:t>
      </w:r>
      <w:r w:rsidR="4435C01B" w:rsidRPr="00715998">
        <w:rPr>
          <w:bCs/>
          <w:i/>
          <w:iCs/>
          <w:lang w:val="en-GB"/>
        </w:rPr>
        <w:t>efforts will focus on 100 local governments with geographically isolated and disadvantaged areas</w:t>
      </w:r>
      <w:r w:rsidRPr="00715998">
        <w:rPr>
          <w:bCs/>
          <w:i/>
          <w:iCs/>
          <w:lang w:val="en-GB"/>
        </w:rPr>
        <w:t>.</w:t>
      </w:r>
      <w:r w:rsidR="00E375B6" w:rsidRPr="00715998">
        <w:rPr>
          <w:rStyle w:val="FootnoteReference"/>
          <w:bCs/>
          <w:i/>
          <w:iCs/>
          <w:lang w:val="en-GB"/>
        </w:rPr>
        <w:footnoteReference w:id="22"/>
      </w:r>
      <w:r w:rsidR="4435C01B" w:rsidRPr="00052AFA">
        <w:rPr>
          <w:lang w:val="en-GB"/>
        </w:rPr>
        <w:t xml:space="preserve"> These </w:t>
      </w:r>
      <w:r w:rsidR="00970CE8" w:rsidRPr="00052AFA">
        <w:rPr>
          <w:lang w:val="en-GB"/>
        </w:rPr>
        <w:t>local governments</w:t>
      </w:r>
      <w:r w:rsidR="00180C2D">
        <w:rPr>
          <w:lang w:val="en-GB"/>
        </w:rPr>
        <w:t xml:space="preserve"> units (LGUs)</w:t>
      </w:r>
      <w:r w:rsidR="00970CE8" w:rsidRPr="00052AFA">
        <w:rPr>
          <w:lang w:val="en-GB"/>
        </w:rPr>
        <w:t xml:space="preserve"> need to </w:t>
      </w:r>
      <w:r w:rsidR="008469E3" w:rsidRPr="00052AFA">
        <w:rPr>
          <w:lang w:val="en-GB"/>
        </w:rPr>
        <w:t xml:space="preserve">simultaneously </w:t>
      </w:r>
      <w:r w:rsidR="00970CE8" w:rsidRPr="00052AFA">
        <w:rPr>
          <w:lang w:val="en-GB"/>
        </w:rPr>
        <w:t>tackle</w:t>
      </w:r>
      <w:r w:rsidR="4435C01B" w:rsidRPr="00052AFA">
        <w:rPr>
          <w:lang w:val="en-GB"/>
        </w:rPr>
        <w:t xml:space="preserve"> </w:t>
      </w:r>
      <w:r w:rsidR="00134174" w:rsidRPr="00052AFA">
        <w:rPr>
          <w:lang w:val="en-GB"/>
        </w:rPr>
        <w:t>the</w:t>
      </w:r>
      <w:r w:rsidR="0D8602F7" w:rsidRPr="00052AFA">
        <w:rPr>
          <w:lang w:val="en-GB"/>
        </w:rPr>
        <w:t xml:space="preserve"> </w:t>
      </w:r>
      <w:r w:rsidR="00C55474" w:rsidRPr="00052AFA">
        <w:rPr>
          <w:lang w:val="en-GB"/>
        </w:rPr>
        <w:t>inter-</w:t>
      </w:r>
      <w:r w:rsidR="00663231" w:rsidRPr="00052AFA">
        <w:rPr>
          <w:lang w:val="en-GB"/>
        </w:rPr>
        <w:t>related</w:t>
      </w:r>
      <w:r w:rsidR="00C55474" w:rsidRPr="00052AFA">
        <w:rPr>
          <w:lang w:val="en-GB"/>
        </w:rPr>
        <w:t xml:space="preserve"> issues of </w:t>
      </w:r>
      <w:r w:rsidR="4435C01B" w:rsidRPr="00052AFA">
        <w:rPr>
          <w:lang w:val="en-GB"/>
        </w:rPr>
        <w:t>hig</w:t>
      </w:r>
      <w:r w:rsidR="00CD3009" w:rsidRPr="00052AFA">
        <w:rPr>
          <w:lang w:val="en-GB"/>
        </w:rPr>
        <w:t>h incidence</w:t>
      </w:r>
      <w:r w:rsidR="00220E71" w:rsidRPr="00052AFA">
        <w:rPr>
          <w:lang w:val="en-GB"/>
        </w:rPr>
        <w:t xml:space="preserve"> of multi</w:t>
      </w:r>
      <w:r w:rsidR="00944A4D" w:rsidRPr="00052AFA">
        <w:rPr>
          <w:lang w:val="en-GB"/>
        </w:rPr>
        <w:t>dimensional</w:t>
      </w:r>
      <w:r w:rsidR="00220E71" w:rsidRPr="00052AFA">
        <w:rPr>
          <w:lang w:val="en-GB"/>
        </w:rPr>
        <w:t xml:space="preserve"> poverty</w:t>
      </w:r>
      <w:r>
        <w:rPr>
          <w:lang w:val="en-GB"/>
        </w:rPr>
        <w:t xml:space="preserve"> and </w:t>
      </w:r>
      <w:r w:rsidR="4435C01B" w:rsidRPr="00052AFA">
        <w:rPr>
          <w:lang w:val="en-GB"/>
        </w:rPr>
        <w:t>vulnerability to natural disasters and conflict</w:t>
      </w:r>
      <w:r>
        <w:rPr>
          <w:lang w:val="en-GB"/>
        </w:rPr>
        <w:t>,</w:t>
      </w:r>
      <w:r w:rsidR="00FE3343" w:rsidRPr="00052AFA">
        <w:rPr>
          <w:lang w:val="en-GB"/>
        </w:rPr>
        <w:t xml:space="preserve"> and </w:t>
      </w:r>
      <w:r>
        <w:rPr>
          <w:lang w:val="en-GB"/>
        </w:rPr>
        <w:t xml:space="preserve">they </w:t>
      </w:r>
      <w:r w:rsidR="00C55474" w:rsidRPr="00052AFA">
        <w:rPr>
          <w:lang w:val="en-GB"/>
        </w:rPr>
        <w:t>must</w:t>
      </w:r>
      <w:r w:rsidR="00E728A3" w:rsidRPr="00052AFA">
        <w:rPr>
          <w:lang w:val="en-GB"/>
        </w:rPr>
        <w:t xml:space="preserve"> adopt</w:t>
      </w:r>
      <w:r w:rsidR="00E7312B" w:rsidRPr="00052AFA">
        <w:rPr>
          <w:lang w:val="en-GB"/>
        </w:rPr>
        <w:t xml:space="preserve"> </w:t>
      </w:r>
      <w:r w:rsidR="00204745" w:rsidRPr="00052AFA">
        <w:rPr>
          <w:lang w:val="en-GB"/>
        </w:rPr>
        <w:t xml:space="preserve">localized </w:t>
      </w:r>
      <w:r w:rsidR="00E7312B" w:rsidRPr="00052AFA">
        <w:rPr>
          <w:lang w:val="en-GB"/>
        </w:rPr>
        <w:t xml:space="preserve">integrated planning and programming consistent with </w:t>
      </w:r>
      <w:r w:rsidR="14974513" w:rsidRPr="00052AFA">
        <w:rPr>
          <w:lang w:val="en-GB"/>
        </w:rPr>
        <w:t>an</w:t>
      </w:r>
      <w:r w:rsidR="00E7312B" w:rsidRPr="00052AFA">
        <w:rPr>
          <w:lang w:val="en-GB"/>
        </w:rPr>
        <w:t xml:space="preserve"> </w:t>
      </w:r>
      <w:r w:rsidR="0088360C" w:rsidRPr="00052AFA">
        <w:rPr>
          <w:lang w:val="en-GB"/>
        </w:rPr>
        <w:t>e</w:t>
      </w:r>
      <w:r w:rsidR="00E7312B" w:rsidRPr="00052AFA">
        <w:rPr>
          <w:lang w:val="en-GB"/>
        </w:rPr>
        <w:t>cosystem</w:t>
      </w:r>
      <w:r w:rsidR="14974513" w:rsidRPr="00052AFA">
        <w:rPr>
          <w:lang w:val="en-GB"/>
        </w:rPr>
        <w:t>-based</w:t>
      </w:r>
      <w:r w:rsidR="00E7312B" w:rsidRPr="00052AFA">
        <w:rPr>
          <w:lang w:val="en-GB"/>
        </w:rPr>
        <w:t xml:space="preserve"> approach </w:t>
      </w:r>
      <w:r w:rsidR="14974513" w:rsidRPr="00052AFA">
        <w:rPr>
          <w:lang w:val="en-GB"/>
        </w:rPr>
        <w:t>necessary</w:t>
      </w:r>
      <w:r w:rsidR="00E7312B" w:rsidRPr="00052AFA">
        <w:rPr>
          <w:lang w:val="en-GB"/>
        </w:rPr>
        <w:t xml:space="preserve"> </w:t>
      </w:r>
      <w:r w:rsidR="00B0776A" w:rsidRPr="00052AFA">
        <w:rPr>
          <w:lang w:val="en-GB"/>
        </w:rPr>
        <w:t>to</w:t>
      </w:r>
      <w:r w:rsidR="0088360C" w:rsidRPr="00052AFA">
        <w:rPr>
          <w:lang w:val="en-GB"/>
        </w:rPr>
        <w:t xml:space="preserve"> </w:t>
      </w:r>
      <w:r w:rsidR="00B0776A" w:rsidRPr="00052AFA">
        <w:rPr>
          <w:lang w:val="en-GB"/>
        </w:rPr>
        <w:t>achieve</w:t>
      </w:r>
      <w:r w:rsidR="0088360C" w:rsidRPr="00052AFA">
        <w:rPr>
          <w:lang w:val="en-GB"/>
        </w:rPr>
        <w:t xml:space="preserve"> the Goals</w:t>
      </w:r>
      <w:r w:rsidR="4435C01B" w:rsidRPr="00052AFA">
        <w:rPr>
          <w:lang w:val="en-GB"/>
        </w:rPr>
        <w:t xml:space="preserve">. </w:t>
      </w:r>
      <w:r>
        <w:rPr>
          <w:lang w:val="en-GB"/>
        </w:rPr>
        <w:t xml:space="preserve">UNDP </w:t>
      </w:r>
      <w:r w:rsidR="4435C01B" w:rsidRPr="00052AFA">
        <w:rPr>
          <w:lang w:val="en-GB"/>
        </w:rPr>
        <w:t xml:space="preserve">will build an innovative monitoring </w:t>
      </w:r>
      <w:r w:rsidR="00B34E02">
        <w:rPr>
          <w:lang w:val="en-GB"/>
        </w:rPr>
        <w:t>system</w:t>
      </w:r>
      <w:r w:rsidR="00B34E02" w:rsidRPr="00052AFA">
        <w:rPr>
          <w:lang w:val="en-GB"/>
        </w:rPr>
        <w:t xml:space="preserve"> </w:t>
      </w:r>
      <w:r w:rsidR="4435C01B" w:rsidRPr="00052AFA">
        <w:rPr>
          <w:lang w:val="en-GB"/>
        </w:rPr>
        <w:t xml:space="preserve">that integrates household sampling, administrative and big data analytics to provide local governments with </w:t>
      </w:r>
      <w:r w:rsidR="00332945" w:rsidRPr="00052AFA">
        <w:rPr>
          <w:lang w:val="en-GB"/>
        </w:rPr>
        <w:t>disaggregated data t</w:t>
      </w:r>
      <w:r w:rsidR="53ED24A1" w:rsidRPr="00052AFA">
        <w:rPr>
          <w:lang w:val="en-GB"/>
        </w:rPr>
        <w:t>o</w:t>
      </w:r>
      <w:r w:rsidR="00332945" w:rsidRPr="00052AFA">
        <w:rPr>
          <w:lang w:val="en-GB"/>
        </w:rPr>
        <w:t xml:space="preserve"> </w:t>
      </w:r>
      <w:r w:rsidR="00332945" w:rsidRPr="00052AFA">
        <w:rPr>
          <w:lang w:val="en-GB"/>
        </w:rPr>
        <w:lastRenderedPageBreak/>
        <w:t xml:space="preserve">help </w:t>
      </w:r>
      <w:r w:rsidR="006D6342" w:rsidRPr="00052AFA">
        <w:rPr>
          <w:lang w:val="en-GB"/>
        </w:rPr>
        <w:t xml:space="preserve">formulate local development plans and </w:t>
      </w:r>
      <w:r w:rsidR="00332945" w:rsidRPr="00052AFA">
        <w:rPr>
          <w:lang w:val="en-GB"/>
        </w:rPr>
        <w:t>target program</w:t>
      </w:r>
      <w:r>
        <w:rPr>
          <w:lang w:val="en-GB"/>
        </w:rPr>
        <w:t>me</w:t>
      </w:r>
      <w:r w:rsidR="00332945" w:rsidRPr="00052AFA">
        <w:rPr>
          <w:lang w:val="en-GB"/>
        </w:rPr>
        <w:t xml:space="preserve">s to the most </w:t>
      </w:r>
      <w:r w:rsidR="00BB1074" w:rsidRPr="00052AFA">
        <w:rPr>
          <w:lang w:val="en-GB"/>
        </w:rPr>
        <w:t xml:space="preserve">vulnerable and </w:t>
      </w:r>
      <w:r w:rsidR="00332945" w:rsidRPr="00052AFA">
        <w:rPr>
          <w:lang w:val="en-GB"/>
        </w:rPr>
        <w:t xml:space="preserve">disadvantaged. </w:t>
      </w:r>
      <w:r w:rsidR="4435C01B" w:rsidRPr="00052AFA">
        <w:rPr>
          <w:lang w:val="en-GB"/>
        </w:rPr>
        <w:t xml:space="preserve">This will enable </w:t>
      </w:r>
      <w:r w:rsidR="00853028" w:rsidRPr="00052AFA">
        <w:rPr>
          <w:lang w:val="en-GB"/>
        </w:rPr>
        <w:t>effective</w:t>
      </w:r>
      <w:r w:rsidR="4435C01B" w:rsidRPr="00052AFA">
        <w:rPr>
          <w:lang w:val="en-GB"/>
        </w:rPr>
        <w:t xml:space="preserve"> use </w:t>
      </w:r>
      <w:r w:rsidR="004F5119" w:rsidRPr="00052AFA">
        <w:rPr>
          <w:lang w:val="en-GB"/>
        </w:rPr>
        <w:t xml:space="preserve">of </w:t>
      </w:r>
      <w:r w:rsidR="4435C01B" w:rsidRPr="00052AFA">
        <w:rPr>
          <w:lang w:val="en-GB"/>
        </w:rPr>
        <w:t>public resources</w:t>
      </w:r>
      <w:r w:rsidR="00853028" w:rsidRPr="00052AFA">
        <w:rPr>
          <w:lang w:val="en-GB"/>
        </w:rPr>
        <w:t>,</w:t>
      </w:r>
      <w:r w:rsidR="008B3477" w:rsidRPr="00052AFA">
        <w:rPr>
          <w:lang w:val="en-GB"/>
        </w:rPr>
        <w:t xml:space="preserve"> </w:t>
      </w:r>
      <w:r w:rsidR="4435C01B" w:rsidRPr="00052AFA">
        <w:rPr>
          <w:lang w:val="en-GB"/>
        </w:rPr>
        <w:t>track</w:t>
      </w:r>
      <w:r w:rsidR="00853028" w:rsidRPr="00052AFA">
        <w:rPr>
          <w:lang w:val="en-GB"/>
        </w:rPr>
        <w:t>ing of</w:t>
      </w:r>
      <w:r w:rsidR="4435C01B" w:rsidRPr="00052AFA">
        <w:rPr>
          <w:lang w:val="en-GB"/>
        </w:rPr>
        <w:t xml:space="preserve"> progress towards achievement of the </w:t>
      </w:r>
      <w:r w:rsidR="00F10530" w:rsidRPr="00052AFA">
        <w:rPr>
          <w:lang w:val="en-GB"/>
        </w:rPr>
        <w:t>Goals</w:t>
      </w:r>
      <w:r w:rsidR="007E327F">
        <w:rPr>
          <w:lang w:val="en-GB"/>
        </w:rPr>
        <w:t>,</w:t>
      </w:r>
      <w:r w:rsidR="00350A1B" w:rsidRPr="00052AFA">
        <w:rPr>
          <w:lang w:val="en-GB"/>
        </w:rPr>
        <w:t xml:space="preserve"> and </w:t>
      </w:r>
      <w:r w:rsidR="001B7DD5" w:rsidRPr="00052AFA">
        <w:rPr>
          <w:lang w:val="en-GB"/>
        </w:rPr>
        <w:t>develop</w:t>
      </w:r>
      <w:r w:rsidR="00EB060D" w:rsidRPr="00052AFA">
        <w:rPr>
          <w:lang w:val="en-GB"/>
        </w:rPr>
        <w:t>ment</w:t>
      </w:r>
      <w:r w:rsidR="00350A1B" w:rsidRPr="00052AFA">
        <w:rPr>
          <w:lang w:val="en-GB"/>
        </w:rPr>
        <w:t xml:space="preserve"> </w:t>
      </w:r>
      <w:r w:rsidR="00A9364A" w:rsidRPr="00052AFA">
        <w:rPr>
          <w:lang w:val="en-GB"/>
        </w:rPr>
        <w:t xml:space="preserve">of </w:t>
      </w:r>
      <w:r w:rsidR="00350A1B" w:rsidRPr="00052AFA">
        <w:rPr>
          <w:lang w:val="en-GB"/>
        </w:rPr>
        <w:t>business case</w:t>
      </w:r>
      <w:r w:rsidR="00A9364A" w:rsidRPr="00052AFA">
        <w:rPr>
          <w:lang w:val="en-GB"/>
        </w:rPr>
        <w:t>s</w:t>
      </w:r>
      <w:r w:rsidR="00350A1B" w:rsidRPr="00052AFA">
        <w:rPr>
          <w:lang w:val="en-GB"/>
        </w:rPr>
        <w:t xml:space="preserve"> to </w:t>
      </w:r>
      <w:r w:rsidR="001B7DD5" w:rsidRPr="00052AFA">
        <w:rPr>
          <w:lang w:val="en-GB"/>
        </w:rPr>
        <w:t>attract</w:t>
      </w:r>
      <w:r w:rsidR="00350A1B" w:rsidRPr="00052AFA">
        <w:rPr>
          <w:lang w:val="en-GB"/>
        </w:rPr>
        <w:t xml:space="preserve"> p</w:t>
      </w:r>
      <w:r w:rsidR="001B7DD5" w:rsidRPr="00052AFA">
        <w:rPr>
          <w:lang w:val="en-GB"/>
        </w:rPr>
        <w:t>rivate investment</w:t>
      </w:r>
      <w:r w:rsidR="4435C01B" w:rsidRPr="00052AFA">
        <w:rPr>
          <w:lang w:val="en-GB"/>
        </w:rPr>
        <w:t xml:space="preserve">. </w:t>
      </w:r>
      <w:r w:rsidR="007E327F">
        <w:rPr>
          <w:lang w:val="en-GB"/>
        </w:rPr>
        <w:t>UNDP will strengthen c</w:t>
      </w:r>
      <w:r w:rsidR="4435C01B" w:rsidRPr="00052AFA">
        <w:rPr>
          <w:lang w:val="en-GB"/>
        </w:rPr>
        <w:t xml:space="preserve">apacity </w:t>
      </w:r>
      <w:r w:rsidR="002557DD" w:rsidRPr="00052AFA">
        <w:rPr>
          <w:lang w:val="en-GB"/>
        </w:rPr>
        <w:t>for</w:t>
      </w:r>
      <w:r w:rsidR="4435C01B" w:rsidRPr="00052AFA">
        <w:rPr>
          <w:lang w:val="en-GB"/>
        </w:rPr>
        <w:t xml:space="preserve"> administrative reforms </w:t>
      </w:r>
      <w:r w:rsidR="007E327F">
        <w:rPr>
          <w:lang w:val="en-GB"/>
        </w:rPr>
        <w:t xml:space="preserve">to </w:t>
      </w:r>
      <w:r w:rsidR="4435C01B" w:rsidRPr="00052AFA">
        <w:rPr>
          <w:lang w:val="en-GB"/>
        </w:rPr>
        <w:t xml:space="preserve">accelerate and improve the quality of service delivery. </w:t>
      </w:r>
      <w:r w:rsidR="007009A8">
        <w:rPr>
          <w:lang w:val="en-GB"/>
        </w:rPr>
        <w:t xml:space="preserve">It </w:t>
      </w:r>
      <w:r w:rsidR="4435C01B" w:rsidRPr="00052AFA">
        <w:rPr>
          <w:lang w:val="en-GB"/>
        </w:rPr>
        <w:t xml:space="preserve">will support the transition from a paper-based system to </w:t>
      </w:r>
      <w:r w:rsidR="006A1D09" w:rsidRPr="00052AFA">
        <w:rPr>
          <w:lang w:val="en-GB"/>
        </w:rPr>
        <w:t>a secure</w:t>
      </w:r>
      <w:r w:rsidR="00C421BA" w:rsidRPr="00052AFA">
        <w:rPr>
          <w:lang w:val="en-GB"/>
        </w:rPr>
        <w:t>,</w:t>
      </w:r>
      <w:r w:rsidR="008E6090" w:rsidRPr="00052AFA">
        <w:rPr>
          <w:lang w:val="en-GB"/>
        </w:rPr>
        <w:t xml:space="preserve"> </w:t>
      </w:r>
      <w:r w:rsidR="00564DEC" w:rsidRPr="00052AFA">
        <w:rPr>
          <w:lang w:val="en-GB"/>
        </w:rPr>
        <w:t xml:space="preserve">efficient and transparent </w:t>
      </w:r>
      <w:r w:rsidR="4435C01B" w:rsidRPr="00052AFA">
        <w:rPr>
          <w:lang w:val="en-GB"/>
        </w:rPr>
        <w:t xml:space="preserve">e-governance </w:t>
      </w:r>
      <w:r w:rsidR="008E6090" w:rsidRPr="00052AFA">
        <w:rPr>
          <w:lang w:val="en-GB"/>
        </w:rPr>
        <w:t xml:space="preserve">system </w:t>
      </w:r>
      <w:r w:rsidR="4435C01B" w:rsidRPr="00052AFA">
        <w:rPr>
          <w:lang w:val="en-GB"/>
        </w:rPr>
        <w:t xml:space="preserve">drawing on global good practice. </w:t>
      </w:r>
      <w:r w:rsidR="2AD68065" w:rsidRPr="00052AFA">
        <w:rPr>
          <w:lang w:val="en-GB"/>
        </w:rPr>
        <w:t>T</w:t>
      </w:r>
      <w:r w:rsidR="302C8E70" w:rsidRPr="00052AFA">
        <w:rPr>
          <w:lang w:val="en-GB"/>
        </w:rPr>
        <w:t>o provide analytical and technical support to communities, local institutions and local governments</w:t>
      </w:r>
      <w:r w:rsidR="2AD68065" w:rsidRPr="00052AFA">
        <w:rPr>
          <w:lang w:val="en-GB"/>
        </w:rPr>
        <w:t xml:space="preserve">, </w:t>
      </w:r>
      <w:r w:rsidR="007E327F">
        <w:rPr>
          <w:lang w:val="en-GB"/>
        </w:rPr>
        <w:t xml:space="preserve">UNDP </w:t>
      </w:r>
      <w:r w:rsidR="5A26B1CF" w:rsidRPr="00052AFA">
        <w:rPr>
          <w:lang w:val="en-GB"/>
        </w:rPr>
        <w:t xml:space="preserve">will expand </w:t>
      </w:r>
      <w:r w:rsidR="007E327F">
        <w:rPr>
          <w:lang w:val="en-GB"/>
        </w:rPr>
        <w:t xml:space="preserve">its </w:t>
      </w:r>
      <w:r w:rsidR="4435C01B" w:rsidRPr="00052AFA">
        <w:rPr>
          <w:lang w:val="en-GB"/>
        </w:rPr>
        <w:t xml:space="preserve">support for </w:t>
      </w:r>
      <w:r w:rsidR="007E327F">
        <w:rPr>
          <w:i/>
          <w:iCs/>
          <w:lang w:val="en-GB"/>
        </w:rPr>
        <w:t>g</w:t>
      </w:r>
      <w:r w:rsidR="4435C01B" w:rsidRPr="00052AFA">
        <w:rPr>
          <w:i/>
          <w:iCs/>
          <w:lang w:val="en-GB"/>
        </w:rPr>
        <w:t>overnance</w:t>
      </w:r>
      <w:r w:rsidR="6EFAD29A" w:rsidRPr="00052AFA">
        <w:rPr>
          <w:i/>
          <w:iCs/>
          <w:lang w:val="en-GB"/>
        </w:rPr>
        <w:t xml:space="preserve"> </w:t>
      </w:r>
      <w:r w:rsidR="007E327F">
        <w:rPr>
          <w:i/>
          <w:iCs/>
          <w:lang w:val="en-GB"/>
        </w:rPr>
        <w:t>h</w:t>
      </w:r>
      <w:r w:rsidR="6EFAD29A" w:rsidRPr="00052AFA">
        <w:rPr>
          <w:i/>
          <w:iCs/>
          <w:lang w:val="en-GB"/>
        </w:rPr>
        <w:t>ubs</w:t>
      </w:r>
      <w:r w:rsidR="4435C01B" w:rsidRPr="00052AFA">
        <w:rPr>
          <w:lang w:val="en-GB"/>
        </w:rPr>
        <w:t xml:space="preserve">, comprising tertiary institutions, private sector and civil society organizations. </w:t>
      </w:r>
      <w:r w:rsidR="007E327F">
        <w:rPr>
          <w:lang w:val="en-GB"/>
        </w:rPr>
        <w:t xml:space="preserve">UNDP </w:t>
      </w:r>
      <w:r w:rsidR="4435C01B" w:rsidRPr="00052AFA">
        <w:rPr>
          <w:lang w:val="en-GB"/>
        </w:rPr>
        <w:t xml:space="preserve">will also develop a system to promote and recognize the efforts of local governments </w:t>
      </w:r>
      <w:r w:rsidR="007E327F">
        <w:rPr>
          <w:lang w:val="en-GB"/>
        </w:rPr>
        <w:t xml:space="preserve">in </w:t>
      </w:r>
      <w:r w:rsidR="4435C01B" w:rsidRPr="00052AFA">
        <w:rPr>
          <w:lang w:val="en-GB"/>
        </w:rPr>
        <w:t>achiev</w:t>
      </w:r>
      <w:r w:rsidR="007E327F">
        <w:rPr>
          <w:lang w:val="en-GB"/>
        </w:rPr>
        <w:t>ing</w:t>
      </w:r>
      <w:r w:rsidR="6EFAD29A" w:rsidRPr="00052AFA">
        <w:rPr>
          <w:lang w:val="en-GB"/>
        </w:rPr>
        <w:t xml:space="preserve"> the Goals</w:t>
      </w:r>
      <w:r w:rsidR="4435C01B" w:rsidRPr="00052AFA">
        <w:rPr>
          <w:lang w:val="en-GB"/>
        </w:rPr>
        <w:t xml:space="preserve">. </w:t>
      </w:r>
      <w:r w:rsidR="00A108D0" w:rsidRPr="00052AFA">
        <w:rPr>
          <w:lang w:val="en-GB"/>
        </w:rPr>
        <w:t>These approaches will provide a template for national replication.</w:t>
      </w:r>
      <w:r w:rsidR="00164516">
        <w:rPr>
          <w:lang w:val="en-GB"/>
        </w:rPr>
        <w:t xml:space="preserve"> </w:t>
      </w:r>
    </w:p>
    <w:p w14:paraId="5E683808" w14:textId="1BFF76EE" w:rsidR="00611A28" w:rsidRPr="00052AFA" w:rsidRDefault="00611A28" w:rsidP="001751AC">
      <w:pPr>
        <w:pStyle w:val="ListParagraph"/>
        <w:tabs>
          <w:tab w:val="left" w:pos="1080"/>
        </w:tabs>
        <w:ind w:left="1170" w:right="4"/>
        <w:contextualSpacing/>
        <w:jc w:val="both"/>
        <w:rPr>
          <w:sz w:val="12"/>
          <w:szCs w:val="12"/>
          <w:lang w:val="en-GB"/>
        </w:rPr>
      </w:pPr>
    </w:p>
    <w:p w14:paraId="328243A8" w14:textId="5F05BE22" w:rsidR="00B22ADD" w:rsidRPr="00052AFA" w:rsidRDefault="007E327F" w:rsidP="001751AC">
      <w:pPr>
        <w:pStyle w:val="ListParagraph"/>
        <w:numPr>
          <w:ilvl w:val="0"/>
          <w:numId w:val="17"/>
        </w:numPr>
        <w:tabs>
          <w:tab w:val="left" w:pos="1080"/>
        </w:tabs>
        <w:ind w:left="1170" w:right="4" w:firstLine="0"/>
        <w:contextualSpacing/>
        <w:jc w:val="both"/>
        <w:rPr>
          <w:lang w:val="en-GB"/>
        </w:rPr>
      </w:pPr>
      <w:r>
        <w:rPr>
          <w:b/>
          <w:bCs/>
          <w:i/>
          <w:iCs/>
          <w:lang w:val="en-GB"/>
        </w:rPr>
        <w:t xml:space="preserve"> </w:t>
      </w:r>
      <w:r w:rsidRPr="00715998">
        <w:rPr>
          <w:bCs/>
          <w:i/>
          <w:iCs/>
          <w:lang w:val="en-GB"/>
        </w:rPr>
        <w:t xml:space="preserve">UNDP </w:t>
      </w:r>
      <w:r w:rsidR="4435C01B" w:rsidRPr="00715998">
        <w:rPr>
          <w:bCs/>
          <w:i/>
          <w:iCs/>
          <w:lang w:val="en-GB"/>
        </w:rPr>
        <w:t xml:space="preserve">will assist </w:t>
      </w:r>
      <w:r w:rsidR="00585C9A" w:rsidRPr="00715998">
        <w:rPr>
          <w:bCs/>
          <w:i/>
          <w:iCs/>
          <w:lang w:val="en-GB"/>
        </w:rPr>
        <w:t xml:space="preserve">key </w:t>
      </w:r>
      <w:r w:rsidR="4435C01B" w:rsidRPr="00715998">
        <w:rPr>
          <w:bCs/>
          <w:i/>
          <w:iCs/>
          <w:lang w:val="en-GB"/>
        </w:rPr>
        <w:t xml:space="preserve">national government agencies </w:t>
      </w:r>
      <w:r w:rsidR="002B386C" w:rsidRPr="00715998">
        <w:rPr>
          <w:bCs/>
          <w:i/>
          <w:iCs/>
          <w:lang w:val="en-GB"/>
        </w:rPr>
        <w:t xml:space="preserve">to </w:t>
      </w:r>
      <w:r w:rsidR="00A72FE9" w:rsidRPr="00715998">
        <w:rPr>
          <w:bCs/>
          <w:i/>
          <w:iCs/>
          <w:lang w:val="en-GB"/>
        </w:rPr>
        <w:t>better</w:t>
      </w:r>
      <w:r w:rsidR="00585C9A" w:rsidRPr="00715998">
        <w:rPr>
          <w:bCs/>
          <w:i/>
          <w:iCs/>
          <w:lang w:val="en-GB"/>
        </w:rPr>
        <w:t xml:space="preserve"> execute budgets </w:t>
      </w:r>
      <w:r w:rsidR="00FA5287" w:rsidRPr="00715998">
        <w:rPr>
          <w:bCs/>
          <w:i/>
          <w:iCs/>
          <w:lang w:val="en-GB"/>
        </w:rPr>
        <w:t xml:space="preserve">allocated </w:t>
      </w:r>
      <w:r w:rsidR="4435C01B" w:rsidRPr="00715998">
        <w:rPr>
          <w:bCs/>
          <w:i/>
          <w:iCs/>
          <w:lang w:val="en-GB"/>
        </w:rPr>
        <w:t xml:space="preserve">for </w:t>
      </w:r>
      <w:r w:rsidR="008514EB" w:rsidRPr="00715998">
        <w:rPr>
          <w:bCs/>
          <w:i/>
          <w:iCs/>
          <w:lang w:val="en-GB"/>
        </w:rPr>
        <w:t xml:space="preserve">the delivery of </w:t>
      </w:r>
      <w:r w:rsidR="4435C01B" w:rsidRPr="00715998">
        <w:rPr>
          <w:bCs/>
          <w:i/>
          <w:iCs/>
          <w:lang w:val="en-GB"/>
        </w:rPr>
        <w:t>basic services.</w:t>
      </w:r>
      <w:r w:rsidR="4435C01B" w:rsidRPr="00052AFA">
        <w:rPr>
          <w:b/>
          <w:bCs/>
          <w:i/>
          <w:iCs/>
          <w:lang w:val="en-GB"/>
        </w:rPr>
        <w:t xml:space="preserve"> </w:t>
      </w:r>
      <w:r w:rsidR="007009A8" w:rsidRPr="00715998">
        <w:rPr>
          <w:bCs/>
          <w:iCs/>
          <w:lang w:val="en-GB"/>
        </w:rPr>
        <w:t xml:space="preserve">UNDP </w:t>
      </w:r>
      <w:r w:rsidR="4435C01B" w:rsidRPr="00052AFA">
        <w:rPr>
          <w:lang w:val="en-GB"/>
        </w:rPr>
        <w:t>will undertake baseline assessments to identify gaps and opportunities to strengthen public financial management. The assessments will be used to develop systemic</w:t>
      </w:r>
      <w:r w:rsidR="007009A8">
        <w:rPr>
          <w:lang w:val="en-GB"/>
        </w:rPr>
        <w:t xml:space="preserve">, </w:t>
      </w:r>
      <w:r w:rsidR="4435C01B" w:rsidRPr="00052AFA">
        <w:rPr>
          <w:lang w:val="en-GB"/>
        </w:rPr>
        <w:t xml:space="preserve">agency-specific capacity development plans to strengthen capabilities and promote integrity, accountability and transparency. </w:t>
      </w:r>
      <w:r w:rsidR="007009A8">
        <w:rPr>
          <w:lang w:val="en-GB"/>
        </w:rPr>
        <w:t xml:space="preserve">UNDP </w:t>
      </w:r>
      <w:r w:rsidR="4435C01B" w:rsidRPr="00052AFA">
        <w:rPr>
          <w:lang w:val="en-GB"/>
        </w:rPr>
        <w:t xml:space="preserve">will continue </w:t>
      </w:r>
      <w:r w:rsidR="00162270">
        <w:rPr>
          <w:lang w:val="en-GB"/>
        </w:rPr>
        <w:t xml:space="preserve">to </w:t>
      </w:r>
      <w:r w:rsidR="4435C01B" w:rsidRPr="00052AFA">
        <w:rPr>
          <w:lang w:val="en-GB"/>
        </w:rPr>
        <w:t xml:space="preserve">support the current budgeting framework </w:t>
      </w:r>
      <w:r w:rsidR="00D8495A" w:rsidRPr="00052AFA">
        <w:rPr>
          <w:lang w:val="en-GB"/>
        </w:rPr>
        <w:t xml:space="preserve">to better </w:t>
      </w:r>
      <w:r w:rsidR="4435C01B" w:rsidRPr="00052AFA">
        <w:rPr>
          <w:lang w:val="en-GB"/>
        </w:rPr>
        <w:t xml:space="preserve">integrate the </w:t>
      </w:r>
      <w:r w:rsidR="6EFAD29A" w:rsidRPr="00052AFA">
        <w:rPr>
          <w:lang w:val="en-GB"/>
        </w:rPr>
        <w:t>Goals</w:t>
      </w:r>
      <w:r w:rsidR="4435C01B" w:rsidRPr="00052AFA">
        <w:rPr>
          <w:lang w:val="en-GB"/>
        </w:rPr>
        <w:t xml:space="preserve"> and enable expenditure tagging</w:t>
      </w:r>
      <w:r w:rsidR="00723E82" w:rsidRPr="00052AFA">
        <w:rPr>
          <w:lang w:val="en-GB"/>
        </w:rPr>
        <w:t xml:space="preserve"> </w:t>
      </w:r>
      <w:r w:rsidR="00355680" w:rsidRPr="00052AFA">
        <w:rPr>
          <w:lang w:val="en-GB"/>
        </w:rPr>
        <w:t>to inform prioritization</w:t>
      </w:r>
      <w:r w:rsidR="005E791E" w:rsidRPr="00052AFA">
        <w:rPr>
          <w:b/>
          <w:bCs/>
          <w:i/>
          <w:iCs/>
          <w:lang w:val="en-GB"/>
        </w:rPr>
        <w:t xml:space="preserve"> </w:t>
      </w:r>
      <w:r w:rsidR="00EE0FBE" w:rsidRPr="00052AFA">
        <w:rPr>
          <w:bCs/>
          <w:iCs/>
          <w:lang w:val="en-GB"/>
        </w:rPr>
        <w:t>for</w:t>
      </w:r>
      <w:r w:rsidR="005E791E" w:rsidRPr="00052AFA">
        <w:rPr>
          <w:bCs/>
          <w:iCs/>
          <w:lang w:val="en-GB"/>
        </w:rPr>
        <w:t xml:space="preserve"> the most disadvantaged</w:t>
      </w:r>
      <w:r w:rsidR="4435C01B" w:rsidRPr="00052AFA">
        <w:rPr>
          <w:lang w:val="en-GB"/>
        </w:rPr>
        <w:t xml:space="preserve">. </w:t>
      </w:r>
      <w:r w:rsidR="007009A8">
        <w:rPr>
          <w:lang w:val="en-GB"/>
        </w:rPr>
        <w:t xml:space="preserve">It </w:t>
      </w:r>
      <w:r w:rsidR="4435C01B" w:rsidRPr="00052AFA">
        <w:rPr>
          <w:lang w:val="en-GB"/>
        </w:rPr>
        <w:t xml:space="preserve">will help provide a stronger evidence base for budget allocations by strengthening capacity for performance-based, value-for-money audits and evaluation. </w:t>
      </w:r>
      <w:r w:rsidR="007009A8">
        <w:rPr>
          <w:lang w:val="en-GB"/>
        </w:rPr>
        <w:t>UNDP will enhance p</w:t>
      </w:r>
      <w:r w:rsidR="4435C01B" w:rsidRPr="00052AFA">
        <w:rPr>
          <w:lang w:val="en-GB"/>
        </w:rPr>
        <w:t xml:space="preserve">rocurement capacity through internationally accredited training and on-the-job learning. </w:t>
      </w:r>
    </w:p>
    <w:p w14:paraId="039D684E" w14:textId="77777777" w:rsidR="000B15E9" w:rsidRPr="00052AFA" w:rsidRDefault="000B15E9" w:rsidP="001751AC">
      <w:pPr>
        <w:pStyle w:val="ListParagraph"/>
        <w:tabs>
          <w:tab w:val="left" w:pos="1080"/>
        </w:tabs>
        <w:ind w:left="1170" w:right="4"/>
        <w:contextualSpacing/>
        <w:jc w:val="both"/>
        <w:rPr>
          <w:sz w:val="12"/>
          <w:szCs w:val="12"/>
          <w:lang w:val="en-GB"/>
        </w:rPr>
      </w:pPr>
    </w:p>
    <w:p w14:paraId="45E3DD8F" w14:textId="1378E9E8" w:rsidR="00707F26" w:rsidRPr="00052AFA" w:rsidRDefault="007009A8" w:rsidP="001751AC">
      <w:pPr>
        <w:pStyle w:val="ListParagraph"/>
        <w:numPr>
          <w:ilvl w:val="0"/>
          <w:numId w:val="17"/>
        </w:numPr>
        <w:tabs>
          <w:tab w:val="left" w:pos="1080"/>
        </w:tabs>
        <w:ind w:left="1170" w:right="4" w:firstLine="0"/>
        <w:contextualSpacing/>
        <w:jc w:val="both"/>
        <w:rPr>
          <w:lang w:val="en-GB"/>
        </w:rPr>
      </w:pPr>
      <w:r>
        <w:rPr>
          <w:b/>
          <w:bCs/>
          <w:i/>
          <w:iCs/>
          <w:lang w:val="en-GB"/>
        </w:rPr>
        <w:t xml:space="preserve"> </w:t>
      </w:r>
      <w:r w:rsidRPr="00715998">
        <w:rPr>
          <w:bCs/>
          <w:i/>
          <w:iCs/>
          <w:lang w:val="en-GB"/>
        </w:rPr>
        <w:t xml:space="preserve">UNDP </w:t>
      </w:r>
      <w:r w:rsidR="4435C01B" w:rsidRPr="00715998">
        <w:rPr>
          <w:bCs/>
          <w:i/>
          <w:iCs/>
          <w:lang w:val="en-GB"/>
        </w:rPr>
        <w:t xml:space="preserve">will strengthen existing platforms for citizen engagement with </w:t>
      </w:r>
      <w:r w:rsidR="006C32AD" w:rsidRPr="00715998">
        <w:rPr>
          <w:bCs/>
          <w:i/>
          <w:iCs/>
          <w:lang w:val="en-GB"/>
        </w:rPr>
        <w:t xml:space="preserve">national and local </w:t>
      </w:r>
      <w:r w:rsidR="4435C01B" w:rsidRPr="00715998">
        <w:rPr>
          <w:bCs/>
          <w:i/>
          <w:iCs/>
          <w:lang w:val="en-GB"/>
        </w:rPr>
        <w:t>government</w:t>
      </w:r>
      <w:r>
        <w:rPr>
          <w:bCs/>
          <w:i/>
          <w:iCs/>
          <w:lang w:val="en-GB"/>
        </w:rPr>
        <w:t>,</w:t>
      </w:r>
      <w:r w:rsidR="4435C01B" w:rsidRPr="00715998">
        <w:rPr>
          <w:bCs/>
          <w:i/>
          <w:iCs/>
          <w:lang w:val="en-GB"/>
        </w:rPr>
        <w:t xml:space="preserve"> and build strong constituencies for democracy and governance reforms.</w:t>
      </w:r>
      <w:r w:rsidR="4435C01B" w:rsidRPr="00052AFA">
        <w:rPr>
          <w:lang w:val="en-GB"/>
        </w:rPr>
        <w:t xml:space="preserve"> </w:t>
      </w:r>
      <w:r w:rsidR="002B34E7">
        <w:rPr>
          <w:lang w:val="en-GB"/>
        </w:rPr>
        <w:t>UNDP will equip t</w:t>
      </w:r>
      <w:r w:rsidR="4435C01B" w:rsidRPr="00052AFA">
        <w:rPr>
          <w:lang w:val="en-GB"/>
        </w:rPr>
        <w:t xml:space="preserve">he </w:t>
      </w:r>
      <w:r>
        <w:rPr>
          <w:lang w:val="en-GB"/>
        </w:rPr>
        <w:t xml:space="preserve">3,000 </w:t>
      </w:r>
      <w:r w:rsidR="4435C01B" w:rsidRPr="00052AFA">
        <w:rPr>
          <w:lang w:val="en-GB"/>
        </w:rPr>
        <w:t xml:space="preserve">citizen monitors, </w:t>
      </w:r>
      <w:r>
        <w:rPr>
          <w:lang w:val="en-GB"/>
        </w:rPr>
        <w:t xml:space="preserve">most </w:t>
      </w:r>
      <w:r w:rsidR="4435C01B" w:rsidRPr="00052AFA">
        <w:rPr>
          <w:lang w:val="en-GB"/>
        </w:rPr>
        <w:t xml:space="preserve">of whom are women, with innovative monitoring tools. Smartphone applications will </w:t>
      </w:r>
      <w:r w:rsidR="009325CC" w:rsidRPr="00052AFA">
        <w:rPr>
          <w:lang w:val="en-GB"/>
        </w:rPr>
        <w:t>provi</w:t>
      </w:r>
      <w:r w:rsidR="1F390871" w:rsidRPr="00052AFA">
        <w:rPr>
          <w:lang w:val="en-GB"/>
        </w:rPr>
        <w:t>de</w:t>
      </w:r>
      <w:r w:rsidR="4435C01B" w:rsidRPr="00052AFA">
        <w:rPr>
          <w:lang w:val="en-GB"/>
        </w:rPr>
        <w:t xml:space="preserve"> real-time feedback through observation, photos, </w:t>
      </w:r>
      <w:r w:rsidR="598F7EAE" w:rsidRPr="00052AFA">
        <w:rPr>
          <w:lang w:val="en-GB"/>
        </w:rPr>
        <w:t xml:space="preserve">and </w:t>
      </w:r>
      <w:r w:rsidR="4435C01B" w:rsidRPr="00052AFA">
        <w:rPr>
          <w:lang w:val="en-GB"/>
        </w:rPr>
        <w:t>geo-tagging of service delivery and infrastructure</w:t>
      </w:r>
      <w:r w:rsidR="00E00786" w:rsidRPr="00052AFA">
        <w:rPr>
          <w:lang w:val="en-GB"/>
        </w:rPr>
        <w:t xml:space="preserve"> construction</w:t>
      </w:r>
      <w:r w:rsidR="4435C01B" w:rsidRPr="00052AFA">
        <w:rPr>
          <w:lang w:val="en-GB"/>
        </w:rPr>
        <w:t xml:space="preserve">. </w:t>
      </w:r>
      <w:r w:rsidR="002B34E7">
        <w:rPr>
          <w:lang w:val="en-GB"/>
        </w:rPr>
        <w:t xml:space="preserve">UNDP </w:t>
      </w:r>
      <w:r w:rsidR="4435C01B" w:rsidRPr="00052AFA">
        <w:rPr>
          <w:lang w:val="en-GB"/>
        </w:rPr>
        <w:t>will develop a set of indices to measure the state of local governance</w:t>
      </w:r>
      <w:r w:rsidR="002B34E7">
        <w:rPr>
          <w:lang w:val="en-GB"/>
        </w:rPr>
        <w:t>,</w:t>
      </w:r>
      <w:r w:rsidR="4435C01B" w:rsidRPr="00052AFA">
        <w:rPr>
          <w:lang w:val="en-GB"/>
        </w:rPr>
        <w:t xml:space="preserve"> including democracy, justice, integrity and service delivery. </w:t>
      </w:r>
      <w:r w:rsidR="002B34E7">
        <w:rPr>
          <w:lang w:val="en-GB"/>
        </w:rPr>
        <w:t>It will mobilize and equip c</w:t>
      </w:r>
      <w:r w:rsidR="4435C01B" w:rsidRPr="00052AFA">
        <w:rPr>
          <w:lang w:val="en-GB"/>
        </w:rPr>
        <w:t xml:space="preserve">onsortia of citizens, faith-based groups, </w:t>
      </w:r>
      <w:r w:rsidR="2CC0AC59" w:rsidRPr="00052AFA">
        <w:rPr>
          <w:lang w:val="en-GB"/>
        </w:rPr>
        <w:t>civil society organizations</w:t>
      </w:r>
      <w:r w:rsidR="4435C01B" w:rsidRPr="00052AFA">
        <w:rPr>
          <w:lang w:val="en-GB"/>
        </w:rPr>
        <w:t>, academ</w:t>
      </w:r>
      <w:r w:rsidR="002B34E7">
        <w:rPr>
          <w:lang w:val="en-GB"/>
        </w:rPr>
        <w:t>ia</w:t>
      </w:r>
      <w:r w:rsidR="4435C01B" w:rsidRPr="00052AFA">
        <w:rPr>
          <w:lang w:val="en-GB"/>
        </w:rPr>
        <w:t xml:space="preserve"> and </w:t>
      </w:r>
      <w:r w:rsidR="002B34E7">
        <w:rPr>
          <w:lang w:val="en-GB"/>
        </w:rPr>
        <w:t xml:space="preserve">the </w:t>
      </w:r>
      <w:r w:rsidR="4435C01B" w:rsidRPr="00052AFA">
        <w:rPr>
          <w:lang w:val="en-GB"/>
        </w:rPr>
        <w:t>private sector to generate and analy</w:t>
      </w:r>
      <w:r w:rsidR="002B34E7">
        <w:rPr>
          <w:lang w:val="en-GB"/>
        </w:rPr>
        <w:t>s</w:t>
      </w:r>
      <w:r w:rsidR="4435C01B" w:rsidRPr="00052AFA">
        <w:rPr>
          <w:lang w:val="en-GB"/>
        </w:rPr>
        <w:t xml:space="preserve">e data and conduct regular local governance reviews. </w:t>
      </w:r>
      <w:r w:rsidR="002B34E7">
        <w:rPr>
          <w:lang w:val="en-GB"/>
        </w:rPr>
        <w:t>P</w:t>
      </w:r>
      <w:r w:rsidR="4435C01B" w:rsidRPr="00052AFA">
        <w:rPr>
          <w:lang w:val="en-GB"/>
        </w:rPr>
        <w:t xml:space="preserve">ioneering </w:t>
      </w:r>
      <w:r w:rsidR="002B34E7">
        <w:rPr>
          <w:lang w:val="en-GB"/>
        </w:rPr>
        <w:t xml:space="preserve">UNDP </w:t>
      </w:r>
      <w:r w:rsidR="4435C01B" w:rsidRPr="00052AFA">
        <w:rPr>
          <w:lang w:val="en-GB"/>
        </w:rPr>
        <w:t xml:space="preserve">work on participatory public finance through the establishment of a network of </w:t>
      </w:r>
      <w:r w:rsidR="002B34E7">
        <w:rPr>
          <w:lang w:val="en-GB"/>
        </w:rPr>
        <w:t>p</w:t>
      </w:r>
      <w:r w:rsidR="4435C01B" w:rsidRPr="00052AFA">
        <w:rPr>
          <w:lang w:val="en-GB"/>
        </w:rPr>
        <w:t xml:space="preserve">eople’s </w:t>
      </w:r>
      <w:r w:rsidR="002B34E7">
        <w:rPr>
          <w:lang w:val="en-GB"/>
        </w:rPr>
        <w:t>p</w:t>
      </w:r>
      <w:r w:rsidR="4435C01B" w:rsidRPr="00052AFA">
        <w:rPr>
          <w:lang w:val="en-GB"/>
        </w:rPr>
        <w:t xml:space="preserve">ublic </w:t>
      </w:r>
      <w:r w:rsidR="002B34E7">
        <w:rPr>
          <w:lang w:val="en-GB"/>
        </w:rPr>
        <w:t>f</w:t>
      </w:r>
      <w:r w:rsidR="4435C01B" w:rsidRPr="00052AFA">
        <w:rPr>
          <w:lang w:val="en-GB"/>
        </w:rPr>
        <w:t xml:space="preserve">inance </w:t>
      </w:r>
      <w:r w:rsidR="002B34E7">
        <w:rPr>
          <w:lang w:val="en-GB"/>
        </w:rPr>
        <w:t>i</w:t>
      </w:r>
      <w:r w:rsidR="4435C01B" w:rsidRPr="00052AFA">
        <w:rPr>
          <w:lang w:val="en-GB"/>
        </w:rPr>
        <w:t>nstitutes will be expanded to provide accessible</w:t>
      </w:r>
      <w:r w:rsidR="002B34E7">
        <w:rPr>
          <w:lang w:val="en-GB"/>
        </w:rPr>
        <w:t xml:space="preserve">, </w:t>
      </w:r>
      <w:r w:rsidR="4435C01B" w:rsidRPr="00052AFA">
        <w:rPr>
          <w:lang w:val="en-GB"/>
        </w:rPr>
        <w:t xml:space="preserve">continuing education, mentoring and </w:t>
      </w:r>
      <w:r w:rsidR="00E169C1">
        <w:rPr>
          <w:lang w:val="en-GB"/>
        </w:rPr>
        <w:t xml:space="preserve">advice </w:t>
      </w:r>
      <w:r w:rsidR="4435C01B" w:rsidRPr="00052AFA">
        <w:rPr>
          <w:lang w:val="en-GB"/>
        </w:rPr>
        <w:t>for local leaders and citizens to monitor</w:t>
      </w:r>
      <w:r w:rsidR="00D53B00" w:rsidRPr="00052AFA">
        <w:rPr>
          <w:lang w:val="en-GB"/>
        </w:rPr>
        <w:t xml:space="preserve"> </w:t>
      </w:r>
      <w:r w:rsidR="002B34E7">
        <w:rPr>
          <w:lang w:val="en-GB"/>
        </w:rPr>
        <w:t xml:space="preserve">the </w:t>
      </w:r>
      <w:r w:rsidR="00D53B00" w:rsidRPr="00052AFA">
        <w:rPr>
          <w:lang w:val="en-GB"/>
        </w:rPr>
        <w:t>effectiveness of national and local program</w:t>
      </w:r>
      <w:r w:rsidR="002B34E7">
        <w:rPr>
          <w:lang w:val="en-GB"/>
        </w:rPr>
        <w:t>me</w:t>
      </w:r>
      <w:r w:rsidR="00D53B00" w:rsidRPr="00052AFA">
        <w:rPr>
          <w:lang w:val="en-GB"/>
        </w:rPr>
        <w:t>s</w:t>
      </w:r>
      <w:r w:rsidR="4435C01B" w:rsidRPr="00052AFA">
        <w:rPr>
          <w:lang w:val="en-GB"/>
        </w:rPr>
        <w:t xml:space="preserve">. </w:t>
      </w:r>
    </w:p>
    <w:p w14:paraId="658A86B2" w14:textId="77777777" w:rsidR="0037472B" w:rsidRPr="00052AFA" w:rsidRDefault="0037472B" w:rsidP="001751AC">
      <w:pPr>
        <w:pStyle w:val="ListParagraph"/>
        <w:tabs>
          <w:tab w:val="left" w:pos="1080"/>
        </w:tabs>
        <w:ind w:left="1170" w:right="4"/>
        <w:contextualSpacing/>
        <w:jc w:val="both"/>
        <w:rPr>
          <w:sz w:val="12"/>
          <w:szCs w:val="12"/>
          <w:lang w:val="en-GB"/>
        </w:rPr>
      </w:pPr>
    </w:p>
    <w:p w14:paraId="3837AF4E" w14:textId="6AFABC2C" w:rsidR="00E13002" w:rsidRPr="002B34E7" w:rsidRDefault="002B34E7" w:rsidP="00715998">
      <w:pPr>
        <w:pStyle w:val="ListParagraph"/>
        <w:tabs>
          <w:tab w:val="left" w:pos="1080"/>
        </w:tabs>
        <w:ind w:left="1170" w:right="4"/>
        <w:contextualSpacing/>
        <w:jc w:val="both"/>
        <w:rPr>
          <w:lang w:val="en-GB"/>
        </w:rPr>
      </w:pPr>
      <w:r>
        <w:rPr>
          <w:b/>
          <w:bCs/>
          <w:iCs/>
          <w:lang w:val="en-GB"/>
        </w:rPr>
        <w:t xml:space="preserve">UNDP </w:t>
      </w:r>
      <w:r w:rsidR="4435C01B" w:rsidRPr="00715998">
        <w:rPr>
          <w:b/>
          <w:bCs/>
          <w:iCs/>
          <w:lang w:val="en-GB"/>
        </w:rPr>
        <w:t>will support the transition to low-carbon</w:t>
      </w:r>
      <w:r>
        <w:rPr>
          <w:b/>
          <w:bCs/>
          <w:iCs/>
          <w:lang w:val="en-GB"/>
        </w:rPr>
        <w:t xml:space="preserve">, </w:t>
      </w:r>
      <w:r w:rsidR="4435C01B" w:rsidRPr="00715998">
        <w:rPr>
          <w:b/>
          <w:bCs/>
          <w:iCs/>
          <w:lang w:val="en-GB"/>
        </w:rPr>
        <w:t>climate-resilient development by enhancing risk-informed policies and program</w:t>
      </w:r>
      <w:r>
        <w:rPr>
          <w:b/>
          <w:bCs/>
          <w:iCs/>
          <w:lang w:val="en-GB"/>
        </w:rPr>
        <w:t>me</w:t>
      </w:r>
      <w:r w:rsidR="4435C01B" w:rsidRPr="00715998">
        <w:rPr>
          <w:b/>
          <w:bCs/>
          <w:iCs/>
          <w:lang w:val="en-GB"/>
        </w:rPr>
        <w:t>s</w:t>
      </w:r>
      <w:r w:rsidR="22CB6E80" w:rsidRPr="00715998">
        <w:rPr>
          <w:b/>
          <w:bCs/>
          <w:iCs/>
          <w:lang w:val="en-GB"/>
        </w:rPr>
        <w:t>,</w:t>
      </w:r>
      <w:r w:rsidR="4435C01B" w:rsidRPr="00715998">
        <w:rPr>
          <w:b/>
          <w:bCs/>
          <w:iCs/>
          <w:lang w:val="en-GB"/>
        </w:rPr>
        <w:t xml:space="preserve"> supporting the implementation of the </w:t>
      </w:r>
      <w:r w:rsidR="33C2A3A2" w:rsidRPr="00715998">
        <w:rPr>
          <w:b/>
          <w:bCs/>
          <w:iCs/>
          <w:lang w:val="en-GB"/>
        </w:rPr>
        <w:t xml:space="preserve">Paris </w:t>
      </w:r>
      <w:r>
        <w:rPr>
          <w:b/>
          <w:bCs/>
          <w:iCs/>
          <w:lang w:val="en-GB"/>
        </w:rPr>
        <w:t xml:space="preserve">Climate </w:t>
      </w:r>
      <w:r w:rsidR="33C2A3A2" w:rsidRPr="00715998">
        <w:rPr>
          <w:b/>
          <w:bCs/>
          <w:iCs/>
          <w:lang w:val="en-GB"/>
        </w:rPr>
        <w:t>Agreement</w:t>
      </w:r>
      <w:r w:rsidR="22CB6E80" w:rsidRPr="00715998">
        <w:rPr>
          <w:b/>
          <w:bCs/>
          <w:iCs/>
          <w:lang w:val="en-GB"/>
        </w:rPr>
        <w:t>,</w:t>
      </w:r>
      <w:r w:rsidR="33C2A3A2" w:rsidRPr="00715998">
        <w:rPr>
          <w:b/>
          <w:bCs/>
          <w:iCs/>
          <w:lang w:val="en-GB"/>
        </w:rPr>
        <w:t xml:space="preserve"> </w:t>
      </w:r>
      <w:r w:rsidR="4435C01B" w:rsidRPr="00715998">
        <w:rPr>
          <w:b/>
          <w:bCs/>
          <w:iCs/>
          <w:lang w:val="en-GB"/>
        </w:rPr>
        <w:t xml:space="preserve">and improving natural resource management. </w:t>
      </w:r>
    </w:p>
    <w:p w14:paraId="4B4D1B27" w14:textId="77777777" w:rsidR="00E13002" w:rsidRPr="00052AFA" w:rsidRDefault="00E13002" w:rsidP="001751AC">
      <w:pPr>
        <w:pStyle w:val="ListParagraph"/>
        <w:tabs>
          <w:tab w:val="left" w:pos="1080"/>
        </w:tabs>
        <w:ind w:left="1170" w:right="4"/>
        <w:contextualSpacing/>
        <w:jc w:val="both"/>
        <w:rPr>
          <w:sz w:val="12"/>
          <w:szCs w:val="12"/>
          <w:lang w:val="en-GB"/>
        </w:rPr>
      </w:pPr>
    </w:p>
    <w:p w14:paraId="78D3AC1A" w14:textId="06BEA26A" w:rsidR="0024037C" w:rsidRPr="00052AFA" w:rsidRDefault="00AA7C75" w:rsidP="009A6F60">
      <w:pPr>
        <w:pStyle w:val="ListParagraph"/>
        <w:numPr>
          <w:ilvl w:val="0"/>
          <w:numId w:val="17"/>
        </w:numPr>
        <w:tabs>
          <w:tab w:val="left" w:pos="1080"/>
        </w:tabs>
        <w:ind w:left="1170" w:firstLine="0"/>
        <w:jc w:val="both"/>
        <w:rPr>
          <w:lang w:val="en-GB" w:eastAsia="en-PH"/>
        </w:rPr>
      </w:pPr>
      <w:r>
        <w:rPr>
          <w:bCs/>
          <w:i/>
          <w:iCs/>
          <w:lang w:val="en-GB"/>
        </w:rPr>
        <w:t xml:space="preserve"> UNDP </w:t>
      </w:r>
      <w:r w:rsidR="4435C01B" w:rsidRPr="00715998">
        <w:rPr>
          <w:bCs/>
          <w:i/>
          <w:iCs/>
          <w:lang w:val="en-GB"/>
        </w:rPr>
        <w:t xml:space="preserve">will </w:t>
      </w:r>
      <w:r w:rsidR="5C3FA085" w:rsidRPr="00715998">
        <w:rPr>
          <w:bCs/>
          <w:i/>
          <w:iCs/>
          <w:lang w:val="en-GB"/>
        </w:rPr>
        <w:t>support the appl</w:t>
      </w:r>
      <w:r w:rsidR="10E3AFD4" w:rsidRPr="00715998">
        <w:rPr>
          <w:bCs/>
          <w:i/>
          <w:iCs/>
          <w:lang w:val="en-GB"/>
        </w:rPr>
        <w:t>ication of</w:t>
      </w:r>
      <w:r w:rsidR="4435C01B" w:rsidRPr="00715998">
        <w:rPr>
          <w:bCs/>
          <w:i/>
          <w:iCs/>
          <w:lang w:val="en-GB"/>
        </w:rPr>
        <w:t xml:space="preserve"> climate-sensitiv</w:t>
      </w:r>
      <w:r w:rsidR="00F07BE9" w:rsidRPr="00715998">
        <w:rPr>
          <w:bCs/>
          <w:i/>
          <w:iCs/>
          <w:lang w:val="en-GB"/>
        </w:rPr>
        <w:t>ity</w:t>
      </w:r>
      <w:r w:rsidR="4435C01B" w:rsidRPr="00715998">
        <w:rPr>
          <w:bCs/>
          <w:i/>
          <w:iCs/>
          <w:lang w:val="en-GB"/>
        </w:rPr>
        <w:t xml:space="preserve"> models and hazard maps so national and local governments better understand </w:t>
      </w:r>
      <w:r w:rsidR="00526AC8" w:rsidRPr="00715998">
        <w:rPr>
          <w:bCs/>
          <w:i/>
          <w:iCs/>
          <w:lang w:val="en-GB"/>
        </w:rPr>
        <w:t xml:space="preserve">and plan for </w:t>
      </w:r>
      <w:r w:rsidR="4435C01B" w:rsidRPr="00715998">
        <w:rPr>
          <w:bCs/>
          <w:i/>
          <w:iCs/>
          <w:lang w:val="en-GB"/>
        </w:rPr>
        <w:t>the extent, scope and distribution of medium and long-term risks.</w:t>
      </w:r>
      <w:r w:rsidR="4435C01B" w:rsidRPr="00AA7C75">
        <w:rPr>
          <w:lang w:val="en-GB"/>
        </w:rPr>
        <w:t xml:space="preserve"> </w:t>
      </w:r>
      <w:r w:rsidR="6BD8A5FA" w:rsidRPr="00052AFA">
        <w:rPr>
          <w:lang w:val="en-GB"/>
        </w:rPr>
        <w:t>O</w:t>
      </w:r>
      <w:r w:rsidR="10E3AFD4" w:rsidRPr="00052AFA">
        <w:rPr>
          <w:lang w:val="en-GB"/>
        </w:rPr>
        <w:t xml:space="preserve">f </w:t>
      </w:r>
      <w:r>
        <w:rPr>
          <w:lang w:val="en-GB"/>
        </w:rPr>
        <w:t xml:space="preserve">its </w:t>
      </w:r>
      <w:r w:rsidR="10E3AFD4" w:rsidRPr="00052AFA">
        <w:rPr>
          <w:lang w:val="en-GB"/>
        </w:rPr>
        <w:t>target 100 local governments</w:t>
      </w:r>
      <w:r w:rsidR="6BD8A5FA" w:rsidRPr="00052AFA">
        <w:rPr>
          <w:lang w:val="en-GB"/>
        </w:rPr>
        <w:t xml:space="preserve">, </w:t>
      </w:r>
      <w:r>
        <w:rPr>
          <w:lang w:val="en-GB"/>
        </w:rPr>
        <w:t xml:space="preserve">UNDP </w:t>
      </w:r>
      <w:r w:rsidR="4435C01B" w:rsidRPr="00052AFA">
        <w:rPr>
          <w:lang w:val="en-GB"/>
        </w:rPr>
        <w:t xml:space="preserve">will focus </w:t>
      </w:r>
      <w:r w:rsidR="4435C01B" w:rsidRPr="00052AFA" w:rsidDel="00181925">
        <w:rPr>
          <w:lang w:val="en-GB"/>
        </w:rPr>
        <w:t xml:space="preserve">on </w:t>
      </w:r>
      <w:r w:rsidR="00DE5C00" w:rsidRPr="00052AFA">
        <w:rPr>
          <w:lang w:val="en-GB"/>
        </w:rPr>
        <w:t xml:space="preserve">those </w:t>
      </w:r>
      <w:r w:rsidR="4435C01B" w:rsidRPr="00052AFA">
        <w:rPr>
          <w:lang w:val="en-GB"/>
        </w:rPr>
        <w:t>most at</w:t>
      </w:r>
      <w:r>
        <w:rPr>
          <w:lang w:val="en-GB"/>
        </w:rPr>
        <w:t>-</w:t>
      </w:r>
      <w:r w:rsidR="4435C01B" w:rsidRPr="00052AFA">
        <w:rPr>
          <w:lang w:val="en-GB"/>
        </w:rPr>
        <w:t xml:space="preserve">risk from disasters and help formulate </w:t>
      </w:r>
      <w:r w:rsidR="00D65D4A" w:rsidRPr="00052AFA">
        <w:rPr>
          <w:lang w:val="en-GB"/>
        </w:rPr>
        <w:t>ecosystem</w:t>
      </w:r>
      <w:r w:rsidR="1E928E9A" w:rsidRPr="00052AFA">
        <w:rPr>
          <w:lang w:val="en-GB"/>
        </w:rPr>
        <w:t>-</w:t>
      </w:r>
      <w:r w:rsidR="00D65D4A" w:rsidRPr="00052AFA">
        <w:rPr>
          <w:lang w:val="en-GB"/>
        </w:rPr>
        <w:t xml:space="preserve">based </w:t>
      </w:r>
      <w:r w:rsidR="4435C01B" w:rsidRPr="00052AFA">
        <w:rPr>
          <w:lang w:val="en-GB"/>
        </w:rPr>
        <w:t xml:space="preserve">climate and disaster-resilient land use and </w:t>
      </w:r>
      <w:r w:rsidR="00527A5F" w:rsidRPr="00052AFA">
        <w:rPr>
          <w:lang w:val="en-GB"/>
        </w:rPr>
        <w:t xml:space="preserve">socioeconomic </w:t>
      </w:r>
      <w:r w:rsidR="4435C01B" w:rsidRPr="00052AFA">
        <w:rPr>
          <w:lang w:val="en-GB"/>
        </w:rPr>
        <w:t>development plans and investment program</w:t>
      </w:r>
      <w:r>
        <w:rPr>
          <w:lang w:val="en-GB"/>
        </w:rPr>
        <w:t>me</w:t>
      </w:r>
      <w:r w:rsidR="4435C01B" w:rsidRPr="00052AFA">
        <w:rPr>
          <w:lang w:val="en-GB"/>
        </w:rPr>
        <w:t>s. To respond to increased threat</w:t>
      </w:r>
      <w:r w:rsidR="00D86E6C">
        <w:rPr>
          <w:lang w:val="en-GB"/>
        </w:rPr>
        <w:t>s</w:t>
      </w:r>
      <w:r w:rsidR="4435C01B" w:rsidRPr="00052AFA">
        <w:rPr>
          <w:lang w:val="en-GB"/>
        </w:rPr>
        <w:t xml:space="preserve"> to water security, </w:t>
      </w:r>
      <w:r w:rsidR="00AC42DE" w:rsidRPr="00052AFA">
        <w:rPr>
          <w:lang w:val="en-GB"/>
        </w:rPr>
        <w:t xml:space="preserve">under the framework of the </w:t>
      </w:r>
      <w:r>
        <w:rPr>
          <w:lang w:val="en-GB"/>
        </w:rPr>
        <w:t>w</w:t>
      </w:r>
      <w:r w:rsidR="00AC42DE" w:rsidRPr="00052AFA">
        <w:rPr>
          <w:lang w:val="en-GB"/>
        </w:rPr>
        <w:t xml:space="preserve">ater </w:t>
      </w:r>
      <w:r>
        <w:rPr>
          <w:lang w:val="en-GB"/>
        </w:rPr>
        <w:t>s</w:t>
      </w:r>
      <w:r w:rsidR="00AC42DE" w:rsidRPr="00052AFA">
        <w:rPr>
          <w:lang w:val="en-GB"/>
        </w:rPr>
        <w:t xml:space="preserve">upply and </w:t>
      </w:r>
      <w:r>
        <w:rPr>
          <w:lang w:val="en-GB"/>
        </w:rPr>
        <w:t>s</w:t>
      </w:r>
      <w:r w:rsidR="00AC42DE" w:rsidRPr="00052AFA">
        <w:rPr>
          <w:lang w:val="en-GB"/>
        </w:rPr>
        <w:t>a</w:t>
      </w:r>
      <w:r w:rsidR="00840D22" w:rsidRPr="00052AFA">
        <w:rPr>
          <w:lang w:val="en-GB"/>
        </w:rPr>
        <w:t xml:space="preserve">nitation </w:t>
      </w:r>
      <w:r>
        <w:rPr>
          <w:lang w:val="en-GB"/>
        </w:rPr>
        <w:t>m</w:t>
      </w:r>
      <w:r w:rsidR="00840D22" w:rsidRPr="00052AFA">
        <w:rPr>
          <w:lang w:val="en-GB"/>
        </w:rPr>
        <w:t xml:space="preserve">aster </w:t>
      </w:r>
      <w:r>
        <w:rPr>
          <w:lang w:val="en-GB"/>
        </w:rPr>
        <w:t>p</w:t>
      </w:r>
      <w:r w:rsidR="00840D22" w:rsidRPr="00052AFA">
        <w:rPr>
          <w:lang w:val="en-GB"/>
        </w:rPr>
        <w:t xml:space="preserve">lan, </w:t>
      </w:r>
      <w:r>
        <w:rPr>
          <w:lang w:val="en-GB"/>
        </w:rPr>
        <w:t xml:space="preserve">UNDP </w:t>
      </w:r>
      <w:r w:rsidR="4435C01B" w:rsidRPr="00052AFA">
        <w:rPr>
          <w:lang w:val="en-GB"/>
        </w:rPr>
        <w:t>will support the formulation of a national adaptation program</w:t>
      </w:r>
      <w:r>
        <w:rPr>
          <w:lang w:val="en-GB"/>
        </w:rPr>
        <w:t>me</w:t>
      </w:r>
      <w:r w:rsidR="4435C01B" w:rsidRPr="00052AFA">
        <w:rPr>
          <w:lang w:val="en-GB"/>
        </w:rPr>
        <w:t xml:space="preserve"> for the water sector</w:t>
      </w:r>
      <w:r>
        <w:rPr>
          <w:lang w:val="en-GB"/>
        </w:rPr>
        <w:t>,</w:t>
      </w:r>
      <w:r w:rsidR="4435C01B" w:rsidRPr="00052AFA">
        <w:rPr>
          <w:lang w:val="en-GB"/>
        </w:rPr>
        <w:t xml:space="preserve"> using climate modelling data. To give poor rice farmers access to speedy payments following droughts and floods, </w:t>
      </w:r>
      <w:r>
        <w:rPr>
          <w:lang w:val="en-GB"/>
        </w:rPr>
        <w:t xml:space="preserve">UNDP will expand its </w:t>
      </w:r>
      <w:r w:rsidR="4435C01B" w:rsidRPr="00052AFA">
        <w:rPr>
          <w:lang w:val="en-GB"/>
        </w:rPr>
        <w:t xml:space="preserve">weather index-based insurance system country-wide. </w:t>
      </w:r>
      <w:r>
        <w:rPr>
          <w:lang w:val="en-GB"/>
        </w:rPr>
        <w:t xml:space="preserve">It </w:t>
      </w:r>
      <w:r w:rsidR="4435C01B" w:rsidRPr="00052AFA">
        <w:rPr>
          <w:lang w:val="en-GB"/>
        </w:rPr>
        <w:t xml:space="preserve">will enhance national institutional mechanisms to better integrate preparedness, response and recovery by </w:t>
      </w:r>
      <w:r w:rsidR="00D86E6C">
        <w:rPr>
          <w:lang w:val="en-GB"/>
        </w:rPr>
        <w:t xml:space="preserve">strengthening </w:t>
      </w:r>
      <w:r w:rsidR="00E00786" w:rsidRPr="00052AFA">
        <w:rPr>
          <w:lang w:val="en-GB"/>
        </w:rPr>
        <w:t>legislation</w:t>
      </w:r>
      <w:r w:rsidR="00D86E6C">
        <w:rPr>
          <w:lang w:val="en-GB"/>
        </w:rPr>
        <w:t>s</w:t>
      </w:r>
      <w:r w:rsidR="00E00786" w:rsidRPr="00052AFA">
        <w:rPr>
          <w:lang w:val="en-GB"/>
        </w:rPr>
        <w:t xml:space="preserve">, </w:t>
      </w:r>
      <w:r w:rsidR="4435C01B" w:rsidRPr="00052AFA">
        <w:rPr>
          <w:lang w:val="en-GB"/>
        </w:rPr>
        <w:t xml:space="preserve">the risk exposure database, </w:t>
      </w:r>
      <w:r>
        <w:rPr>
          <w:lang w:val="en-GB"/>
        </w:rPr>
        <w:t xml:space="preserve">the </w:t>
      </w:r>
      <w:r w:rsidR="4435C01B" w:rsidRPr="00052AFA">
        <w:rPr>
          <w:lang w:val="en-GB"/>
        </w:rPr>
        <w:t>centralization of risk data, and budgeting, allocation and expenditure monitoring.</w:t>
      </w:r>
    </w:p>
    <w:p w14:paraId="622F8479" w14:textId="53E39437" w:rsidR="00E13002" w:rsidRPr="00052AFA" w:rsidRDefault="00E13002" w:rsidP="001751AC">
      <w:pPr>
        <w:pStyle w:val="ListParagraph"/>
        <w:tabs>
          <w:tab w:val="left" w:pos="1080"/>
        </w:tabs>
        <w:ind w:left="1170" w:right="4"/>
        <w:contextualSpacing/>
        <w:jc w:val="both"/>
        <w:rPr>
          <w:sz w:val="12"/>
          <w:szCs w:val="12"/>
          <w:lang w:val="en-GB"/>
        </w:rPr>
      </w:pPr>
    </w:p>
    <w:p w14:paraId="370702A6" w14:textId="24784027" w:rsidR="00071404" w:rsidRPr="00052AFA" w:rsidRDefault="00AA7C75" w:rsidP="001751AC">
      <w:pPr>
        <w:pStyle w:val="ListParagraph"/>
        <w:numPr>
          <w:ilvl w:val="0"/>
          <w:numId w:val="17"/>
        </w:numPr>
        <w:tabs>
          <w:tab w:val="left" w:pos="1080"/>
        </w:tabs>
        <w:ind w:left="1170" w:right="4" w:firstLine="0"/>
        <w:contextualSpacing/>
        <w:jc w:val="both"/>
        <w:rPr>
          <w:lang w:val="en-GB"/>
        </w:rPr>
      </w:pPr>
      <w:r>
        <w:rPr>
          <w:b/>
          <w:bCs/>
          <w:i/>
          <w:iCs/>
          <w:lang w:val="en-GB"/>
        </w:rPr>
        <w:t xml:space="preserve"> </w:t>
      </w:r>
      <w:r w:rsidR="4435C01B" w:rsidRPr="00715998">
        <w:rPr>
          <w:bCs/>
          <w:i/>
          <w:iCs/>
          <w:lang w:val="en-GB"/>
        </w:rPr>
        <w:t>To help the Philippines meet its commitments</w:t>
      </w:r>
      <w:r w:rsidR="001302E6" w:rsidRPr="00715998">
        <w:rPr>
          <w:bCs/>
          <w:i/>
          <w:iCs/>
          <w:lang w:val="en-GB"/>
        </w:rPr>
        <w:t xml:space="preserve"> to the Paris </w:t>
      </w:r>
      <w:r>
        <w:rPr>
          <w:bCs/>
          <w:i/>
          <w:iCs/>
          <w:lang w:val="en-GB"/>
        </w:rPr>
        <w:t xml:space="preserve">Climate </w:t>
      </w:r>
      <w:r w:rsidR="001302E6" w:rsidRPr="00715998">
        <w:rPr>
          <w:bCs/>
          <w:i/>
          <w:iCs/>
          <w:lang w:val="en-GB"/>
        </w:rPr>
        <w:t>Agreement</w:t>
      </w:r>
      <w:r w:rsidR="4435C01B" w:rsidRPr="00715998">
        <w:rPr>
          <w:bCs/>
          <w:i/>
          <w:iCs/>
          <w:lang w:val="en-GB"/>
        </w:rPr>
        <w:t xml:space="preserve">, </w:t>
      </w:r>
      <w:r>
        <w:rPr>
          <w:bCs/>
          <w:i/>
          <w:iCs/>
          <w:lang w:val="en-GB"/>
        </w:rPr>
        <w:t xml:space="preserve">UNDP </w:t>
      </w:r>
      <w:r w:rsidR="4435C01B" w:rsidRPr="00715998">
        <w:rPr>
          <w:bCs/>
          <w:i/>
          <w:iCs/>
          <w:lang w:val="en-GB"/>
        </w:rPr>
        <w:t xml:space="preserve">will support enabling policies, greater private sector engagement, </w:t>
      </w:r>
      <w:r w:rsidR="00E00786" w:rsidRPr="00715998">
        <w:rPr>
          <w:bCs/>
          <w:i/>
          <w:iCs/>
          <w:lang w:val="en-GB"/>
        </w:rPr>
        <w:t>and effective reporting</w:t>
      </w:r>
      <w:r w:rsidR="4435C01B" w:rsidRPr="00715998">
        <w:rPr>
          <w:bCs/>
          <w:i/>
          <w:iCs/>
          <w:lang w:val="en-GB"/>
        </w:rPr>
        <w:t>.</w:t>
      </w:r>
      <w:r w:rsidR="4435C01B" w:rsidRPr="00052AFA">
        <w:rPr>
          <w:lang w:val="en-GB"/>
        </w:rPr>
        <w:t xml:space="preserve"> </w:t>
      </w:r>
      <w:r>
        <w:rPr>
          <w:lang w:val="en-GB"/>
        </w:rPr>
        <w:t xml:space="preserve">UNDP </w:t>
      </w:r>
      <w:r w:rsidR="4435C01B" w:rsidRPr="00052AFA">
        <w:rPr>
          <w:lang w:val="en-GB"/>
        </w:rPr>
        <w:t xml:space="preserve">will focus </w:t>
      </w:r>
      <w:r>
        <w:rPr>
          <w:lang w:val="en-GB"/>
        </w:rPr>
        <w:t xml:space="preserve">its </w:t>
      </w:r>
      <w:r w:rsidR="4435C01B" w:rsidRPr="00052AFA">
        <w:rPr>
          <w:lang w:val="en-GB"/>
        </w:rPr>
        <w:t>support on the energy and transport sectors to expand the use of renewable energy and hybrid vehicles. This will not only support the country’s path to low-carbon development but also give citizens access to cheaper, more resilient</w:t>
      </w:r>
      <w:r w:rsidR="002716CE">
        <w:rPr>
          <w:lang w:val="en-GB"/>
        </w:rPr>
        <w:t xml:space="preserve">, </w:t>
      </w:r>
      <w:r w:rsidR="4435C01B" w:rsidRPr="00052AFA">
        <w:rPr>
          <w:lang w:val="en-GB"/>
        </w:rPr>
        <w:t xml:space="preserve">environment-friendly alternatives. </w:t>
      </w:r>
      <w:r>
        <w:rPr>
          <w:lang w:val="en-GB"/>
        </w:rPr>
        <w:lastRenderedPageBreak/>
        <w:t xml:space="preserve">UNDP </w:t>
      </w:r>
      <w:r w:rsidR="4435C01B" w:rsidRPr="00052AFA">
        <w:rPr>
          <w:lang w:val="en-GB"/>
        </w:rPr>
        <w:t>will work closely with key cities to demonstrate more integrated approaches to improv</w:t>
      </w:r>
      <w:r w:rsidR="002716CE">
        <w:rPr>
          <w:lang w:val="en-GB"/>
        </w:rPr>
        <w:t>ing</w:t>
      </w:r>
      <w:r w:rsidR="4435C01B" w:rsidRPr="00052AFA">
        <w:rPr>
          <w:lang w:val="en-GB"/>
        </w:rPr>
        <w:t xml:space="preserve"> city planning, energy efficient infrastructure and adoption of viable options for low-carbon urban development.</w:t>
      </w:r>
      <w:r w:rsidR="00F17C05" w:rsidRPr="00052AFA">
        <w:rPr>
          <w:lang w:val="en-GB"/>
        </w:rPr>
        <w:t xml:space="preserve"> </w:t>
      </w:r>
      <w:r w:rsidR="002716CE">
        <w:rPr>
          <w:lang w:val="en-GB"/>
        </w:rPr>
        <w:t xml:space="preserve">UNDP </w:t>
      </w:r>
      <w:r w:rsidR="00F17C05" w:rsidRPr="00052AFA">
        <w:rPr>
          <w:lang w:val="en-GB"/>
        </w:rPr>
        <w:t>will also</w:t>
      </w:r>
      <w:r w:rsidR="00316141" w:rsidRPr="00052AFA">
        <w:rPr>
          <w:lang w:val="en-GB"/>
        </w:rPr>
        <w:t xml:space="preserve"> assist </w:t>
      </w:r>
      <w:r w:rsidR="002716CE">
        <w:rPr>
          <w:lang w:val="en-GB"/>
        </w:rPr>
        <w:t xml:space="preserve">in </w:t>
      </w:r>
      <w:r w:rsidR="00316141" w:rsidRPr="00052AFA">
        <w:rPr>
          <w:lang w:val="en-GB"/>
        </w:rPr>
        <w:t>establish</w:t>
      </w:r>
      <w:r w:rsidR="002716CE">
        <w:rPr>
          <w:lang w:val="en-GB"/>
        </w:rPr>
        <w:t>ing</w:t>
      </w:r>
      <w:r w:rsidR="00316141" w:rsidRPr="00052AFA">
        <w:rPr>
          <w:lang w:val="en-GB"/>
        </w:rPr>
        <w:t xml:space="preserve"> monitoring and verification systems</w:t>
      </w:r>
      <w:r w:rsidR="00A417B4" w:rsidRPr="00052AFA">
        <w:rPr>
          <w:lang w:val="en-GB"/>
        </w:rPr>
        <w:t xml:space="preserve"> for </w:t>
      </w:r>
      <w:r w:rsidR="009A4F78" w:rsidRPr="00052AFA">
        <w:rPr>
          <w:lang w:val="en-GB"/>
        </w:rPr>
        <w:t xml:space="preserve">reporting on </w:t>
      </w:r>
      <w:r w:rsidR="00A417B4" w:rsidRPr="00052AFA">
        <w:rPr>
          <w:lang w:val="en-GB"/>
        </w:rPr>
        <w:t xml:space="preserve">the </w:t>
      </w:r>
      <w:r w:rsidR="002716CE">
        <w:rPr>
          <w:lang w:val="en-GB"/>
        </w:rPr>
        <w:t>n</w:t>
      </w:r>
      <w:r w:rsidR="00A417B4" w:rsidRPr="00052AFA">
        <w:rPr>
          <w:lang w:val="en-GB"/>
        </w:rPr>
        <w:t xml:space="preserve">ationally </w:t>
      </w:r>
      <w:r w:rsidR="002716CE">
        <w:rPr>
          <w:lang w:val="en-GB"/>
        </w:rPr>
        <w:t>d</w:t>
      </w:r>
      <w:r w:rsidR="005E39D7" w:rsidRPr="00052AFA">
        <w:rPr>
          <w:lang w:val="en-GB"/>
        </w:rPr>
        <w:t xml:space="preserve">etermined </w:t>
      </w:r>
      <w:r w:rsidR="002716CE">
        <w:rPr>
          <w:lang w:val="en-GB"/>
        </w:rPr>
        <w:t>c</w:t>
      </w:r>
      <w:r w:rsidR="005E39D7" w:rsidRPr="00052AFA">
        <w:rPr>
          <w:lang w:val="en-GB"/>
        </w:rPr>
        <w:t>ontributions</w:t>
      </w:r>
      <w:r w:rsidR="002716CE">
        <w:rPr>
          <w:lang w:val="en-GB"/>
        </w:rPr>
        <w:t>,</w:t>
      </w:r>
      <w:r w:rsidR="00A417B4" w:rsidRPr="00052AFA">
        <w:rPr>
          <w:lang w:val="en-GB"/>
        </w:rPr>
        <w:t xml:space="preserve"> and strengthen</w:t>
      </w:r>
      <w:r w:rsidR="002716CE">
        <w:rPr>
          <w:lang w:val="en-GB"/>
        </w:rPr>
        <w:t>ing</w:t>
      </w:r>
      <w:r w:rsidR="00A417B4" w:rsidRPr="00052AFA">
        <w:rPr>
          <w:lang w:val="en-GB"/>
        </w:rPr>
        <w:t xml:space="preserve"> policies and program</w:t>
      </w:r>
      <w:r w:rsidR="002716CE">
        <w:rPr>
          <w:lang w:val="en-GB"/>
        </w:rPr>
        <w:t>me</w:t>
      </w:r>
      <w:r w:rsidR="00A417B4" w:rsidRPr="00052AFA">
        <w:rPr>
          <w:lang w:val="en-GB"/>
        </w:rPr>
        <w:t>s</w:t>
      </w:r>
      <w:r w:rsidR="009B3B67" w:rsidRPr="00052AFA">
        <w:rPr>
          <w:lang w:val="en-GB"/>
        </w:rPr>
        <w:t xml:space="preserve"> related to mitigation and adap</w:t>
      </w:r>
      <w:r w:rsidR="00A417B4" w:rsidRPr="00052AFA">
        <w:rPr>
          <w:lang w:val="en-GB"/>
        </w:rPr>
        <w:t>tation</w:t>
      </w:r>
      <w:r w:rsidR="009B3B67" w:rsidRPr="00052AFA">
        <w:rPr>
          <w:lang w:val="en-GB"/>
        </w:rPr>
        <w:t>.</w:t>
      </w:r>
    </w:p>
    <w:p w14:paraId="22FD7186" w14:textId="77777777" w:rsidR="00071404" w:rsidRPr="00052AFA" w:rsidRDefault="00071404" w:rsidP="001751AC">
      <w:pPr>
        <w:pStyle w:val="ListParagraph"/>
        <w:tabs>
          <w:tab w:val="left" w:pos="1080"/>
        </w:tabs>
        <w:ind w:left="1170" w:right="4"/>
        <w:contextualSpacing/>
        <w:jc w:val="both"/>
        <w:rPr>
          <w:sz w:val="12"/>
          <w:szCs w:val="12"/>
          <w:lang w:val="en-GB"/>
        </w:rPr>
      </w:pPr>
    </w:p>
    <w:p w14:paraId="3C756F48" w14:textId="23EB5AA6" w:rsidR="00B84DC0" w:rsidRPr="00052AFA" w:rsidRDefault="002716CE" w:rsidP="001751AC">
      <w:pPr>
        <w:pStyle w:val="ListParagraph"/>
        <w:numPr>
          <w:ilvl w:val="0"/>
          <w:numId w:val="17"/>
        </w:numPr>
        <w:tabs>
          <w:tab w:val="left" w:pos="1080"/>
        </w:tabs>
        <w:ind w:left="1170" w:firstLine="0"/>
        <w:jc w:val="both"/>
        <w:rPr>
          <w:lang w:val="en-GB"/>
        </w:rPr>
      </w:pPr>
      <w:r>
        <w:rPr>
          <w:b/>
          <w:bCs/>
          <w:i/>
          <w:iCs/>
          <w:lang w:val="en-GB"/>
        </w:rPr>
        <w:t xml:space="preserve"> </w:t>
      </w:r>
      <w:r w:rsidR="00F01F57" w:rsidRPr="00715998">
        <w:rPr>
          <w:bCs/>
          <w:i/>
          <w:iCs/>
          <w:lang w:val="en-GB"/>
        </w:rPr>
        <w:t xml:space="preserve">With </w:t>
      </w:r>
      <w:r w:rsidR="00071404" w:rsidRPr="00715998">
        <w:rPr>
          <w:bCs/>
          <w:i/>
          <w:iCs/>
          <w:lang w:val="en-GB"/>
        </w:rPr>
        <w:t xml:space="preserve">biodiversity </w:t>
      </w:r>
      <w:r w:rsidR="00075EE9" w:rsidRPr="00715998">
        <w:rPr>
          <w:bCs/>
          <w:i/>
          <w:iCs/>
          <w:lang w:val="en-GB"/>
        </w:rPr>
        <w:t>threat</w:t>
      </w:r>
      <w:r w:rsidR="00AE3A43" w:rsidRPr="00715998">
        <w:rPr>
          <w:bCs/>
          <w:i/>
          <w:iCs/>
          <w:lang w:val="en-GB"/>
        </w:rPr>
        <w:t>ened</w:t>
      </w:r>
      <w:r w:rsidR="00075EE9" w:rsidRPr="00715998">
        <w:rPr>
          <w:bCs/>
          <w:i/>
          <w:iCs/>
          <w:lang w:val="en-GB"/>
        </w:rPr>
        <w:t xml:space="preserve"> </w:t>
      </w:r>
      <w:r w:rsidR="00AE3A43" w:rsidRPr="00715998">
        <w:rPr>
          <w:bCs/>
          <w:i/>
          <w:iCs/>
          <w:lang w:val="en-GB"/>
        </w:rPr>
        <w:t xml:space="preserve">by </w:t>
      </w:r>
      <w:r w:rsidR="00071404" w:rsidRPr="00715998">
        <w:rPr>
          <w:bCs/>
          <w:i/>
          <w:iCs/>
          <w:lang w:val="en-GB"/>
        </w:rPr>
        <w:t xml:space="preserve">degradation </w:t>
      </w:r>
      <w:r w:rsidR="00075EE9" w:rsidRPr="00715998">
        <w:rPr>
          <w:bCs/>
          <w:i/>
          <w:iCs/>
          <w:lang w:val="en-GB"/>
        </w:rPr>
        <w:t xml:space="preserve">from unsustainable practices and climate impact, </w:t>
      </w:r>
      <w:r>
        <w:rPr>
          <w:bCs/>
          <w:i/>
          <w:iCs/>
          <w:lang w:val="en-GB"/>
        </w:rPr>
        <w:t xml:space="preserve">UNDP </w:t>
      </w:r>
      <w:r w:rsidR="00075EE9" w:rsidRPr="00715998">
        <w:rPr>
          <w:bCs/>
          <w:i/>
          <w:iCs/>
          <w:lang w:val="en-GB"/>
        </w:rPr>
        <w:t xml:space="preserve">will </w:t>
      </w:r>
      <w:r w:rsidR="00AE3A43" w:rsidRPr="00715998">
        <w:rPr>
          <w:bCs/>
          <w:i/>
          <w:iCs/>
          <w:lang w:val="en-GB"/>
        </w:rPr>
        <w:t>partner</w:t>
      </w:r>
      <w:r w:rsidR="00075EE9" w:rsidRPr="00715998">
        <w:rPr>
          <w:bCs/>
          <w:i/>
          <w:iCs/>
          <w:lang w:val="en-GB"/>
        </w:rPr>
        <w:t xml:space="preserve"> with communities and </w:t>
      </w:r>
      <w:r>
        <w:rPr>
          <w:bCs/>
          <w:i/>
          <w:iCs/>
          <w:lang w:val="en-GB"/>
        </w:rPr>
        <w:t>local g</w:t>
      </w:r>
      <w:r w:rsidR="00075EE9" w:rsidRPr="00715998">
        <w:rPr>
          <w:bCs/>
          <w:i/>
          <w:iCs/>
          <w:lang w:val="en-GB"/>
        </w:rPr>
        <w:t>overnment</w:t>
      </w:r>
      <w:r>
        <w:rPr>
          <w:bCs/>
          <w:i/>
          <w:iCs/>
          <w:lang w:val="en-GB"/>
        </w:rPr>
        <w:t>s</w:t>
      </w:r>
      <w:r w:rsidR="00075EE9" w:rsidRPr="00715998">
        <w:rPr>
          <w:bCs/>
          <w:i/>
          <w:iCs/>
          <w:lang w:val="en-GB"/>
        </w:rPr>
        <w:t xml:space="preserve"> to </w:t>
      </w:r>
      <w:r w:rsidR="00AE3A43" w:rsidRPr="00715998">
        <w:rPr>
          <w:bCs/>
          <w:i/>
          <w:iCs/>
          <w:lang w:val="en-GB"/>
        </w:rPr>
        <w:t xml:space="preserve">promote </w:t>
      </w:r>
      <w:r w:rsidR="00075EE9" w:rsidRPr="00715998">
        <w:rPr>
          <w:bCs/>
          <w:i/>
          <w:iCs/>
          <w:lang w:val="en-GB"/>
        </w:rPr>
        <w:t>conservation areas as economic assets</w:t>
      </w:r>
      <w:r w:rsidR="0041632B" w:rsidRPr="00715998">
        <w:rPr>
          <w:bCs/>
          <w:i/>
          <w:iCs/>
          <w:lang w:val="en-GB"/>
        </w:rPr>
        <w:t>.</w:t>
      </w:r>
      <w:r w:rsidR="0041632B" w:rsidRPr="00052AFA">
        <w:rPr>
          <w:b/>
          <w:bCs/>
          <w:i/>
          <w:iCs/>
          <w:lang w:val="en-GB"/>
        </w:rPr>
        <w:t xml:space="preserve"> </w:t>
      </w:r>
      <w:r w:rsidR="005F3086" w:rsidRPr="00052AFA">
        <w:rPr>
          <w:lang w:val="en-GB"/>
        </w:rPr>
        <w:t xml:space="preserve">To enhance the quality of ecosystems and enable them to provide a sustainable source of ecological goods that improve community resilience, </w:t>
      </w:r>
      <w:r>
        <w:rPr>
          <w:lang w:val="en-GB"/>
        </w:rPr>
        <w:t xml:space="preserve">UNDP </w:t>
      </w:r>
      <w:r w:rsidR="00075EE9" w:rsidRPr="00052AFA">
        <w:rPr>
          <w:lang w:val="en-GB"/>
        </w:rPr>
        <w:t xml:space="preserve">will </w:t>
      </w:r>
      <w:r w:rsidR="005F3086" w:rsidRPr="00052AFA">
        <w:rPr>
          <w:lang w:val="en-GB"/>
        </w:rPr>
        <w:t xml:space="preserve">further strengthen </w:t>
      </w:r>
      <w:r>
        <w:rPr>
          <w:lang w:val="en-GB"/>
        </w:rPr>
        <w:t xml:space="preserve">its </w:t>
      </w:r>
      <w:r w:rsidR="00075EE9" w:rsidRPr="00052AFA">
        <w:rPr>
          <w:lang w:val="en-GB"/>
        </w:rPr>
        <w:t xml:space="preserve">partnerships </w:t>
      </w:r>
      <w:r w:rsidR="005F3086" w:rsidRPr="00052AFA">
        <w:rPr>
          <w:lang w:val="en-GB"/>
        </w:rPr>
        <w:t xml:space="preserve">for biodiversity conservation </w:t>
      </w:r>
      <w:r w:rsidR="00075EE9" w:rsidRPr="00052AFA">
        <w:rPr>
          <w:lang w:val="en-GB"/>
        </w:rPr>
        <w:t xml:space="preserve">with local governments, indigenous peoples, </w:t>
      </w:r>
      <w:r w:rsidR="00AE3A43" w:rsidRPr="00052AFA">
        <w:rPr>
          <w:lang w:val="en-GB"/>
        </w:rPr>
        <w:t xml:space="preserve">community groups </w:t>
      </w:r>
      <w:r w:rsidR="00075EE9" w:rsidRPr="00052AFA">
        <w:rPr>
          <w:lang w:val="en-GB"/>
        </w:rPr>
        <w:t xml:space="preserve">and </w:t>
      </w:r>
      <w:r w:rsidR="0085073E" w:rsidRPr="00052AFA">
        <w:rPr>
          <w:lang w:val="en-GB"/>
        </w:rPr>
        <w:t xml:space="preserve">the </w:t>
      </w:r>
      <w:r w:rsidR="00075EE9" w:rsidRPr="00052AFA">
        <w:rPr>
          <w:lang w:val="en-GB"/>
        </w:rPr>
        <w:t>private sector</w:t>
      </w:r>
      <w:r w:rsidR="0085073E" w:rsidRPr="00052AFA">
        <w:rPr>
          <w:lang w:val="en-GB"/>
        </w:rPr>
        <w:t xml:space="preserve">. </w:t>
      </w:r>
      <w:r>
        <w:rPr>
          <w:lang w:val="en-GB"/>
        </w:rPr>
        <w:t xml:space="preserve">It </w:t>
      </w:r>
      <w:r w:rsidR="0085073E" w:rsidRPr="00052AFA">
        <w:rPr>
          <w:lang w:val="en-GB"/>
        </w:rPr>
        <w:t xml:space="preserve">will introduce models that </w:t>
      </w:r>
      <w:r>
        <w:rPr>
          <w:lang w:val="en-GB"/>
        </w:rPr>
        <w:t xml:space="preserve">foster </w:t>
      </w:r>
      <w:r w:rsidR="0085073E" w:rsidRPr="00052AFA">
        <w:rPr>
          <w:lang w:val="en-GB"/>
        </w:rPr>
        <w:t xml:space="preserve">equitable access </w:t>
      </w:r>
      <w:r>
        <w:rPr>
          <w:lang w:val="en-GB"/>
        </w:rPr>
        <w:t xml:space="preserve">to </w:t>
      </w:r>
      <w:r w:rsidR="0085073E" w:rsidRPr="00052AFA">
        <w:rPr>
          <w:lang w:val="en-GB"/>
        </w:rPr>
        <w:t>natural wealth</w:t>
      </w:r>
      <w:r>
        <w:rPr>
          <w:lang w:val="en-GB"/>
        </w:rPr>
        <w:t xml:space="preserve"> and its benefits,</w:t>
      </w:r>
      <w:r w:rsidR="00336019" w:rsidRPr="00052AFA">
        <w:rPr>
          <w:lang w:val="en-GB"/>
        </w:rPr>
        <w:t xml:space="preserve"> and </w:t>
      </w:r>
      <w:r w:rsidR="00AE3A43" w:rsidRPr="00052AFA">
        <w:rPr>
          <w:lang w:val="en-GB"/>
        </w:rPr>
        <w:t>develop i</w:t>
      </w:r>
      <w:r w:rsidR="00071404" w:rsidRPr="00052AFA">
        <w:rPr>
          <w:lang w:val="en-GB"/>
        </w:rPr>
        <w:t xml:space="preserve">ncentives for </w:t>
      </w:r>
      <w:r>
        <w:rPr>
          <w:lang w:val="en-GB"/>
        </w:rPr>
        <w:t xml:space="preserve">the </w:t>
      </w:r>
      <w:r w:rsidR="00336019" w:rsidRPr="00052AFA">
        <w:rPr>
          <w:lang w:val="en-GB"/>
        </w:rPr>
        <w:t>private sector to provide job opportunities and adopt profit models</w:t>
      </w:r>
      <w:r w:rsidR="00071404" w:rsidRPr="00052AFA">
        <w:rPr>
          <w:lang w:val="en-GB"/>
        </w:rPr>
        <w:t xml:space="preserve"> </w:t>
      </w:r>
      <w:r w:rsidR="00336019" w:rsidRPr="00052AFA">
        <w:rPr>
          <w:lang w:val="en-GB"/>
        </w:rPr>
        <w:t>that</w:t>
      </w:r>
      <w:r w:rsidR="00336019" w:rsidRPr="00052AFA">
        <w:rPr>
          <w:color w:val="545454"/>
          <w:sz w:val="18"/>
          <w:szCs w:val="18"/>
          <w:shd w:val="clear" w:color="auto" w:fill="FFFFFF"/>
          <w:lang w:val="en-GB" w:eastAsia="en-PH"/>
        </w:rPr>
        <w:t xml:space="preserve"> </w:t>
      </w:r>
      <w:r w:rsidR="00336019" w:rsidRPr="00052AFA">
        <w:rPr>
          <w:lang w:val="en-GB"/>
        </w:rPr>
        <w:t>preserve</w:t>
      </w:r>
      <w:r w:rsidR="00004D51" w:rsidRPr="00052AFA">
        <w:rPr>
          <w:lang w:val="en-GB"/>
        </w:rPr>
        <w:t xml:space="preserve"> the health of marine and coastal ecosystem</w:t>
      </w:r>
      <w:r w:rsidR="00336019" w:rsidRPr="00052AFA">
        <w:rPr>
          <w:lang w:val="en-GB"/>
        </w:rPr>
        <w:t>s</w:t>
      </w:r>
      <w:r w:rsidR="00004D51" w:rsidRPr="00052AFA">
        <w:rPr>
          <w:lang w:val="en-GB"/>
        </w:rPr>
        <w:t>.</w:t>
      </w:r>
      <w:r w:rsidR="005E6EFE" w:rsidRPr="00052AFA">
        <w:rPr>
          <w:lang w:val="en-GB"/>
        </w:rPr>
        <w:t xml:space="preserve"> </w:t>
      </w:r>
      <w:r>
        <w:rPr>
          <w:lang w:val="en-GB"/>
        </w:rPr>
        <w:t xml:space="preserve">UNDP </w:t>
      </w:r>
      <w:r w:rsidR="005E6EFE" w:rsidRPr="00052AFA">
        <w:rPr>
          <w:lang w:val="en-GB"/>
        </w:rPr>
        <w:t xml:space="preserve">will also </w:t>
      </w:r>
      <w:r>
        <w:rPr>
          <w:lang w:val="en-GB"/>
        </w:rPr>
        <w:t xml:space="preserve">help to </w:t>
      </w:r>
      <w:r w:rsidR="00585DEF" w:rsidRPr="00052AFA">
        <w:rPr>
          <w:lang w:val="en-GB"/>
        </w:rPr>
        <w:t>establish a unified database system with standardized metrics and me</w:t>
      </w:r>
      <w:r w:rsidR="00D50201" w:rsidRPr="00052AFA">
        <w:rPr>
          <w:lang w:val="en-GB"/>
        </w:rPr>
        <w:t>thodology for collecting and consolidating environment-related</w:t>
      </w:r>
      <w:r w:rsidR="00F304B4" w:rsidRPr="00052AFA">
        <w:rPr>
          <w:lang w:val="en-GB"/>
        </w:rPr>
        <w:t xml:space="preserve"> data to inform planning and policy formulation</w:t>
      </w:r>
      <w:r w:rsidR="00FA0DB9" w:rsidRPr="00052AFA">
        <w:rPr>
          <w:lang w:val="en-GB"/>
        </w:rPr>
        <w:t xml:space="preserve"> and to better </w:t>
      </w:r>
      <w:r w:rsidR="000D4449" w:rsidRPr="00052AFA">
        <w:rPr>
          <w:lang w:val="en-GB"/>
        </w:rPr>
        <w:t>focus private investment</w:t>
      </w:r>
      <w:r w:rsidR="00F304B4" w:rsidRPr="00052AFA">
        <w:rPr>
          <w:lang w:val="en-GB"/>
        </w:rPr>
        <w:t>.</w:t>
      </w:r>
    </w:p>
    <w:p w14:paraId="30035551" w14:textId="2330EAF6" w:rsidR="00071404" w:rsidRPr="00052AFA" w:rsidRDefault="00071404" w:rsidP="001751AC">
      <w:pPr>
        <w:pStyle w:val="ListParagraph"/>
        <w:tabs>
          <w:tab w:val="left" w:pos="1080"/>
        </w:tabs>
        <w:ind w:left="1170" w:right="4"/>
        <w:contextualSpacing/>
        <w:jc w:val="both"/>
        <w:rPr>
          <w:sz w:val="12"/>
          <w:szCs w:val="12"/>
          <w:lang w:val="en-GB"/>
        </w:rPr>
      </w:pPr>
    </w:p>
    <w:p w14:paraId="5FD1DC2A" w14:textId="2BEC6122" w:rsidR="00F20C21" w:rsidRPr="002716CE" w:rsidRDefault="4435C01B" w:rsidP="00715998">
      <w:pPr>
        <w:pStyle w:val="ListParagraph"/>
        <w:tabs>
          <w:tab w:val="left" w:pos="1080"/>
        </w:tabs>
        <w:ind w:left="1170" w:right="4"/>
        <w:contextualSpacing/>
        <w:jc w:val="both"/>
        <w:rPr>
          <w:lang w:val="en-GB"/>
        </w:rPr>
      </w:pPr>
      <w:r w:rsidRPr="00715998">
        <w:rPr>
          <w:b/>
          <w:bCs/>
          <w:iCs/>
          <w:lang w:val="en-GB"/>
        </w:rPr>
        <w:t xml:space="preserve">To </w:t>
      </w:r>
      <w:r w:rsidR="128A6218" w:rsidRPr="00715998">
        <w:rPr>
          <w:b/>
          <w:bCs/>
          <w:iCs/>
          <w:lang w:val="en-GB"/>
        </w:rPr>
        <w:t xml:space="preserve">respond to </w:t>
      </w:r>
      <w:r w:rsidRPr="00715998">
        <w:rPr>
          <w:b/>
          <w:bCs/>
          <w:iCs/>
          <w:lang w:val="en-GB"/>
        </w:rPr>
        <w:t>the drivers of conflict and risk</w:t>
      </w:r>
      <w:r w:rsidR="002716CE">
        <w:rPr>
          <w:b/>
          <w:bCs/>
          <w:iCs/>
          <w:lang w:val="en-GB"/>
        </w:rPr>
        <w:t>s</w:t>
      </w:r>
      <w:r w:rsidRPr="00715998">
        <w:rPr>
          <w:b/>
          <w:bCs/>
          <w:iCs/>
          <w:lang w:val="en-GB"/>
        </w:rPr>
        <w:t xml:space="preserve"> </w:t>
      </w:r>
      <w:r w:rsidR="002716CE">
        <w:rPr>
          <w:b/>
          <w:bCs/>
          <w:iCs/>
          <w:lang w:val="en-GB"/>
        </w:rPr>
        <w:t xml:space="preserve">to </w:t>
      </w:r>
      <w:r w:rsidRPr="00715998">
        <w:rPr>
          <w:b/>
          <w:bCs/>
          <w:iCs/>
          <w:lang w:val="en-GB"/>
        </w:rPr>
        <w:t xml:space="preserve">stability, </w:t>
      </w:r>
      <w:r w:rsidR="002716CE">
        <w:rPr>
          <w:b/>
          <w:bCs/>
          <w:iCs/>
          <w:lang w:val="en-GB"/>
        </w:rPr>
        <w:t xml:space="preserve">UNDP </w:t>
      </w:r>
      <w:r w:rsidRPr="00715998">
        <w:rPr>
          <w:b/>
          <w:bCs/>
          <w:iCs/>
          <w:lang w:val="en-GB"/>
        </w:rPr>
        <w:t xml:space="preserve">will </w:t>
      </w:r>
      <w:r w:rsidR="00E00786" w:rsidRPr="00715998">
        <w:rPr>
          <w:b/>
          <w:bCs/>
          <w:iCs/>
          <w:lang w:val="en-GB"/>
        </w:rPr>
        <w:t xml:space="preserve">assist </w:t>
      </w:r>
      <w:r w:rsidRPr="00715998">
        <w:rPr>
          <w:b/>
          <w:bCs/>
          <w:iCs/>
          <w:lang w:val="en-GB"/>
        </w:rPr>
        <w:t>the transition of armed groups from combatants to civilians</w:t>
      </w:r>
      <w:r w:rsidR="22CB6E80" w:rsidRPr="00715998">
        <w:rPr>
          <w:b/>
          <w:bCs/>
          <w:iCs/>
          <w:lang w:val="en-GB"/>
        </w:rPr>
        <w:t>,</w:t>
      </w:r>
      <w:r w:rsidRPr="00715998">
        <w:rPr>
          <w:b/>
          <w:bCs/>
          <w:iCs/>
          <w:lang w:val="en-GB"/>
        </w:rPr>
        <w:t xml:space="preserve"> establish transitional justice mechanisms and community security platforms</w:t>
      </w:r>
      <w:r w:rsidR="22CB6E80" w:rsidRPr="00715998">
        <w:rPr>
          <w:b/>
          <w:bCs/>
          <w:iCs/>
          <w:lang w:val="en-GB"/>
        </w:rPr>
        <w:t>,</w:t>
      </w:r>
      <w:r w:rsidRPr="00715998">
        <w:rPr>
          <w:b/>
          <w:bCs/>
          <w:iCs/>
          <w:lang w:val="en-GB"/>
        </w:rPr>
        <w:t xml:space="preserve"> and provide socioeconomic opportunities for communities in conflict-affected areas.</w:t>
      </w:r>
    </w:p>
    <w:p w14:paraId="019FB9B9" w14:textId="255F4764" w:rsidR="00EC4AF4" w:rsidRPr="00052AFA" w:rsidRDefault="00EC4AF4" w:rsidP="001751AC">
      <w:pPr>
        <w:pStyle w:val="ListParagraph"/>
        <w:tabs>
          <w:tab w:val="left" w:pos="1080"/>
        </w:tabs>
        <w:ind w:left="1170" w:right="4"/>
        <w:contextualSpacing/>
        <w:jc w:val="both"/>
        <w:rPr>
          <w:sz w:val="12"/>
          <w:szCs w:val="12"/>
          <w:lang w:val="en-GB"/>
        </w:rPr>
      </w:pPr>
    </w:p>
    <w:p w14:paraId="325CE26E" w14:textId="667D5C49" w:rsidR="00EC4AF4" w:rsidRPr="00052AFA" w:rsidRDefault="002716CE" w:rsidP="001751AC">
      <w:pPr>
        <w:pStyle w:val="ListParagraph"/>
        <w:numPr>
          <w:ilvl w:val="0"/>
          <w:numId w:val="17"/>
        </w:numPr>
        <w:tabs>
          <w:tab w:val="left" w:pos="1080"/>
        </w:tabs>
        <w:ind w:left="1170" w:right="4" w:firstLine="0"/>
        <w:contextualSpacing/>
        <w:jc w:val="both"/>
        <w:rPr>
          <w:lang w:val="en-GB"/>
        </w:rPr>
      </w:pPr>
      <w:r w:rsidRPr="00715998">
        <w:rPr>
          <w:bCs/>
          <w:i/>
          <w:iCs/>
          <w:lang w:val="en-GB"/>
        </w:rPr>
        <w:t xml:space="preserve"> </w:t>
      </w:r>
      <w:r w:rsidR="4435C01B" w:rsidRPr="00715998">
        <w:rPr>
          <w:bCs/>
          <w:i/>
          <w:iCs/>
          <w:lang w:val="en-GB"/>
        </w:rPr>
        <w:t xml:space="preserve">To help secure peace following the </w:t>
      </w:r>
      <w:r w:rsidR="00AB49AF" w:rsidRPr="00715998">
        <w:rPr>
          <w:bCs/>
          <w:i/>
          <w:iCs/>
          <w:lang w:val="en-GB"/>
        </w:rPr>
        <w:t>finalization</w:t>
      </w:r>
      <w:r w:rsidR="4435C01B" w:rsidRPr="00715998">
        <w:rPr>
          <w:bCs/>
          <w:i/>
          <w:iCs/>
          <w:lang w:val="en-GB"/>
        </w:rPr>
        <w:t xml:space="preserve"> of formal peace processes, </w:t>
      </w:r>
      <w:r w:rsidR="00242046">
        <w:rPr>
          <w:bCs/>
          <w:i/>
          <w:iCs/>
          <w:lang w:val="en-GB"/>
        </w:rPr>
        <w:t xml:space="preserve">UNDP </w:t>
      </w:r>
      <w:r w:rsidR="4435C01B" w:rsidRPr="00715998">
        <w:rPr>
          <w:bCs/>
          <w:i/>
          <w:iCs/>
          <w:lang w:val="en-GB"/>
        </w:rPr>
        <w:t>will support the participation of former combatants in local governance, public administration, and political processes.</w:t>
      </w:r>
      <w:r w:rsidR="4435C01B" w:rsidRPr="00052AFA">
        <w:rPr>
          <w:lang w:val="en-GB"/>
        </w:rPr>
        <w:t xml:space="preserve"> </w:t>
      </w:r>
      <w:r w:rsidR="00242046">
        <w:rPr>
          <w:lang w:val="en-GB"/>
        </w:rPr>
        <w:t xml:space="preserve">The </w:t>
      </w:r>
      <w:r w:rsidR="4435C01B" w:rsidRPr="00052AFA">
        <w:rPr>
          <w:lang w:val="en-GB"/>
        </w:rPr>
        <w:t xml:space="preserve">Academy for Peace and Development will be established with key Moro stakeholders to deepen understanding of Islamic principles of good governance and provide online and on-the-job training to combatants who may assume key administrative, political and civic roles. </w:t>
      </w:r>
      <w:r w:rsidR="004C3AC4">
        <w:rPr>
          <w:lang w:val="en-GB"/>
        </w:rPr>
        <w:t>This</w:t>
      </w:r>
      <w:r w:rsidR="4435C01B" w:rsidRPr="00052AFA">
        <w:rPr>
          <w:lang w:val="en-GB"/>
        </w:rPr>
        <w:t xml:space="preserve"> will enable transitioning combatants to carry out their responsibilities with integrity and efficiency and deliver well</w:t>
      </w:r>
      <w:r w:rsidR="00BF0619">
        <w:rPr>
          <w:lang w:val="en-GB"/>
        </w:rPr>
        <w:t>-</w:t>
      </w:r>
      <w:r w:rsidR="4435C01B" w:rsidRPr="00052AFA">
        <w:rPr>
          <w:lang w:val="en-GB"/>
        </w:rPr>
        <w:t>targeted socioeconomic program</w:t>
      </w:r>
      <w:r w:rsidR="00242046">
        <w:rPr>
          <w:lang w:val="en-GB"/>
        </w:rPr>
        <w:t>me</w:t>
      </w:r>
      <w:r w:rsidR="4435C01B" w:rsidRPr="00052AFA">
        <w:rPr>
          <w:lang w:val="en-GB"/>
        </w:rPr>
        <w:t xml:space="preserve">s. </w:t>
      </w:r>
      <w:r w:rsidR="00242046">
        <w:rPr>
          <w:lang w:val="en-GB"/>
        </w:rPr>
        <w:t xml:space="preserve">UNDP </w:t>
      </w:r>
      <w:r w:rsidR="4435C01B" w:rsidRPr="00052AFA">
        <w:rPr>
          <w:lang w:val="en-GB"/>
        </w:rPr>
        <w:t xml:space="preserve">will also support armed groups </w:t>
      </w:r>
      <w:r w:rsidR="00242046">
        <w:rPr>
          <w:lang w:val="en-GB"/>
        </w:rPr>
        <w:t xml:space="preserve">in </w:t>
      </w:r>
      <w:r w:rsidR="4435C01B" w:rsidRPr="00052AFA">
        <w:rPr>
          <w:lang w:val="en-GB"/>
        </w:rPr>
        <w:t>form</w:t>
      </w:r>
      <w:r w:rsidR="00242046">
        <w:rPr>
          <w:lang w:val="en-GB"/>
        </w:rPr>
        <w:t>ing</w:t>
      </w:r>
      <w:r w:rsidR="4435C01B" w:rsidRPr="00052AFA">
        <w:rPr>
          <w:lang w:val="en-GB"/>
        </w:rPr>
        <w:t xml:space="preserve"> political parties to provide platforms for peaceful and lawful participation in national and local political processes. </w:t>
      </w:r>
      <w:r w:rsidR="00242046">
        <w:rPr>
          <w:lang w:val="en-GB"/>
        </w:rPr>
        <w:t xml:space="preserve">UNDP </w:t>
      </w:r>
      <w:r w:rsidR="4435C01B" w:rsidRPr="00052AFA">
        <w:rPr>
          <w:lang w:val="en-GB"/>
        </w:rPr>
        <w:t>will draw on the experience of similar transitions in the region, including in Indonesia and Nepal.</w:t>
      </w:r>
    </w:p>
    <w:p w14:paraId="64FCCB74" w14:textId="51160BD6" w:rsidR="00F20C21" w:rsidRPr="00052AFA" w:rsidRDefault="00F20C21" w:rsidP="001751AC">
      <w:pPr>
        <w:pStyle w:val="ListParagraph"/>
        <w:tabs>
          <w:tab w:val="left" w:pos="1080"/>
        </w:tabs>
        <w:ind w:left="1170" w:right="1210"/>
        <w:contextualSpacing/>
        <w:jc w:val="both"/>
        <w:rPr>
          <w:sz w:val="12"/>
          <w:szCs w:val="12"/>
          <w:lang w:val="en-GB"/>
        </w:rPr>
      </w:pPr>
    </w:p>
    <w:p w14:paraId="14E87A6F" w14:textId="449AAA43" w:rsidR="00A92274" w:rsidRPr="00052AFA" w:rsidRDefault="00242046" w:rsidP="001751AC">
      <w:pPr>
        <w:pStyle w:val="ListParagraph"/>
        <w:numPr>
          <w:ilvl w:val="0"/>
          <w:numId w:val="17"/>
        </w:numPr>
        <w:tabs>
          <w:tab w:val="left" w:pos="1080"/>
        </w:tabs>
        <w:ind w:left="1170" w:right="4" w:firstLine="0"/>
        <w:contextualSpacing/>
        <w:jc w:val="both"/>
        <w:rPr>
          <w:lang w:val="en-GB"/>
        </w:rPr>
      </w:pPr>
      <w:r>
        <w:rPr>
          <w:b/>
          <w:bCs/>
          <w:i/>
          <w:iCs/>
          <w:lang w:val="en-GB"/>
        </w:rPr>
        <w:t xml:space="preserve"> </w:t>
      </w:r>
      <w:r w:rsidR="4435C01B" w:rsidRPr="00715998">
        <w:rPr>
          <w:bCs/>
          <w:i/>
          <w:iCs/>
          <w:lang w:val="en-GB"/>
        </w:rPr>
        <w:t xml:space="preserve">To respond to the </w:t>
      </w:r>
      <w:r w:rsidR="001D72E6" w:rsidRPr="00715998">
        <w:rPr>
          <w:bCs/>
          <w:i/>
          <w:iCs/>
          <w:lang w:val="en-GB"/>
        </w:rPr>
        <w:t xml:space="preserve">deep sense of </w:t>
      </w:r>
      <w:r w:rsidR="00AB49AF" w:rsidRPr="00715998">
        <w:rPr>
          <w:bCs/>
          <w:i/>
          <w:iCs/>
          <w:lang w:val="en-GB"/>
        </w:rPr>
        <w:t>marginalization</w:t>
      </w:r>
      <w:r w:rsidR="009379E1">
        <w:rPr>
          <w:bCs/>
          <w:i/>
          <w:iCs/>
          <w:lang w:val="en-GB"/>
        </w:rPr>
        <w:t>,</w:t>
      </w:r>
      <w:r w:rsidR="4435C01B" w:rsidRPr="00715998">
        <w:rPr>
          <w:bCs/>
          <w:i/>
          <w:iCs/>
          <w:lang w:val="en-GB"/>
        </w:rPr>
        <w:t xml:space="preserve"> </w:t>
      </w:r>
      <w:r w:rsidR="009379E1">
        <w:rPr>
          <w:bCs/>
          <w:i/>
          <w:iCs/>
          <w:lang w:val="en-GB"/>
        </w:rPr>
        <w:t xml:space="preserve">UNDP </w:t>
      </w:r>
      <w:r w:rsidR="4435C01B" w:rsidRPr="00715998">
        <w:rPr>
          <w:bCs/>
          <w:i/>
          <w:iCs/>
          <w:lang w:val="en-GB"/>
        </w:rPr>
        <w:t>will support the operationalization of transitional justice and community security platforms.</w:t>
      </w:r>
      <w:r w:rsidR="4435C01B" w:rsidRPr="00052AFA">
        <w:rPr>
          <w:lang w:val="en-GB"/>
        </w:rPr>
        <w:t xml:space="preserve"> To pursue social cohesion and prevent further alienation within and among communities</w:t>
      </w:r>
      <w:r w:rsidR="009379E1">
        <w:rPr>
          <w:lang w:val="en-GB"/>
        </w:rPr>
        <w:t>,</w:t>
      </w:r>
      <w:r w:rsidR="4435C01B" w:rsidRPr="00052AFA">
        <w:rPr>
          <w:lang w:val="en-GB"/>
        </w:rPr>
        <w:t xml:space="preserve"> </w:t>
      </w:r>
      <w:r w:rsidR="009379E1">
        <w:rPr>
          <w:lang w:val="en-GB"/>
        </w:rPr>
        <w:t xml:space="preserve">UNDP </w:t>
      </w:r>
      <w:r w:rsidR="4435C01B" w:rsidRPr="00052AFA">
        <w:rPr>
          <w:lang w:val="en-GB"/>
        </w:rPr>
        <w:t xml:space="preserve">will support the establishment of mechanisms for truth-telling, redress of historical grievances and human rights violations. </w:t>
      </w:r>
      <w:r w:rsidR="00BB3B76">
        <w:rPr>
          <w:lang w:val="en-GB"/>
        </w:rPr>
        <w:t xml:space="preserve">UNDP </w:t>
      </w:r>
      <w:r w:rsidR="4435C01B" w:rsidRPr="00052AFA">
        <w:rPr>
          <w:lang w:val="en-GB"/>
        </w:rPr>
        <w:t>will emphasi</w:t>
      </w:r>
      <w:r w:rsidR="00BB3B76">
        <w:rPr>
          <w:lang w:val="en-GB"/>
        </w:rPr>
        <w:t>ze</w:t>
      </w:r>
      <w:r w:rsidR="4435C01B" w:rsidRPr="00052AFA">
        <w:rPr>
          <w:lang w:val="en-GB"/>
        </w:rPr>
        <w:t xml:space="preserve"> participatory decision</w:t>
      </w:r>
      <w:r w:rsidR="00BB3B76">
        <w:rPr>
          <w:lang w:val="en-GB"/>
        </w:rPr>
        <w:t>-</w:t>
      </w:r>
      <w:r w:rsidR="4435C01B" w:rsidRPr="00052AFA">
        <w:rPr>
          <w:lang w:val="en-GB"/>
        </w:rPr>
        <w:t xml:space="preserve">making for the ownership and use of land and natural resources. </w:t>
      </w:r>
      <w:r w:rsidR="00BB3B76">
        <w:rPr>
          <w:lang w:val="en-GB"/>
        </w:rPr>
        <w:t xml:space="preserve">It </w:t>
      </w:r>
      <w:r w:rsidR="4435C01B" w:rsidRPr="00052AFA">
        <w:rPr>
          <w:lang w:val="en-GB"/>
        </w:rPr>
        <w:t xml:space="preserve">will broaden the constituency for peace by expanding </w:t>
      </w:r>
      <w:r w:rsidR="00BB3B76">
        <w:rPr>
          <w:lang w:val="en-GB"/>
        </w:rPr>
        <w:t xml:space="preserve">its </w:t>
      </w:r>
      <w:r w:rsidR="4435C01B" w:rsidRPr="00052AFA">
        <w:rPr>
          <w:lang w:val="en-GB"/>
        </w:rPr>
        <w:t xml:space="preserve">work with influential intermediaries to engage with women, youth, minority groups and people living with disabilities. To respond to existing and new threats to stability, </w:t>
      </w:r>
      <w:r w:rsidR="00BB3B76">
        <w:rPr>
          <w:lang w:val="en-GB"/>
        </w:rPr>
        <w:t xml:space="preserve">UNDP will strengthen national </w:t>
      </w:r>
      <w:r w:rsidR="4435C01B" w:rsidRPr="00052AFA">
        <w:rPr>
          <w:lang w:val="en-GB"/>
        </w:rPr>
        <w:t xml:space="preserve">capacity for reconciliation and mediation, </w:t>
      </w:r>
      <w:r w:rsidR="00BB3B76">
        <w:rPr>
          <w:lang w:val="en-GB"/>
        </w:rPr>
        <w:t xml:space="preserve">the </w:t>
      </w:r>
      <w:r w:rsidR="4435C01B" w:rsidRPr="00052AFA">
        <w:rPr>
          <w:lang w:val="en-GB"/>
        </w:rPr>
        <w:t>peaceful management of conflict</w:t>
      </w:r>
      <w:r w:rsidR="00BB3B76">
        <w:rPr>
          <w:lang w:val="en-GB"/>
        </w:rPr>
        <w:t>,</w:t>
      </w:r>
      <w:r w:rsidR="4435C01B" w:rsidRPr="00052AFA">
        <w:rPr>
          <w:lang w:val="en-GB"/>
        </w:rPr>
        <w:t xml:space="preserve"> and </w:t>
      </w:r>
      <w:r w:rsidR="00BB3B76">
        <w:rPr>
          <w:lang w:val="en-GB"/>
        </w:rPr>
        <w:t xml:space="preserve">the </w:t>
      </w:r>
      <w:r w:rsidR="4435C01B" w:rsidRPr="00052AFA">
        <w:rPr>
          <w:lang w:val="en-GB"/>
        </w:rPr>
        <w:t xml:space="preserve">prevention of violent extremism. </w:t>
      </w:r>
      <w:r w:rsidR="00BB3B76">
        <w:rPr>
          <w:lang w:val="en-GB"/>
        </w:rPr>
        <w:t xml:space="preserve">UNDP </w:t>
      </w:r>
      <w:r w:rsidR="4435C01B" w:rsidRPr="00052AFA">
        <w:rPr>
          <w:lang w:val="en-GB"/>
        </w:rPr>
        <w:t xml:space="preserve">will </w:t>
      </w:r>
      <w:r w:rsidR="00CA2BAE" w:rsidRPr="00052AFA">
        <w:rPr>
          <w:lang w:val="en-GB"/>
        </w:rPr>
        <w:t>help</w:t>
      </w:r>
      <w:r w:rsidR="4435C01B" w:rsidRPr="00052AFA">
        <w:rPr>
          <w:lang w:val="en-GB"/>
        </w:rPr>
        <w:t xml:space="preserve"> establish an early warning system centred on community leaders and local government officials as a preventive response to clan conflict and radicalization.</w:t>
      </w:r>
      <w:r w:rsidR="00BB3B76">
        <w:rPr>
          <w:lang w:val="en-GB"/>
        </w:rPr>
        <w:t xml:space="preserve"> </w:t>
      </w:r>
    </w:p>
    <w:p w14:paraId="0F343C6F" w14:textId="77777777" w:rsidR="00A92274" w:rsidRPr="00052AFA" w:rsidRDefault="00A92274" w:rsidP="001751AC">
      <w:pPr>
        <w:pStyle w:val="ListParagraph"/>
        <w:tabs>
          <w:tab w:val="left" w:pos="1080"/>
        </w:tabs>
        <w:ind w:left="1170" w:right="1210"/>
        <w:contextualSpacing/>
        <w:jc w:val="both"/>
        <w:rPr>
          <w:sz w:val="12"/>
          <w:szCs w:val="12"/>
          <w:lang w:val="en-GB"/>
        </w:rPr>
      </w:pPr>
    </w:p>
    <w:p w14:paraId="21CE194B" w14:textId="5BD6FB45" w:rsidR="009016A1" w:rsidRPr="00052AFA" w:rsidRDefault="002B46AB" w:rsidP="001751AC">
      <w:pPr>
        <w:pStyle w:val="ListParagraph"/>
        <w:numPr>
          <w:ilvl w:val="0"/>
          <w:numId w:val="17"/>
        </w:numPr>
        <w:tabs>
          <w:tab w:val="left" w:pos="1080"/>
        </w:tabs>
        <w:ind w:left="1170" w:right="4" w:firstLine="0"/>
        <w:contextualSpacing/>
        <w:jc w:val="both"/>
        <w:rPr>
          <w:lang w:val="en-GB"/>
        </w:rPr>
      </w:pPr>
      <w:r>
        <w:rPr>
          <w:b/>
          <w:bCs/>
          <w:i/>
          <w:iCs/>
          <w:lang w:val="en-GB"/>
        </w:rPr>
        <w:t xml:space="preserve"> </w:t>
      </w:r>
      <w:r w:rsidRPr="00715998">
        <w:rPr>
          <w:bCs/>
          <w:i/>
          <w:iCs/>
          <w:lang w:val="en-GB"/>
        </w:rPr>
        <w:t xml:space="preserve">UNDP </w:t>
      </w:r>
      <w:r w:rsidR="001A4F86" w:rsidRPr="00715998">
        <w:rPr>
          <w:bCs/>
          <w:i/>
          <w:iCs/>
          <w:lang w:val="en-GB"/>
        </w:rPr>
        <w:t>will help provide incentives for combatants and communities to move away from the roles and positions that define them in times of conflict</w:t>
      </w:r>
      <w:r w:rsidR="008C21AF" w:rsidRPr="00715998">
        <w:rPr>
          <w:bCs/>
          <w:i/>
          <w:iCs/>
          <w:lang w:val="en-GB"/>
        </w:rPr>
        <w:t>,</w:t>
      </w:r>
      <w:r w:rsidR="001A4F86" w:rsidRPr="00715998">
        <w:rPr>
          <w:bCs/>
          <w:i/>
          <w:iCs/>
          <w:lang w:val="en-GB"/>
        </w:rPr>
        <w:t xml:space="preserve"> towards identifying themselves as citizens and productive members of society in times of peace.</w:t>
      </w:r>
      <w:r w:rsidR="001A4F86" w:rsidRPr="00715998">
        <w:rPr>
          <w:i/>
          <w:lang w:val="en-GB"/>
        </w:rPr>
        <w:t xml:space="preserve"> </w:t>
      </w:r>
      <w:r>
        <w:rPr>
          <w:lang w:val="en-GB"/>
        </w:rPr>
        <w:t xml:space="preserve">UNDP </w:t>
      </w:r>
      <w:r w:rsidR="00F369E1" w:rsidRPr="00052AFA">
        <w:rPr>
          <w:lang w:val="en-GB"/>
        </w:rPr>
        <w:t>will support the development and implementation</w:t>
      </w:r>
      <w:r w:rsidR="00F369E1" w:rsidRPr="00052AFA">
        <w:rPr>
          <w:rStyle w:val="FootnoteReference"/>
          <w:lang w:val="en-GB"/>
        </w:rPr>
        <w:footnoteReference w:id="23"/>
      </w:r>
      <w:r w:rsidR="008C21AF" w:rsidRPr="00052AFA">
        <w:rPr>
          <w:lang w:val="en-GB"/>
        </w:rPr>
        <w:t xml:space="preserve"> </w:t>
      </w:r>
      <w:r w:rsidR="00F369E1" w:rsidRPr="00052AFA">
        <w:rPr>
          <w:lang w:val="en-GB"/>
        </w:rPr>
        <w:t>of a comprehensive socioeconomic program</w:t>
      </w:r>
      <w:r>
        <w:rPr>
          <w:lang w:val="en-GB"/>
        </w:rPr>
        <w:t>me</w:t>
      </w:r>
      <w:r w:rsidR="00F369E1" w:rsidRPr="00052AFA">
        <w:rPr>
          <w:lang w:val="en-GB"/>
        </w:rPr>
        <w:t xml:space="preserve"> in Moro Islamic Liberation Front camps and </w:t>
      </w:r>
      <w:r w:rsidR="008C21AF" w:rsidRPr="00052AFA">
        <w:rPr>
          <w:lang w:val="en-GB"/>
        </w:rPr>
        <w:t xml:space="preserve">in </w:t>
      </w:r>
      <w:r w:rsidR="00F369E1" w:rsidRPr="00052AFA">
        <w:rPr>
          <w:lang w:val="en-GB"/>
        </w:rPr>
        <w:t>communities most prone to radicalization</w:t>
      </w:r>
      <w:r w:rsidR="00D72446" w:rsidRPr="00052AFA">
        <w:rPr>
          <w:lang w:val="en-GB"/>
        </w:rPr>
        <w:t xml:space="preserve"> or subject to the influence of the New People’s Army</w:t>
      </w:r>
      <w:r w:rsidR="00212670" w:rsidRPr="00052AFA">
        <w:rPr>
          <w:lang w:val="en-GB"/>
        </w:rPr>
        <w:t xml:space="preserve"> (</w:t>
      </w:r>
      <w:r w:rsidR="00E632A3" w:rsidRPr="00052AFA">
        <w:rPr>
          <w:lang w:val="en-GB"/>
        </w:rPr>
        <w:t xml:space="preserve">many are </w:t>
      </w:r>
      <w:r w:rsidR="00212670" w:rsidRPr="00052AFA">
        <w:rPr>
          <w:lang w:val="en-GB"/>
        </w:rPr>
        <w:t>withi</w:t>
      </w:r>
      <w:r w:rsidR="00E632A3" w:rsidRPr="00052AFA">
        <w:rPr>
          <w:lang w:val="en-GB"/>
        </w:rPr>
        <w:t>n</w:t>
      </w:r>
      <w:r w:rsidR="00212670" w:rsidRPr="00052AFA">
        <w:rPr>
          <w:lang w:val="en-GB"/>
        </w:rPr>
        <w:t xml:space="preserve"> the jurisdiction of</w:t>
      </w:r>
      <w:r w:rsidR="00E632A3" w:rsidRPr="00052AFA">
        <w:rPr>
          <w:lang w:val="en-GB"/>
        </w:rPr>
        <w:t xml:space="preserve"> the 100 targeted </w:t>
      </w:r>
      <w:r w:rsidR="00F22A08">
        <w:rPr>
          <w:lang w:val="en-GB"/>
        </w:rPr>
        <w:t>LGUs</w:t>
      </w:r>
      <w:r w:rsidR="00212670" w:rsidRPr="00052AFA">
        <w:rPr>
          <w:lang w:val="en-GB"/>
        </w:rPr>
        <w:t>)</w:t>
      </w:r>
      <w:r w:rsidR="00F369E1" w:rsidRPr="00052AFA">
        <w:rPr>
          <w:lang w:val="en-GB"/>
        </w:rPr>
        <w:t xml:space="preserve">. </w:t>
      </w:r>
      <w:r w:rsidR="00D72446" w:rsidRPr="00052AFA">
        <w:rPr>
          <w:lang w:val="en-GB"/>
        </w:rPr>
        <w:t>Interventions</w:t>
      </w:r>
      <w:r w:rsidR="00355B02" w:rsidRPr="00052AFA">
        <w:rPr>
          <w:lang w:val="en-GB"/>
        </w:rPr>
        <w:t xml:space="preserve"> </w:t>
      </w:r>
      <w:r w:rsidR="00EB2F26" w:rsidRPr="00052AFA">
        <w:rPr>
          <w:lang w:val="en-GB"/>
        </w:rPr>
        <w:t xml:space="preserve">will be </w:t>
      </w:r>
      <w:r w:rsidR="00422999" w:rsidRPr="00052AFA">
        <w:rPr>
          <w:lang w:val="en-GB"/>
        </w:rPr>
        <w:t xml:space="preserve">framed </w:t>
      </w:r>
      <w:r>
        <w:rPr>
          <w:lang w:val="en-GB"/>
        </w:rPr>
        <w:t xml:space="preserve">in the context of </w:t>
      </w:r>
      <w:r w:rsidR="00BB05A5" w:rsidRPr="00052AFA">
        <w:rPr>
          <w:lang w:val="en-GB"/>
        </w:rPr>
        <w:t>the Goals and</w:t>
      </w:r>
      <w:r w:rsidR="00EB2F26" w:rsidRPr="00052AFA">
        <w:rPr>
          <w:lang w:val="en-GB"/>
        </w:rPr>
        <w:t xml:space="preserve"> informed by a</w:t>
      </w:r>
      <w:r w:rsidR="00B438BC" w:rsidRPr="00052AFA">
        <w:rPr>
          <w:lang w:val="en-GB"/>
        </w:rPr>
        <w:t xml:space="preserve"> detailed profile of </w:t>
      </w:r>
      <w:r w:rsidR="00BE62CD" w:rsidRPr="00052AFA">
        <w:rPr>
          <w:lang w:val="en-GB"/>
        </w:rPr>
        <w:t>the communities</w:t>
      </w:r>
      <w:r>
        <w:rPr>
          <w:lang w:val="en-GB"/>
        </w:rPr>
        <w:t>,</w:t>
      </w:r>
      <w:r w:rsidR="00EB2F26" w:rsidRPr="00052AFA">
        <w:rPr>
          <w:lang w:val="en-GB"/>
        </w:rPr>
        <w:t xml:space="preserve"> covering </w:t>
      </w:r>
      <w:r w:rsidR="003A6458" w:rsidRPr="00052AFA">
        <w:rPr>
          <w:lang w:val="en-GB"/>
        </w:rPr>
        <w:t xml:space="preserve">age, gender, </w:t>
      </w:r>
      <w:r w:rsidR="00CF48FA" w:rsidRPr="00052AFA">
        <w:rPr>
          <w:lang w:val="en-GB"/>
        </w:rPr>
        <w:t xml:space="preserve">civil </w:t>
      </w:r>
      <w:r w:rsidR="003A6458" w:rsidRPr="00052AFA">
        <w:rPr>
          <w:lang w:val="en-GB"/>
        </w:rPr>
        <w:t xml:space="preserve">status, dependents, education, health, </w:t>
      </w:r>
      <w:r w:rsidR="003A6458" w:rsidRPr="00052AFA">
        <w:rPr>
          <w:lang w:val="en-GB"/>
        </w:rPr>
        <w:lastRenderedPageBreak/>
        <w:t xml:space="preserve">needs </w:t>
      </w:r>
      <w:r w:rsidR="00B438BC" w:rsidRPr="00052AFA">
        <w:rPr>
          <w:lang w:val="en-GB"/>
        </w:rPr>
        <w:t xml:space="preserve">and </w:t>
      </w:r>
      <w:r w:rsidR="003A6458" w:rsidRPr="00052AFA">
        <w:rPr>
          <w:lang w:val="en-GB"/>
        </w:rPr>
        <w:t>expectations</w:t>
      </w:r>
      <w:r>
        <w:rPr>
          <w:lang w:val="en-GB"/>
        </w:rPr>
        <w:t xml:space="preserve">. It will </w:t>
      </w:r>
      <w:r w:rsidR="70BAF449" w:rsidRPr="00052AFA">
        <w:rPr>
          <w:lang w:val="en-GB"/>
        </w:rPr>
        <w:t>includ</w:t>
      </w:r>
      <w:r>
        <w:rPr>
          <w:lang w:val="en-GB"/>
        </w:rPr>
        <w:t>e</w:t>
      </w:r>
      <w:r w:rsidR="70BAF449" w:rsidRPr="00052AFA">
        <w:rPr>
          <w:lang w:val="en-GB"/>
        </w:rPr>
        <w:t xml:space="preserve"> </w:t>
      </w:r>
      <w:r w:rsidR="00B438BC" w:rsidRPr="00052AFA">
        <w:rPr>
          <w:lang w:val="en-GB"/>
        </w:rPr>
        <w:t xml:space="preserve">an assessment of </w:t>
      </w:r>
      <w:r>
        <w:rPr>
          <w:lang w:val="en-GB"/>
        </w:rPr>
        <w:t xml:space="preserve">the </w:t>
      </w:r>
      <w:r w:rsidR="00B438BC" w:rsidRPr="00052AFA">
        <w:rPr>
          <w:lang w:val="en-GB"/>
        </w:rPr>
        <w:t>economic and social potential of the areas of settlement</w:t>
      </w:r>
      <w:r w:rsidR="00EB2F26" w:rsidRPr="00052AFA">
        <w:rPr>
          <w:lang w:val="en-GB"/>
        </w:rPr>
        <w:t xml:space="preserve">, </w:t>
      </w:r>
      <w:r>
        <w:rPr>
          <w:lang w:val="en-GB"/>
        </w:rPr>
        <w:t xml:space="preserve">and </w:t>
      </w:r>
      <w:r w:rsidR="00B438BC" w:rsidRPr="00052AFA">
        <w:rPr>
          <w:lang w:val="en-GB"/>
        </w:rPr>
        <w:t>information on natural resources, infrastructure, security and social capital.</w:t>
      </w:r>
      <w:r w:rsidR="00BE62CD" w:rsidRPr="00052AFA">
        <w:rPr>
          <w:lang w:val="en-GB"/>
        </w:rPr>
        <w:t xml:space="preserve"> </w:t>
      </w:r>
    </w:p>
    <w:p w14:paraId="5F28292E" w14:textId="77777777" w:rsidR="009016A1" w:rsidRPr="00052AFA" w:rsidRDefault="009016A1" w:rsidP="001751AC">
      <w:pPr>
        <w:pStyle w:val="ListParagraph"/>
        <w:tabs>
          <w:tab w:val="left" w:pos="1080"/>
        </w:tabs>
        <w:ind w:left="1170" w:right="1210"/>
        <w:contextualSpacing/>
        <w:jc w:val="both"/>
        <w:rPr>
          <w:sz w:val="12"/>
          <w:szCs w:val="12"/>
          <w:lang w:val="en-GB"/>
        </w:rPr>
      </w:pPr>
    </w:p>
    <w:p w14:paraId="7461A899" w14:textId="1621C278" w:rsidR="009016A1" w:rsidRPr="002B46AB" w:rsidRDefault="002B46AB" w:rsidP="00715998">
      <w:pPr>
        <w:pStyle w:val="ListParagraph"/>
        <w:tabs>
          <w:tab w:val="left" w:pos="1080"/>
        </w:tabs>
        <w:ind w:left="1170" w:right="4"/>
        <w:contextualSpacing/>
        <w:jc w:val="both"/>
        <w:rPr>
          <w:lang w:val="en-GB"/>
        </w:rPr>
      </w:pPr>
      <w:r w:rsidRPr="00715998">
        <w:rPr>
          <w:b/>
          <w:bCs/>
          <w:iCs/>
          <w:lang w:val="en-GB"/>
        </w:rPr>
        <w:t>Signalling</w:t>
      </w:r>
      <w:r w:rsidR="4435C01B" w:rsidRPr="00715998">
        <w:rPr>
          <w:b/>
          <w:bCs/>
          <w:iCs/>
          <w:lang w:val="en-GB"/>
        </w:rPr>
        <w:t xml:space="preserve"> a distinct break from previous </w:t>
      </w:r>
      <w:r>
        <w:rPr>
          <w:b/>
          <w:bCs/>
          <w:iCs/>
          <w:lang w:val="en-GB"/>
        </w:rPr>
        <w:t>p</w:t>
      </w:r>
      <w:r w:rsidR="4435C01B" w:rsidRPr="00715998">
        <w:rPr>
          <w:b/>
          <w:bCs/>
          <w:iCs/>
          <w:lang w:val="en-GB"/>
        </w:rPr>
        <w:t>rogrammes</w:t>
      </w:r>
      <w:r>
        <w:rPr>
          <w:b/>
          <w:bCs/>
          <w:iCs/>
          <w:lang w:val="en-GB"/>
        </w:rPr>
        <w:t xml:space="preserve">, </w:t>
      </w:r>
      <w:r w:rsidR="00221B13">
        <w:rPr>
          <w:b/>
          <w:bCs/>
          <w:iCs/>
          <w:lang w:val="en-GB"/>
        </w:rPr>
        <w:t xml:space="preserve">UNDP will work to </w:t>
      </w:r>
      <w:r w:rsidR="4435C01B" w:rsidRPr="00715998">
        <w:rPr>
          <w:b/>
          <w:bCs/>
          <w:iCs/>
          <w:lang w:val="en-GB"/>
        </w:rPr>
        <w:t xml:space="preserve">maximize impact </w:t>
      </w:r>
      <w:r w:rsidR="00221B13">
        <w:rPr>
          <w:b/>
          <w:bCs/>
          <w:iCs/>
          <w:lang w:val="en-GB"/>
        </w:rPr>
        <w:t xml:space="preserve">through </w:t>
      </w:r>
      <w:r w:rsidR="4435C01B" w:rsidRPr="00715998">
        <w:rPr>
          <w:b/>
          <w:bCs/>
          <w:iCs/>
          <w:lang w:val="en-GB"/>
        </w:rPr>
        <w:t>the following</w:t>
      </w:r>
      <w:r w:rsidR="00221B13">
        <w:rPr>
          <w:b/>
          <w:bCs/>
          <w:iCs/>
          <w:lang w:val="en-GB"/>
        </w:rPr>
        <w:t xml:space="preserve"> approaches</w:t>
      </w:r>
      <w:r>
        <w:rPr>
          <w:b/>
          <w:bCs/>
          <w:iCs/>
          <w:lang w:val="en-GB"/>
        </w:rPr>
        <w:t>.</w:t>
      </w:r>
    </w:p>
    <w:p w14:paraId="2057047B" w14:textId="592D1593" w:rsidR="00220349" w:rsidRPr="00052AFA" w:rsidRDefault="00220349" w:rsidP="001751AC">
      <w:pPr>
        <w:pStyle w:val="ListParagraph"/>
        <w:tabs>
          <w:tab w:val="left" w:pos="1080"/>
        </w:tabs>
        <w:ind w:left="1170" w:right="1210"/>
        <w:contextualSpacing/>
        <w:jc w:val="both"/>
        <w:rPr>
          <w:sz w:val="12"/>
          <w:szCs w:val="12"/>
          <w:lang w:val="en-GB"/>
        </w:rPr>
      </w:pPr>
    </w:p>
    <w:p w14:paraId="740A2016" w14:textId="5FE7F932" w:rsidR="00DF0BB2" w:rsidRPr="00052AFA" w:rsidRDefault="00221B13" w:rsidP="001751AC">
      <w:pPr>
        <w:pStyle w:val="ListParagraph"/>
        <w:numPr>
          <w:ilvl w:val="0"/>
          <w:numId w:val="17"/>
        </w:numPr>
        <w:tabs>
          <w:tab w:val="left" w:pos="1080"/>
        </w:tabs>
        <w:ind w:left="1170" w:right="4" w:firstLine="0"/>
        <w:contextualSpacing/>
        <w:jc w:val="both"/>
        <w:rPr>
          <w:lang w:val="en-GB"/>
        </w:rPr>
      </w:pPr>
      <w:r>
        <w:rPr>
          <w:b/>
          <w:bCs/>
          <w:i/>
          <w:iCs/>
          <w:lang w:val="en-GB"/>
        </w:rPr>
        <w:t xml:space="preserve"> </w:t>
      </w:r>
      <w:r w:rsidR="4435C01B" w:rsidRPr="00715998">
        <w:rPr>
          <w:bCs/>
          <w:i/>
          <w:iCs/>
          <w:lang w:val="en-GB"/>
        </w:rPr>
        <w:t xml:space="preserve">A focus on financing </w:t>
      </w:r>
      <w:r>
        <w:rPr>
          <w:bCs/>
          <w:i/>
          <w:iCs/>
          <w:lang w:val="en-GB"/>
        </w:rPr>
        <w:t xml:space="preserve">(and </w:t>
      </w:r>
      <w:r w:rsidR="4435C01B" w:rsidRPr="00715998">
        <w:rPr>
          <w:bCs/>
          <w:i/>
          <w:iCs/>
          <w:lang w:val="en-GB"/>
        </w:rPr>
        <w:t>not funding</w:t>
      </w:r>
      <w:r>
        <w:rPr>
          <w:bCs/>
          <w:i/>
          <w:iCs/>
          <w:lang w:val="en-GB"/>
        </w:rPr>
        <w:t>)</w:t>
      </w:r>
      <w:r w:rsidR="4435C01B" w:rsidRPr="00221B13">
        <w:rPr>
          <w:lang w:val="en-GB"/>
        </w:rPr>
        <w:t xml:space="preserve"> </w:t>
      </w:r>
      <w:r w:rsidR="4435C01B" w:rsidRPr="00715998">
        <w:rPr>
          <w:bCs/>
          <w:i/>
          <w:iCs/>
          <w:lang w:val="en-GB"/>
        </w:rPr>
        <w:t>to deliver results.</w:t>
      </w:r>
      <w:r w:rsidR="4435C01B" w:rsidRPr="00221B13">
        <w:rPr>
          <w:lang w:val="en-GB"/>
        </w:rPr>
        <w:t xml:space="preserve"> </w:t>
      </w:r>
      <w:r>
        <w:rPr>
          <w:lang w:val="en-GB"/>
        </w:rPr>
        <w:t xml:space="preserve">UNDP </w:t>
      </w:r>
      <w:r w:rsidR="00C5130A" w:rsidRPr="00052AFA">
        <w:rPr>
          <w:lang w:val="en-GB"/>
        </w:rPr>
        <w:t>will</w:t>
      </w:r>
      <w:r w:rsidR="4435C01B" w:rsidRPr="00052AFA">
        <w:rPr>
          <w:lang w:val="en-GB"/>
        </w:rPr>
        <w:t xml:space="preserve"> steer high levels of public and private domestic </w:t>
      </w:r>
      <w:r w:rsidR="0FEAE3A0" w:rsidRPr="00052AFA">
        <w:rPr>
          <w:lang w:val="en-GB"/>
        </w:rPr>
        <w:t xml:space="preserve">resources </w:t>
      </w:r>
      <w:r w:rsidR="4435C01B" w:rsidRPr="00052AFA">
        <w:rPr>
          <w:lang w:val="en-GB"/>
        </w:rPr>
        <w:t xml:space="preserve">towards programme outcomes. </w:t>
      </w:r>
      <w:r w:rsidR="00471796">
        <w:rPr>
          <w:lang w:val="en-GB"/>
        </w:rPr>
        <w:t xml:space="preserve">It </w:t>
      </w:r>
      <w:r w:rsidR="4435C01B" w:rsidRPr="00052AFA">
        <w:rPr>
          <w:lang w:val="en-GB"/>
        </w:rPr>
        <w:t xml:space="preserve">will improve </w:t>
      </w:r>
      <w:r w:rsidR="00834A95" w:rsidRPr="00052AFA">
        <w:rPr>
          <w:lang w:val="en-GB"/>
        </w:rPr>
        <w:t xml:space="preserve">the quality and quantity of </w:t>
      </w:r>
      <w:r w:rsidR="4435C01B" w:rsidRPr="00052AFA">
        <w:rPr>
          <w:lang w:val="en-GB"/>
        </w:rPr>
        <w:t xml:space="preserve">budget execution through government financing </w:t>
      </w:r>
      <w:r w:rsidR="4435C01B" w:rsidRPr="00052AFA" w:rsidDel="00834A95">
        <w:rPr>
          <w:lang w:val="en-GB"/>
        </w:rPr>
        <w:t xml:space="preserve">of </w:t>
      </w:r>
      <w:r w:rsidR="00471796">
        <w:rPr>
          <w:lang w:val="en-GB"/>
        </w:rPr>
        <w:t xml:space="preserve">its </w:t>
      </w:r>
      <w:r w:rsidR="4435C01B" w:rsidRPr="00052AFA">
        <w:rPr>
          <w:lang w:val="en-GB"/>
        </w:rPr>
        <w:t>own systems and processes to accelerate delivery of critical national program</w:t>
      </w:r>
      <w:r w:rsidR="00471796">
        <w:rPr>
          <w:lang w:val="en-GB"/>
        </w:rPr>
        <w:t>me</w:t>
      </w:r>
      <w:r w:rsidR="4435C01B" w:rsidRPr="00052AFA">
        <w:rPr>
          <w:lang w:val="en-GB"/>
        </w:rPr>
        <w:t xml:space="preserve">s, while working to reform </w:t>
      </w:r>
      <w:r w:rsidR="00B64A0A" w:rsidRPr="00052AFA">
        <w:rPr>
          <w:lang w:val="en-GB"/>
        </w:rPr>
        <w:t xml:space="preserve">business processes </w:t>
      </w:r>
      <w:r w:rsidR="4435C01B" w:rsidRPr="00052AFA">
        <w:rPr>
          <w:lang w:val="en-GB"/>
        </w:rPr>
        <w:t xml:space="preserve">and build administrative capacity. </w:t>
      </w:r>
      <w:r w:rsidR="00471796">
        <w:rPr>
          <w:lang w:val="en-GB"/>
        </w:rPr>
        <w:t xml:space="preserve">UNDP </w:t>
      </w:r>
      <w:r w:rsidR="5BE93156" w:rsidRPr="00052AFA">
        <w:rPr>
          <w:lang w:val="en-GB"/>
        </w:rPr>
        <w:t xml:space="preserve">will </w:t>
      </w:r>
      <w:r w:rsidR="00471796">
        <w:rPr>
          <w:lang w:val="en-GB"/>
        </w:rPr>
        <w:t xml:space="preserve">help </w:t>
      </w:r>
      <w:r w:rsidR="0054544C">
        <w:rPr>
          <w:lang w:val="en-GB"/>
        </w:rPr>
        <w:t>LGUs</w:t>
      </w:r>
      <w:r w:rsidR="4435C01B" w:rsidRPr="00052AFA">
        <w:rPr>
          <w:lang w:val="en-GB"/>
        </w:rPr>
        <w:t xml:space="preserve"> </w:t>
      </w:r>
      <w:r w:rsidR="00471796">
        <w:rPr>
          <w:lang w:val="en-GB"/>
        </w:rPr>
        <w:t xml:space="preserve">to </w:t>
      </w:r>
      <w:r w:rsidR="4435C01B" w:rsidRPr="00052AFA">
        <w:rPr>
          <w:lang w:val="en-GB"/>
        </w:rPr>
        <w:t xml:space="preserve">access underutilized national funds. </w:t>
      </w:r>
      <w:r w:rsidR="00471796">
        <w:rPr>
          <w:lang w:val="en-GB"/>
        </w:rPr>
        <w:t xml:space="preserve">It </w:t>
      </w:r>
      <w:r w:rsidR="4435C01B" w:rsidRPr="00052AFA">
        <w:rPr>
          <w:lang w:val="en-GB"/>
        </w:rPr>
        <w:t xml:space="preserve">will engage the private sector by identifying the economic potential inherent in the </w:t>
      </w:r>
      <w:r w:rsidR="6FF2CF05" w:rsidRPr="00052AFA">
        <w:rPr>
          <w:lang w:val="en-GB"/>
        </w:rPr>
        <w:t>G</w:t>
      </w:r>
      <w:r w:rsidR="7FB3F416" w:rsidRPr="00052AFA">
        <w:rPr>
          <w:lang w:val="en-GB"/>
        </w:rPr>
        <w:t>oal</w:t>
      </w:r>
      <w:r w:rsidR="4435C01B" w:rsidRPr="00052AFA">
        <w:rPr>
          <w:lang w:val="en-GB"/>
        </w:rPr>
        <w:t>s and provide technical support and knowledge</w:t>
      </w:r>
      <w:r w:rsidR="00471796">
        <w:rPr>
          <w:lang w:val="en-GB"/>
        </w:rPr>
        <w:t>-</w:t>
      </w:r>
      <w:r w:rsidR="4435C01B" w:rsidRPr="00052AFA">
        <w:rPr>
          <w:lang w:val="en-GB"/>
        </w:rPr>
        <w:t xml:space="preserve">sharing to strengthen inclusive business approaches to reach the bottom of the economic pyramid. </w:t>
      </w:r>
      <w:r w:rsidR="00471796">
        <w:rPr>
          <w:lang w:val="en-GB"/>
        </w:rPr>
        <w:t>UNDP will explore m</w:t>
      </w:r>
      <w:r w:rsidR="4435C01B" w:rsidRPr="00052AFA">
        <w:rPr>
          <w:lang w:val="en-GB"/>
        </w:rPr>
        <w:t xml:space="preserve">echanisms to reduce risk for private investment in </w:t>
      </w:r>
      <w:r w:rsidR="7FB3F416" w:rsidRPr="00052AFA">
        <w:rPr>
          <w:lang w:val="en-GB"/>
        </w:rPr>
        <w:t>the Goals</w:t>
      </w:r>
      <w:r w:rsidR="00E917CC">
        <w:rPr>
          <w:lang w:val="en-GB"/>
        </w:rPr>
        <w:t>.</w:t>
      </w:r>
    </w:p>
    <w:p w14:paraId="4CAADC39" w14:textId="77777777" w:rsidR="00DF0BB2" w:rsidRPr="00052AFA" w:rsidRDefault="00DF0BB2" w:rsidP="001751AC">
      <w:pPr>
        <w:pStyle w:val="ListParagraph"/>
        <w:tabs>
          <w:tab w:val="left" w:pos="1080"/>
        </w:tabs>
        <w:ind w:left="1170" w:right="1210"/>
        <w:contextualSpacing/>
        <w:jc w:val="both"/>
        <w:rPr>
          <w:sz w:val="12"/>
          <w:szCs w:val="12"/>
          <w:lang w:val="en-GB"/>
        </w:rPr>
      </w:pPr>
    </w:p>
    <w:p w14:paraId="1BBBE0BB" w14:textId="7B0932CB" w:rsidR="00DF0BB2" w:rsidRPr="00052AFA" w:rsidRDefault="00471796" w:rsidP="001751AC">
      <w:pPr>
        <w:pStyle w:val="ListParagraph"/>
        <w:numPr>
          <w:ilvl w:val="0"/>
          <w:numId w:val="17"/>
        </w:numPr>
        <w:tabs>
          <w:tab w:val="left" w:pos="1080"/>
        </w:tabs>
        <w:ind w:left="1170" w:right="4" w:firstLine="0"/>
        <w:contextualSpacing/>
        <w:jc w:val="both"/>
        <w:rPr>
          <w:lang w:val="en-GB"/>
        </w:rPr>
      </w:pPr>
      <w:r>
        <w:rPr>
          <w:b/>
          <w:bCs/>
          <w:i/>
          <w:iCs/>
          <w:lang w:val="en-GB"/>
        </w:rPr>
        <w:t xml:space="preserve"> </w:t>
      </w:r>
      <w:r w:rsidR="4435C01B" w:rsidRPr="00715998">
        <w:rPr>
          <w:bCs/>
          <w:i/>
          <w:iCs/>
          <w:lang w:val="en-GB"/>
        </w:rPr>
        <w:t>Innovations to provide new solutions to old development problems.</w:t>
      </w:r>
      <w:r w:rsidR="4435C01B" w:rsidRPr="00052AFA">
        <w:rPr>
          <w:lang w:val="en-GB"/>
        </w:rPr>
        <w:t xml:space="preserve"> Information and communications technology offer considerable promise to improve efficiency, transparency, responsiveness and accountability in the delivery of government program</w:t>
      </w:r>
      <w:r w:rsidR="00316700">
        <w:rPr>
          <w:lang w:val="en-GB"/>
        </w:rPr>
        <w:t>me</w:t>
      </w:r>
      <w:r w:rsidR="4435C01B" w:rsidRPr="00052AFA">
        <w:rPr>
          <w:lang w:val="en-GB"/>
        </w:rPr>
        <w:t xml:space="preserve">s. A digital payment platform will help to improve financial inclusion and facilitate rapid and transparent fund transfer from government to beneficiaries. </w:t>
      </w:r>
      <w:r w:rsidR="00EC7F9B" w:rsidRPr="00052AFA">
        <w:rPr>
          <w:lang w:val="en-GB"/>
        </w:rPr>
        <w:t>Blockchain</w:t>
      </w:r>
      <w:r w:rsidR="4435C01B" w:rsidRPr="00052AFA">
        <w:rPr>
          <w:lang w:val="en-GB"/>
        </w:rPr>
        <w:t xml:space="preserve"> and crowdfunding applications will support private contributions (including remittances) for recovery and development program</w:t>
      </w:r>
      <w:r w:rsidR="00316700">
        <w:rPr>
          <w:lang w:val="en-GB"/>
        </w:rPr>
        <w:t>me</w:t>
      </w:r>
      <w:r w:rsidR="4435C01B" w:rsidRPr="00052AFA">
        <w:rPr>
          <w:lang w:val="en-GB"/>
        </w:rPr>
        <w:t xml:space="preserve">s. Analysis of big data will provide alternative and real-time information to improve effectiveness and targeting. Mobile-phone-based applications will support citizen monitoring. To facilitate innovative solutions </w:t>
      </w:r>
      <w:r w:rsidR="00316700">
        <w:rPr>
          <w:lang w:val="en-GB"/>
        </w:rPr>
        <w:t xml:space="preserve">for </w:t>
      </w:r>
      <w:r w:rsidR="4435C01B" w:rsidRPr="00052AFA">
        <w:rPr>
          <w:lang w:val="en-GB"/>
        </w:rPr>
        <w:t xml:space="preserve">some of the country’s critical development challenges, an acceleration mechanism will support innovative start-ups with potential for high social impact to become financially viable, so they can ‘do well by doing good’. </w:t>
      </w:r>
      <w:r w:rsidR="00434B92" w:rsidRPr="00052AFA">
        <w:rPr>
          <w:lang w:val="en-GB"/>
        </w:rPr>
        <w:t>P</w:t>
      </w:r>
      <w:r w:rsidR="4435C01B" w:rsidRPr="00052AFA">
        <w:rPr>
          <w:lang w:val="en-GB"/>
        </w:rPr>
        <w:t>ublic-sector innovation lab</w:t>
      </w:r>
      <w:r w:rsidR="00434B92" w:rsidRPr="00052AFA">
        <w:rPr>
          <w:lang w:val="en-GB"/>
        </w:rPr>
        <w:t>s</w:t>
      </w:r>
      <w:r w:rsidR="4435C01B" w:rsidRPr="00052AFA">
        <w:rPr>
          <w:lang w:val="en-GB"/>
        </w:rPr>
        <w:t xml:space="preserve"> will help prototype government-of-the-future </w:t>
      </w:r>
      <w:r w:rsidR="00807BEC" w:rsidRPr="00052AFA">
        <w:rPr>
          <w:lang w:val="en-GB"/>
        </w:rPr>
        <w:t>planning and programming</w:t>
      </w:r>
      <w:r w:rsidR="00CF26DF" w:rsidRPr="00052AFA">
        <w:rPr>
          <w:lang w:val="en-GB"/>
        </w:rPr>
        <w:t xml:space="preserve"> and facilitate stronger user</w:t>
      </w:r>
      <w:r w:rsidR="00316700">
        <w:rPr>
          <w:lang w:val="en-GB"/>
        </w:rPr>
        <w:t>-</w:t>
      </w:r>
      <w:r w:rsidR="00CF26DF" w:rsidRPr="00052AFA">
        <w:rPr>
          <w:lang w:val="en-GB"/>
        </w:rPr>
        <w:t xml:space="preserve">centred </w:t>
      </w:r>
      <w:r w:rsidR="000F1EDD" w:rsidRPr="00052AFA">
        <w:rPr>
          <w:lang w:val="en-GB"/>
        </w:rPr>
        <w:t>interventions</w:t>
      </w:r>
      <w:r w:rsidR="4435C01B" w:rsidRPr="00052AFA">
        <w:rPr>
          <w:lang w:val="en-GB"/>
        </w:rPr>
        <w:t>.</w:t>
      </w:r>
    </w:p>
    <w:p w14:paraId="1EA289EF" w14:textId="77777777" w:rsidR="00DF0BB2" w:rsidRPr="00052AFA" w:rsidRDefault="00DF0BB2" w:rsidP="001751AC">
      <w:pPr>
        <w:pStyle w:val="ListParagraph"/>
        <w:tabs>
          <w:tab w:val="left" w:pos="1080"/>
        </w:tabs>
        <w:ind w:left="1170" w:right="1210"/>
        <w:contextualSpacing/>
        <w:jc w:val="both"/>
        <w:rPr>
          <w:sz w:val="12"/>
          <w:szCs w:val="12"/>
          <w:lang w:val="en-GB"/>
        </w:rPr>
      </w:pPr>
    </w:p>
    <w:p w14:paraId="727A877F" w14:textId="7CA2A323" w:rsidR="00DF0BB2" w:rsidRPr="00052AFA" w:rsidRDefault="00316700" w:rsidP="001751AC">
      <w:pPr>
        <w:pStyle w:val="ListParagraph"/>
        <w:numPr>
          <w:ilvl w:val="0"/>
          <w:numId w:val="17"/>
        </w:numPr>
        <w:tabs>
          <w:tab w:val="left" w:pos="1080"/>
        </w:tabs>
        <w:ind w:left="1170" w:right="4" w:firstLine="0"/>
        <w:contextualSpacing/>
        <w:jc w:val="both"/>
        <w:rPr>
          <w:lang w:val="en-GB"/>
        </w:rPr>
      </w:pPr>
      <w:r>
        <w:rPr>
          <w:b/>
          <w:bCs/>
          <w:i/>
          <w:iCs/>
          <w:lang w:val="en-GB"/>
        </w:rPr>
        <w:t xml:space="preserve"> </w:t>
      </w:r>
      <w:r w:rsidR="4435C01B" w:rsidRPr="00715998">
        <w:rPr>
          <w:bCs/>
          <w:i/>
          <w:iCs/>
          <w:lang w:val="en-GB"/>
        </w:rPr>
        <w:t>D</w:t>
      </w:r>
      <w:r w:rsidR="3C084538" w:rsidRPr="00715998">
        <w:rPr>
          <w:bCs/>
          <w:i/>
          <w:iCs/>
          <w:lang w:val="en-GB"/>
        </w:rPr>
        <w:t>eeper partnership</w:t>
      </w:r>
      <w:r w:rsidR="042CF5B2" w:rsidRPr="00715998">
        <w:rPr>
          <w:bCs/>
          <w:i/>
          <w:iCs/>
          <w:lang w:val="en-GB"/>
        </w:rPr>
        <w:t>s</w:t>
      </w:r>
      <w:r w:rsidR="4435C01B" w:rsidRPr="00715998">
        <w:rPr>
          <w:bCs/>
          <w:i/>
          <w:iCs/>
          <w:lang w:val="en-GB"/>
        </w:rPr>
        <w:t xml:space="preserve"> to </w:t>
      </w:r>
      <w:r w:rsidR="3C084538" w:rsidRPr="00715998">
        <w:rPr>
          <w:bCs/>
          <w:i/>
          <w:iCs/>
          <w:lang w:val="en-GB"/>
        </w:rPr>
        <w:t xml:space="preserve">ensure no one is left </w:t>
      </w:r>
      <w:r w:rsidR="11161B03" w:rsidRPr="00715998">
        <w:rPr>
          <w:bCs/>
          <w:i/>
          <w:iCs/>
          <w:lang w:val="en-GB"/>
        </w:rPr>
        <w:t>behind</w:t>
      </w:r>
      <w:r w:rsidR="4435C01B" w:rsidRPr="00715998">
        <w:rPr>
          <w:bCs/>
          <w:i/>
          <w:iCs/>
          <w:lang w:val="en-GB"/>
        </w:rPr>
        <w:t>.</w:t>
      </w:r>
      <w:r w:rsidR="4435C01B" w:rsidRPr="00316700">
        <w:rPr>
          <w:lang w:val="en-GB"/>
        </w:rPr>
        <w:t xml:space="preserve"> </w:t>
      </w:r>
      <w:r w:rsidR="7C2809EF" w:rsidRPr="00052AFA">
        <w:rPr>
          <w:lang w:val="en-GB"/>
        </w:rPr>
        <w:t>T</w:t>
      </w:r>
      <w:r w:rsidR="05CB7011" w:rsidRPr="00052AFA">
        <w:rPr>
          <w:lang w:val="en-GB"/>
        </w:rPr>
        <w:t>o strengthen the evidence base o</w:t>
      </w:r>
      <w:r w:rsidR="00A27E3D">
        <w:rPr>
          <w:lang w:val="en-GB"/>
        </w:rPr>
        <w:t>f</w:t>
      </w:r>
      <w:r w:rsidR="05CB7011" w:rsidRPr="00052AFA">
        <w:rPr>
          <w:lang w:val="en-GB"/>
        </w:rPr>
        <w:t xml:space="preserve"> </w:t>
      </w:r>
      <w:r w:rsidR="71CC02B1" w:rsidRPr="00052AFA">
        <w:rPr>
          <w:lang w:val="en-GB"/>
        </w:rPr>
        <w:t xml:space="preserve">the specific location, characteristics, economic and social circumstances of </w:t>
      </w:r>
      <w:r w:rsidR="0040796E" w:rsidRPr="00052AFA">
        <w:rPr>
          <w:lang w:val="en-GB"/>
        </w:rPr>
        <w:t xml:space="preserve">the identified </w:t>
      </w:r>
      <w:r w:rsidR="71CC02B1" w:rsidRPr="00052AFA">
        <w:rPr>
          <w:lang w:val="en-GB"/>
        </w:rPr>
        <w:t xml:space="preserve">marginalized, vulnerable and at-risk groups and </w:t>
      </w:r>
      <w:r w:rsidR="7C2809EF" w:rsidRPr="00052AFA">
        <w:rPr>
          <w:lang w:val="en-GB"/>
        </w:rPr>
        <w:t>help refine target policies, program</w:t>
      </w:r>
      <w:r w:rsidR="00A27E3D">
        <w:rPr>
          <w:lang w:val="en-GB"/>
        </w:rPr>
        <w:t>me</w:t>
      </w:r>
      <w:r w:rsidR="7C2809EF" w:rsidRPr="00052AFA">
        <w:rPr>
          <w:lang w:val="en-GB"/>
        </w:rPr>
        <w:t>s and projects,</w:t>
      </w:r>
      <w:r w:rsidR="60669176" w:rsidRPr="00052AFA">
        <w:rPr>
          <w:lang w:val="en-GB"/>
        </w:rPr>
        <w:t xml:space="preserve"> </w:t>
      </w:r>
      <w:r w:rsidR="00A27E3D">
        <w:rPr>
          <w:lang w:val="en-GB"/>
        </w:rPr>
        <w:t xml:space="preserve">UNDP </w:t>
      </w:r>
      <w:r w:rsidR="60669176" w:rsidRPr="00052AFA">
        <w:rPr>
          <w:lang w:val="en-GB"/>
        </w:rPr>
        <w:t xml:space="preserve">will </w:t>
      </w:r>
      <w:r w:rsidR="2F5F0CC7" w:rsidRPr="00052AFA">
        <w:rPr>
          <w:lang w:val="en-GB"/>
        </w:rPr>
        <w:t>expa</w:t>
      </w:r>
      <w:r w:rsidR="5F20C105" w:rsidRPr="00052AFA">
        <w:rPr>
          <w:lang w:val="en-GB"/>
        </w:rPr>
        <w:t xml:space="preserve">nd </w:t>
      </w:r>
      <w:r w:rsidR="60669176" w:rsidRPr="00052AFA">
        <w:rPr>
          <w:lang w:val="en-GB"/>
        </w:rPr>
        <w:t>p</w:t>
      </w:r>
      <w:r w:rsidR="4435C01B" w:rsidRPr="00052AFA">
        <w:rPr>
          <w:lang w:val="en-GB"/>
        </w:rPr>
        <w:t>artnership</w:t>
      </w:r>
      <w:r w:rsidR="14C89B11" w:rsidRPr="00052AFA">
        <w:rPr>
          <w:lang w:val="en-GB"/>
        </w:rPr>
        <w:t>s</w:t>
      </w:r>
      <w:r w:rsidR="4435C01B" w:rsidRPr="00052AFA">
        <w:rPr>
          <w:lang w:val="en-GB"/>
        </w:rPr>
        <w:t xml:space="preserve"> with leading think tanks, </w:t>
      </w:r>
      <w:r w:rsidR="005B1606" w:rsidRPr="00052AFA">
        <w:rPr>
          <w:lang w:val="en-GB"/>
        </w:rPr>
        <w:t>centr</w:t>
      </w:r>
      <w:r w:rsidR="00A27E3D">
        <w:rPr>
          <w:lang w:val="en-GB"/>
        </w:rPr>
        <w:t>e</w:t>
      </w:r>
      <w:r w:rsidR="005B1606" w:rsidRPr="00052AFA">
        <w:rPr>
          <w:lang w:val="en-GB"/>
        </w:rPr>
        <w:t xml:space="preserve">s of excellence, </w:t>
      </w:r>
      <w:r w:rsidR="4435C01B" w:rsidRPr="00052AFA">
        <w:rPr>
          <w:lang w:val="en-GB"/>
        </w:rPr>
        <w:t>policy research centr</w:t>
      </w:r>
      <w:r w:rsidR="00A27E3D">
        <w:rPr>
          <w:lang w:val="en-GB"/>
        </w:rPr>
        <w:t>e</w:t>
      </w:r>
      <w:r w:rsidR="4435C01B" w:rsidRPr="00052AFA">
        <w:rPr>
          <w:lang w:val="en-GB"/>
        </w:rPr>
        <w:t xml:space="preserve">s and academic institutions. </w:t>
      </w:r>
      <w:r w:rsidR="00A27E3D">
        <w:rPr>
          <w:lang w:val="en-GB"/>
        </w:rPr>
        <w:t xml:space="preserve">It </w:t>
      </w:r>
      <w:r w:rsidR="4435C01B" w:rsidRPr="00052AFA">
        <w:rPr>
          <w:lang w:val="en-GB"/>
        </w:rPr>
        <w:t xml:space="preserve">will </w:t>
      </w:r>
      <w:r w:rsidR="00FC43A3" w:rsidRPr="00052AFA">
        <w:rPr>
          <w:lang w:val="en-GB"/>
        </w:rPr>
        <w:t>use the analysis to develop</w:t>
      </w:r>
      <w:r w:rsidR="00A81015" w:rsidRPr="00052AFA">
        <w:rPr>
          <w:lang w:val="en-GB"/>
        </w:rPr>
        <w:t xml:space="preserve"> </w:t>
      </w:r>
      <w:r w:rsidR="4435C01B" w:rsidRPr="00052AFA">
        <w:rPr>
          <w:lang w:val="en-GB"/>
        </w:rPr>
        <w:t xml:space="preserve">strategies </w:t>
      </w:r>
      <w:r w:rsidR="00FC43A3" w:rsidRPr="00052AFA">
        <w:rPr>
          <w:lang w:val="en-GB"/>
        </w:rPr>
        <w:t xml:space="preserve">that </w:t>
      </w:r>
      <w:r w:rsidR="4435C01B" w:rsidRPr="00052AFA">
        <w:rPr>
          <w:lang w:val="en-GB"/>
        </w:rPr>
        <w:t xml:space="preserve">empower disadvantaged sectors to engage in democratic processes, organize themselves to advocate for policy reforms and improve access to information, justice and quality public services. </w:t>
      </w:r>
    </w:p>
    <w:p w14:paraId="45F7375B" w14:textId="77777777" w:rsidR="00DF0BB2" w:rsidRPr="00052AFA" w:rsidRDefault="00DF0BB2" w:rsidP="001751AC">
      <w:pPr>
        <w:pStyle w:val="ListParagraph"/>
        <w:tabs>
          <w:tab w:val="left" w:pos="1080"/>
        </w:tabs>
        <w:ind w:left="1170" w:right="1210"/>
        <w:contextualSpacing/>
        <w:jc w:val="both"/>
        <w:rPr>
          <w:sz w:val="12"/>
          <w:szCs w:val="12"/>
          <w:lang w:val="en-GB"/>
        </w:rPr>
      </w:pPr>
    </w:p>
    <w:p w14:paraId="07D026CD" w14:textId="1191ABC4" w:rsidR="00DF0BB2" w:rsidRPr="00052AFA" w:rsidRDefault="00A27E3D" w:rsidP="001751AC">
      <w:pPr>
        <w:pStyle w:val="ListParagraph"/>
        <w:numPr>
          <w:ilvl w:val="0"/>
          <w:numId w:val="17"/>
        </w:numPr>
        <w:tabs>
          <w:tab w:val="left" w:pos="1080"/>
        </w:tabs>
        <w:ind w:left="1170" w:right="4" w:firstLine="0"/>
        <w:contextualSpacing/>
        <w:jc w:val="both"/>
        <w:rPr>
          <w:lang w:val="en-GB"/>
        </w:rPr>
      </w:pPr>
      <w:r>
        <w:rPr>
          <w:b/>
          <w:bCs/>
          <w:i/>
          <w:iCs/>
          <w:lang w:val="en-GB"/>
        </w:rPr>
        <w:t xml:space="preserve"> </w:t>
      </w:r>
      <w:r w:rsidR="4435C01B" w:rsidRPr="00715998">
        <w:rPr>
          <w:bCs/>
          <w:i/>
          <w:iCs/>
          <w:lang w:val="en-GB"/>
        </w:rPr>
        <w:t>Re-conceptualizing duty bearers and claim holders.</w:t>
      </w:r>
      <w:r w:rsidR="4435C01B" w:rsidRPr="00052AFA">
        <w:rPr>
          <w:lang w:val="en-GB"/>
        </w:rPr>
        <w:t xml:space="preserve"> </w:t>
      </w:r>
      <w:r>
        <w:rPr>
          <w:lang w:val="en-GB"/>
        </w:rPr>
        <w:t xml:space="preserve">UNDP </w:t>
      </w:r>
      <w:r w:rsidR="4435C01B" w:rsidRPr="00052AFA">
        <w:rPr>
          <w:lang w:val="en-GB"/>
        </w:rPr>
        <w:t xml:space="preserve">will strengthen </w:t>
      </w:r>
      <w:r>
        <w:rPr>
          <w:lang w:val="en-GB"/>
        </w:rPr>
        <w:t xml:space="preserve">its </w:t>
      </w:r>
      <w:r w:rsidR="4435C01B" w:rsidRPr="00052AFA">
        <w:rPr>
          <w:lang w:val="en-GB"/>
        </w:rPr>
        <w:t xml:space="preserve">long-standing efforts to empower </w:t>
      </w:r>
      <w:r w:rsidR="6060990C" w:rsidRPr="00052AFA">
        <w:rPr>
          <w:lang w:val="en-GB"/>
        </w:rPr>
        <w:t xml:space="preserve">women, men and </w:t>
      </w:r>
      <w:r w:rsidR="51FE432D" w:rsidRPr="00052AFA">
        <w:rPr>
          <w:lang w:val="en-GB"/>
        </w:rPr>
        <w:t>children</w:t>
      </w:r>
      <w:r w:rsidR="4435C01B" w:rsidRPr="00052AFA">
        <w:rPr>
          <w:lang w:val="en-GB"/>
        </w:rPr>
        <w:t xml:space="preserve"> as rights holders to actively participate in development processes and make government more accountable and responsive by crowding in media, civil society organizations and academ</w:t>
      </w:r>
      <w:r w:rsidR="001B7122">
        <w:rPr>
          <w:lang w:val="en-GB"/>
        </w:rPr>
        <w:t>ia</w:t>
      </w:r>
      <w:r w:rsidR="4435C01B" w:rsidRPr="00052AFA">
        <w:rPr>
          <w:lang w:val="en-GB"/>
        </w:rPr>
        <w:t xml:space="preserve"> as key stakeholders to </w:t>
      </w:r>
      <w:r w:rsidR="001B7122">
        <w:rPr>
          <w:lang w:val="en-GB"/>
        </w:rPr>
        <w:t xml:space="preserve">the UNDP </w:t>
      </w:r>
      <w:r w:rsidR="4435C01B" w:rsidRPr="00052AFA">
        <w:rPr>
          <w:lang w:val="en-GB"/>
        </w:rPr>
        <w:t>human rights-based approach. Media will provide channels for citizens’ voices</w:t>
      </w:r>
      <w:r w:rsidR="001B7122">
        <w:rPr>
          <w:lang w:val="en-GB"/>
        </w:rPr>
        <w:t>;</w:t>
      </w:r>
      <w:r w:rsidR="4435C01B" w:rsidRPr="00052AFA">
        <w:rPr>
          <w:lang w:val="en-GB"/>
        </w:rPr>
        <w:t xml:space="preserve"> civil society organizations will drive value-based development and partner with </w:t>
      </w:r>
      <w:r w:rsidR="001B7122">
        <w:rPr>
          <w:lang w:val="en-GB"/>
        </w:rPr>
        <w:t xml:space="preserve">UNDP </w:t>
      </w:r>
      <w:r w:rsidR="4435C01B" w:rsidRPr="00052AFA">
        <w:rPr>
          <w:lang w:val="en-GB"/>
        </w:rPr>
        <w:t>on policy advocacy</w:t>
      </w:r>
      <w:r w:rsidR="001B7122">
        <w:rPr>
          <w:lang w:val="en-GB"/>
        </w:rPr>
        <w:t>;</w:t>
      </w:r>
      <w:r w:rsidR="4435C01B" w:rsidRPr="00052AFA">
        <w:rPr>
          <w:lang w:val="en-GB"/>
        </w:rPr>
        <w:t xml:space="preserve"> and academ</w:t>
      </w:r>
      <w:r w:rsidR="001B7122">
        <w:rPr>
          <w:lang w:val="en-GB"/>
        </w:rPr>
        <w:t>ia</w:t>
      </w:r>
      <w:r w:rsidR="4435C01B" w:rsidRPr="00052AFA">
        <w:rPr>
          <w:lang w:val="en-GB"/>
        </w:rPr>
        <w:t xml:space="preserve"> will provide the empirical basis for policies and program</w:t>
      </w:r>
      <w:r w:rsidR="001B7122">
        <w:rPr>
          <w:lang w:val="en-GB"/>
        </w:rPr>
        <w:t>me</w:t>
      </w:r>
      <w:r w:rsidR="4435C01B" w:rsidRPr="00052AFA">
        <w:rPr>
          <w:lang w:val="en-GB"/>
        </w:rPr>
        <w:t xml:space="preserve">s for </w:t>
      </w:r>
      <w:r w:rsidR="00285188">
        <w:rPr>
          <w:lang w:val="en-GB"/>
        </w:rPr>
        <w:t xml:space="preserve">human </w:t>
      </w:r>
      <w:r w:rsidR="001735F7">
        <w:rPr>
          <w:lang w:val="en-GB"/>
        </w:rPr>
        <w:t>centred</w:t>
      </w:r>
      <w:r w:rsidR="4435C01B" w:rsidRPr="00052AFA">
        <w:rPr>
          <w:lang w:val="en-GB"/>
        </w:rPr>
        <w:t xml:space="preserve"> development. </w:t>
      </w:r>
      <w:r w:rsidR="001B7122">
        <w:rPr>
          <w:lang w:val="en-GB"/>
        </w:rPr>
        <w:t xml:space="preserve">UNDP </w:t>
      </w:r>
      <w:r w:rsidR="4435C01B" w:rsidRPr="00052AFA">
        <w:rPr>
          <w:lang w:val="en-GB"/>
        </w:rPr>
        <w:t xml:space="preserve">will expand </w:t>
      </w:r>
      <w:r w:rsidR="001B7122">
        <w:rPr>
          <w:lang w:val="en-GB"/>
        </w:rPr>
        <w:t xml:space="preserve">its </w:t>
      </w:r>
      <w:r w:rsidR="4435C01B" w:rsidRPr="00052AFA">
        <w:rPr>
          <w:lang w:val="en-GB"/>
        </w:rPr>
        <w:t>partnership with the private sector in technology development, innovation and sustainable investment</w:t>
      </w:r>
      <w:r w:rsidR="00F756CC">
        <w:rPr>
          <w:lang w:val="en-GB"/>
        </w:rPr>
        <w:t xml:space="preserve"> to</w:t>
      </w:r>
      <w:r w:rsidR="004022A8">
        <w:rPr>
          <w:lang w:val="en-GB"/>
        </w:rPr>
        <w:t xml:space="preserve"> </w:t>
      </w:r>
      <w:r w:rsidR="4435C01B" w:rsidRPr="00052AFA">
        <w:rPr>
          <w:lang w:val="en-GB"/>
        </w:rPr>
        <w:t>include U</w:t>
      </w:r>
      <w:r w:rsidR="7FB3F416" w:rsidRPr="00052AFA">
        <w:rPr>
          <w:lang w:val="en-GB"/>
        </w:rPr>
        <w:t>n</w:t>
      </w:r>
      <w:r w:rsidR="2B5F11C7" w:rsidRPr="00052AFA">
        <w:rPr>
          <w:lang w:val="en-GB"/>
        </w:rPr>
        <w:t xml:space="preserve">ited Nations </w:t>
      </w:r>
      <w:r w:rsidR="4435C01B" w:rsidRPr="00052AFA">
        <w:rPr>
          <w:lang w:val="en-GB"/>
        </w:rPr>
        <w:t xml:space="preserve">guiding principles on </w:t>
      </w:r>
      <w:r w:rsidR="001B7122">
        <w:rPr>
          <w:lang w:val="en-GB"/>
        </w:rPr>
        <w:t>b</w:t>
      </w:r>
      <w:r w:rsidR="4435C01B" w:rsidRPr="00052AFA">
        <w:rPr>
          <w:lang w:val="en-GB"/>
        </w:rPr>
        <w:t xml:space="preserve">usiness and </w:t>
      </w:r>
      <w:r w:rsidR="001B7122">
        <w:rPr>
          <w:lang w:val="en-GB"/>
        </w:rPr>
        <w:t>h</w:t>
      </w:r>
      <w:r w:rsidR="4435C01B" w:rsidRPr="00052AFA">
        <w:rPr>
          <w:lang w:val="en-GB"/>
        </w:rPr>
        <w:t xml:space="preserve">uman </w:t>
      </w:r>
      <w:r w:rsidR="001B7122">
        <w:rPr>
          <w:lang w:val="en-GB"/>
        </w:rPr>
        <w:t>r</w:t>
      </w:r>
      <w:r w:rsidR="4435C01B" w:rsidRPr="00052AFA">
        <w:rPr>
          <w:lang w:val="en-GB"/>
        </w:rPr>
        <w:t>ights to shape business models that positively impact people’s lives and prevent risks of potential adverse impacts</w:t>
      </w:r>
      <w:r w:rsidR="001B7122">
        <w:rPr>
          <w:lang w:val="en-GB"/>
        </w:rPr>
        <w:t>.</w:t>
      </w:r>
      <w:r w:rsidR="00CA691C" w:rsidRPr="00052AFA">
        <w:rPr>
          <w:rStyle w:val="FootnoteReference"/>
          <w:lang w:val="en-GB"/>
        </w:rPr>
        <w:footnoteReference w:id="24"/>
      </w:r>
    </w:p>
    <w:p w14:paraId="08AE13B2" w14:textId="77777777" w:rsidR="00606FF0" w:rsidRPr="00052AFA" w:rsidRDefault="00606FF0" w:rsidP="001751AC">
      <w:pPr>
        <w:pStyle w:val="ListParagraph"/>
        <w:tabs>
          <w:tab w:val="left" w:pos="1080"/>
        </w:tabs>
        <w:ind w:left="1170" w:right="1210"/>
        <w:jc w:val="both"/>
        <w:rPr>
          <w:sz w:val="12"/>
          <w:szCs w:val="12"/>
          <w:lang w:val="en-GB"/>
        </w:rPr>
      </w:pPr>
    </w:p>
    <w:p w14:paraId="1A2EB8E8" w14:textId="61945F91" w:rsidR="00606FF0" w:rsidRPr="00052AFA" w:rsidRDefault="001B7122" w:rsidP="001751AC">
      <w:pPr>
        <w:pStyle w:val="ListParagraph"/>
        <w:numPr>
          <w:ilvl w:val="0"/>
          <w:numId w:val="17"/>
        </w:numPr>
        <w:tabs>
          <w:tab w:val="left" w:pos="1080"/>
        </w:tabs>
        <w:ind w:left="1170" w:right="4" w:firstLine="0"/>
        <w:contextualSpacing/>
        <w:jc w:val="both"/>
        <w:rPr>
          <w:lang w:val="en-GB"/>
        </w:rPr>
      </w:pPr>
      <w:r>
        <w:rPr>
          <w:b/>
          <w:bCs/>
          <w:i/>
          <w:iCs/>
          <w:lang w:val="en-GB"/>
        </w:rPr>
        <w:t xml:space="preserve"> </w:t>
      </w:r>
      <w:r w:rsidR="4435C01B" w:rsidRPr="00715998">
        <w:rPr>
          <w:bCs/>
          <w:i/>
          <w:iCs/>
          <w:lang w:val="en-GB"/>
        </w:rPr>
        <w:t>UNDP as integrator.</w:t>
      </w:r>
      <w:r w:rsidR="4435C01B" w:rsidRPr="001B7122">
        <w:rPr>
          <w:lang w:val="en-GB"/>
        </w:rPr>
        <w:t xml:space="preserve"> </w:t>
      </w:r>
      <w:r w:rsidR="4435C01B" w:rsidRPr="00052AFA">
        <w:rPr>
          <w:lang w:val="en-GB"/>
        </w:rPr>
        <w:t>To deliver impact at scale and to utilize limited resources efficiently</w:t>
      </w:r>
      <w:r w:rsidR="00B64A0A" w:rsidRPr="00052AFA">
        <w:rPr>
          <w:lang w:val="en-GB"/>
        </w:rPr>
        <w:t>,</w:t>
      </w:r>
      <w:r w:rsidR="4435C01B" w:rsidRPr="00052AFA">
        <w:rPr>
          <w:lang w:val="en-GB"/>
        </w:rPr>
        <w:t xml:space="preserve"> </w:t>
      </w:r>
      <w:r w:rsidR="003059AA">
        <w:rPr>
          <w:lang w:val="en-GB"/>
        </w:rPr>
        <w:t xml:space="preserve">UNDP </w:t>
      </w:r>
      <w:r w:rsidR="4435C01B" w:rsidRPr="00052AFA">
        <w:rPr>
          <w:lang w:val="en-GB"/>
        </w:rPr>
        <w:t>will provide platforms to draw</w:t>
      </w:r>
      <w:r w:rsidR="003059AA">
        <w:rPr>
          <w:lang w:val="en-GB"/>
        </w:rPr>
        <w:t xml:space="preserve"> </w:t>
      </w:r>
      <w:r w:rsidR="4435C01B" w:rsidRPr="00052AFA">
        <w:rPr>
          <w:lang w:val="en-GB"/>
        </w:rPr>
        <w:t xml:space="preserve">in </w:t>
      </w:r>
      <w:r w:rsidR="003059AA">
        <w:rPr>
          <w:lang w:val="en-GB"/>
        </w:rPr>
        <w:t xml:space="preserve">the </w:t>
      </w:r>
      <w:r w:rsidR="4435C01B" w:rsidRPr="00052AFA">
        <w:rPr>
          <w:lang w:val="en-GB"/>
        </w:rPr>
        <w:t xml:space="preserve">capacities </w:t>
      </w:r>
      <w:r w:rsidR="00B64A0A" w:rsidRPr="00052AFA">
        <w:rPr>
          <w:lang w:val="en-GB"/>
        </w:rPr>
        <w:t>of U</w:t>
      </w:r>
      <w:r w:rsidR="003059AA">
        <w:rPr>
          <w:lang w:val="en-GB"/>
        </w:rPr>
        <w:t xml:space="preserve">nited </w:t>
      </w:r>
      <w:r w:rsidR="00B64A0A" w:rsidRPr="00052AFA">
        <w:rPr>
          <w:lang w:val="en-GB"/>
        </w:rPr>
        <w:t>N</w:t>
      </w:r>
      <w:r w:rsidR="003059AA">
        <w:rPr>
          <w:lang w:val="en-GB"/>
        </w:rPr>
        <w:t>ations</w:t>
      </w:r>
      <w:r w:rsidR="00B64A0A" w:rsidRPr="00052AFA">
        <w:rPr>
          <w:lang w:val="en-GB"/>
        </w:rPr>
        <w:t xml:space="preserve"> </w:t>
      </w:r>
      <w:r w:rsidR="003059AA">
        <w:rPr>
          <w:lang w:val="en-GB"/>
        </w:rPr>
        <w:t>organizations</w:t>
      </w:r>
      <w:r w:rsidR="004A3E4E" w:rsidRPr="00052AFA">
        <w:rPr>
          <w:lang w:val="en-GB"/>
        </w:rPr>
        <w:t xml:space="preserve">, </w:t>
      </w:r>
      <w:r w:rsidR="003059AA">
        <w:rPr>
          <w:lang w:val="en-GB"/>
        </w:rPr>
        <w:lastRenderedPageBreak/>
        <w:t>d</w:t>
      </w:r>
      <w:r w:rsidR="007C4613" w:rsidRPr="00052AFA">
        <w:rPr>
          <w:lang w:val="en-GB"/>
        </w:rPr>
        <w:t xml:space="preserve">evelopment </w:t>
      </w:r>
      <w:r w:rsidR="003059AA">
        <w:rPr>
          <w:lang w:val="en-GB"/>
        </w:rPr>
        <w:t>b</w:t>
      </w:r>
      <w:r w:rsidR="007C4613" w:rsidRPr="00052AFA">
        <w:rPr>
          <w:lang w:val="en-GB"/>
        </w:rPr>
        <w:t>anks</w:t>
      </w:r>
      <w:r w:rsidR="0016089A" w:rsidRPr="00052AFA">
        <w:rPr>
          <w:lang w:val="en-GB"/>
        </w:rPr>
        <w:t>,</w:t>
      </w:r>
      <w:r w:rsidR="007C4613" w:rsidRPr="00052AFA">
        <w:rPr>
          <w:lang w:val="en-GB"/>
        </w:rPr>
        <w:t xml:space="preserve"> </w:t>
      </w:r>
      <w:r w:rsidR="003059AA">
        <w:rPr>
          <w:lang w:val="en-GB"/>
        </w:rPr>
        <w:t xml:space="preserve">the </w:t>
      </w:r>
      <w:r w:rsidR="004A3E4E" w:rsidRPr="00052AFA">
        <w:rPr>
          <w:lang w:val="en-GB"/>
        </w:rPr>
        <w:t>private sector</w:t>
      </w:r>
      <w:r w:rsidR="003D1D6C" w:rsidRPr="00052AFA">
        <w:rPr>
          <w:lang w:val="en-GB"/>
        </w:rPr>
        <w:t>, academ</w:t>
      </w:r>
      <w:r w:rsidR="003059AA">
        <w:rPr>
          <w:lang w:val="en-GB"/>
        </w:rPr>
        <w:t>ia</w:t>
      </w:r>
      <w:r w:rsidR="003D1D6C" w:rsidRPr="00052AFA">
        <w:rPr>
          <w:lang w:val="en-GB"/>
        </w:rPr>
        <w:t xml:space="preserve"> and civil society</w:t>
      </w:r>
      <w:r w:rsidR="4435C01B" w:rsidRPr="00052AFA">
        <w:rPr>
          <w:lang w:val="en-GB"/>
        </w:rPr>
        <w:t xml:space="preserve">. </w:t>
      </w:r>
      <w:r w:rsidR="003059AA">
        <w:rPr>
          <w:lang w:val="en-GB"/>
        </w:rPr>
        <w:t xml:space="preserve">UNDP </w:t>
      </w:r>
      <w:r w:rsidR="004B4BA8" w:rsidRPr="00052AFA">
        <w:rPr>
          <w:lang w:val="en-GB"/>
        </w:rPr>
        <w:t>data management</w:t>
      </w:r>
      <w:r w:rsidR="4435C01B" w:rsidRPr="00052AFA">
        <w:rPr>
          <w:lang w:val="en-GB"/>
        </w:rPr>
        <w:t xml:space="preserve"> support for local governments to localize the </w:t>
      </w:r>
      <w:r w:rsidR="2B5F11C7" w:rsidRPr="00052AFA">
        <w:rPr>
          <w:lang w:val="en-GB"/>
        </w:rPr>
        <w:t>Goals</w:t>
      </w:r>
      <w:r w:rsidR="4435C01B" w:rsidRPr="00052AFA">
        <w:rPr>
          <w:lang w:val="en-GB"/>
        </w:rPr>
        <w:t xml:space="preserve"> </w:t>
      </w:r>
      <w:r w:rsidR="00BE10CE" w:rsidRPr="00052AFA">
        <w:rPr>
          <w:lang w:val="en-GB"/>
        </w:rPr>
        <w:t xml:space="preserve">will </w:t>
      </w:r>
      <w:r w:rsidR="004B4BA8" w:rsidRPr="00052AFA">
        <w:rPr>
          <w:lang w:val="en-GB"/>
        </w:rPr>
        <w:t xml:space="preserve">provide the basis for collaborative design </w:t>
      </w:r>
      <w:r w:rsidR="00C5130A" w:rsidRPr="00052AFA">
        <w:rPr>
          <w:lang w:val="en-GB"/>
        </w:rPr>
        <w:t xml:space="preserve">and delivery </w:t>
      </w:r>
      <w:r w:rsidR="004B4BA8" w:rsidRPr="00052AFA">
        <w:rPr>
          <w:lang w:val="en-GB"/>
        </w:rPr>
        <w:t>of s</w:t>
      </w:r>
      <w:r w:rsidR="00ED58F5" w:rsidRPr="00052AFA">
        <w:rPr>
          <w:lang w:val="en-GB"/>
        </w:rPr>
        <w:t>olutions to complex and systemic challenges</w:t>
      </w:r>
      <w:r w:rsidR="004B4BA8" w:rsidRPr="00052AFA">
        <w:rPr>
          <w:lang w:val="en-GB"/>
        </w:rPr>
        <w:t>.</w:t>
      </w:r>
      <w:r w:rsidR="00ED58F5" w:rsidRPr="00052AFA">
        <w:rPr>
          <w:lang w:val="en-GB"/>
        </w:rPr>
        <w:t xml:space="preserve"> </w:t>
      </w:r>
      <w:r w:rsidR="003059AA">
        <w:rPr>
          <w:lang w:val="en-GB"/>
        </w:rPr>
        <w:t xml:space="preserve">UNDP will integrate its </w:t>
      </w:r>
      <w:r w:rsidR="4435C01B" w:rsidRPr="00052AFA">
        <w:rPr>
          <w:lang w:val="en-GB"/>
        </w:rPr>
        <w:t xml:space="preserve">interventions on public financial management and citizen’s oversight </w:t>
      </w:r>
      <w:r w:rsidR="004B4BA8" w:rsidRPr="00052AFA">
        <w:rPr>
          <w:lang w:val="en-GB"/>
        </w:rPr>
        <w:t>in the design and delivery of</w:t>
      </w:r>
      <w:r w:rsidR="4435C01B" w:rsidRPr="00052AFA">
        <w:rPr>
          <w:lang w:val="en-GB"/>
        </w:rPr>
        <w:t xml:space="preserve"> U</w:t>
      </w:r>
      <w:r w:rsidR="003059AA">
        <w:rPr>
          <w:lang w:val="en-GB"/>
        </w:rPr>
        <w:t xml:space="preserve">nited </w:t>
      </w:r>
      <w:r w:rsidR="4435C01B" w:rsidRPr="00052AFA">
        <w:rPr>
          <w:lang w:val="en-GB"/>
        </w:rPr>
        <w:t>N</w:t>
      </w:r>
      <w:r w:rsidR="003059AA">
        <w:rPr>
          <w:lang w:val="en-GB"/>
        </w:rPr>
        <w:t>ations</w:t>
      </w:r>
      <w:r w:rsidR="4435C01B" w:rsidRPr="00052AFA">
        <w:rPr>
          <w:lang w:val="en-GB"/>
        </w:rPr>
        <w:t xml:space="preserve"> </w:t>
      </w:r>
      <w:r w:rsidR="003059AA">
        <w:rPr>
          <w:lang w:val="en-GB"/>
        </w:rPr>
        <w:t xml:space="preserve">organizations’ </w:t>
      </w:r>
      <w:r w:rsidR="005210FF" w:rsidRPr="00052AFA">
        <w:rPr>
          <w:lang w:val="en-GB"/>
        </w:rPr>
        <w:t xml:space="preserve">and </w:t>
      </w:r>
      <w:r w:rsidR="003059AA">
        <w:rPr>
          <w:lang w:val="en-GB"/>
        </w:rPr>
        <w:t>d</w:t>
      </w:r>
      <w:r w:rsidR="005210FF" w:rsidRPr="00052AFA">
        <w:rPr>
          <w:lang w:val="en-GB"/>
        </w:rPr>
        <w:t xml:space="preserve">evelopment </w:t>
      </w:r>
      <w:r w:rsidR="003059AA">
        <w:rPr>
          <w:lang w:val="en-GB"/>
        </w:rPr>
        <w:t>b</w:t>
      </w:r>
      <w:r w:rsidR="005210FF" w:rsidRPr="00052AFA">
        <w:rPr>
          <w:lang w:val="en-GB"/>
        </w:rPr>
        <w:t>anks’</w:t>
      </w:r>
      <w:r w:rsidR="4435C01B" w:rsidRPr="00052AFA">
        <w:rPr>
          <w:lang w:val="en-GB"/>
        </w:rPr>
        <w:t xml:space="preserve"> </w:t>
      </w:r>
      <w:r w:rsidR="005D7E48" w:rsidRPr="00052AFA">
        <w:rPr>
          <w:lang w:val="en-GB"/>
        </w:rPr>
        <w:t xml:space="preserve">support </w:t>
      </w:r>
      <w:r w:rsidR="4435C01B" w:rsidRPr="00052AFA">
        <w:rPr>
          <w:lang w:val="en-GB"/>
        </w:rPr>
        <w:t>for national sectoral program</w:t>
      </w:r>
      <w:r w:rsidR="003059AA">
        <w:rPr>
          <w:lang w:val="en-GB"/>
        </w:rPr>
        <w:t>me</w:t>
      </w:r>
      <w:r w:rsidR="4435C01B" w:rsidRPr="00052AFA">
        <w:rPr>
          <w:lang w:val="en-GB"/>
        </w:rPr>
        <w:t xml:space="preserve">s. </w:t>
      </w:r>
      <w:r w:rsidR="003059AA">
        <w:rPr>
          <w:lang w:val="en-GB"/>
        </w:rPr>
        <w:t xml:space="preserve">It </w:t>
      </w:r>
      <w:r w:rsidR="4435C01B" w:rsidRPr="00052AFA">
        <w:rPr>
          <w:lang w:val="en-GB"/>
        </w:rPr>
        <w:t xml:space="preserve">will provide leadership for </w:t>
      </w:r>
      <w:r w:rsidR="00BA5AFA" w:rsidRPr="00052AFA">
        <w:rPr>
          <w:lang w:val="en-GB"/>
        </w:rPr>
        <w:t xml:space="preserve">multi-stakeholder </w:t>
      </w:r>
      <w:r w:rsidR="00B30A05" w:rsidRPr="00052AFA">
        <w:rPr>
          <w:lang w:val="en-GB"/>
        </w:rPr>
        <w:t>engagement on</w:t>
      </w:r>
      <w:r w:rsidR="4435C01B" w:rsidRPr="00052AFA">
        <w:rPr>
          <w:lang w:val="en-GB"/>
        </w:rPr>
        <w:t xml:space="preserve"> climate action </w:t>
      </w:r>
      <w:r w:rsidR="004B4BA8" w:rsidRPr="00052AFA">
        <w:rPr>
          <w:lang w:val="en-GB"/>
        </w:rPr>
        <w:t>(as co-conveners with government on the working group)</w:t>
      </w:r>
      <w:r w:rsidR="003059AA">
        <w:rPr>
          <w:lang w:val="en-GB"/>
        </w:rPr>
        <w:t>,</w:t>
      </w:r>
      <w:r w:rsidR="004B4BA8" w:rsidRPr="00052AFA">
        <w:rPr>
          <w:lang w:val="en-GB"/>
        </w:rPr>
        <w:t xml:space="preserve"> </w:t>
      </w:r>
      <w:r w:rsidR="4435C01B" w:rsidRPr="00052AFA">
        <w:rPr>
          <w:lang w:val="en-GB"/>
        </w:rPr>
        <w:t xml:space="preserve">and </w:t>
      </w:r>
      <w:r w:rsidR="003059AA">
        <w:rPr>
          <w:lang w:val="en-GB"/>
        </w:rPr>
        <w:t xml:space="preserve">UNDP </w:t>
      </w:r>
      <w:r w:rsidR="4435C01B" w:rsidRPr="00052AFA">
        <w:rPr>
          <w:lang w:val="en-GB"/>
        </w:rPr>
        <w:t>work on risk-informed planning will provide the evidence base for</w:t>
      </w:r>
      <w:r w:rsidR="00C44403" w:rsidRPr="00052AFA">
        <w:rPr>
          <w:lang w:val="en-GB"/>
        </w:rPr>
        <w:t xml:space="preserve"> government</w:t>
      </w:r>
      <w:r w:rsidR="00CD3753" w:rsidRPr="00052AFA">
        <w:rPr>
          <w:lang w:val="en-GB"/>
        </w:rPr>
        <w:t>,</w:t>
      </w:r>
      <w:r w:rsidR="00C44403" w:rsidRPr="00052AFA">
        <w:rPr>
          <w:lang w:val="en-GB"/>
        </w:rPr>
        <w:t xml:space="preserve"> non-government</w:t>
      </w:r>
      <w:r w:rsidR="4435C01B" w:rsidRPr="00052AFA">
        <w:rPr>
          <w:lang w:val="en-GB"/>
        </w:rPr>
        <w:t xml:space="preserve"> </w:t>
      </w:r>
      <w:r w:rsidR="00CD3753" w:rsidRPr="00052AFA">
        <w:rPr>
          <w:lang w:val="en-GB"/>
        </w:rPr>
        <w:t xml:space="preserve">and </w:t>
      </w:r>
      <w:r w:rsidR="00861BDD" w:rsidRPr="00052AFA">
        <w:rPr>
          <w:lang w:val="en-GB"/>
        </w:rPr>
        <w:t xml:space="preserve">international </w:t>
      </w:r>
      <w:r w:rsidR="003059AA">
        <w:rPr>
          <w:lang w:val="en-GB"/>
        </w:rPr>
        <w:t xml:space="preserve">organizations </w:t>
      </w:r>
      <w:r w:rsidR="004B4BA8" w:rsidRPr="00052AFA">
        <w:rPr>
          <w:lang w:val="en-GB"/>
        </w:rPr>
        <w:t>to target their</w:t>
      </w:r>
      <w:r w:rsidR="4435C01B" w:rsidRPr="00052AFA">
        <w:rPr>
          <w:lang w:val="en-GB"/>
        </w:rPr>
        <w:t xml:space="preserve"> disaster preparedness and sectoral adaptation program</w:t>
      </w:r>
      <w:r w:rsidR="003059AA">
        <w:rPr>
          <w:lang w:val="en-GB"/>
        </w:rPr>
        <w:t>me</w:t>
      </w:r>
      <w:r w:rsidR="4435C01B" w:rsidRPr="00052AFA">
        <w:rPr>
          <w:lang w:val="en-GB"/>
        </w:rPr>
        <w:t xml:space="preserve">s. </w:t>
      </w:r>
      <w:r w:rsidR="003059AA">
        <w:rPr>
          <w:lang w:val="en-GB"/>
        </w:rPr>
        <w:t xml:space="preserve">UNDP </w:t>
      </w:r>
      <w:r w:rsidR="004B4BA8" w:rsidRPr="00052AFA">
        <w:rPr>
          <w:lang w:val="en-GB"/>
        </w:rPr>
        <w:t xml:space="preserve">will </w:t>
      </w:r>
      <w:r w:rsidR="00C5130A" w:rsidRPr="00052AFA">
        <w:rPr>
          <w:lang w:val="en-GB"/>
        </w:rPr>
        <w:t>lead</w:t>
      </w:r>
      <w:r w:rsidR="004B4BA8" w:rsidRPr="00052AFA">
        <w:rPr>
          <w:lang w:val="en-GB"/>
        </w:rPr>
        <w:t xml:space="preserve"> stakeholders </w:t>
      </w:r>
      <w:r w:rsidR="003059AA">
        <w:rPr>
          <w:lang w:val="en-GB"/>
        </w:rPr>
        <w:t xml:space="preserve">in </w:t>
      </w:r>
      <w:r w:rsidR="004B4BA8" w:rsidRPr="00052AFA">
        <w:rPr>
          <w:lang w:val="en-GB"/>
        </w:rPr>
        <w:t>co</w:t>
      </w:r>
      <w:r w:rsidR="003059AA">
        <w:rPr>
          <w:lang w:val="en-GB"/>
        </w:rPr>
        <w:t>-</w:t>
      </w:r>
      <w:r w:rsidR="004B4BA8" w:rsidRPr="00052AFA">
        <w:rPr>
          <w:lang w:val="en-GB"/>
        </w:rPr>
        <w:t>design</w:t>
      </w:r>
      <w:r w:rsidR="003059AA">
        <w:rPr>
          <w:lang w:val="en-GB"/>
        </w:rPr>
        <w:t>ing</w:t>
      </w:r>
      <w:r w:rsidR="004B4BA8" w:rsidRPr="00052AFA">
        <w:rPr>
          <w:lang w:val="en-GB"/>
        </w:rPr>
        <w:t xml:space="preserve"> and delive</w:t>
      </w:r>
      <w:r w:rsidR="003059AA">
        <w:rPr>
          <w:lang w:val="en-GB"/>
        </w:rPr>
        <w:t xml:space="preserve">ring </w:t>
      </w:r>
      <w:r w:rsidR="004B4BA8" w:rsidRPr="00052AFA">
        <w:rPr>
          <w:lang w:val="en-GB"/>
        </w:rPr>
        <w:t>the</w:t>
      </w:r>
      <w:r w:rsidR="4435C01B" w:rsidRPr="00052AFA">
        <w:rPr>
          <w:lang w:val="en-GB"/>
        </w:rPr>
        <w:t xml:space="preserve"> comprehensive socioeconomic program</w:t>
      </w:r>
      <w:r w:rsidR="003059AA">
        <w:rPr>
          <w:lang w:val="en-GB"/>
        </w:rPr>
        <w:t>me</w:t>
      </w:r>
      <w:r w:rsidR="4435C01B" w:rsidRPr="00052AFA">
        <w:rPr>
          <w:lang w:val="en-GB"/>
        </w:rPr>
        <w:t xml:space="preserve"> </w:t>
      </w:r>
      <w:r w:rsidR="004B4BA8" w:rsidRPr="00052AFA">
        <w:rPr>
          <w:lang w:val="en-GB"/>
        </w:rPr>
        <w:t>for conflict</w:t>
      </w:r>
      <w:r w:rsidR="003059AA">
        <w:rPr>
          <w:lang w:val="en-GB"/>
        </w:rPr>
        <w:t>-</w:t>
      </w:r>
      <w:r w:rsidR="004B4BA8" w:rsidRPr="00052AFA">
        <w:rPr>
          <w:lang w:val="en-GB"/>
        </w:rPr>
        <w:t>affected communities</w:t>
      </w:r>
      <w:r w:rsidR="4435C01B" w:rsidRPr="00052AFA">
        <w:rPr>
          <w:lang w:val="en-GB"/>
        </w:rPr>
        <w:t xml:space="preserve">. </w:t>
      </w:r>
      <w:r w:rsidR="003059AA">
        <w:rPr>
          <w:lang w:val="en-GB"/>
        </w:rPr>
        <w:t xml:space="preserve">The </w:t>
      </w:r>
      <w:r w:rsidR="002E758B" w:rsidRPr="00052AFA">
        <w:rPr>
          <w:lang w:val="en-GB"/>
        </w:rPr>
        <w:t>aim is to</w:t>
      </w:r>
      <w:r w:rsidR="4435C01B" w:rsidRPr="00052AFA">
        <w:rPr>
          <w:lang w:val="en-GB"/>
        </w:rPr>
        <w:t xml:space="preserve"> promote </w:t>
      </w:r>
      <w:r w:rsidR="003059AA">
        <w:rPr>
          <w:lang w:val="en-GB"/>
        </w:rPr>
        <w:t>‘</w:t>
      </w:r>
      <w:r w:rsidR="4435C01B" w:rsidRPr="00052AFA">
        <w:rPr>
          <w:lang w:val="en-GB"/>
        </w:rPr>
        <w:t>whole-of-government</w:t>
      </w:r>
      <w:r w:rsidR="003059AA">
        <w:rPr>
          <w:lang w:val="en-GB"/>
        </w:rPr>
        <w:t>’</w:t>
      </w:r>
      <w:r w:rsidR="4435C01B" w:rsidRPr="00052AFA">
        <w:rPr>
          <w:lang w:val="en-GB"/>
        </w:rPr>
        <w:t xml:space="preserve"> and </w:t>
      </w:r>
      <w:r w:rsidR="003059AA">
        <w:rPr>
          <w:lang w:val="en-GB"/>
        </w:rPr>
        <w:t>‘</w:t>
      </w:r>
      <w:r w:rsidR="4435C01B" w:rsidRPr="00052AFA">
        <w:rPr>
          <w:lang w:val="en-GB"/>
        </w:rPr>
        <w:t>whole-of-society</w:t>
      </w:r>
      <w:r w:rsidR="003059AA">
        <w:rPr>
          <w:lang w:val="en-GB"/>
        </w:rPr>
        <w:t>’</w:t>
      </w:r>
      <w:r w:rsidR="4435C01B" w:rsidRPr="00052AFA">
        <w:rPr>
          <w:lang w:val="en-GB"/>
        </w:rPr>
        <w:t xml:space="preserve"> responses vital for </w:t>
      </w:r>
      <w:r w:rsidR="00D14CA0" w:rsidRPr="00052AFA">
        <w:rPr>
          <w:lang w:val="en-GB"/>
        </w:rPr>
        <w:t xml:space="preserve">achieving </w:t>
      </w:r>
      <w:r w:rsidR="4435C01B" w:rsidRPr="00052AFA">
        <w:rPr>
          <w:lang w:val="en-GB"/>
        </w:rPr>
        <w:t xml:space="preserve">the </w:t>
      </w:r>
      <w:r w:rsidR="00D14CA0" w:rsidRPr="00052AFA">
        <w:rPr>
          <w:lang w:val="en-GB"/>
        </w:rPr>
        <w:t>Goals</w:t>
      </w:r>
      <w:r w:rsidR="4435C01B" w:rsidRPr="00052AFA">
        <w:rPr>
          <w:lang w:val="en-GB"/>
        </w:rPr>
        <w:t>.</w:t>
      </w:r>
    </w:p>
    <w:p w14:paraId="027662E2" w14:textId="0E0E8F14" w:rsidR="3063B59A" w:rsidRPr="00052AFA" w:rsidRDefault="3063B59A" w:rsidP="001751AC">
      <w:pPr>
        <w:pStyle w:val="ListParagraph"/>
        <w:tabs>
          <w:tab w:val="left" w:pos="1080"/>
        </w:tabs>
        <w:ind w:left="1170" w:right="1210"/>
        <w:jc w:val="both"/>
        <w:rPr>
          <w:b/>
          <w:bCs/>
          <w:color w:val="000000" w:themeColor="text1"/>
          <w:lang w:val="en-GB"/>
        </w:rPr>
      </w:pPr>
    </w:p>
    <w:p w14:paraId="716CCF8C" w14:textId="66298614" w:rsidR="005D1760" w:rsidRPr="00052AFA" w:rsidRDefault="4435C01B" w:rsidP="00475DE8">
      <w:pPr>
        <w:pStyle w:val="Heading1"/>
        <w:tabs>
          <w:tab w:val="left" w:pos="1170"/>
          <w:tab w:val="left" w:pos="1800"/>
        </w:tabs>
        <w:ind w:left="1170" w:right="4" w:hanging="540"/>
        <w:jc w:val="both"/>
        <w:rPr>
          <w:rFonts w:ascii="Times New Roman" w:hAnsi="Times New Roman"/>
          <w:color w:val="000000" w:themeColor="text1"/>
          <w:sz w:val="24"/>
          <w:szCs w:val="24"/>
          <w:lang w:val="en-GB"/>
        </w:rPr>
      </w:pPr>
      <w:r w:rsidRPr="00052AFA">
        <w:rPr>
          <w:rFonts w:ascii="Times New Roman" w:hAnsi="Times New Roman"/>
          <w:color w:val="000000" w:themeColor="text1"/>
          <w:sz w:val="24"/>
          <w:szCs w:val="24"/>
          <w:lang w:val="en-GB"/>
        </w:rPr>
        <w:t>III.</w:t>
      </w:r>
      <w:r w:rsidR="00475DE8" w:rsidRPr="00052AFA">
        <w:rPr>
          <w:rFonts w:ascii="Times New Roman" w:hAnsi="Times New Roman"/>
          <w:color w:val="000000" w:themeColor="text1"/>
          <w:sz w:val="24"/>
          <w:szCs w:val="24"/>
          <w:lang w:val="en-GB"/>
        </w:rPr>
        <w:tab/>
      </w:r>
      <w:r w:rsidRPr="00052AFA">
        <w:rPr>
          <w:rFonts w:ascii="Times New Roman" w:hAnsi="Times New Roman"/>
          <w:color w:val="000000" w:themeColor="text1"/>
          <w:sz w:val="24"/>
          <w:szCs w:val="24"/>
          <w:lang w:val="en-GB"/>
        </w:rPr>
        <w:t xml:space="preserve">Programme and </w:t>
      </w:r>
      <w:r w:rsidR="00475DE8" w:rsidRPr="00052AFA">
        <w:rPr>
          <w:rFonts w:ascii="Times New Roman" w:hAnsi="Times New Roman"/>
          <w:color w:val="000000" w:themeColor="text1"/>
          <w:sz w:val="24"/>
          <w:szCs w:val="24"/>
          <w:lang w:val="en-GB"/>
        </w:rPr>
        <w:t>r</w:t>
      </w:r>
      <w:r w:rsidRPr="00052AFA">
        <w:rPr>
          <w:rFonts w:ascii="Times New Roman" w:hAnsi="Times New Roman"/>
          <w:color w:val="000000" w:themeColor="text1"/>
          <w:sz w:val="24"/>
          <w:szCs w:val="24"/>
          <w:lang w:val="en-GB"/>
        </w:rPr>
        <w:t xml:space="preserve">isk </w:t>
      </w:r>
      <w:r w:rsidR="00475DE8" w:rsidRPr="00052AFA">
        <w:rPr>
          <w:rFonts w:ascii="Times New Roman" w:hAnsi="Times New Roman"/>
          <w:color w:val="000000" w:themeColor="text1"/>
          <w:sz w:val="24"/>
          <w:szCs w:val="24"/>
          <w:lang w:val="en-GB"/>
        </w:rPr>
        <w:t>m</w:t>
      </w:r>
      <w:r w:rsidRPr="00052AFA">
        <w:rPr>
          <w:rFonts w:ascii="Times New Roman" w:hAnsi="Times New Roman"/>
          <w:color w:val="000000" w:themeColor="text1"/>
          <w:sz w:val="24"/>
          <w:szCs w:val="24"/>
          <w:lang w:val="en-GB"/>
        </w:rPr>
        <w:t>anagement</w:t>
      </w:r>
    </w:p>
    <w:p w14:paraId="76631CAD" w14:textId="77777777" w:rsidR="005D1760" w:rsidRPr="00052AFA" w:rsidRDefault="005D1760" w:rsidP="001751AC">
      <w:pPr>
        <w:pStyle w:val="ListParagraph"/>
        <w:tabs>
          <w:tab w:val="left" w:pos="1080"/>
        </w:tabs>
        <w:ind w:left="1170" w:right="1210"/>
        <w:jc w:val="both"/>
        <w:rPr>
          <w:lang w:val="en-GB" w:eastAsia="x-none"/>
        </w:rPr>
      </w:pPr>
    </w:p>
    <w:p w14:paraId="53500B90" w14:textId="2CFD8E6B" w:rsidR="005D1760" w:rsidRPr="00052AFA" w:rsidRDefault="00D44D58" w:rsidP="001751AC">
      <w:pPr>
        <w:pStyle w:val="ListParagraph"/>
        <w:numPr>
          <w:ilvl w:val="0"/>
          <w:numId w:val="17"/>
        </w:numPr>
        <w:tabs>
          <w:tab w:val="left" w:pos="1080"/>
        </w:tabs>
        <w:ind w:left="1170" w:right="4" w:firstLine="0"/>
        <w:jc w:val="both"/>
        <w:rPr>
          <w:color w:val="000000" w:themeColor="text1"/>
          <w:lang w:val="en-GB"/>
        </w:rPr>
      </w:pPr>
      <w:r>
        <w:rPr>
          <w:color w:val="000000" w:themeColor="text1"/>
          <w:lang w:val="en-GB"/>
        </w:rPr>
        <w:t xml:space="preserve"> </w:t>
      </w:r>
      <w:r w:rsidR="4435C01B" w:rsidRPr="00052AFA">
        <w:rPr>
          <w:color w:val="000000" w:themeColor="text1"/>
          <w:lang w:val="en-GB"/>
        </w:rPr>
        <w:t xml:space="preserve">This country programme document outlines UNDP contributions to national results and serves as the primary unit of accountability to the Executive Board for results alignment and resources assigned to the programme at country level. </w:t>
      </w:r>
      <w:r w:rsidR="4435C01B" w:rsidRPr="00052AFA">
        <w:rPr>
          <w:lang w:val="en-GB"/>
        </w:rPr>
        <w:t xml:space="preserve">Accountabilities of managers at the country, regional and headquarters levels, with respect to the country programme, are prescribed in the </w:t>
      </w:r>
      <w:r w:rsidR="4435C01B" w:rsidRPr="00052AFA">
        <w:rPr>
          <w:color w:val="000000" w:themeColor="text1"/>
          <w:lang w:val="en-GB"/>
        </w:rPr>
        <w:t xml:space="preserve">organization’s </w:t>
      </w:r>
      <w:hyperlink r:id="rId17">
        <w:r>
          <w:rPr>
            <w:rStyle w:val="Hyperlink"/>
            <w:color w:val="000000" w:themeColor="text1"/>
            <w:lang w:val="en-GB"/>
          </w:rPr>
          <w:t>p</w:t>
        </w:r>
        <w:r w:rsidR="4435C01B" w:rsidRPr="00052AFA">
          <w:rPr>
            <w:rStyle w:val="Hyperlink"/>
            <w:color w:val="000000" w:themeColor="text1"/>
            <w:lang w:val="en-GB"/>
          </w:rPr>
          <w:t xml:space="preserve">rogramme and </w:t>
        </w:r>
        <w:r>
          <w:rPr>
            <w:rStyle w:val="Hyperlink"/>
            <w:color w:val="000000" w:themeColor="text1"/>
            <w:lang w:val="en-GB"/>
          </w:rPr>
          <w:t>o</w:t>
        </w:r>
        <w:r w:rsidR="4435C01B" w:rsidRPr="00052AFA">
          <w:rPr>
            <w:rStyle w:val="Hyperlink"/>
            <w:color w:val="000000" w:themeColor="text1"/>
            <w:lang w:val="en-GB"/>
          </w:rPr>
          <w:t xml:space="preserve">perations </w:t>
        </w:r>
        <w:r>
          <w:rPr>
            <w:rStyle w:val="Hyperlink"/>
            <w:color w:val="000000" w:themeColor="text1"/>
            <w:lang w:val="en-GB"/>
          </w:rPr>
          <w:t>p</w:t>
        </w:r>
        <w:r w:rsidR="4435C01B" w:rsidRPr="00052AFA">
          <w:rPr>
            <w:rStyle w:val="Hyperlink"/>
            <w:color w:val="000000" w:themeColor="text1"/>
            <w:lang w:val="en-GB"/>
          </w:rPr>
          <w:t xml:space="preserve">olicies and </w:t>
        </w:r>
        <w:r>
          <w:rPr>
            <w:rStyle w:val="Hyperlink"/>
            <w:color w:val="000000" w:themeColor="text1"/>
            <w:lang w:val="en-GB"/>
          </w:rPr>
          <w:t>p</w:t>
        </w:r>
        <w:r w:rsidR="4435C01B" w:rsidRPr="00052AFA">
          <w:rPr>
            <w:rStyle w:val="Hyperlink"/>
            <w:color w:val="000000" w:themeColor="text1"/>
            <w:lang w:val="en-GB"/>
          </w:rPr>
          <w:t>rocedures</w:t>
        </w:r>
      </w:hyperlink>
      <w:r w:rsidR="4435C01B" w:rsidRPr="00052AFA">
        <w:rPr>
          <w:color w:val="000000" w:themeColor="text1"/>
          <w:lang w:val="en-GB"/>
        </w:rPr>
        <w:t xml:space="preserve"> and the </w:t>
      </w:r>
      <w:hyperlink r:id="rId18">
        <w:r>
          <w:rPr>
            <w:rStyle w:val="Hyperlink"/>
            <w:color w:val="000000" w:themeColor="text1"/>
            <w:lang w:val="en-GB"/>
          </w:rPr>
          <w:t>i</w:t>
        </w:r>
        <w:r w:rsidR="4435C01B" w:rsidRPr="00052AFA">
          <w:rPr>
            <w:rStyle w:val="Hyperlink"/>
            <w:color w:val="000000" w:themeColor="text1"/>
            <w:lang w:val="en-GB"/>
          </w:rPr>
          <w:t xml:space="preserve">nternal </w:t>
        </w:r>
        <w:r>
          <w:rPr>
            <w:rStyle w:val="Hyperlink"/>
            <w:color w:val="000000" w:themeColor="text1"/>
            <w:lang w:val="en-GB"/>
          </w:rPr>
          <w:t>c</w:t>
        </w:r>
        <w:r w:rsidR="4435C01B" w:rsidRPr="00052AFA">
          <w:rPr>
            <w:rStyle w:val="Hyperlink"/>
            <w:color w:val="000000" w:themeColor="text1"/>
            <w:lang w:val="en-GB"/>
          </w:rPr>
          <w:t xml:space="preserve">ontrol </w:t>
        </w:r>
        <w:r>
          <w:rPr>
            <w:rStyle w:val="Hyperlink"/>
            <w:color w:val="000000" w:themeColor="text1"/>
            <w:lang w:val="en-GB"/>
          </w:rPr>
          <w:t>f</w:t>
        </w:r>
        <w:r w:rsidR="4435C01B" w:rsidRPr="00052AFA">
          <w:rPr>
            <w:rStyle w:val="Hyperlink"/>
            <w:color w:val="000000" w:themeColor="text1"/>
            <w:lang w:val="en-GB"/>
          </w:rPr>
          <w:t>ramework</w:t>
        </w:r>
      </w:hyperlink>
      <w:r w:rsidR="4435C01B" w:rsidRPr="00052AFA">
        <w:rPr>
          <w:color w:val="000000" w:themeColor="text1"/>
          <w:lang w:val="en-GB"/>
        </w:rPr>
        <w:t>.</w:t>
      </w:r>
      <w:r w:rsidR="004857E9" w:rsidRPr="00052AFA">
        <w:rPr>
          <w:color w:val="000000"/>
          <w:lang w:val="en-GB"/>
        </w:rPr>
        <w:t xml:space="preserve"> </w:t>
      </w:r>
      <w:r w:rsidR="004857E9" w:rsidRPr="00052AFA">
        <w:rPr>
          <w:lang w:val="en-GB"/>
        </w:rPr>
        <w:t>The programme will be nationally executed</w:t>
      </w:r>
      <w:r w:rsidR="00D74ADF">
        <w:rPr>
          <w:lang w:val="en-GB"/>
        </w:rPr>
        <w:t xml:space="preserve">, which may be </w:t>
      </w:r>
      <w:r w:rsidR="004857E9" w:rsidRPr="00052AFA">
        <w:rPr>
          <w:lang w:val="en-GB"/>
        </w:rPr>
        <w:t xml:space="preserve">replaced by direct execution for part or all of the programme to enable response to </w:t>
      </w:r>
      <w:r w:rsidR="004857E9" w:rsidRPr="00715998">
        <w:rPr>
          <w:iCs/>
          <w:lang w:val="en-GB"/>
        </w:rPr>
        <w:t>force majeure</w:t>
      </w:r>
      <w:r w:rsidR="004857E9" w:rsidRPr="00052AFA">
        <w:rPr>
          <w:lang w:val="en-GB"/>
        </w:rPr>
        <w:t>.</w:t>
      </w:r>
    </w:p>
    <w:p w14:paraId="40D870C0" w14:textId="3FC70AC7" w:rsidR="005D1760" w:rsidRPr="00052AFA" w:rsidRDefault="005D1760" w:rsidP="001751AC">
      <w:pPr>
        <w:pStyle w:val="ListParagraph"/>
        <w:tabs>
          <w:tab w:val="left" w:pos="1080"/>
        </w:tabs>
        <w:ind w:left="1170" w:right="1210"/>
        <w:jc w:val="both"/>
        <w:rPr>
          <w:sz w:val="12"/>
          <w:szCs w:val="12"/>
          <w:lang w:val="en-GB"/>
        </w:rPr>
      </w:pPr>
    </w:p>
    <w:p w14:paraId="4A6A3CA2" w14:textId="0AB20D4F" w:rsidR="005D1760" w:rsidRPr="00052AFA" w:rsidRDefault="00D44D58" w:rsidP="001751AC">
      <w:pPr>
        <w:pStyle w:val="ListParagraph"/>
        <w:numPr>
          <w:ilvl w:val="0"/>
          <w:numId w:val="17"/>
        </w:numPr>
        <w:tabs>
          <w:tab w:val="left" w:pos="1080"/>
        </w:tabs>
        <w:ind w:left="1170" w:right="4" w:firstLine="0"/>
        <w:jc w:val="both"/>
        <w:rPr>
          <w:lang w:val="en-GB"/>
        </w:rPr>
      </w:pPr>
      <w:r>
        <w:rPr>
          <w:lang w:val="en-GB"/>
        </w:rPr>
        <w:t xml:space="preserve"> </w:t>
      </w:r>
      <w:r w:rsidR="4435C01B" w:rsidRPr="00052AFA">
        <w:rPr>
          <w:lang w:val="en-GB"/>
        </w:rPr>
        <w:t xml:space="preserve">The country programme was prepared in consultation with government and national and international development partners. </w:t>
      </w:r>
      <w:r w:rsidR="004022A8">
        <w:rPr>
          <w:lang w:val="en-GB"/>
        </w:rPr>
        <w:t>UNDP</w:t>
      </w:r>
      <w:r w:rsidR="4435C01B" w:rsidRPr="00052AFA">
        <w:rPr>
          <w:lang w:val="en-GB"/>
        </w:rPr>
        <w:t xml:space="preserve"> will utilize national and direct implementation and partnerships with civil society organizations, academ</w:t>
      </w:r>
      <w:r>
        <w:rPr>
          <w:lang w:val="en-GB"/>
        </w:rPr>
        <w:t>ia</w:t>
      </w:r>
      <w:r w:rsidR="4435C01B" w:rsidRPr="00052AFA">
        <w:rPr>
          <w:lang w:val="en-GB"/>
        </w:rPr>
        <w:t xml:space="preserve"> and the private sector. Implementation modalities will be determined based on  capacity</w:t>
      </w:r>
      <w:r w:rsidR="00CD1250">
        <w:rPr>
          <w:lang w:val="en-GB"/>
        </w:rPr>
        <w:t xml:space="preserve"> assessments to</w:t>
      </w:r>
      <w:r w:rsidR="4435C01B" w:rsidRPr="00052AFA">
        <w:rPr>
          <w:lang w:val="en-GB"/>
        </w:rPr>
        <w:t xml:space="preserve"> maximiz</w:t>
      </w:r>
      <w:r w:rsidR="00CD1250">
        <w:rPr>
          <w:lang w:val="en-GB"/>
        </w:rPr>
        <w:t>e</w:t>
      </w:r>
      <w:r w:rsidR="4435C01B" w:rsidRPr="00052AFA">
        <w:rPr>
          <w:lang w:val="en-GB"/>
        </w:rPr>
        <w:t xml:space="preserve"> the relevance, efficiency, effectiveness and sustainability of </w:t>
      </w:r>
      <w:r w:rsidR="007516D4">
        <w:rPr>
          <w:lang w:val="en-GB"/>
        </w:rPr>
        <w:t>the</w:t>
      </w:r>
      <w:r w:rsidR="004022A8">
        <w:rPr>
          <w:lang w:val="en-GB"/>
        </w:rPr>
        <w:t xml:space="preserve"> </w:t>
      </w:r>
      <w:r w:rsidR="4435C01B" w:rsidRPr="00052AFA">
        <w:rPr>
          <w:lang w:val="en-GB"/>
        </w:rPr>
        <w:t>interventions. In all cases</w:t>
      </w:r>
      <w:r>
        <w:rPr>
          <w:lang w:val="en-GB"/>
        </w:rPr>
        <w:t>,</w:t>
      </w:r>
      <w:r w:rsidR="4435C01B" w:rsidRPr="00052AFA">
        <w:rPr>
          <w:lang w:val="en-GB"/>
        </w:rPr>
        <w:t xml:space="preserve"> it will involve strong national ownership. Direct implementation will</w:t>
      </w:r>
      <w:r w:rsidR="00577D63" w:rsidRPr="00052AFA">
        <w:rPr>
          <w:lang w:val="en-GB"/>
        </w:rPr>
        <w:t xml:space="preserve"> </w:t>
      </w:r>
      <w:r w:rsidR="4435C01B" w:rsidRPr="00052AFA">
        <w:rPr>
          <w:lang w:val="en-GB"/>
        </w:rPr>
        <w:t xml:space="preserve">mostly </w:t>
      </w:r>
      <w:r w:rsidR="00562F38">
        <w:rPr>
          <w:lang w:val="en-GB"/>
        </w:rPr>
        <w:t xml:space="preserve">take place </w:t>
      </w:r>
      <w:r w:rsidR="4435C01B" w:rsidRPr="00052AFA">
        <w:rPr>
          <w:lang w:val="en-GB"/>
        </w:rPr>
        <w:t>in cases where</w:t>
      </w:r>
      <w:r w:rsidR="71BF54E6" w:rsidRPr="00052AFA">
        <w:rPr>
          <w:lang w:val="en-GB"/>
        </w:rPr>
        <w:t xml:space="preserve"> </w:t>
      </w:r>
      <w:r w:rsidR="00562F38">
        <w:rPr>
          <w:lang w:val="en-GB"/>
        </w:rPr>
        <w:t>the G</w:t>
      </w:r>
      <w:r w:rsidR="4435C01B" w:rsidRPr="00052AFA">
        <w:rPr>
          <w:lang w:val="en-GB"/>
        </w:rPr>
        <w:t>overnment requests access to UNDP systems</w:t>
      </w:r>
      <w:r w:rsidR="00562F38">
        <w:rPr>
          <w:lang w:val="en-GB"/>
        </w:rPr>
        <w:t>,</w:t>
      </w:r>
      <w:r w:rsidR="4435C01B" w:rsidRPr="00052AFA">
        <w:rPr>
          <w:lang w:val="en-GB"/>
        </w:rPr>
        <w:t xml:space="preserve"> processes and technical expertise</w:t>
      </w:r>
      <w:r w:rsidR="00562F38">
        <w:rPr>
          <w:lang w:val="en-GB"/>
        </w:rPr>
        <w:t>,</w:t>
      </w:r>
      <w:r w:rsidR="4435C01B" w:rsidRPr="00052AFA">
        <w:rPr>
          <w:lang w:val="en-GB"/>
        </w:rPr>
        <w:t xml:space="preserve"> and</w:t>
      </w:r>
      <w:r w:rsidR="71BF54E6" w:rsidRPr="00052AFA">
        <w:rPr>
          <w:lang w:val="en-GB"/>
        </w:rPr>
        <w:t>/or</w:t>
      </w:r>
      <w:r w:rsidR="4435C01B" w:rsidRPr="00052AFA">
        <w:rPr>
          <w:lang w:val="en-GB"/>
        </w:rPr>
        <w:t xml:space="preserve"> will finance the intervention. In such cases</w:t>
      </w:r>
      <w:r w:rsidR="00562F38">
        <w:rPr>
          <w:lang w:val="en-GB"/>
        </w:rPr>
        <w:t>,</w:t>
      </w:r>
      <w:r w:rsidR="4435C01B" w:rsidRPr="00052AFA">
        <w:rPr>
          <w:lang w:val="en-GB"/>
        </w:rPr>
        <w:t xml:space="preserve"> UNDP will build in an institutional capacity development component and identify a clear exit strategy. The country programme and major interventions will be governed by </w:t>
      </w:r>
      <w:r w:rsidR="41150CB1" w:rsidRPr="00052AFA">
        <w:rPr>
          <w:lang w:val="en-GB"/>
        </w:rPr>
        <w:t>b</w:t>
      </w:r>
      <w:r w:rsidR="4435C01B" w:rsidRPr="00052AFA">
        <w:rPr>
          <w:lang w:val="en-GB"/>
        </w:rPr>
        <w:t xml:space="preserve">oards co-chaired with government and </w:t>
      </w:r>
      <w:r w:rsidR="00562F38">
        <w:rPr>
          <w:lang w:val="en-GB"/>
        </w:rPr>
        <w:t xml:space="preserve">will </w:t>
      </w:r>
      <w:r w:rsidR="4435C01B" w:rsidRPr="00052AFA">
        <w:rPr>
          <w:lang w:val="en-GB"/>
        </w:rPr>
        <w:t>involv</w:t>
      </w:r>
      <w:r w:rsidR="00562F38">
        <w:rPr>
          <w:lang w:val="en-GB"/>
        </w:rPr>
        <w:t>e</w:t>
      </w:r>
      <w:r w:rsidR="4435C01B" w:rsidRPr="00052AFA">
        <w:rPr>
          <w:lang w:val="en-GB"/>
        </w:rPr>
        <w:t xml:space="preserve"> non-government stakeholders. </w:t>
      </w:r>
    </w:p>
    <w:p w14:paraId="43787E40" w14:textId="6DCCC81E" w:rsidR="005D1760" w:rsidRPr="00052AFA" w:rsidRDefault="005D1760" w:rsidP="001751AC">
      <w:pPr>
        <w:pStyle w:val="ListParagraph"/>
        <w:tabs>
          <w:tab w:val="left" w:pos="1080"/>
        </w:tabs>
        <w:ind w:left="1170" w:right="1210"/>
        <w:jc w:val="both"/>
        <w:rPr>
          <w:sz w:val="12"/>
          <w:szCs w:val="12"/>
          <w:lang w:val="en-GB"/>
        </w:rPr>
      </w:pPr>
    </w:p>
    <w:p w14:paraId="394F3D3E" w14:textId="1743CE46" w:rsidR="005D1760" w:rsidRPr="00052AFA" w:rsidRDefault="00562F38" w:rsidP="001751AC">
      <w:pPr>
        <w:pStyle w:val="ListParagraph"/>
        <w:numPr>
          <w:ilvl w:val="0"/>
          <w:numId w:val="17"/>
        </w:numPr>
        <w:tabs>
          <w:tab w:val="left" w:pos="1080"/>
        </w:tabs>
        <w:ind w:left="1170" w:right="4" w:firstLine="0"/>
        <w:jc w:val="both"/>
        <w:rPr>
          <w:lang w:val="en-GB"/>
        </w:rPr>
      </w:pPr>
      <w:r>
        <w:rPr>
          <w:lang w:val="en-GB"/>
        </w:rPr>
        <w:t xml:space="preserve"> </w:t>
      </w:r>
      <w:r w:rsidR="00DF7D65">
        <w:rPr>
          <w:lang w:val="en-GB"/>
        </w:rPr>
        <w:t>UNDP will anticipate and manage r</w:t>
      </w:r>
      <w:r w:rsidR="4435C01B" w:rsidRPr="00052AFA">
        <w:rPr>
          <w:lang w:val="en-GB"/>
        </w:rPr>
        <w:t xml:space="preserve">isks </w:t>
      </w:r>
      <w:r w:rsidR="005934A8" w:rsidRPr="00052AFA">
        <w:rPr>
          <w:lang w:val="en-GB"/>
        </w:rPr>
        <w:t xml:space="preserve">through analysis of trends </w:t>
      </w:r>
      <w:r w:rsidR="00A176A7" w:rsidRPr="00052AFA">
        <w:rPr>
          <w:lang w:val="en-GB"/>
        </w:rPr>
        <w:t>and nimble programming</w:t>
      </w:r>
      <w:r w:rsidR="4435C01B" w:rsidRPr="00052AFA">
        <w:rPr>
          <w:lang w:val="en-GB"/>
        </w:rPr>
        <w:t xml:space="preserve">. </w:t>
      </w:r>
      <w:r w:rsidR="00AF599C" w:rsidRPr="00052AFA">
        <w:rPr>
          <w:lang w:val="en-GB"/>
        </w:rPr>
        <w:t>A few currently stand</w:t>
      </w:r>
      <w:r w:rsidR="397F5A4F" w:rsidRPr="00052AFA">
        <w:rPr>
          <w:lang w:val="en-GB"/>
        </w:rPr>
        <w:t xml:space="preserve"> </w:t>
      </w:r>
      <w:r w:rsidR="00AF599C" w:rsidRPr="00052AFA">
        <w:rPr>
          <w:lang w:val="en-GB"/>
        </w:rPr>
        <w:t xml:space="preserve">out. </w:t>
      </w:r>
      <w:r w:rsidR="4435C01B" w:rsidRPr="00052AFA">
        <w:rPr>
          <w:lang w:val="en-GB"/>
        </w:rPr>
        <w:t xml:space="preserve">The Philippines may move to a federal system within the programme period. If and when the parameters for </w:t>
      </w:r>
      <w:r w:rsidR="397F5A4F" w:rsidRPr="00052AFA">
        <w:rPr>
          <w:lang w:val="en-GB"/>
        </w:rPr>
        <w:t>f</w:t>
      </w:r>
      <w:r w:rsidR="0024040D" w:rsidRPr="00052AFA">
        <w:rPr>
          <w:lang w:val="en-GB"/>
        </w:rPr>
        <w:t>ederation</w:t>
      </w:r>
      <w:r w:rsidR="4435C01B" w:rsidRPr="00052AFA">
        <w:rPr>
          <w:lang w:val="en-GB"/>
        </w:rPr>
        <w:t xml:space="preserve"> are set, </w:t>
      </w:r>
      <w:r w:rsidR="00DF7D65">
        <w:rPr>
          <w:lang w:val="en-GB"/>
        </w:rPr>
        <w:t xml:space="preserve">UNDP </w:t>
      </w:r>
      <w:r w:rsidR="4435C01B" w:rsidRPr="00052AFA">
        <w:rPr>
          <w:lang w:val="en-GB"/>
        </w:rPr>
        <w:t>will realign</w:t>
      </w:r>
      <w:r w:rsidR="0018647F" w:rsidRPr="00052AFA">
        <w:rPr>
          <w:lang w:val="en-GB"/>
        </w:rPr>
        <w:t xml:space="preserve"> </w:t>
      </w:r>
      <w:r w:rsidR="00C773C0" w:rsidRPr="00052AFA">
        <w:rPr>
          <w:lang w:val="en-GB"/>
        </w:rPr>
        <w:t>and</w:t>
      </w:r>
      <w:r w:rsidR="4435C01B" w:rsidRPr="00052AFA">
        <w:rPr>
          <w:lang w:val="en-GB"/>
        </w:rPr>
        <w:t xml:space="preserve"> adjust partnerships and interventions. A significant aspect of </w:t>
      </w:r>
      <w:r w:rsidR="00DF7D65">
        <w:rPr>
          <w:lang w:val="en-GB"/>
        </w:rPr>
        <w:t xml:space="preserve">UNDP </w:t>
      </w:r>
      <w:r w:rsidR="4435C01B" w:rsidRPr="00052AFA">
        <w:rPr>
          <w:lang w:val="en-GB"/>
        </w:rPr>
        <w:t>work in peace building is premised on the passage of legislation</w:t>
      </w:r>
      <w:r w:rsidR="0042186A">
        <w:rPr>
          <w:lang w:val="en-GB"/>
        </w:rPr>
        <w:t xml:space="preserve"> creating an autonomous Bangsamoro Region delivering on the aspirations of its people</w:t>
      </w:r>
      <w:r w:rsidR="4435C01B" w:rsidRPr="00052AFA">
        <w:rPr>
          <w:lang w:val="en-GB"/>
        </w:rPr>
        <w:t>. If this does not occur, interventions focused on assisting the transition of combatants to civilian roles may need to be refocused on building the capacities for peace and prevent</w:t>
      </w:r>
      <w:r w:rsidR="00DF7D65">
        <w:rPr>
          <w:lang w:val="en-GB"/>
        </w:rPr>
        <w:t>ing</w:t>
      </w:r>
      <w:r w:rsidR="4435C01B" w:rsidRPr="00052AFA">
        <w:rPr>
          <w:lang w:val="en-GB"/>
        </w:rPr>
        <w:t xml:space="preserve"> radicalization. The momentum </w:t>
      </w:r>
      <w:r w:rsidR="00DF7D65">
        <w:rPr>
          <w:lang w:val="en-GB"/>
        </w:rPr>
        <w:t>i</w:t>
      </w:r>
      <w:r w:rsidR="4435C01B" w:rsidRPr="00052AFA">
        <w:rPr>
          <w:lang w:val="en-GB"/>
        </w:rPr>
        <w:t>n support</w:t>
      </w:r>
      <w:r w:rsidR="007A02E6" w:rsidRPr="00052AFA">
        <w:rPr>
          <w:lang w:val="en-GB"/>
        </w:rPr>
        <w:t>ing</w:t>
      </w:r>
      <w:r w:rsidR="4435C01B" w:rsidRPr="00052AFA">
        <w:rPr>
          <w:lang w:val="en-GB"/>
        </w:rPr>
        <w:t xml:space="preserve"> democratic processes will be maintained through strong partnerships with </w:t>
      </w:r>
      <w:r w:rsidR="00DA2E3C" w:rsidRPr="00052AFA">
        <w:rPr>
          <w:lang w:val="en-GB"/>
        </w:rPr>
        <w:t xml:space="preserve">the constitutional bodies </w:t>
      </w:r>
      <w:r w:rsidR="4435C01B" w:rsidRPr="00052AFA">
        <w:rPr>
          <w:lang w:val="en-GB"/>
        </w:rPr>
        <w:t xml:space="preserve">and civil society. Responses to disasters and conflict will draw on surge capacity enabling continued delivery of the programme in times of localized crisis. </w:t>
      </w:r>
      <w:r w:rsidR="002708A0" w:rsidRPr="00052AFA">
        <w:rPr>
          <w:lang w:val="en-GB"/>
        </w:rPr>
        <w:t>T</w:t>
      </w:r>
      <w:r w:rsidR="00624361" w:rsidRPr="00052AFA">
        <w:rPr>
          <w:lang w:val="en-GB"/>
        </w:rPr>
        <w:t xml:space="preserve">o offset reliance on any source </w:t>
      </w:r>
      <w:r w:rsidR="00E63014" w:rsidRPr="00052AFA">
        <w:rPr>
          <w:lang w:val="en-GB"/>
        </w:rPr>
        <w:t xml:space="preserve">of funding, </w:t>
      </w:r>
      <w:r w:rsidR="00C763D4" w:rsidRPr="00052AFA">
        <w:rPr>
          <w:lang w:val="en-GB"/>
        </w:rPr>
        <w:t xml:space="preserve">the programme will </w:t>
      </w:r>
      <w:r w:rsidR="00E63014" w:rsidRPr="00052AFA">
        <w:rPr>
          <w:lang w:val="en-GB"/>
        </w:rPr>
        <w:t>draw on</w:t>
      </w:r>
      <w:r w:rsidR="00383214" w:rsidRPr="00052AFA">
        <w:rPr>
          <w:lang w:val="en-GB"/>
        </w:rPr>
        <w:t xml:space="preserve"> a combination of third party, government financing and vertical funds. </w:t>
      </w:r>
      <w:r w:rsidR="00DF7D65">
        <w:rPr>
          <w:lang w:val="en-GB"/>
        </w:rPr>
        <w:t>UNDP will manage f</w:t>
      </w:r>
      <w:r w:rsidR="4435C01B" w:rsidRPr="00052AFA">
        <w:rPr>
          <w:lang w:val="en-GB"/>
        </w:rPr>
        <w:t>iduciary risks through assurance mechanisms</w:t>
      </w:r>
      <w:r w:rsidR="00DF7D65">
        <w:rPr>
          <w:lang w:val="en-GB"/>
        </w:rPr>
        <w:t>,</w:t>
      </w:r>
      <w:r w:rsidR="4435C01B" w:rsidRPr="00052AFA">
        <w:rPr>
          <w:lang w:val="en-GB"/>
        </w:rPr>
        <w:t xml:space="preserve"> including spot checks, programme monitoring and audits. Where nationally implemented, the </w:t>
      </w:r>
      <w:r w:rsidR="00DF7D65">
        <w:rPr>
          <w:lang w:val="en-GB"/>
        </w:rPr>
        <w:t>h</w:t>
      </w:r>
      <w:r w:rsidR="4435C01B" w:rsidRPr="00052AFA">
        <w:rPr>
          <w:lang w:val="en-GB"/>
        </w:rPr>
        <w:t>armoni</w:t>
      </w:r>
      <w:r w:rsidR="00DF7D65">
        <w:rPr>
          <w:lang w:val="en-GB"/>
        </w:rPr>
        <w:t>z</w:t>
      </w:r>
      <w:r w:rsidR="4435C01B" w:rsidRPr="00052AFA">
        <w:rPr>
          <w:lang w:val="en-GB"/>
        </w:rPr>
        <w:t xml:space="preserve">ed </w:t>
      </w:r>
      <w:r w:rsidR="00DF7D65">
        <w:rPr>
          <w:lang w:val="en-GB"/>
        </w:rPr>
        <w:t>a</w:t>
      </w:r>
      <w:r w:rsidR="4435C01B" w:rsidRPr="00052AFA">
        <w:rPr>
          <w:lang w:val="en-GB"/>
        </w:rPr>
        <w:t xml:space="preserve">pproach to </w:t>
      </w:r>
      <w:r w:rsidR="00DF7D65">
        <w:rPr>
          <w:lang w:val="en-GB"/>
        </w:rPr>
        <w:t>c</w:t>
      </w:r>
      <w:r w:rsidR="4435C01B" w:rsidRPr="00052AFA">
        <w:rPr>
          <w:lang w:val="en-GB"/>
        </w:rPr>
        <w:t xml:space="preserve">ash </w:t>
      </w:r>
      <w:r w:rsidR="00DF7D65">
        <w:rPr>
          <w:lang w:val="en-GB"/>
        </w:rPr>
        <w:t>t</w:t>
      </w:r>
      <w:r w:rsidR="4435C01B" w:rsidRPr="00052AFA">
        <w:rPr>
          <w:lang w:val="en-GB"/>
        </w:rPr>
        <w:t>ransfers will be used</w:t>
      </w:r>
      <w:r w:rsidR="00794D52" w:rsidRPr="00052AFA">
        <w:rPr>
          <w:lang w:val="en-GB"/>
        </w:rPr>
        <w:t xml:space="preserve"> to manage financial risks</w:t>
      </w:r>
      <w:r w:rsidR="4435C01B" w:rsidRPr="00052AFA">
        <w:rPr>
          <w:lang w:val="en-GB"/>
        </w:rPr>
        <w:t xml:space="preserve">. </w:t>
      </w:r>
      <w:r w:rsidR="00D70049" w:rsidRPr="00052AFA">
        <w:rPr>
          <w:lang w:val="en-GB"/>
        </w:rPr>
        <w:t xml:space="preserve">In accordance with Executive Board decision 2013/32, all direct costs associated with project implementation </w:t>
      </w:r>
      <w:r w:rsidR="00894F87">
        <w:rPr>
          <w:lang w:val="en-GB"/>
        </w:rPr>
        <w:t>will</w:t>
      </w:r>
      <w:r w:rsidR="00894F87" w:rsidRPr="00052AFA">
        <w:rPr>
          <w:lang w:val="en-GB"/>
        </w:rPr>
        <w:t xml:space="preserve"> </w:t>
      </w:r>
      <w:r w:rsidR="00D70049" w:rsidRPr="00052AFA">
        <w:rPr>
          <w:lang w:val="en-GB"/>
        </w:rPr>
        <w:t>be charged to the concerned projects.</w:t>
      </w:r>
    </w:p>
    <w:p w14:paraId="5176B00E" w14:textId="245F845D" w:rsidR="00DC7948" w:rsidRDefault="00DC7948">
      <w:pPr>
        <w:rPr>
          <w:lang w:val="en-GB" w:eastAsia="x-none"/>
        </w:rPr>
      </w:pPr>
      <w:r>
        <w:rPr>
          <w:lang w:val="en-GB" w:eastAsia="x-none"/>
        </w:rPr>
        <w:br w:type="page"/>
      </w:r>
    </w:p>
    <w:p w14:paraId="514CF595" w14:textId="33F8D96B" w:rsidR="005D1760" w:rsidRPr="00052AFA" w:rsidRDefault="4435C01B" w:rsidP="00DC7948">
      <w:pPr>
        <w:pStyle w:val="Heading1"/>
        <w:tabs>
          <w:tab w:val="left" w:pos="1170"/>
          <w:tab w:val="left" w:pos="1800"/>
        </w:tabs>
        <w:ind w:left="1170" w:right="4" w:hanging="540"/>
        <w:jc w:val="both"/>
        <w:rPr>
          <w:rFonts w:ascii="Times New Roman" w:hAnsi="Times New Roman"/>
          <w:color w:val="000000" w:themeColor="text1"/>
          <w:sz w:val="24"/>
          <w:szCs w:val="24"/>
          <w:lang w:val="en-GB"/>
        </w:rPr>
      </w:pPr>
      <w:r w:rsidRPr="00052AFA">
        <w:rPr>
          <w:rFonts w:ascii="Times New Roman" w:hAnsi="Times New Roman"/>
          <w:color w:val="000000" w:themeColor="text1"/>
          <w:sz w:val="24"/>
          <w:szCs w:val="24"/>
          <w:lang w:val="en-GB"/>
        </w:rPr>
        <w:lastRenderedPageBreak/>
        <w:t>IV.</w:t>
      </w:r>
      <w:r w:rsidR="00475DE8" w:rsidRPr="00052AFA">
        <w:rPr>
          <w:rFonts w:ascii="Times New Roman" w:hAnsi="Times New Roman"/>
          <w:color w:val="000000" w:themeColor="text1"/>
          <w:sz w:val="24"/>
          <w:szCs w:val="24"/>
          <w:lang w:val="en-GB"/>
        </w:rPr>
        <w:tab/>
      </w:r>
      <w:r w:rsidRPr="00052AFA">
        <w:rPr>
          <w:rFonts w:ascii="Times New Roman" w:hAnsi="Times New Roman"/>
          <w:color w:val="000000" w:themeColor="text1"/>
          <w:sz w:val="24"/>
          <w:szCs w:val="24"/>
          <w:lang w:val="en-GB"/>
        </w:rPr>
        <w:t xml:space="preserve">Monitoring and </w:t>
      </w:r>
      <w:r w:rsidR="00475DE8" w:rsidRPr="00052AFA">
        <w:rPr>
          <w:rFonts w:ascii="Times New Roman" w:hAnsi="Times New Roman"/>
          <w:color w:val="000000" w:themeColor="text1"/>
          <w:sz w:val="24"/>
          <w:szCs w:val="24"/>
          <w:lang w:val="en-GB"/>
        </w:rPr>
        <w:t>e</w:t>
      </w:r>
      <w:r w:rsidRPr="00052AFA">
        <w:rPr>
          <w:rFonts w:ascii="Times New Roman" w:hAnsi="Times New Roman"/>
          <w:color w:val="000000" w:themeColor="text1"/>
          <w:sz w:val="24"/>
          <w:szCs w:val="24"/>
          <w:lang w:val="en-GB"/>
        </w:rPr>
        <w:t>valuation</w:t>
      </w:r>
    </w:p>
    <w:p w14:paraId="10762F92" w14:textId="77777777" w:rsidR="005D1760" w:rsidRPr="00052AFA" w:rsidRDefault="005D1760" w:rsidP="001751AC">
      <w:pPr>
        <w:pStyle w:val="ListParagraph"/>
        <w:tabs>
          <w:tab w:val="left" w:pos="1080"/>
          <w:tab w:val="left" w:pos="1800"/>
        </w:tabs>
        <w:ind w:left="1170" w:right="1210"/>
        <w:jc w:val="both"/>
        <w:rPr>
          <w:color w:val="000000"/>
          <w:lang w:val="en-GB"/>
        </w:rPr>
      </w:pPr>
    </w:p>
    <w:p w14:paraId="70579269" w14:textId="55A7594B" w:rsidR="002159A9" w:rsidRPr="00052AFA" w:rsidRDefault="00C9135D" w:rsidP="001751AC">
      <w:pPr>
        <w:pStyle w:val="ListParagraph"/>
        <w:numPr>
          <w:ilvl w:val="0"/>
          <w:numId w:val="17"/>
        </w:numPr>
        <w:tabs>
          <w:tab w:val="left" w:pos="1080"/>
        </w:tabs>
        <w:ind w:left="1170" w:right="4" w:firstLine="0"/>
        <w:jc w:val="both"/>
        <w:rPr>
          <w:lang w:val="en-GB"/>
        </w:rPr>
      </w:pPr>
      <w:r>
        <w:rPr>
          <w:lang w:val="en-GB"/>
        </w:rPr>
        <w:t xml:space="preserve"> </w:t>
      </w:r>
      <w:r w:rsidR="00270420" w:rsidRPr="00052AFA">
        <w:rPr>
          <w:lang w:val="en-GB"/>
        </w:rPr>
        <w:t>Project</w:t>
      </w:r>
      <w:r w:rsidR="004E222A" w:rsidRPr="00052AFA">
        <w:rPr>
          <w:lang w:val="en-GB"/>
        </w:rPr>
        <w:t xml:space="preserve"> </w:t>
      </w:r>
      <w:r>
        <w:rPr>
          <w:lang w:val="en-GB"/>
        </w:rPr>
        <w:t>r</w:t>
      </w:r>
      <w:r w:rsidR="00270420" w:rsidRPr="00052AFA">
        <w:rPr>
          <w:lang w:val="en-GB"/>
        </w:rPr>
        <w:t xml:space="preserve">esults and </w:t>
      </w:r>
      <w:r>
        <w:rPr>
          <w:lang w:val="en-GB"/>
        </w:rPr>
        <w:t>r</w:t>
      </w:r>
      <w:r w:rsidR="00270420" w:rsidRPr="00052AFA">
        <w:rPr>
          <w:lang w:val="en-GB"/>
        </w:rPr>
        <w:t xml:space="preserve">esources </w:t>
      </w:r>
      <w:r>
        <w:rPr>
          <w:lang w:val="en-GB"/>
        </w:rPr>
        <w:t>f</w:t>
      </w:r>
      <w:r w:rsidR="00270420" w:rsidRPr="00052AFA">
        <w:rPr>
          <w:lang w:val="en-GB"/>
        </w:rPr>
        <w:t>rameworks wi</w:t>
      </w:r>
      <w:r w:rsidR="004E222A" w:rsidRPr="00052AFA">
        <w:rPr>
          <w:lang w:val="en-GB"/>
        </w:rPr>
        <w:t>ll have</w:t>
      </w:r>
      <w:r w:rsidR="00270420" w:rsidRPr="00052AFA">
        <w:rPr>
          <w:lang w:val="en-GB"/>
        </w:rPr>
        <w:t xml:space="preserve"> clear linkages to</w:t>
      </w:r>
      <w:r w:rsidR="00C9174F" w:rsidRPr="00052AFA">
        <w:rPr>
          <w:lang w:val="en-GB"/>
        </w:rPr>
        <w:t xml:space="preserve"> programme outcomes and outputs. C</w:t>
      </w:r>
      <w:r w:rsidR="00270420" w:rsidRPr="00052AFA">
        <w:rPr>
          <w:lang w:val="en-GB"/>
        </w:rPr>
        <w:t xml:space="preserve">apacities and systems will be in place to ensure data generation, collection, analysis and reporting for quality planning, monitoring and reporting. </w:t>
      </w:r>
      <w:r w:rsidR="005E0F39" w:rsidRPr="00052AFA">
        <w:rPr>
          <w:lang w:val="en-GB"/>
        </w:rPr>
        <w:t>Outcome e</w:t>
      </w:r>
      <w:r w:rsidR="002159A9" w:rsidRPr="00052AFA">
        <w:rPr>
          <w:lang w:val="en-GB"/>
        </w:rPr>
        <w:t>v</w:t>
      </w:r>
      <w:r w:rsidR="000B1FF9" w:rsidRPr="00052AFA">
        <w:rPr>
          <w:lang w:val="en-GB"/>
        </w:rPr>
        <w:t>aluations will be conducted</w:t>
      </w:r>
      <w:r w:rsidR="002159A9" w:rsidRPr="00052AFA">
        <w:rPr>
          <w:lang w:val="en-GB"/>
        </w:rPr>
        <w:t xml:space="preserve">, measuring the consolidated contributions of individual projects to programme </w:t>
      </w:r>
      <w:r w:rsidR="00C9174F" w:rsidRPr="00052AFA">
        <w:rPr>
          <w:lang w:val="en-GB"/>
        </w:rPr>
        <w:t>and U</w:t>
      </w:r>
      <w:r>
        <w:rPr>
          <w:lang w:val="en-GB"/>
        </w:rPr>
        <w:t xml:space="preserve">nited </w:t>
      </w:r>
      <w:r w:rsidR="00C9174F" w:rsidRPr="00052AFA">
        <w:rPr>
          <w:lang w:val="en-GB"/>
        </w:rPr>
        <w:t>N</w:t>
      </w:r>
      <w:r>
        <w:rPr>
          <w:lang w:val="en-GB"/>
        </w:rPr>
        <w:t>ations</w:t>
      </w:r>
      <w:r w:rsidR="0F02EDC9" w:rsidRPr="00052AFA">
        <w:rPr>
          <w:lang w:val="en-GB"/>
        </w:rPr>
        <w:t xml:space="preserve"> Development Assistance Framework </w:t>
      </w:r>
      <w:r w:rsidR="002159A9" w:rsidRPr="00052AFA">
        <w:rPr>
          <w:lang w:val="en-GB"/>
        </w:rPr>
        <w:t>results</w:t>
      </w:r>
      <w:r>
        <w:rPr>
          <w:lang w:val="en-GB"/>
        </w:rPr>
        <w:t>.</w:t>
      </w:r>
      <w:r w:rsidR="00C360F8" w:rsidRPr="00052AFA">
        <w:rPr>
          <w:rStyle w:val="FootnoteReference"/>
          <w:lang w:val="en-GB"/>
        </w:rPr>
        <w:footnoteReference w:id="25"/>
      </w:r>
      <w:r w:rsidR="002159A9" w:rsidRPr="00052AFA">
        <w:rPr>
          <w:lang w:val="en-GB"/>
        </w:rPr>
        <w:t xml:space="preserve"> </w:t>
      </w:r>
      <w:r>
        <w:rPr>
          <w:lang w:val="en-GB"/>
        </w:rPr>
        <w:t xml:space="preserve">UNDP </w:t>
      </w:r>
      <w:r w:rsidR="002159A9" w:rsidRPr="00052AFA">
        <w:rPr>
          <w:lang w:val="en-GB"/>
        </w:rPr>
        <w:t>will ensure consistent use of the UNDP gender marker to monitor expenditure and improve gen</w:t>
      </w:r>
      <w:r w:rsidR="00976A8B" w:rsidRPr="00052AFA">
        <w:rPr>
          <w:lang w:val="en-GB"/>
        </w:rPr>
        <w:t>der-based planning and decision</w:t>
      </w:r>
      <w:r>
        <w:rPr>
          <w:lang w:val="en-GB"/>
        </w:rPr>
        <w:t>-</w:t>
      </w:r>
      <w:r w:rsidR="002159A9" w:rsidRPr="00052AFA">
        <w:rPr>
          <w:lang w:val="en-GB"/>
        </w:rPr>
        <w:t xml:space="preserve">making. </w:t>
      </w:r>
      <w:r>
        <w:rPr>
          <w:lang w:val="en-GB"/>
        </w:rPr>
        <w:t xml:space="preserve">It </w:t>
      </w:r>
      <w:r w:rsidR="002159A9" w:rsidRPr="00052AFA">
        <w:rPr>
          <w:lang w:val="en-GB"/>
        </w:rPr>
        <w:t xml:space="preserve">will pursue partnerships with academic and research institutions to implement </w:t>
      </w:r>
      <w:r>
        <w:rPr>
          <w:lang w:val="en-GB"/>
        </w:rPr>
        <w:t xml:space="preserve">its </w:t>
      </w:r>
      <w:r w:rsidR="002159A9" w:rsidRPr="00052AFA">
        <w:rPr>
          <w:lang w:val="en-GB"/>
        </w:rPr>
        <w:t xml:space="preserve">evaluation plan and to generate regular independent assessments of achievements. </w:t>
      </w:r>
      <w:r>
        <w:rPr>
          <w:lang w:val="en-GB"/>
        </w:rPr>
        <w:t>UNDP with strengthen the c</w:t>
      </w:r>
      <w:r w:rsidR="00913468" w:rsidRPr="00052AFA">
        <w:rPr>
          <w:lang w:val="en-GB"/>
        </w:rPr>
        <w:t xml:space="preserve">apacities of implementing partners in disaggregated and innovative data collection and usage to support </w:t>
      </w:r>
      <w:r>
        <w:rPr>
          <w:lang w:val="en-GB"/>
        </w:rPr>
        <w:t xml:space="preserve">impact </w:t>
      </w:r>
      <w:r w:rsidR="00913468" w:rsidRPr="00052AFA">
        <w:rPr>
          <w:lang w:val="en-GB"/>
        </w:rPr>
        <w:t xml:space="preserve">monitoring. </w:t>
      </w:r>
      <w:r w:rsidR="002E5129">
        <w:rPr>
          <w:lang w:val="en-GB"/>
        </w:rPr>
        <w:t xml:space="preserve">It </w:t>
      </w:r>
      <w:r w:rsidR="002159A9" w:rsidRPr="00052AFA">
        <w:rPr>
          <w:lang w:val="en-GB"/>
        </w:rPr>
        <w:t xml:space="preserve">will </w:t>
      </w:r>
      <w:r w:rsidR="00004D51" w:rsidRPr="00052AFA">
        <w:rPr>
          <w:lang w:val="en-GB"/>
        </w:rPr>
        <w:t xml:space="preserve">aim to </w:t>
      </w:r>
      <w:r w:rsidR="00976A8B" w:rsidRPr="00052AFA">
        <w:rPr>
          <w:lang w:val="en-GB"/>
        </w:rPr>
        <w:t xml:space="preserve">allocate at least 3 </w:t>
      </w:r>
      <w:r w:rsidR="002159A9" w:rsidRPr="00052AFA">
        <w:rPr>
          <w:lang w:val="en-GB"/>
        </w:rPr>
        <w:t>per</w:t>
      </w:r>
      <w:r w:rsidR="00976A8B" w:rsidRPr="00052AFA">
        <w:rPr>
          <w:lang w:val="en-GB"/>
        </w:rPr>
        <w:t xml:space="preserve"> </w:t>
      </w:r>
      <w:r w:rsidR="002159A9" w:rsidRPr="00052AFA">
        <w:rPr>
          <w:lang w:val="en-GB"/>
        </w:rPr>
        <w:t xml:space="preserve">cent of the programme budget, proportionately charged to projects, for monitoring, evaluation and communications. </w:t>
      </w:r>
    </w:p>
    <w:p w14:paraId="3C146A9E" w14:textId="3EDCABFA" w:rsidR="00913468" w:rsidRPr="00052AFA" w:rsidRDefault="00913468" w:rsidP="001751AC">
      <w:pPr>
        <w:pStyle w:val="ListParagraph"/>
        <w:tabs>
          <w:tab w:val="left" w:pos="1080"/>
        </w:tabs>
        <w:ind w:left="1170" w:right="1210"/>
        <w:jc w:val="both"/>
        <w:rPr>
          <w:sz w:val="12"/>
          <w:szCs w:val="12"/>
          <w:lang w:val="en-GB"/>
        </w:rPr>
      </w:pPr>
    </w:p>
    <w:p w14:paraId="764B0BDB" w14:textId="765B1FF8" w:rsidR="00913468" w:rsidRPr="00052AFA" w:rsidRDefault="002E5129" w:rsidP="001751AC">
      <w:pPr>
        <w:pStyle w:val="ListParagraph"/>
        <w:numPr>
          <w:ilvl w:val="0"/>
          <w:numId w:val="17"/>
        </w:numPr>
        <w:tabs>
          <w:tab w:val="left" w:pos="1080"/>
        </w:tabs>
        <w:ind w:left="1170" w:right="4" w:firstLine="0"/>
        <w:jc w:val="both"/>
        <w:rPr>
          <w:lang w:val="en-GB"/>
        </w:rPr>
      </w:pPr>
      <w:r>
        <w:rPr>
          <w:lang w:val="en-GB"/>
        </w:rPr>
        <w:t xml:space="preserve">UNDP </w:t>
      </w:r>
      <w:r w:rsidR="4435C01B" w:rsidRPr="00052AFA">
        <w:rPr>
          <w:lang w:val="en-GB"/>
        </w:rPr>
        <w:t>will assist the Philippine Statistical Authority to draw on non-conventional data sources</w:t>
      </w:r>
      <w:r>
        <w:rPr>
          <w:lang w:val="en-GB"/>
        </w:rPr>
        <w:t>,</w:t>
      </w:r>
      <w:r w:rsidR="4435C01B" w:rsidRPr="00052AFA">
        <w:rPr>
          <w:lang w:val="en-GB"/>
        </w:rPr>
        <w:t xml:space="preserve"> including big data and private sector contributions to report on </w:t>
      </w:r>
      <w:r w:rsidR="0F02EDC9" w:rsidRPr="00052AFA">
        <w:rPr>
          <w:lang w:val="en-GB"/>
        </w:rPr>
        <w:t>the Goals</w:t>
      </w:r>
      <w:r w:rsidR="4435C01B" w:rsidRPr="00052AFA">
        <w:rPr>
          <w:lang w:val="en-GB"/>
        </w:rPr>
        <w:t xml:space="preserve">. </w:t>
      </w:r>
      <w:r>
        <w:rPr>
          <w:lang w:val="en-GB"/>
        </w:rPr>
        <w:t xml:space="preserve">It </w:t>
      </w:r>
      <w:r w:rsidR="4435C01B" w:rsidRPr="00052AFA">
        <w:rPr>
          <w:lang w:val="en-GB"/>
        </w:rPr>
        <w:t xml:space="preserve">will support the National Economic and Development Authority in formulating and implementing the </w:t>
      </w:r>
      <w:r>
        <w:rPr>
          <w:lang w:val="en-GB"/>
        </w:rPr>
        <w:t>n</w:t>
      </w:r>
      <w:r w:rsidR="4435C01B" w:rsidRPr="00052AFA">
        <w:rPr>
          <w:lang w:val="en-GB"/>
        </w:rPr>
        <w:t xml:space="preserve">ational </w:t>
      </w:r>
      <w:r>
        <w:rPr>
          <w:lang w:val="en-GB"/>
        </w:rPr>
        <w:t>e</w:t>
      </w:r>
      <w:r w:rsidR="4435C01B" w:rsidRPr="00052AFA">
        <w:rPr>
          <w:lang w:val="en-GB"/>
        </w:rPr>
        <w:t xml:space="preserve">valuation </w:t>
      </w:r>
      <w:r>
        <w:rPr>
          <w:lang w:val="en-GB"/>
        </w:rPr>
        <w:t>a</w:t>
      </w:r>
      <w:r w:rsidR="4435C01B" w:rsidRPr="00052AFA">
        <w:rPr>
          <w:lang w:val="en-GB"/>
        </w:rPr>
        <w:t>genda</w:t>
      </w:r>
      <w:r>
        <w:rPr>
          <w:lang w:val="en-GB"/>
        </w:rPr>
        <w:t xml:space="preserve">, </w:t>
      </w:r>
      <w:r w:rsidR="4435C01B" w:rsidRPr="00052AFA">
        <w:rPr>
          <w:lang w:val="en-GB"/>
        </w:rPr>
        <w:t>2018-2022</w:t>
      </w:r>
      <w:r>
        <w:rPr>
          <w:lang w:val="en-GB"/>
        </w:rPr>
        <w:t>,</w:t>
      </w:r>
      <w:r w:rsidR="4435C01B" w:rsidRPr="00052AFA">
        <w:rPr>
          <w:lang w:val="en-GB"/>
        </w:rPr>
        <w:t xml:space="preserve"> to evaluate the Philippine </w:t>
      </w:r>
      <w:r>
        <w:rPr>
          <w:lang w:val="en-GB"/>
        </w:rPr>
        <w:t>d</w:t>
      </w:r>
      <w:r w:rsidR="4435C01B" w:rsidRPr="00052AFA">
        <w:rPr>
          <w:lang w:val="en-GB"/>
        </w:rPr>
        <w:t xml:space="preserve">evelopment </w:t>
      </w:r>
      <w:r>
        <w:rPr>
          <w:lang w:val="en-GB"/>
        </w:rPr>
        <w:t>p</w:t>
      </w:r>
      <w:r w:rsidR="4435C01B" w:rsidRPr="00052AFA">
        <w:rPr>
          <w:lang w:val="en-GB"/>
        </w:rPr>
        <w:t xml:space="preserve">lan, the </w:t>
      </w:r>
      <w:r>
        <w:rPr>
          <w:lang w:val="en-GB"/>
        </w:rPr>
        <w:t>p</w:t>
      </w:r>
      <w:r w:rsidR="4435C01B" w:rsidRPr="00052AFA">
        <w:rPr>
          <w:lang w:val="en-GB"/>
        </w:rPr>
        <w:t xml:space="preserve">ublic </w:t>
      </w:r>
      <w:r>
        <w:rPr>
          <w:lang w:val="en-GB"/>
        </w:rPr>
        <w:t>i</w:t>
      </w:r>
      <w:r w:rsidR="4435C01B" w:rsidRPr="00052AFA">
        <w:rPr>
          <w:lang w:val="en-GB"/>
        </w:rPr>
        <w:t xml:space="preserve">nvestment </w:t>
      </w:r>
      <w:r>
        <w:rPr>
          <w:lang w:val="en-GB"/>
        </w:rPr>
        <w:t>p</w:t>
      </w:r>
      <w:r w:rsidR="4435C01B" w:rsidRPr="00052AFA">
        <w:rPr>
          <w:lang w:val="en-GB"/>
        </w:rPr>
        <w:t xml:space="preserve">rogramme, </w:t>
      </w:r>
      <w:r>
        <w:rPr>
          <w:lang w:val="en-GB"/>
        </w:rPr>
        <w:t xml:space="preserve">and </w:t>
      </w:r>
      <w:r w:rsidR="4435C01B" w:rsidRPr="00052AFA">
        <w:rPr>
          <w:lang w:val="en-GB"/>
        </w:rPr>
        <w:t xml:space="preserve">progress against the </w:t>
      </w:r>
      <w:r w:rsidR="0F02EDC9" w:rsidRPr="00052AFA">
        <w:rPr>
          <w:lang w:val="en-GB"/>
        </w:rPr>
        <w:t>Goals</w:t>
      </w:r>
      <w:r>
        <w:rPr>
          <w:lang w:val="en-GB"/>
        </w:rPr>
        <w:t>,</w:t>
      </w:r>
      <w:r w:rsidR="00A51B68" w:rsidRPr="00052AFA">
        <w:rPr>
          <w:lang w:val="en-GB"/>
        </w:rPr>
        <w:t xml:space="preserve"> and </w:t>
      </w:r>
      <w:r>
        <w:rPr>
          <w:lang w:val="en-GB"/>
        </w:rPr>
        <w:t xml:space="preserve">to </w:t>
      </w:r>
      <w:r w:rsidR="00A51B68" w:rsidRPr="00052AFA">
        <w:rPr>
          <w:lang w:val="en-GB"/>
        </w:rPr>
        <w:t>inform the</w:t>
      </w:r>
      <w:r w:rsidR="00701662" w:rsidRPr="00052AFA">
        <w:rPr>
          <w:lang w:val="en-GB"/>
        </w:rPr>
        <w:t xml:space="preserve"> continuous improvement of U</w:t>
      </w:r>
      <w:r>
        <w:rPr>
          <w:lang w:val="en-GB"/>
        </w:rPr>
        <w:t xml:space="preserve">nited </w:t>
      </w:r>
      <w:r w:rsidR="00701662" w:rsidRPr="00052AFA">
        <w:rPr>
          <w:lang w:val="en-GB"/>
        </w:rPr>
        <w:t>N</w:t>
      </w:r>
      <w:r>
        <w:rPr>
          <w:lang w:val="en-GB"/>
        </w:rPr>
        <w:t>ations</w:t>
      </w:r>
      <w:r w:rsidR="00701662" w:rsidRPr="00052AFA">
        <w:rPr>
          <w:lang w:val="en-GB"/>
        </w:rPr>
        <w:t>-led interventions</w:t>
      </w:r>
      <w:r w:rsidR="4435C01B" w:rsidRPr="00052AFA">
        <w:rPr>
          <w:lang w:val="en-GB"/>
        </w:rPr>
        <w:t xml:space="preserve">. </w:t>
      </w:r>
    </w:p>
    <w:p w14:paraId="3812D64E" w14:textId="77777777" w:rsidR="00913468" w:rsidRPr="00052AFA" w:rsidRDefault="00913468" w:rsidP="001751AC">
      <w:pPr>
        <w:pStyle w:val="ListParagraph"/>
        <w:tabs>
          <w:tab w:val="left" w:pos="1080"/>
        </w:tabs>
        <w:ind w:left="1170" w:right="1210"/>
        <w:jc w:val="both"/>
        <w:rPr>
          <w:sz w:val="12"/>
          <w:szCs w:val="12"/>
          <w:lang w:val="en-GB"/>
        </w:rPr>
      </w:pPr>
    </w:p>
    <w:p w14:paraId="740D6061" w14:textId="2BDCC9F8" w:rsidR="00475DE8" w:rsidRPr="00052AFA" w:rsidRDefault="002E5129" w:rsidP="001751AC">
      <w:pPr>
        <w:pStyle w:val="ListParagraph"/>
        <w:numPr>
          <w:ilvl w:val="0"/>
          <w:numId w:val="17"/>
        </w:numPr>
        <w:tabs>
          <w:tab w:val="left" w:pos="1080"/>
        </w:tabs>
        <w:ind w:left="1170" w:right="4" w:firstLine="0"/>
        <w:jc w:val="both"/>
        <w:rPr>
          <w:lang w:val="en-GB"/>
        </w:rPr>
      </w:pPr>
      <w:r>
        <w:rPr>
          <w:lang w:val="en-GB"/>
        </w:rPr>
        <w:t xml:space="preserve"> </w:t>
      </w:r>
      <w:r w:rsidR="4435C01B" w:rsidRPr="00052AFA">
        <w:rPr>
          <w:lang w:val="en-GB"/>
        </w:rPr>
        <w:t>To facilitate evidence-based programme design and support the U</w:t>
      </w:r>
      <w:r>
        <w:rPr>
          <w:lang w:val="en-GB"/>
        </w:rPr>
        <w:t xml:space="preserve">nited </w:t>
      </w:r>
      <w:r w:rsidR="4435C01B" w:rsidRPr="00052AFA">
        <w:rPr>
          <w:lang w:val="en-GB"/>
        </w:rPr>
        <w:t>N</w:t>
      </w:r>
      <w:r>
        <w:rPr>
          <w:lang w:val="en-GB"/>
        </w:rPr>
        <w:t>ations system</w:t>
      </w:r>
      <w:r w:rsidR="4435C01B" w:rsidRPr="00052AFA">
        <w:rPr>
          <w:lang w:val="en-GB"/>
        </w:rPr>
        <w:t xml:space="preserve">-wide engagement to broaden the debate on the national development agenda and the </w:t>
      </w:r>
      <w:r w:rsidR="581BFCCA" w:rsidRPr="00052AFA">
        <w:rPr>
          <w:lang w:val="en-GB"/>
        </w:rPr>
        <w:t>Goals</w:t>
      </w:r>
      <w:r w:rsidR="4435C01B" w:rsidRPr="00052AFA">
        <w:rPr>
          <w:lang w:val="en-GB"/>
        </w:rPr>
        <w:t xml:space="preserve">, a multi-year research agenda will produce policy briefs, discussion papers and periodic reports, including the </w:t>
      </w:r>
      <w:r>
        <w:rPr>
          <w:lang w:val="en-GB"/>
        </w:rPr>
        <w:t>n</w:t>
      </w:r>
      <w:r w:rsidR="4435C01B" w:rsidRPr="00052AFA">
        <w:rPr>
          <w:lang w:val="en-GB"/>
        </w:rPr>
        <w:t xml:space="preserve">ational </w:t>
      </w:r>
      <w:r>
        <w:rPr>
          <w:lang w:val="en-GB"/>
        </w:rPr>
        <w:t>h</w:t>
      </w:r>
      <w:r w:rsidR="4435C01B" w:rsidRPr="00052AFA">
        <w:rPr>
          <w:lang w:val="en-GB"/>
        </w:rPr>
        <w:t xml:space="preserve">uman </w:t>
      </w:r>
      <w:r>
        <w:rPr>
          <w:lang w:val="en-GB"/>
        </w:rPr>
        <w:t>d</w:t>
      </w:r>
      <w:r w:rsidR="4435C01B" w:rsidRPr="00052AFA">
        <w:rPr>
          <w:lang w:val="en-GB"/>
        </w:rPr>
        <w:t xml:space="preserve">evelopment </w:t>
      </w:r>
      <w:r>
        <w:rPr>
          <w:lang w:val="en-GB"/>
        </w:rPr>
        <w:t>r</w:t>
      </w:r>
      <w:r w:rsidR="4435C01B" w:rsidRPr="00052AFA">
        <w:rPr>
          <w:lang w:val="en-GB"/>
        </w:rPr>
        <w:t>eports on themes related to inequality.</w:t>
      </w:r>
    </w:p>
    <w:p w14:paraId="2D07FFA6" w14:textId="26E0BC4D" w:rsidR="005D1760" w:rsidRPr="00052AFA" w:rsidRDefault="005D1760" w:rsidP="00475DE8">
      <w:pPr>
        <w:pStyle w:val="ListParagraph"/>
        <w:tabs>
          <w:tab w:val="left" w:pos="1080"/>
        </w:tabs>
        <w:ind w:left="1170" w:right="4"/>
        <w:jc w:val="both"/>
        <w:rPr>
          <w:lang w:val="en-GB"/>
        </w:rPr>
      </w:pPr>
    </w:p>
    <w:p w14:paraId="16A4AA7F" w14:textId="77777777" w:rsidR="00475DE8" w:rsidRPr="00052AFA" w:rsidRDefault="00475DE8" w:rsidP="00475DE8">
      <w:pPr>
        <w:pStyle w:val="ListParagraph"/>
        <w:tabs>
          <w:tab w:val="left" w:pos="1080"/>
        </w:tabs>
        <w:ind w:left="1170" w:right="4"/>
        <w:jc w:val="both"/>
        <w:rPr>
          <w:lang w:val="en-GB"/>
        </w:rPr>
      </w:pPr>
    </w:p>
    <w:p w14:paraId="7FC47A6F" w14:textId="7761DD7F" w:rsidR="00F732D6" w:rsidRPr="00052AFA" w:rsidRDefault="00F732D6" w:rsidP="00CA4FED">
      <w:pPr>
        <w:pStyle w:val="ListParagraph"/>
        <w:ind w:right="1210"/>
        <w:jc w:val="both"/>
        <w:rPr>
          <w:lang w:val="en-GB"/>
        </w:rPr>
        <w:sectPr w:rsidR="00F732D6" w:rsidRPr="00052AFA" w:rsidSect="00940E90">
          <w:headerReference w:type="even" r:id="rId19"/>
          <w:headerReference w:type="default" r:id="rId20"/>
          <w:footerReference w:type="even" r:id="rId21"/>
          <w:footerReference w:type="first" r:id="rId22"/>
          <w:pgSz w:w="12240" w:h="15840"/>
          <w:pgMar w:top="1152" w:right="2430" w:bottom="1152" w:left="1152" w:header="720" w:footer="720" w:gutter="0"/>
          <w:cols w:space="720"/>
          <w:docGrid w:linePitch="272"/>
        </w:sectPr>
      </w:pPr>
    </w:p>
    <w:p w14:paraId="74300D7E" w14:textId="01B6E4F8" w:rsidR="007F4F4D" w:rsidRPr="00052AFA" w:rsidRDefault="007F4F4D" w:rsidP="00A426D9">
      <w:pPr>
        <w:keepNext/>
        <w:widowControl w:val="0"/>
        <w:tabs>
          <w:tab w:val="left" w:pos="1800"/>
        </w:tabs>
        <w:suppressAutoHyphens/>
        <w:spacing w:after="120"/>
        <w:ind w:left="1440" w:right="1210" w:hanging="1980"/>
        <w:jc w:val="both"/>
        <w:outlineLvl w:val="0"/>
        <w:rPr>
          <w:b/>
          <w:spacing w:val="-3"/>
          <w:sz w:val="24"/>
          <w:szCs w:val="24"/>
          <w:lang w:val="en-GB" w:eastAsia="x-none"/>
        </w:rPr>
      </w:pPr>
      <w:r w:rsidRPr="00052AFA">
        <w:rPr>
          <w:b/>
          <w:color w:val="000000"/>
          <w:spacing w:val="-3"/>
          <w:sz w:val="24"/>
          <w:szCs w:val="24"/>
          <w:lang w:val="en-GB" w:eastAsia="x-none"/>
        </w:rPr>
        <w:lastRenderedPageBreak/>
        <w:t>Annex</w:t>
      </w:r>
      <w:r w:rsidRPr="00052AFA">
        <w:rPr>
          <w:b/>
          <w:bCs/>
          <w:color w:val="000000"/>
          <w:spacing w:val="-3"/>
          <w:sz w:val="24"/>
          <w:szCs w:val="24"/>
          <w:lang w:val="en-GB" w:eastAsia="x-none"/>
        </w:rPr>
        <w:t>. Results and resources framework</w:t>
      </w:r>
      <w:r w:rsidRPr="00052AFA">
        <w:rPr>
          <w:b/>
          <w:bCs/>
          <w:i/>
          <w:color w:val="000000"/>
          <w:spacing w:val="-3"/>
          <w:sz w:val="24"/>
          <w:szCs w:val="24"/>
          <w:lang w:val="en-GB" w:eastAsia="x-none"/>
        </w:rPr>
        <w:t xml:space="preserve"> </w:t>
      </w:r>
      <w:r w:rsidRPr="00052AFA">
        <w:rPr>
          <w:b/>
          <w:bCs/>
          <w:color w:val="000000"/>
          <w:spacing w:val="-3"/>
          <w:sz w:val="24"/>
          <w:szCs w:val="24"/>
          <w:lang w:val="en-GB" w:eastAsia="x-none"/>
        </w:rPr>
        <w:t xml:space="preserve">for </w:t>
      </w:r>
      <w:r w:rsidR="004A37BF" w:rsidRPr="00052AFA">
        <w:rPr>
          <w:b/>
          <w:bCs/>
          <w:color w:val="000000"/>
          <w:spacing w:val="-3"/>
          <w:sz w:val="24"/>
          <w:szCs w:val="24"/>
          <w:lang w:val="en-GB" w:eastAsia="x-none"/>
        </w:rPr>
        <w:t xml:space="preserve">the </w:t>
      </w:r>
      <w:r w:rsidRPr="00052AFA">
        <w:rPr>
          <w:b/>
          <w:bCs/>
          <w:color w:val="000000"/>
          <w:spacing w:val="-3"/>
          <w:sz w:val="24"/>
          <w:szCs w:val="24"/>
          <w:lang w:val="en-GB" w:eastAsia="x-none"/>
        </w:rPr>
        <w:t>Philippines (2019-2023</w:t>
      </w:r>
      <w:r w:rsidRPr="00052AFA">
        <w:rPr>
          <w:b/>
          <w:bCs/>
          <w:spacing w:val="-3"/>
          <w:sz w:val="24"/>
          <w:szCs w:val="24"/>
          <w:lang w:val="en-GB" w:eastAsia="x-none"/>
        </w:rPr>
        <w:t>)</w:t>
      </w:r>
    </w:p>
    <w:tbl>
      <w:tblPr>
        <w:tblW w:w="1446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985"/>
        <w:gridCol w:w="22"/>
        <w:gridCol w:w="6063"/>
        <w:gridCol w:w="10"/>
        <w:gridCol w:w="1974"/>
        <w:gridCol w:w="11"/>
        <w:gridCol w:w="1563"/>
      </w:tblGrid>
      <w:tr w:rsidR="005D7CA0" w:rsidRPr="00052AFA" w14:paraId="278E2B33" w14:textId="77777777" w:rsidTr="00701583">
        <w:trPr>
          <w:trHeight w:val="20"/>
        </w:trPr>
        <w:tc>
          <w:tcPr>
            <w:tcW w:w="14463" w:type="dxa"/>
            <w:gridSpan w:val="8"/>
            <w:shd w:val="clear" w:color="auto" w:fill="auto"/>
            <w:tcMar>
              <w:top w:w="72" w:type="dxa"/>
              <w:left w:w="144" w:type="dxa"/>
              <w:bottom w:w="72" w:type="dxa"/>
              <w:right w:w="144" w:type="dxa"/>
            </w:tcMar>
          </w:tcPr>
          <w:p w14:paraId="32EF75FD" w14:textId="1404A0B8" w:rsidR="005D7CA0" w:rsidRPr="00052AFA" w:rsidRDefault="4435C01B">
            <w:pPr>
              <w:rPr>
                <w:iCs/>
                <w:color w:val="000000" w:themeColor="text1"/>
                <w:sz w:val="18"/>
                <w:szCs w:val="18"/>
                <w:lang w:val="en-GB"/>
              </w:rPr>
            </w:pPr>
            <w:r w:rsidRPr="00052AFA">
              <w:rPr>
                <w:b/>
                <w:bCs/>
                <w:color w:val="000000" w:themeColor="text1"/>
                <w:sz w:val="18"/>
                <w:szCs w:val="18"/>
                <w:lang w:val="en-GB"/>
              </w:rPr>
              <w:t>PHILIPPINE DEVELOPMENT PLAN</w:t>
            </w:r>
            <w:r w:rsidR="00BA0D2B">
              <w:rPr>
                <w:b/>
                <w:bCs/>
                <w:color w:val="000000" w:themeColor="text1"/>
                <w:sz w:val="18"/>
                <w:szCs w:val="18"/>
                <w:lang w:val="en-GB"/>
              </w:rPr>
              <w:t xml:space="preserve">, </w:t>
            </w:r>
            <w:r w:rsidRPr="00052AFA">
              <w:rPr>
                <w:b/>
                <w:bCs/>
                <w:color w:val="000000" w:themeColor="text1"/>
                <w:sz w:val="18"/>
                <w:szCs w:val="18"/>
                <w:lang w:val="en-GB"/>
              </w:rPr>
              <w:t>2017-2022</w:t>
            </w:r>
            <w:r w:rsidR="00BA0D2B">
              <w:rPr>
                <w:b/>
                <w:bCs/>
                <w:color w:val="000000" w:themeColor="text1"/>
                <w:sz w:val="18"/>
                <w:szCs w:val="18"/>
                <w:lang w:val="en-GB"/>
              </w:rPr>
              <w:t>,</w:t>
            </w:r>
            <w:r w:rsidRPr="00052AFA">
              <w:rPr>
                <w:b/>
                <w:bCs/>
                <w:color w:val="000000" w:themeColor="text1"/>
                <w:sz w:val="18"/>
                <w:szCs w:val="18"/>
                <w:lang w:val="en-GB"/>
              </w:rPr>
              <w:t xml:space="preserve"> GOAL: </w:t>
            </w:r>
            <w:r w:rsidRPr="00715998">
              <w:rPr>
                <w:bCs/>
                <w:iCs/>
                <w:color w:val="000000" w:themeColor="text1"/>
                <w:sz w:val="18"/>
                <w:szCs w:val="18"/>
                <w:lang w:val="en-GB"/>
              </w:rPr>
              <w:t>People-centred, clean and efficient governance</w:t>
            </w:r>
            <w:r w:rsidR="00EF224B" w:rsidRPr="00715998">
              <w:rPr>
                <w:bCs/>
                <w:iCs/>
                <w:color w:val="000000" w:themeColor="text1"/>
                <w:sz w:val="18"/>
                <w:szCs w:val="18"/>
                <w:lang w:val="en-GB"/>
              </w:rPr>
              <w:t>.</w:t>
            </w:r>
          </w:p>
        </w:tc>
      </w:tr>
      <w:tr w:rsidR="005D7CA0" w:rsidRPr="00052AFA" w14:paraId="14BF3AE9" w14:textId="77777777" w:rsidTr="00701583">
        <w:tc>
          <w:tcPr>
            <w:tcW w:w="14463" w:type="dxa"/>
            <w:gridSpan w:val="8"/>
            <w:shd w:val="clear" w:color="auto" w:fill="auto"/>
            <w:tcMar>
              <w:top w:w="72" w:type="dxa"/>
              <w:left w:w="144" w:type="dxa"/>
              <w:bottom w:w="72" w:type="dxa"/>
              <w:right w:w="144" w:type="dxa"/>
            </w:tcMar>
          </w:tcPr>
          <w:p w14:paraId="141C1786" w14:textId="21E6A774" w:rsidR="005D7CA0" w:rsidRPr="00052AFA" w:rsidRDefault="4435C01B" w:rsidP="001C1622">
            <w:pPr>
              <w:rPr>
                <w:iCs/>
                <w:color w:val="000000" w:themeColor="text1"/>
                <w:sz w:val="18"/>
                <w:szCs w:val="18"/>
                <w:lang w:val="en-GB"/>
              </w:rPr>
            </w:pPr>
            <w:r w:rsidRPr="00052AFA">
              <w:rPr>
                <w:b/>
                <w:bCs/>
                <w:color w:val="000000" w:themeColor="text1"/>
                <w:sz w:val="18"/>
                <w:szCs w:val="18"/>
                <w:lang w:val="en-GB"/>
              </w:rPr>
              <w:t>UNDAF OUTCOME 1:</w:t>
            </w:r>
            <w:r w:rsidRPr="00052AFA">
              <w:rPr>
                <w:color w:val="000000" w:themeColor="text1"/>
                <w:sz w:val="18"/>
                <w:szCs w:val="18"/>
                <w:lang w:val="en-GB"/>
              </w:rPr>
              <w:t xml:space="preserve"> </w:t>
            </w:r>
            <w:r w:rsidRPr="00715998">
              <w:rPr>
                <w:bCs/>
                <w:iCs/>
                <w:color w:val="000000" w:themeColor="text1"/>
                <w:sz w:val="18"/>
                <w:szCs w:val="18"/>
                <w:lang w:val="en-GB"/>
              </w:rPr>
              <w:t>The most marginalized, vulnerable, and at-risk people and groups benefit from inclusive and quality services and live in a supportive environment wherein their nutrition, food security, and health are ensured/protected.</w:t>
            </w:r>
          </w:p>
        </w:tc>
      </w:tr>
      <w:tr w:rsidR="005D7CA0" w:rsidRPr="00052AFA" w14:paraId="4CE4CE9F" w14:textId="77777777" w:rsidTr="00701583">
        <w:tc>
          <w:tcPr>
            <w:tcW w:w="14463" w:type="dxa"/>
            <w:gridSpan w:val="8"/>
            <w:shd w:val="clear" w:color="auto" w:fill="auto"/>
            <w:tcMar>
              <w:top w:w="72" w:type="dxa"/>
              <w:left w:w="144" w:type="dxa"/>
              <w:bottom w:w="72" w:type="dxa"/>
              <w:right w:w="144" w:type="dxa"/>
            </w:tcMar>
          </w:tcPr>
          <w:p w14:paraId="0743BE36" w14:textId="1096602E" w:rsidR="005D7CA0" w:rsidRPr="00052AFA" w:rsidRDefault="4435C01B" w:rsidP="00CA4FED">
            <w:pPr>
              <w:rPr>
                <w:b/>
                <w:bCs/>
                <w:color w:val="000000" w:themeColor="text1"/>
                <w:sz w:val="18"/>
                <w:szCs w:val="18"/>
                <w:lang w:val="en-GB"/>
              </w:rPr>
            </w:pPr>
            <w:r w:rsidRPr="00052AFA">
              <w:rPr>
                <w:b/>
                <w:bCs/>
                <w:color w:val="000000" w:themeColor="text1"/>
                <w:sz w:val="18"/>
                <w:szCs w:val="18"/>
                <w:lang w:val="en-GB"/>
              </w:rPr>
              <w:t>STRATEGIC PLAN</w:t>
            </w:r>
            <w:r w:rsidR="00EF224B">
              <w:rPr>
                <w:b/>
                <w:bCs/>
                <w:color w:val="000000" w:themeColor="text1"/>
                <w:sz w:val="18"/>
                <w:szCs w:val="18"/>
                <w:lang w:val="en-GB"/>
              </w:rPr>
              <w:t xml:space="preserve">, </w:t>
            </w:r>
            <w:r w:rsidRPr="00052AFA">
              <w:rPr>
                <w:b/>
                <w:bCs/>
                <w:color w:val="000000" w:themeColor="text1"/>
                <w:sz w:val="18"/>
                <w:szCs w:val="18"/>
                <w:lang w:val="en-GB"/>
              </w:rPr>
              <w:t>2018-2021</w:t>
            </w:r>
            <w:r w:rsidR="00EF224B">
              <w:rPr>
                <w:b/>
                <w:bCs/>
                <w:color w:val="000000" w:themeColor="text1"/>
                <w:sz w:val="18"/>
                <w:szCs w:val="18"/>
                <w:lang w:val="en-GB"/>
              </w:rPr>
              <w:t>,</w:t>
            </w:r>
            <w:r w:rsidRPr="00052AFA">
              <w:rPr>
                <w:b/>
                <w:bCs/>
                <w:color w:val="000000" w:themeColor="text1"/>
                <w:sz w:val="18"/>
                <w:szCs w:val="18"/>
                <w:lang w:val="en-GB"/>
              </w:rPr>
              <w:t xml:space="preserve"> OUTCOME </w:t>
            </w:r>
            <w:r w:rsidRPr="00052AFA">
              <w:rPr>
                <w:b/>
                <w:bCs/>
                <w:iCs/>
                <w:color w:val="000000" w:themeColor="text1"/>
                <w:sz w:val="18"/>
                <w:szCs w:val="18"/>
                <w:lang w:val="en-GB"/>
              </w:rPr>
              <w:t xml:space="preserve">1: </w:t>
            </w:r>
            <w:r w:rsidRPr="00715998">
              <w:rPr>
                <w:bCs/>
                <w:iCs/>
                <w:color w:val="000000" w:themeColor="text1"/>
                <w:sz w:val="18"/>
                <w:szCs w:val="18"/>
                <w:lang w:val="en-GB"/>
              </w:rPr>
              <w:t>Advance poverty eradication in all its forms and dimensions</w:t>
            </w:r>
            <w:r w:rsidR="00EF224B" w:rsidRPr="00715998">
              <w:rPr>
                <w:bCs/>
                <w:iCs/>
                <w:color w:val="000000" w:themeColor="text1"/>
                <w:sz w:val="18"/>
                <w:szCs w:val="18"/>
                <w:lang w:val="en-GB"/>
              </w:rPr>
              <w:t>.</w:t>
            </w:r>
            <w:r w:rsidRPr="00052AFA">
              <w:rPr>
                <w:b/>
                <w:bCs/>
                <w:iCs/>
                <w:color w:val="000000" w:themeColor="text1"/>
                <w:sz w:val="18"/>
                <w:szCs w:val="18"/>
                <w:lang w:val="en-GB"/>
              </w:rPr>
              <w:t xml:space="preserve"> </w:t>
            </w:r>
          </w:p>
        </w:tc>
      </w:tr>
      <w:tr w:rsidR="005D7CA0" w:rsidRPr="00052AFA" w14:paraId="74D26102" w14:textId="77777777" w:rsidTr="00701583">
        <w:tc>
          <w:tcPr>
            <w:tcW w:w="2835" w:type="dxa"/>
            <w:shd w:val="clear" w:color="auto" w:fill="auto"/>
            <w:tcMar>
              <w:top w:w="72" w:type="dxa"/>
              <w:left w:w="144" w:type="dxa"/>
              <w:bottom w:w="72" w:type="dxa"/>
              <w:right w:w="144" w:type="dxa"/>
            </w:tcMar>
            <w:vAlign w:val="center"/>
          </w:tcPr>
          <w:p w14:paraId="00D77BAA" w14:textId="06800E59" w:rsidR="005D7CA0" w:rsidRPr="00052AFA" w:rsidRDefault="00A555D6" w:rsidP="00CA4FED">
            <w:pPr>
              <w:jc w:val="center"/>
              <w:rPr>
                <w:color w:val="000000" w:themeColor="text1"/>
                <w:sz w:val="18"/>
                <w:szCs w:val="18"/>
                <w:lang w:val="en-GB"/>
              </w:rPr>
            </w:pPr>
            <w:r w:rsidRPr="00052AFA">
              <w:rPr>
                <w:b/>
                <w:bCs/>
                <w:color w:val="000000"/>
                <w:sz w:val="17"/>
                <w:szCs w:val="17"/>
                <w:lang w:val="en-GB"/>
              </w:rPr>
              <w:t>UNDAF outcome indicator(s), baselines, target(s)</w:t>
            </w:r>
          </w:p>
        </w:tc>
        <w:tc>
          <w:tcPr>
            <w:tcW w:w="2007" w:type="dxa"/>
            <w:gridSpan w:val="2"/>
            <w:shd w:val="clear" w:color="auto" w:fill="auto"/>
            <w:vAlign w:val="center"/>
          </w:tcPr>
          <w:p w14:paraId="65AFCA53" w14:textId="181B818D" w:rsidR="005D7CA0" w:rsidRPr="00052AFA" w:rsidRDefault="00A555D6" w:rsidP="00CA4FED">
            <w:pPr>
              <w:jc w:val="center"/>
              <w:rPr>
                <w:b/>
                <w:bCs/>
                <w:color w:val="000000" w:themeColor="text1"/>
                <w:sz w:val="18"/>
                <w:szCs w:val="18"/>
                <w:lang w:val="en-GB"/>
              </w:rPr>
            </w:pPr>
            <w:r w:rsidRPr="00052AFA">
              <w:rPr>
                <w:b/>
                <w:color w:val="000000"/>
                <w:sz w:val="17"/>
                <w:szCs w:val="17"/>
                <w:lang w:val="en-GB"/>
              </w:rPr>
              <w:t>Data source and frequency of data collection, and responsibilities</w:t>
            </w:r>
          </w:p>
        </w:tc>
        <w:tc>
          <w:tcPr>
            <w:tcW w:w="6063" w:type="dxa"/>
            <w:shd w:val="clear" w:color="auto" w:fill="auto"/>
            <w:tcMar>
              <w:top w:w="72" w:type="dxa"/>
              <w:left w:w="144" w:type="dxa"/>
              <w:bottom w:w="72" w:type="dxa"/>
              <w:right w:w="144" w:type="dxa"/>
            </w:tcMar>
            <w:vAlign w:val="center"/>
          </w:tcPr>
          <w:p w14:paraId="23F1BA61" w14:textId="1A4435A3" w:rsidR="005D7CA0" w:rsidRPr="00052AFA" w:rsidRDefault="00A555D6" w:rsidP="00CA4FED">
            <w:pPr>
              <w:jc w:val="center"/>
              <w:rPr>
                <w:color w:val="000000" w:themeColor="text1"/>
                <w:sz w:val="18"/>
                <w:szCs w:val="18"/>
                <w:lang w:val="en-GB"/>
              </w:rPr>
            </w:pPr>
            <w:r w:rsidRPr="00052AFA">
              <w:rPr>
                <w:b/>
                <w:bCs/>
                <w:color w:val="000000"/>
                <w:sz w:val="17"/>
                <w:szCs w:val="17"/>
                <w:lang w:val="en-GB"/>
              </w:rPr>
              <w:t>Indicative country programme outputs</w:t>
            </w:r>
          </w:p>
        </w:tc>
        <w:tc>
          <w:tcPr>
            <w:tcW w:w="1984" w:type="dxa"/>
            <w:gridSpan w:val="2"/>
            <w:shd w:val="clear" w:color="auto" w:fill="auto"/>
            <w:vAlign w:val="center"/>
          </w:tcPr>
          <w:p w14:paraId="68BB3C48" w14:textId="77777777" w:rsidR="00A426D9" w:rsidRPr="00052AFA" w:rsidRDefault="00A426D9" w:rsidP="00A426D9">
            <w:pPr>
              <w:jc w:val="center"/>
              <w:rPr>
                <w:b/>
                <w:bCs/>
                <w:color w:val="000000"/>
                <w:sz w:val="17"/>
                <w:szCs w:val="17"/>
                <w:lang w:val="en-GB"/>
              </w:rPr>
            </w:pPr>
            <w:r w:rsidRPr="00052AFA">
              <w:rPr>
                <w:b/>
                <w:bCs/>
                <w:color w:val="000000"/>
                <w:sz w:val="17"/>
                <w:szCs w:val="17"/>
                <w:lang w:val="en-GB"/>
              </w:rPr>
              <w:t>Major partners / partnerships</w:t>
            </w:r>
          </w:p>
          <w:p w14:paraId="79985485" w14:textId="72048A72" w:rsidR="005D7CA0" w:rsidRPr="00052AFA" w:rsidRDefault="00A426D9" w:rsidP="00A426D9">
            <w:pPr>
              <w:jc w:val="center"/>
              <w:rPr>
                <w:b/>
                <w:bCs/>
                <w:color w:val="000000" w:themeColor="text1"/>
                <w:sz w:val="18"/>
                <w:szCs w:val="18"/>
                <w:lang w:val="en-GB"/>
              </w:rPr>
            </w:pPr>
            <w:r w:rsidRPr="00052AFA">
              <w:rPr>
                <w:b/>
                <w:bCs/>
                <w:color w:val="000000"/>
                <w:sz w:val="17"/>
                <w:szCs w:val="17"/>
                <w:lang w:val="en-GB"/>
              </w:rPr>
              <w:t>frameworks</w:t>
            </w:r>
          </w:p>
        </w:tc>
        <w:tc>
          <w:tcPr>
            <w:tcW w:w="1574" w:type="dxa"/>
            <w:gridSpan w:val="2"/>
            <w:shd w:val="clear" w:color="auto" w:fill="auto"/>
            <w:tcMar>
              <w:top w:w="15" w:type="dxa"/>
              <w:left w:w="108" w:type="dxa"/>
              <w:bottom w:w="0" w:type="dxa"/>
              <w:right w:w="108" w:type="dxa"/>
            </w:tcMar>
            <w:vAlign w:val="center"/>
          </w:tcPr>
          <w:p w14:paraId="63EF77C3" w14:textId="73F47410" w:rsidR="005D7CA0" w:rsidRPr="00052AFA" w:rsidRDefault="00A426D9" w:rsidP="00CA4FED">
            <w:pPr>
              <w:jc w:val="center"/>
              <w:rPr>
                <w:iCs/>
                <w:color w:val="000000" w:themeColor="text1"/>
                <w:sz w:val="18"/>
                <w:szCs w:val="18"/>
                <w:lang w:val="en-GB"/>
              </w:rPr>
            </w:pPr>
            <w:r w:rsidRPr="00052AFA">
              <w:rPr>
                <w:b/>
                <w:bCs/>
                <w:color w:val="000000"/>
                <w:sz w:val="17"/>
                <w:szCs w:val="17"/>
                <w:lang w:val="en-GB"/>
              </w:rPr>
              <w:t xml:space="preserve">Indicative resources by outcome </w:t>
            </w:r>
            <w:r w:rsidRPr="00715998">
              <w:rPr>
                <w:bCs/>
                <w:i/>
                <w:color w:val="000000"/>
                <w:sz w:val="17"/>
                <w:szCs w:val="17"/>
                <w:lang w:val="en-GB"/>
              </w:rPr>
              <w:t>(</w:t>
            </w:r>
            <w:r w:rsidR="00FE423A" w:rsidRPr="00715998">
              <w:rPr>
                <w:bCs/>
                <w:i/>
                <w:color w:val="000000"/>
                <w:sz w:val="17"/>
                <w:szCs w:val="17"/>
                <w:lang w:val="en-GB"/>
              </w:rPr>
              <w:t>United States dollars</w:t>
            </w:r>
            <w:r w:rsidRPr="00715998">
              <w:rPr>
                <w:bCs/>
                <w:i/>
                <w:color w:val="000000"/>
                <w:sz w:val="17"/>
                <w:szCs w:val="17"/>
                <w:lang w:val="en-GB"/>
              </w:rPr>
              <w:t>)</w:t>
            </w:r>
          </w:p>
        </w:tc>
      </w:tr>
      <w:tr w:rsidR="005D7CA0" w:rsidRPr="00052AFA" w14:paraId="4F219ECD" w14:textId="77777777" w:rsidTr="003718B3">
        <w:tc>
          <w:tcPr>
            <w:tcW w:w="2835" w:type="dxa"/>
            <w:vMerge w:val="restart"/>
            <w:tcMar>
              <w:top w:w="72" w:type="dxa"/>
              <w:left w:w="144" w:type="dxa"/>
              <w:bottom w:w="72" w:type="dxa"/>
              <w:right w:w="144" w:type="dxa"/>
            </w:tcMar>
          </w:tcPr>
          <w:p w14:paraId="45E07C84" w14:textId="3206B942" w:rsidR="005D7CA0" w:rsidRPr="00052AFA" w:rsidRDefault="4435C01B" w:rsidP="00CA4FED">
            <w:pPr>
              <w:rPr>
                <w:b/>
                <w:bCs/>
                <w:color w:val="000000" w:themeColor="text1"/>
                <w:sz w:val="18"/>
                <w:szCs w:val="18"/>
                <w:lang w:val="en-GB"/>
              </w:rPr>
            </w:pPr>
            <w:r w:rsidRPr="00052AFA">
              <w:rPr>
                <w:b/>
                <w:bCs/>
                <w:color w:val="000000" w:themeColor="text1"/>
                <w:sz w:val="18"/>
                <w:szCs w:val="18"/>
                <w:lang w:val="en-GB"/>
              </w:rPr>
              <w:t>1.1</w:t>
            </w:r>
            <w:r w:rsidR="00FE423A">
              <w:rPr>
                <w:b/>
                <w:bCs/>
                <w:color w:val="000000" w:themeColor="text1"/>
                <w:sz w:val="18"/>
                <w:szCs w:val="18"/>
                <w:lang w:val="en-GB"/>
              </w:rPr>
              <w:t>.</w:t>
            </w:r>
            <w:r w:rsidRPr="00052AFA">
              <w:rPr>
                <w:b/>
                <w:bCs/>
                <w:color w:val="000000" w:themeColor="text1"/>
                <w:sz w:val="18"/>
                <w:szCs w:val="18"/>
                <w:lang w:val="en-GB"/>
              </w:rPr>
              <w:t xml:space="preserve"> Primary government expenditure to </w:t>
            </w:r>
            <w:r w:rsidR="00FE423A">
              <w:rPr>
                <w:b/>
                <w:bCs/>
                <w:color w:val="000000" w:themeColor="text1"/>
                <w:sz w:val="18"/>
                <w:szCs w:val="18"/>
                <w:lang w:val="en-GB"/>
              </w:rPr>
              <w:t>g</w:t>
            </w:r>
            <w:r w:rsidR="007E65B8" w:rsidRPr="00052AFA">
              <w:rPr>
                <w:b/>
                <w:bCs/>
                <w:color w:val="000000" w:themeColor="text1"/>
                <w:sz w:val="18"/>
                <w:szCs w:val="18"/>
                <w:lang w:val="en-GB"/>
              </w:rPr>
              <w:t xml:space="preserve">ross </w:t>
            </w:r>
            <w:r w:rsidR="00FE423A">
              <w:rPr>
                <w:b/>
                <w:bCs/>
                <w:color w:val="000000" w:themeColor="text1"/>
                <w:sz w:val="18"/>
                <w:szCs w:val="18"/>
                <w:lang w:val="en-GB"/>
              </w:rPr>
              <w:t>d</w:t>
            </w:r>
            <w:r w:rsidR="007E65B8" w:rsidRPr="00052AFA">
              <w:rPr>
                <w:b/>
                <w:bCs/>
                <w:color w:val="000000" w:themeColor="text1"/>
                <w:sz w:val="18"/>
                <w:szCs w:val="18"/>
                <w:lang w:val="en-GB"/>
              </w:rPr>
              <w:t xml:space="preserve">omestic </w:t>
            </w:r>
            <w:r w:rsidR="00FE423A">
              <w:rPr>
                <w:b/>
                <w:bCs/>
                <w:color w:val="000000" w:themeColor="text1"/>
                <w:sz w:val="18"/>
                <w:szCs w:val="18"/>
                <w:lang w:val="en-GB"/>
              </w:rPr>
              <w:t>p</w:t>
            </w:r>
            <w:r w:rsidR="007E65B8" w:rsidRPr="00052AFA">
              <w:rPr>
                <w:b/>
                <w:bCs/>
                <w:color w:val="000000" w:themeColor="text1"/>
                <w:sz w:val="18"/>
                <w:szCs w:val="18"/>
                <w:lang w:val="en-GB"/>
              </w:rPr>
              <w:t>roduct</w:t>
            </w:r>
            <w:r w:rsidRPr="00052AFA">
              <w:rPr>
                <w:b/>
                <w:bCs/>
                <w:color w:val="000000" w:themeColor="text1"/>
                <w:sz w:val="18"/>
                <w:szCs w:val="18"/>
                <w:lang w:val="en-GB"/>
              </w:rPr>
              <w:t xml:space="preserve"> ratio (%)</w:t>
            </w:r>
          </w:p>
          <w:p w14:paraId="5015B848" w14:textId="77777777" w:rsidR="005D7CA0" w:rsidRPr="00052AFA" w:rsidRDefault="4435C01B" w:rsidP="00CA4FED">
            <w:pPr>
              <w:rPr>
                <w:iCs/>
                <w:color w:val="000000" w:themeColor="text1"/>
                <w:sz w:val="18"/>
                <w:szCs w:val="18"/>
                <w:lang w:val="en-GB"/>
              </w:rPr>
            </w:pPr>
            <w:r w:rsidRPr="00052AFA">
              <w:rPr>
                <w:iCs/>
                <w:color w:val="000000" w:themeColor="text1"/>
                <w:sz w:val="18"/>
                <w:szCs w:val="18"/>
                <w:lang w:val="en-GB"/>
              </w:rPr>
              <w:t>Baseline (2016): 15.5</w:t>
            </w:r>
          </w:p>
          <w:p w14:paraId="6C4B844F" w14:textId="77777777" w:rsidR="005D7CA0" w:rsidRPr="00052AFA" w:rsidRDefault="4435C01B" w:rsidP="00CA4FED">
            <w:pPr>
              <w:rPr>
                <w:iCs/>
                <w:color w:val="000000" w:themeColor="text1"/>
                <w:sz w:val="18"/>
                <w:szCs w:val="18"/>
                <w:lang w:val="en-GB"/>
              </w:rPr>
            </w:pPr>
            <w:r w:rsidRPr="00052AFA">
              <w:rPr>
                <w:iCs/>
                <w:color w:val="000000" w:themeColor="text1"/>
                <w:sz w:val="18"/>
                <w:szCs w:val="18"/>
                <w:lang w:val="en-GB"/>
              </w:rPr>
              <w:t>Target: 18.8</w:t>
            </w:r>
          </w:p>
          <w:p w14:paraId="7C4256E5" w14:textId="77777777" w:rsidR="005D7CA0" w:rsidRPr="00052AFA" w:rsidRDefault="005D7CA0" w:rsidP="00CA4FED">
            <w:pPr>
              <w:rPr>
                <w:color w:val="000000" w:themeColor="text1"/>
                <w:sz w:val="18"/>
                <w:szCs w:val="18"/>
                <w:lang w:val="en-GB"/>
              </w:rPr>
            </w:pPr>
          </w:p>
          <w:p w14:paraId="180C93AB" w14:textId="667553CE" w:rsidR="005D7CA0" w:rsidRPr="00052AFA" w:rsidRDefault="4435C01B" w:rsidP="00CA4FED">
            <w:pPr>
              <w:widowControl w:val="0"/>
              <w:autoSpaceDE w:val="0"/>
              <w:autoSpaceDN w:val="0"/>
              <w:adjustRightInd w:val="0"/>
              <w:rPr>
                <w:rFonts w:ascii="Times" w:hAnsi="Times" w:cs="Times"/>
                <w:color w:val="000000"/>
                <w:sz w:val="24"/>
                <w:szCs w:val="24"/>
                <w:lang w:val="en-GB" w:eastAsia="en-GB"/>
              </w:rPr>
            </w:pPr>
            <w:r w:rsidRPr="00052AFA">
              <w:rPr>
                <w:b/>
                <w:bCs/>
                <w:color w:val="000000" w:themeColor="text1"/>
                <w:sz w:val="18"/>
                <w:szCs w:val="18"/>
                <w:lang w:val="en-GB"/>
              </w:rPr>
              <w:t>1.2</w:t>
            </w:r>
            <w:r w:rsidR="00CD5E26">
              <w:rPr>
                <w:b/>
                <w:bCs/>
                <w:color w:val="000000" w:themeColor="text1"/>
                <w:sz w:val="18"/>
                <w:szCs w:val="18"/>
                <w:lang w:val="en-GB"/>
              </w:rPr>
              <w:t>.</w:t>
            </w:r>
            <w:r w:rsidRPr="00052AFA">
              <w:rPr>
                <w:b/>
                <w:bCs/>
                <w:color w:val="000000" w:themeColor="text1"/>
                <w:sz w:val="18"/>
                <w:szCs w:val="18"/>
                <w:lang w:val="en-GB"/>
              </w:rPr>
              <w:t xml:space="preserve"> </w:t>
            </w:r>
            <w:r w:rsidR="00181C84" w:rsidRPr="00052AFA">
              <w:rPr>
                <w:b/>
                <w:bCs/>
                <w:color w:val="000000" w:themeColor="text1"/>
                <w:sz w:val="18"/>
                <w:szCs w:val="18"/>
                <w:lang w:val="en-GB"/>
              </w:rPr>
              <w:t xml:space="preserve">Percentage of government shared services fully integrated to the </w:t>
            </w:r>
            <w:r w:rsidR="00CD5E26">
              <w:rPr>
                <w:b/>
                <w:bCs/>
                <w:color w:val="000000" w:themeColor="text1"/>
                <w:sz w:val="18"/>
                <w:szCs w:val="18"/>
                <w:lang w:val="en-GB"/>
              </w:rPr>
              <w:t>n</w:t>
            </w:r>
            <w:r w:rsidR="00181C84" w:rsidRPr="00052AFA">
              <w:rPr>
                <w:b/>
                <w:bCs/>
                <w:color w:val="000000" w:themeColor="text1"/>
                <w:sz w:val="18"/>
                <w:szCs w:val="18"/>
                <w:lang w:val="en-GB"/>
              </w:rPr>
              <w:t xml:space="preserve">ational </w:t>
            </w:r>
            <w:r w:rsidR="00CD5E26">
              <w:rPr>
                <w:b/>
                <w:bCs/>
                <w:color w:val="000000" w:themeColor="text1"/>
                <w:sz w:val="18"/>
                <w:szCs w:val="18"/>
                <w:lang w:val="en-GB"/>
              </w:rPr>
              <w:t>g</w:t>
            </w:r>
            <w:r w:rsidR="00181C84" w:rsidRPr="00052AFA">
              <w:rPr>
                <w:b/>
                <w:bCs/>
                <w:color w:val="000000" w:themeColor="text1"/>
                <w:sz w:val="18"/>
                <w:szCs w:val="18"/>
                <w:lang w:val="en-GB"/>
              </w:rPr>
              <w:t xml:space="preserve">overnment </w:t>
            </w:r>
            <w:r w:rsidR="00CD5E26">
              <w:rPr>
                <w:b/>
                <w:bCs/>
                <w:color w:val="000000" w:themeColor="text1"/>
                <w:sz w:val="18"/>
                <w:szCs w:val="18"/>
                <w:lang w:val="en-GB"/>
              </w:rPr>
              <w:t>p</w:t>
            </w:r>
            <w:r w:rsidR="00181C84" w:rsidRPr="00052AFA">
              <w:rPr>
                <w:b/>
                <w:bCs/>
                <w:color w:val="000000" w:themeColor="text1"/>
                <w:sz w:val="18"/>
                <w:szCs w:val="18"/>
                <w:lang w:val="en-GB"/>
              </w:rPr>
              <w:t xml:space="preserve">ortal increased </w:t>
            </w:r>
          </w:p>
          <w:p w14:paraId="3589BFFE" w14:textId="669FAA66" w:rsidR="005D7CA0" w:rsidRPr="00052AFA" w:rsidRDefault="4435C01B" w:rsidP="00CA4FED">
            <w:pPr>
              <w:rPr>
                <w:iCs/>
                <w:color w:val="000000" w:themeColor="text1"/>
                <w:sz w:val="18"/>
                <w:szCs w:val="18"/>
                <w:lang w:val="en-GB"/>
              </w:rPr>
            </w:pPr>
            <w:r w:rsidRPr="00052AFA">
              <w:rPr>
                <w:iCs/>
                <w:color w:val="000000" w:themeColor="text1"/>
                <w:sz w:val="18"/>
                <w:szCs w:val="18"/>
                <w:lang w:val="en-GB"/>
              </w:rPr>
              <w:t xml:space="preserve">Baseline (2016): </w:t>
            </w:r>
            <w:r w:rsidR="00084D49" w:rsidRPr="00052AFA">
              <w:rPr>
                <w:iCs/>
                <w:color w:val="000000" w:themeColor="text1"/>
                <w:sz w:val="18"/>
                <w:szCs w:val="18"/>
                <w:lang w:val="en-GB"/>
              </w:rPr>
              <w:t>10%</w:t>
            </w:r>
          </w:p>
          <w:p w14:paraId="6136F730" w14:textId="626760FC" w:rsidR="005D7CA0" w:rsidRPr="00052AFA" w:rsidRDefault="4435C01B" w:rsidP="00A555D6">
            <w:pPr>
              <w:rPr>
                <w:iCs/>
                <w:color w:val="000000" w:themeColor="text1"/>
                <w:sz w:val="18"/>
                <w:szCs w:val="18"/>
                <w:lang w:val="en-GB"/>
              </w:rPr>
            </w:pPr>
            <w:r w:rsidRPr="00052AFA">
              <w:rPr>
                <w:iCs/>
                <w:color w:val="000000" w:themeColor="text1"/>
                <w:sz w:val="18"/>
                <w:szCs w:val="18"/>
                <w:lang w:val="en-GB"/>
              </w:rPr>
              <w:t xml:space="preserve">Target: </w:t>
            </w:r>
            <w:r w:rsidR="00084D49" w:rsidRPr="00052AFA">
              <w:rPr>
                <w:iCs/>
                <w:color w:val="000000" w:themeColor="text1"/>
                <w:sz w:val="18"/>
                <w:szCs w:val="18"/>
                <w:lang w:val="en-GB"/>
              </w:rPr>
              <w:t>100%</w:t>
            </w:r>
          </w:p>
        </w:tc>
        <w:tc>
          <w:tcPr>
            <w:tcW w:w="2007" w:type="dxa"/>
            <w:gridSpan w:val="2"/>
            <w:vMerge w:val="restart"/>
          </w:tcPr>
          <w:p w14:paraId="14B5D2A5" w14:textId="00DA5651" w:rsidR="005D7CA0" w:rsidRPr="00052AFA" w:rsidRDefault="4435C01B" w:rsidP="00CA4FED">
            <w:pPr>
              <w:rPr>
                <w:color w:val="000000" w:themeColor="text1"/>
                <w:sz w:val="18"/>
                <w:szCs w:val="18"/>
                <w:lang w:val="en-GB"/>
              </w:rPr>
            </w:pPr>
            <w:r w:rsidRPr="00052AFA">
              <w:rPr>
                <w:color w:val="000000" w:themeColor="text1"/>
                <w:sz w:val="18"/>
                <w:szCs w:val="18"/>
                <w:lang w:val="en-GB"/>
              </w:rPr>
              <w:t xml:space="preserve"> </w:t>
            </w:r>
            <w:r w:rsidR="00C66EE6" w:rsidRPr="00052AFA">
              <w:rPr>
                <w:color w:val="000000" w:themeColor="text1"/>
                <w:sz w:val="18"/>
                <w:szCs w:val="18"/>
                <w:lang w:val="en-GB"/>
              </w:rPr>
              <w:t>DBM,</w:t>
            </w:r>
            <w:r w:rsidR="008A4D59" w:rsidRPr="00052AFA">
              <w:rPr>
                <w:color w:val="000000" w:themeColor="text1"/>
                <w:sz w:val="18"/>
                <w:szCs w:val="18"/>
                <w:lang w:val="en-GB"/>
              </w:rPr>
              <w:t xml:space="preserve"> </w:t>
            </w:r>
            <w:r w:rsidR="004038C1" w:rsidRPr="00052AFA">
              <w:rPr>
                <w:color w:val="000000" w:themeColor="text1"/>
                <w:sz w:val="18"/>
                <w:szCs w:val="18"/>
                <w:lang w:val="en-GB"/>
              </w:rPr>
              <w:t>annual</w:t>
            </w:r>
          </w:p>
          <w:p w14:paraId="1E5EAE21" w14:textId="77777777" w:rsidR="005D7CA0" w:rsidRPr="00052AFA" w:rsidRDefault="005D7CA0" w:rsidP="00CA4FED">
            <w:pPr>
              <w:rPr>
                <w:color w:val="000000" w:themeColor="text1"/>
                <w:sz w:val="18"/>
                <w:szCs w:val="18"/>
                <w:lang w:val="en-GB"/>
              </w:rPr>
            </w:pPr>
          </w:p>
          <w:p w14:paraId="314AE595" w14:textId="77777777" w:rsidR="005D7CA0" w:rsidRPr="00052AFA" w:rsidRDefault="005D7CA0" w:rsidP="00CA4FED">
            <w:pPr>
              <w:rPr>
                <w:color w:val="000000" w:themeColor="text1"/>
                <w:sz w:val="18"/>
                <w:szCs w:val="18"/>
                <w:lang w:val="en-GB"/>
              </w:rPr>
            </w:pPr>
          </w:p>
          <w:p w14:paraId="091CC476" w14:textId="77777777" w:rsidR="00E33824" w:rsidRPr="00052AFA" w:rsidRDefault="00E33824" w:rsidP="00CA4FED">
            <w:pPr>
              <w:rPr>
                <w:color w:val="000000" w:themeColor="text1"/>
                <w:sz w:val="18"/>
                <w:szCs w:val="18"/>
                <w:lang w:val="en-GB"/>
              </w:rPr>
            </w:pPr>
          </w:p>
          <w:p w14:paraId="058C8F8D" w14:textId="39A685AF" w:rsidR="005D7CA0" w:rsidRPr="00052AFA" w:rsidRDefault="00E33824" w:rsidP="00CA4FED">
            <w:pPr>
              <w:rPr>
                <w:color w:val="000000" w:themeColor="text1"/>
                <w:sz w:val="18"/>
                <w:szCs w:val="18"/>
                <w:lang w:val="en-GB"/>
              </w:rPr>
            </w:pPr>
            <w:r w:rsidRPr="00052AFA">
              <w:rPr>
                <w:color w:val="000000" w:themeColor="text1"/>
                <w:sz w:val="18"/>
                <w:szCs w:val="18"/>
                <w:lang w:val="en-GB"/>
              </w:rPr>
              <w:t>Department of Information and Communications Technology</w:t>
            </w:r>
            <w:r w:rsidR="00C66EE6" w:rsidRPr="00052AFA">
              <w:rPr>
                <w:color w:val="000000" w:themeColor="text1"/>
                <w:sz w:val="18"/>
                <w:szCs w:val="18"/>
                <w:lang w:val="en-GB"/>
              </w:rPr>
              <w:t>,</w:t>
            </w:r>
            <w:r w:rsidR="008A4D59" w:rsidRPr="00052AFA">
              <w:rPr>
                <w:color w:val="000000" w:themeColor="text1"/>
                <w:sz w:val="18"/>
                <w:szCs w:val="18"/>
                <w:lang w:val="en-GB"/>
              </w:rPr>
              <w:t xml:space="preserve"> </w:t>
            </w:r>
            <w:r w:rsidR="004038C1" w:rsidRPr="00052AFA">
              <w:rPr>
                <w:color w:val="000000" w:themeColor="text1"/>
                <w:sz w:val="18"/>
                <w:szCs w:val="18"/>
                <w:lang w:val="en-GB"/>
              </w:rPr>
              <w:t>annual</w:t>
            </w:r>
          </w:p>
          <w:p w14:paraId="08A3CEB2" w14:textId="77777777" w:rsidR="005D7CA0" w:rsidRPr="00052AFA" w:rsidRDefault="005D7CA0" w:rsidP="00CA4FED">
            <w:pPr>
              <w:rPr>
                <w:color w:val="000000" w:themeColor="text1"/>
                <w:sz w:val="18"/>
                <w:szCs w:val="18"/>
                <w:lang w:val="en-GB"/>
              </w:rPr>
            </w:pPr>
          </w:p>
        </w:tc>
        <w:tc>
          <w:tcPr>
            <w:tcW w:w="6063" w:type="dxa"/>
            <w:vMerge w:val="restart"/>
            <w:tcMar>
              <w:top w:w="72" w:type="dxa"/>
              <w:left w:w="144" w:type="dxa"/>
              <w:bottom w:w="72" w:type="dxa"/>
              <w:right w:w="144" w:type="dxa"/>
            </w:tcMar>
          </w:tcPr>
          <w:p w14:paraId="0F3D3B77" w14:textId="3523FBC4" w:rsidR="005D7CA0" w:rsidRPr="00052AFA" w:rsidRDefault="00CD5E26" w:rsidP="00715998">
            <w:pPr>
              <w:pBdr>
                <w:top w:val="nil"/>
                <w:left w:val="nil"/>
                <w:bottom w:val="nil"/>
                <w:right w:val="nil"/>
                <w:between w:val="nil"/>
              </w:pBdr>
              <w:rPr>
                <w:color w:val="000000" w:themeColor="text1"/>
                <w:sz w:val="18"/>
                <w:szCs w:val="18"/>
                <w:lang w:val="en-GB"/>
              </w:rPr>
            </w:pPr>
            <w:r>
              <w:rPr>
                <w:b/>
                <w:bCs/>
                <w:color w:val="000000" w:themeColor="text1"/>
                <w:sz w:val="18"/>
                <w:szCs w:val="18"/>
                <w:lang w:val="en-GB"/>
              </w:rPr>
              <w:t xml:space="preserve">1.1. </w:t>
            </w:r>
            <w:r w:rsidR="4435C01B" w:rsidRPr="00052AFA">
              <w:rPr>
                <w:b/>
                <w:bCs/>
                <w:color w:val="000000" w:themeColor="text1"/>
                <w:sz w:val="18"/>
                <w:szCs w:val="18"/>
                <w:lang w:val="en-GB"/>
              </w:rPr>
              <w:t xml:space="preserve">Government capacities enhanced to utilize resources and track progress against the </w:t>
            </w:r>
            <w:r>
              <w:rPr>
                <w:b/>
                <w:bCs/>
                <w:color w:val="000000" w:themeColor="text1"/>
                <w:sz w:val="18"/>
                <w:szCs w:val="18"/>
                <w:lang w:val="en-GB"/>
              </w:rPr>
              <w:t>Sustainable Development Goals</w:t>
            </w:r>
            <w:r w:rsidR="00053123">
              <w:rPr>
                <w:b/>
                <w:bCs/>
                <w:color w:val="000000" w:themeColor="text1"/>
                <w:sz w:val="18"/>
                <w:szCs w:val="18"/>
                <w:lang w:val="en-GB"/>
              </w:rPr>
              <w:t>.</w:t>
            </w:r>
          </w:p>
          <w:p w14:paraId="3B1EEB92" w14:textId="77777777" w:rsidR="005D7CA0" w:rsidRPr="00052AFA" w:rsidRDefault="005D7CA0" w:rsidP="00CA4FED">
            <w:pPr>
              <w:rPr>
                <w:color w:val="000000" w:themeColor="text1"/>
                <w:sz w:val="18"/>
                <w:szCs w:val="18"/>
                <w:lang w:val="en-GB"/>
              </w:rPr>
            </w:pPr>
          </w:p>
          <w:p w14:paraId="2C400161" w14:textId="4A8D1523" w:rsidR="005D7CA0" w:rsidRPr="00052AFA" w:rsidRDefault="4435C01B" w:rsidP="00CA4FED">
            <w:pPr>
              <w:ind w:left="360"/>
              <w:rPr>
                <w:color w:val="000000" w:themeColor="text1"/>
                <w:sz w:val="18"/>
                <w:szCs w:val="18"/>
                <w:lang w:val="en-GB"/>
              </w:rPr>
            </w:pPr>
            <w:r w:rsidRPr="00052AFA">
              <w:rPr>
                <w:color w:val="000000" w:themeColor="text1"/>
                <w:sz w:val="18"/>
                <w:szCs w:val="18"/>
                <w:lang w:val="en-GB"/>
              </w:rPr>
              <w:t>1.1.1</w:t>
            </w:r>
            <w:r w:rsidR="00CD5E26">
              <w:rPr>
                <w:color w:val="000000" w:themeColor="text1"/>
                <w:sz w:val="18"/>
                <w:szCs w:val="18"/>
                <w:lang w:val="en-GB"/>
              </w:rPr>
              <w:t>.</w:t>
            </w:r>
            <w:r w:rsidRPr="00052AFA">
              <w:rPr>
                <w:color w:val="000000" w:themeColor="text1"/>
                <w:sz w:val="18"/>
                <w:szCs w:val="18"/>
                <w:lang w:val="en-GB"/>
              </w:rPr>
              <w:t xml:space="preserve"> Number of UNDP-assisted LGUs</w:t>
            </w:r>
            <w:r w:rsidR="00D04C6C">
              <w:rPr>
                <w:color w:val="000000" w:themeColor="text1"/>
                <w:sz w:val="18"/>
                <w:szCs w:val="18"/>
                <w:lang w:val="en-GB"/>
              </w:rPr>
              <w:t xml:space="preserve"> </w:t>
            </w:r>
            <w:r w:rsidRPr="00052AFA">
              <w:rPr>
                <w:color w:val="000000" w:themeColor="text1"/>
                <w:sz w:val="18"/>
                <w:szCs w:val="18"/>
                <w:lang w:val="en-GB"/>
              </w:rPr>
              <w:t xml:space="preserve">with geographically isolated and disadvantaged (GID) communities having development plans and budgets integrating the </w:t>
            </w:r>
            <w:r w:rsidR="00CD5E26">
              <w:rPr>
                <w:color w:val="000000" w:themeColor="text1"/>
                <w:sz w:val="18"/>
                <w:szCs w:val="18"/>
                <w:lang w:val="en-GB"/>
              </w:rPr>
              <w:t xml:space="preserve">Goals </w:t>
            </w:r>
            <w:r w:rsidR="0034285F" w:rsidRPr="00052AFA">
              <w:rPr>
                <w:color w:val="000000" w:themeColor="text1"/>
                <w:sz w:val="18"/>
                <w:szCs w:val="18"/>
                <w:lang w:val="en-GB"/>
              </w:rPr>
              <w:t>[</w:t>
            </w:r>
            <w:r w:rsidR="00CD5E26">
              <w:rPr>
                <w:color w:val="000000" w:themeColor="text1"/>
                <w:sz w:val="18"/>
                <w:szCs w:val="18"/>
                <w:lang w:val="en-GB"/>
              </w:rPr>
              <w:t>Integrated results and resources framework</w:t>
            </w:r>
            <w:r w:rsidR="00E624EC">
              <w:rPr>
                <w:color w:val="000000" w:themeColor="text1"/>
                <w:sz w:val="18"/>
                <w:szCs w:val="18"/>
                <w:lang w:val="en-GB"/>
              </w:rPr>
              <w:t>.</w:t>
            </w:r>
            <w:r w:rsidR="00CD5E26">
              <w:rPr>
                <w:color w:val="000000" w:themeColor="text1"/>
                <w:sz w:val="18"/>
                <w:szCs w:val="18"/>
                <w:lang w:val="en-GB"/>
              </w:rPr>
              <w:t xml:space="preserve"> (</w:t>
            </w:r>
            <w:r w:rsidR="0034285F" w:rsidRPr="00052AFA">
              <w:rPr>
                <w:color w:val="000000" w:themeColor="text1"/>
                <w:sz w:val="18"/>
                <w:szCs w:val="18"/>
                <w:lang w:val="en-GB"/>
              </w:rPr>
              <w:t>IRRF</w:t>
            </w:r>
            <w:r w:rsidR="00CD5E26">
              <w:rPr>
                <w:color w:val="000000" w:themeColor="text1"/>
                <w:sz w:val="18"/>
                <w:szCs w:val="18"/>
                <w:lang w:val="en-GB"/>
              </w:rPr>
              <w:t>)</w:t>
            </w:r>
            <w:r w:rsidR="0034285F" w:rsidRPr="00052AFA">
              <w:rPr>
                <w:color w:val="000000" w:themeColor="text1"/>
                <w:sz w:val="18"/>
                <w:szCs w:val="18"/>
                <w:lang w:val="en-GB"/>
              </w:rPr>
              <w:t xml:space="preserve"> 1.1.1.1]</w:t>
            </w:r>
          </w:p>
          <w:p w14:paraId="2E81A8B3" w14:textId="55A302C8" w:rsidR="005D7CA0" w:rsidRPr="00052AFA" w:rsidRDefault="004038C1" w:rsidP="00CA4FED">
            <w:pPr>
              <w:ind w:left="360"/>
              <w:rPr>
                <w:iCs/>
                <w:color w:val="000000" w:themeColor="text1"/>
                <w:sz w:val="18"/>
                <w:szCs w:val="18"/>
                <w:lang w:val="en-GB"/>
              </w:rPr>
            </w:pPr>
            <w:r w:rsidRPr="00052AFA">
              <w:rPr>
                <w:iCs/>
                <w:color w:val="000000" w:themeColor="text1"/>
                <w:sz w:val="18"/>
                <w:szCs w:val="18"/>
                <w:lang w:val="en-GB"/>
              </w:rPr>
              <w:t>Baseline</w:t>
            </w:r>
            <w:r w:rsidR="00A93864" w:rsidRPr="00052AFA">
              <w:rPr>
                <w:iCs/>
                <w:color w:val="000000" w:themeColor="text1"/>
                <w:sz w:val="18"/>
                <w:szCs w:val="18"/>
                <w:lang w:val="en-GB"/>
              </w:rPr>
              <w:t xml:space="preserve"> </w:t>
            </w:r>
            <w:r w:rsidR="4435C01B" w:rsidRPr="00052AFA">
              <w:rPr>
                <w:iCs/>
                <w:color w:val="000000" w:themeColor="text1"/>
                <w:sz w:val="18"/>
                <w:szCs w:val="18"/>
                <w:lang w:val="en-GB"/>
              </w:rPr>
              <w:t xml:space="preserve">(2017): 0 </w:t>
            </w:r>
          </w:p>
          <w:p w14:paraId="4A19D563" w14:textId="26419509" w:rsidR="001F4FF7" w:rsidRPr="00052AFA" w:rsidRDefault="4435C01B" w:rsidP="00CA4FED">
            <w:pPr>
              <w:ind w:left="360"/>
              <w:rPr>
                <w:iCs/>
                <w:color w:val="000000" w:themeColor="text1"/>
                <w:sz w:val="18"/>
                <w:szCs w:val="18"/>
                <w:lang w:val="en-GB"/>
              </w:rPr>
            </w:pPr>
            <w:r w:rsidRPr="00052AFA">
              <w:rPr>
                <w:iCs/>
                <w:color w:val="000000" w:themeColor="text1"/>
                <w:sz w:val="18"/>
                <w:szCs w:val="18"/>
                <w:lang w:val="en-GB"/>
              </w:rPr>
              <w:t>Target: 100</w:t>
            </w:r>
          </w:p>
          <w:p w14:paraId="1B151BD6" w14:textId="74C468AF" w:rsidR="006739E4" w:rsidRPr="00052AFA" w:rsidRDefault="006739E4" w:rsidP="00CA4FED">
            <w:pPr>
              <w:ind w:left="360"/>
              <w:rPr>
                <w:iCs/>
                <w:color w:val="000000" w:themeColor="text1"/>
                <w:sz w:val="18"/>
                <w:szCs w:val="18"/>
                <w:lang w:val="en-GB"/>
              </w:rPr>
            </w:pPr>
            <w:r w:rsidRPr="00052AFA">
              <w:rPr>
                <w:iCs/>
                <w:color w:val="000000" w:themeColor="text1"/>
                <w:sz w:val="18"/>
                <w:szCs w:val="18"/>
                <w:lang w:val="en-GB"/>
              </w:rPr>
              <w:t>Source:</w:t>
            </w:r>
            <w:r w:rsidR="00BE038C" w:rsidRPr="00052AFA">
              <w:rPr>
                <w:iCs/>
                <w:color w:val="000000" w:themeColor="text1"/>
                <w:sz w:val="18"/>
                <w:szCs w:val="18"/>
                <w:lang w:val="en-GB"/>
              </w:rPr>
              <w:t xml:space="preserve"> </w:t>
            </w:r>
            <w:r w:rsidR="00363A3B" w:rsidRPr="00052AFA">
              <w:rPr>
                <w:iCs/>
                <w:color w:val="000000" w:themeColor="text1"/>
                <w:sz w:val="18"/>
                <w:szCs w:val="18"/>
                <w:lang w:val="en-GB"/>
              </w:rPr>
              <w:t>Project r</w:t>
            </w:r>
            <w:r w:rsidR="00BE038C" w:rsidRPr="00052AFA">
              <w:rPr>
                <w:iCs/>
                <w:color w:val="000000" w:themeColor="text1"/>
                <w:sz w:val="18"/>
                <w:szCs w:val="18"/>
                <w:lang w:val="en-GB"/>
              </w:rPr>
              <w:t>eports</w:t>
            </w:r>
          </w:p>
          <w:p w14:paraId="583FDCBA" w14:textId="77777777" w:rsidR="005D7CA0" w:rsidRPr="00052AFA" w:rsidRDefault="005D7CA0" w:rsidP="00CA4FED">
            <w:pPr>
              <w:ind w:left="360"/>
              <w:rPr>
                <w:color w:val="000000" w:themeColor="text1"/>
                <w:sz w:val="18"/>
                <w:szCs w:val="18"/>
                <w:lang w:val="en-GB"/>
              </w:rPr>
            </w:pPr>
          </w:p>
          <w:p w14:paraId="2503AFE7" w14:textId="3BD1F5A2" w:rsidR="005D7CA0" w:rsidRPr="00052AFA" w:rsidRDefault="4435C01B" w:rsidP="00CA4FED">
            <w:pPr>
              <w:ind w:left="333"/>
              <w:rPr>
                <w:color w:val="000000" w:themeColor="text1"/>
                <w:sz w:val="18"/>
                <w:szCs w:val="18"/>
                <w:lang w:val="en-GB"/>
              </w:rPr>
            </w:pPr>
            <w:r w:rsidRPr="00052AFA">
              <w:rPr>
                <w:color w:val="000000" w:themeColor="text1"/>
                <w:sz w:val="18"/>
                <w:szCs w:val="18"/>
                <w:lang w:val="en-GB"/>
              </w:rPr>
              <w:t>1.1.2</w:t>
            </w:r>
            <w:r w:rsidR="00CD5E26">
              <w:rPr>
                <w:color w:val="000000" w:themeColor="text1"/>
                <w:sz w:val="18"/>
                <w:szCs w:val="18"/>
                <w:lang w:val="en-GB"/>
              </w:rPr>
              <w:t>.</w:t>
            </w:r>
            <w:r w:rsidRPr="00052AFA">
              <w:rPr>
                <w:color w:val="000000" w:themeColor="text1"/>
                <w:sz w:val="18"/>
                <w:szCs w:val="18"/>
                <w:lang w:val="en-GB"/>
              </w:rPr>
              <w:t xml:space="preserve"> Number of UNDP-assisted municipalities with GID communities having innovative monitoring platforms providing disaggregated data</w:t>
            </w:r>
            <w:r w:rsidR="00E624EC">
              <w:rPr>
                <w:color w:val="000000" w:themeColor="text1"/>
                <w:sz w:val="18"/>
                <w:szCs w:val="18"/>
                <w:lang w:val="en-GB"/>
              </w:rPr>
              <w:t>.</w:t>
            </w:r>
            <w:r w:rsidR="0034285F" w:rsidRPr="00052AFA">
              <w:rPr>
                <w:color w:val="000000" w:themeColor="text1"/>
                <w:sz w:val="18"/>
                <w:szCs w:val="18"/>
                <w:lang w:val="en-GB"/>
              </w:rPr>
              <w:t xml:space="preserve"> [IRRF 1.1.1.3]</w:t>
            </w:r>
          </w:p>
          <w:p w14:paraId="197FECB7" w14:textId="69AE8347" w:rsidR="005D7CA0" w:rsidRPr="00052AFA" w:rsidRDefault="004038C1" w:rsidP="00CA4FED">
            <w:pPr>
              <w:ind w:left="360"/>
              <w:rPr>
                <w:iCs/>
                <w:color w:val="000000" w:themeColor="text1"/>
                <w:sz w:val="18"/>
                <w:szCs w:val="18"/>
                <w:lang w:val="en-GB"/>
              </w:rPr>
            </w:pPr>
            <w:r w:rsidRPr="00052AFA">
              <w:rPr>
                <w:iCs/>
                <w:color w:val="000000" w:themeColor="text1"/>
                <w:sz w:val="18"/>
                <w:szCs w:val="18"/>
                <w:lang w:val="en-GB"/>
              </w:rPr>
              <w:t>Baseline</w:t>
            </w:r>
            <w:r w:rsidR="00A93864" w:rsidRPr="00052AFA">
              <w:rPr>
                <w:iCs/>
                <w:color w:val="000000" w:themeColor="text1"/>
                <w:sz w:val="18"/>
                <w:szCs w:val="18"/>
                <w:lang w:val="en-GB"/>
              </w:rPr>
              <w:t xml:space="preserve"> </w:t>
            </w:r>
            <w:r w:rsidR="4435C01B" w:rsidRPr="00052AFA">
              <w:rPr>
                <w:iCs/>
                <w:color w:val="000000" w:themeColor="text1"/>
                <w:sz w:val="18"/>
                <w:szCs w:val="18"/>
                <w:lang w:val="en-GB"/>
              </w:rPr>
              <w:t>(2017): 0</w:t>
            </w:r>
          </w:p>
          <w:p w14:paraId="5BA8DA02" w14:textId="77777777" w:rsidR="005D7CA0" w:rsidRPr="00052AFA" w:rsidRDefault="4435C01B" w:rsidP="00CA4FED">
            <w:pPr>
              <w:ind w:left="360"/>
              <w:rPr>
                <w:iCs/>
                <w:color w:val="000000" w:themeColor="text1"/>
                <w:sz w:val="18"/>
                <w:szCs w:val="18"/>
                <w:lang w:val="en-GB"/>
              </w:rPr>
            </w:pPr>
            <w:r w:rsidRPr="00052AFA">
              <w:rPr>
                <w:iCs/>
                <w:color w:val="000000" w:themeColor="text1"/>
                <w:sz w:val="18"/>
                <w:szCs w:val="18"/>
                <w:lang w:val="en-GB"/>
              </w:rPr>
              <w:t>Target: 100</w:t>
            </w:r>
          </w:p>
          <w:p w14:paraId="1E14BD01" w14:textId="5301F3D0" w:rsidR="006739E4" w:rsidRPr="00052AFA" w:rsidRDefault="006739E4" w:rsidP="00CA4FED">
            <w:pPr>
              <w:ind w:left="360"/>
              <w:rPr>
                <w:iCs/>
                <w:color w:val="000000" w:themeColor="text1"/>
                <w:sz w:val="18"/>
                <w:szCs w:val="18"/>
                <w:lang w:val="en-GB"/>
              </w:rPr>
            </w:pPr>
            <w:r w:rsidRPr="00052AFA">
              <w:rPr>
                <w:iCs/>
                <w:color w:val="000000" w:themeColor="text1"/>
                <w:sz w:val="18"/>
                <w:szCs w:val="18"/>
                <w:lang w:val="en-GB"/>
              </w:rPr>
              <w:t>Source:</w:t>
            </w:r>
            <w:r w:rsidR="00BE038C" w:rsidRPr="00052AFA">
              <w:rPr>
                <w:iCs/>
                <w:color w:val="000000" w:themeColor="text1"/>
                <w:sz w:val="18"/>
                <w:szCs w:val="18"/>
                <w:lang w:val="en-GB"/>
              </w:rPr>
              <w:t xml:space="preserve"> Independent evaluation and project reports</w:t>
            </w:r>
            <w:r w:rsidRPr="00052AFA">
              <w:rPr>
                <w:iCs/>
                <w:color w:val="000000" w:themeColor="text1"/>
                <w:sz w:val="18"/>
                <w:szCs w:val="18"/>
                <w:lang w:val="en-GB"/>
              </w:rPr>
              <w:t xml:space="preserve"> </w:t>
            </w:r>
          </w:p>
          <w:p w14:paraId="3020E39C" w14:textId="0BD3946A" w:rsidR="001F4FF7" w:rsidRPr="00052AFA" w:rsidRDefault="001F4FF7" w:rsidP="00CA4FED">
            <w:pPr>
              <w:ind w:left="360"/>
              <w:rPr>
                <w:iCs/>
                <w:color w:val="000000" w:themeColor="text1"/>
                <w:sz w:val="18"/>
                <w:szCs w:val="18"/>
                <w:lang w:val="en-GB"/>
              </w:rPr>
            </w:pPr>
          </w:p>
          <w:p w14:paraId="48BE82D5" w14:textId="00C91CAD" w:rsidR="001F4FF7" w:rsidRPr="00052AFA" w:rsidRDefault="001F4FF7" w:rsidP="00CA4FED">
            <w:pPr>
              <w:ind w:left="360"/>
              <w:rPr>
                <w:color w:val="000000" w:themeColor="text1"/>
                <w:sz w:val="18"/>
                <w:szCs w:val="18"/>
                <w:lang w:val="en-GB"/>
              </w:rPr>
            </w:pPr>
            <w:r w:rsidRPr="00052AFA">
              <w:rPr>
                <w:color w:val="000000" w:themeColor="text1"/>
                <w:sz w:val="18"/>
                <w:szCs w:val="18"/>
                <w:lang w:val="en-GB"/>
              </w:rPr>
              <w:t>1.1.3</w:t>
            </w:r>
            <w:r w:rsidR="00E624EC">
              <w:rPr>
                <w:color w:val="000000" w:themeColor="text1"/>
                <w:sz w:val="18"/>
                <w:szCs w:val="18"/>
                <w:lang w:val="en-GB"/>
              </w:rPr>
              <w:t>.</w:t>
            </w:r>
            <w:r w:rsidRPr="00052AFA">
              <w:rPr>
                <w:color w:val="000000" w:themeColor="text1"/>
                <w:sz w:val="18"/>
                <w:szCs w:val="18"/>
                <w:lang w:val="en-GB"/>
              </w:rPr>
              <w:t xml:space="preserve"> Number of people accessing essential public services with UNDP assistance</w:t>
            </w:r>
            <w:r w:rsidR="00E624EC">
              <w:rPr>
                <w:color w:val="000000" w:themeColor="text1"/>
                <w:sz w:val="18"/>
                <w:szCs w:val="18"/>
                <w:lang w:val="en-GB"/>
              </w:rPr>
              <w:t>.</w:t>
            </w:r>
            <w:r w:rsidRPr="00052AFA">
              <w:rPr>
                <w:color w:val="000000" w:themeColor="text1"/>
                <w:sz w:val="18"/>
                <w:szCs w:val="18"/>
                <w:lang w:val="en-GB"/>
              </w:rPr>
              <w:t xml:space="preserve"> </w:t>
            </w:r>
            <w:r w:rsidR="0034285F" w:rsidRPr="00052AFA">
              <w:rPr>
                <w:color w:val="000000" w:themeColor="text1"/>
                <w:sz w:val="18"/>
                <w:szCs w:val="18"/>
                <w:lang w:val="en-GB"/>
              </w:rPr>
              <w:t>[IRRF 1.1.2.1]</w:t>
            </w:r>
          </w:p>
          <w:p w14:paraId="4FADF554" w14:textId="76ECE06F" w:rsidR="001F4FF7" w:rsidRPr="00052AFA" w:rsidRDefault="004038C1" w:rsidP="00CA4FED">
            <w:pPr>
              <w:ind w:left="360"/>
              <w:rPr>
                <w:iCs/>
                <w:color w:val="000000" w:themeColor="text1"/>
                <w:sz w:val="18"/>
                <w:szCs w:val="18"/>
                <w:lang w:val="en-GB"/>
              </w:rPr>
            </w:pPr>
            <w:r w:rsidRPr="00052AFA">
              <w:rPr>
                <w:iCs/>
                <w:color w:val="000000" w:themeColor="text1"/>
                <w:sz w:val="18"/>
                <w:szCs w:val="18"/>
                <w:lang w:val="en-GB"/>
              </w:rPr>
              <w:t>Baseline</w:t>
            </w:r>
            <w:r w:rsidR="00A93864" w:rsidRPr="00052AFA">
              <w:rPr>
                <w:iCs/>
                <w:color w:val="000000" w:themeColor="text1"/>
                <w:sz w:val="18"/>
                <w:szCs w:val="18"/>
                <w:lang w:val="en-GB"/>
              </w:rPr>
              <w:t xml:space="preserve"> </w:t>
            </w:r>
            <w:r w:rsidR="00B91CD7" w:rsidRPr="00052AFA">
              <w:rPr>
                <w:iCs/>
                <w:color w:val="000000" w:themeColor="text1"/>
                <w:sz w:val="18"/>
                <w:szCs w:val="18"/>
                <w:lang w:val="en-GB"/>
              </w:rPr>
              <w:t xml:space="preserve">(2017): </w:t>
            </w:r>
            <w:r w:rsidR="00E624EC">
              <w:rPr>
                <w:iCs/>
                <w:color w:val="000000" w:themeColor="text1"/>
                <w:sz w:val="18"/>
                <w:szCs w:val="18"/>
                <w:lang w:val="en-GB"/>
              </w:rPr>
              <w:t>w</w:t>
            </w:r>
            <w:r w:rsidR="00B91CD7" w:rsidRPr="00052AFA">
              <w:rPr>
                <w:iCs/>
                <w:color w:val="000000" w:themeColor="text1"/>
                <w:sz w:val="18"/>
                <w:szCs w:val="18"/>
                <w:lang w:val="en-GB"/>
              </w:rPr>
              <w:t>omen</w:t>
            </w:r>
            <w:r w:rsidR="00E624EC">
              <w:rPr>
                <w:iCs/>
                <w:color w:val="000000" w:themeColor="text1"/>
                <w:sz w:val="18"/>
                <w:szCs w:val="18"/>
                <w:lang w:val="en-GB"/>
              </w:rPr>
              <w:t xml:space="preserve"> (</w:t>
            </w:r>
            <w:r w:rsidR="00B91CD7" w:rsidRPr="00052AFA">
              <w:rPr>
                <w:iCs/>
                <w:color w:val="000000" w:themeColor="text1"/>
                <w:sz w:val="18"/>
                <w:szCs w:val="18"/>
                <w:lang w:val="en-GB"/>
              </w:rPr>
              <w:t>87,966</w:t>
            </w:r>
            <w:r w:rsidR="00E624EC">
              <w:rPr>
                <w:iCs/>
                <w:color w:val="000000" w:themeColor="text1"/>
                <w:sz w:val="18"/>
                <w:szCs w:val="18"/>
                <w:lang w:val="en-GB"/>
              </w:rPr>
              <w:t>); y</w:t>
            </w:r>
            <w:r w:rsidR="00B91CD7" w:rsidRPr="00052AFA">
              <w:rPr>
                <w:iCs/>
                <w:color w:val="000000" w:themeColor="text1"/>
                <w:sz w:val="18"/>
                <w:szCs w:val="18"/>
                <w:lang w:val="en-GB"/>
              </w:rPr>
              <w:t>outh</w:t>
            </w:r>
            <w:r w:rsidR="00E624EC">
              <w:rPr>
                <w:iCs/>
                <w:color w:val="000000" w:themeColor="text1"/>
                <w:sz w:val="18"/>
                <w:szCs w:val="18"/>
                <w:lang w:val="en-GB"/>
              </w:rPr>
              <w:t xml:space="preserve"> (</w:t>
            </w:r>
            <w:r w:rsidR="00B91CD7" w:rsidRPr="00052AFA">
              <w:rPr>
                <w:iCs/>
                <w:color w:val="000000" w:themeColor="text1"/>
                <w:sz w:val="18"/>
                <w:szCs w:val="18"/>
                <w:lang w:val="en-GB"/>
              </w:rPr>
              <w:t>172,181</w:t>
            </w:r>
            <w:r w:rsidR="00E624EC">
              <w:rPr>
                <w:iCs/>
                <w:color w:val="000000" w:themeColor="text1"/>
                <w:sz w:val="18"/>
                <w:szCs w:val="18"/>
                <w:lang w:val="en-GB"/>
              </w:rPr>
              <w:t>); internally displaced (</w:t>
            </w:r>
            <w:r w:rsidR="00B91CD7" w:rsidRPr="00052AFA">
              <w:rPr>
                <w:iCs/>
                <w:color w:val="000000" w:themeColor="text1"/>
                <w:sz w:val="18"/>
                <w:szCs w:val="18"/>
                <w:lang w:val="en-GB"/>
              </w:rPr>
              <w:t>57,222</w:t>
            </w:r>
            <w:r w:rsidR="00E624EC">
              <w:rPr>
                <w:iCs/>
                <w:color w:val="000000" w:themeColor="text1"/>
                <w:sz w:val="18"/>
                <w:szCs w:val="18"/>
                <w:lang w:val="en-GB"/>
              </w:rPr>
              <w:t>); p</w:t>
            </w:r>
            <w:r w:rsidR="005F5E13" w:rsidRPr="00052AFA">
              <w:rPr>
                <w:iCs/>
                <w:color w:val="000000" w:themeColor="text1"/>
                <w:sz w:val="18"/>
                <w:szCs w:val="18"/>
                <w:lang w:val="en-GB"/>
              </w:rPr>
              <w:t xml:space="preserve">eople with </w:t>
            </w:r>
            <w:r w:rsidR="00E624EC">
              <w:rPr>
                <w:iCs/>
                <w:color w:val="000000" w:themeColor="text1"/>
                <w:sz w:val="18"/>
                <w:szCs w:val="18"/>
                <w:lang w:val="en-GB"/>
              </w:rPr>
              <w:t>d</w:t>
            </w:r>
            <w:r w:rsidR="005F5E13" w:rsidRPr="00052AFA">
              <w:rPr>
                <w:iCs/>
                <w:color w:val="000000" w:themeColor="text1"/>
                <w:sz w:val="18"/>
                <w:szCs w:val="18"/>
                <w:lang w:val="en-GB"/>
              </w:rPr>
              <w:t>isabilities</w:t>
            </w:r>
            <w:r w:rsidR="00E624EC">
              <w:rPr>
                <w:iCs/>
                <w:color w:val="000000" w:themeColor="text1"/>
                <w:sz w:val="18"/>
                <w:szCs w:val="18"/>
                <w:lang w:val="en-GB"/>
              </w:rPr>
              <w:t xml:space="preserve"> (</w:t>
            </w:r>
            <w:r w:rsidR="001F4FF7" w:rsidRPr="00052AFA">
              <w:rPr>
                <w:iCs/>
                <w:color w:val="000000" w:themeColor="text1"/>
                <w:sz w:val="18"/>
                <w:szCs w:val="18"/>
                <w:lang w:val="en-GB"/>
              </w:rPr>
              <w:t>3,272</w:t>
            </w:r>
            <w:r w:rsidR="00E624EC">
              <w:rPr>
                <w:iCs/>
                <w:color w:val="000000" w:themeColor="text1"/>
                <w:sz w:val="18"/>
                <w:szCs w:val="18"/>
                <w:lang w:val="en-GB"/>
              </w:rPr>
              <w:t>)</w:t>
            </w:r>
          </w:p>
          <w:p w14:paraId="5FA96A16" w14:textId="6A983217" w:rsidR="001F4FF7" w:rsidRPr="00052AFA" w:rsidRDefault="001F4FF7" w:rsidP="00CA4FED">
            <w:pPr>
              <w:ind w:left="360"/>
              <w:rPr>
                <w:iCs/>
                <w:color w:val="000000" w:themeColor="text1"/>
                <w:sz w:val="18"/>
                <w:szCs w:val="18"/>
                <w:lang w:val="en-GB"/>
              </w:rPr>
            </w:pPr>
            <w:r w:rsidRPr="00052AFA">
              <w:rPr>
                <w:iCs/>
                <w:color w:val="000000" w:themeColor="text1"/>
                <w:sz w:val="18"/>
                <w:szCs w:val="18"/>
                <w:lang w:val="en-GB"/>
              </w:rPr>
              <w:t xml:space="preserve">Target: </w:t>
            </w:r>
            <w:r w:rsidR="00B80440" w:rsidRPr="00052AFA">
              <w:rPr>
                <w:iCs/>
                <w:color w:val="000000" w:themeColor="text1"/>
                <w:sz w:val="18"/>
                <w:szCs w:val="18"/>
                <w:lang w:val="en-GB"/>
              </w:rPr>
              <w:t>92,364</w:t>
            </w:r>
            <w:r w:rsidR="00E624EC">
              <w:rPr>
                <w:iCs/>
                <w:color w:val="000000" w:themeColor="text1"/>
                <w:sz w:val="18"/>
                <w:szCs w:val="18"/>
                <w:lang w:val="en-GB"/>
              </w:rPr>
              <w:t xml:space="preserve">; </w:t>
            </w:r>
            <w:r w:rsidR="00274A1B" w:rsidRPr="00052AFA">
              <w:rPr>
                <w:iCs/>
                <w:color w:val="000000" w:themeColor="text1"/>
                <w:sz w:val="18"/>
                <w:szCs w:val="18"/>
                <w:lang w:val="en-GB"/>
              </w:rPr>
              <w:t>180,790</w:t>
            </w:r>
            <w:r w:rsidR="00E624EC">
              <w:rPr>
                <w:iCs/>
                <w:color w:val="000000" w:themeColor="text1"/>
                <w:sz w:val="18"/>
                <w:szCs w:val="18"/>
                <w:lang w:val="en-GB"/>
              </w:rPr>
              <w:t xml:space="preserve">; </w:t>
            </w:r>
            <w:r w:rsidR="00274A1B" w:rsidRPr="00052AFA">
              <w:rPr>
                <w:iCs/>
                <w:color w:val="000000" w:themeColor="text1"/>
                <w:sz w:val="18"/>
                <w:szCs w:val="18"/>
                <w:lang w:val="en-GB"/>
              </w:rPr>
              <w:t>60,083</w:t>
            </w:r>
            <w:r w:rsidR="00E624EC">
              <w:rPr>
                <w:iCs/>
                <w:color w:val="000000" w:themeColor="text1"/>
                <w:sz w:val="18"/>
                <w:szCs w:val="18"/>
                <w:lang w:val="en-GB"/>
              </w:rPr>
              <w:t xml:space="preserve">; </w:t>
            </w:r>
            <w:r w:rsidR="00274A1B" w:rsidRPr="00052AFA">
              <w:rPr>
                <w:iCs/>
                <w:color w:val="000000" w:themeColor="text1"/>
                <w:sz w:val="18"/>
                <w:szCs w:val="18"/>
                <w:lang w:val="en-GB"/>
              </w:rPr>
              <w:t>3,436</w:t>
            </w:r>
          </w:p>
          <w:p w14:paraId="7410D4B5" w14:textId="601B01E8" w:rsidR="006739E4" w:rsidRPr="00052AFA" w:rsidRDefault="006739E4" w:rsidP="00CA4FED">
            <w:pPr>
              <w:ind w:left="360"/>
              <w:rPr>
                <w:iCs/>
                <w:color w:val="000000" w:themeColor="text1"/>
                <w:sz w:val="18"/>
                <w:szCs w:val="18"/>
                <w:lang w:val="en-GB"/>
              </w:rPr>
            </w:pPr>
            <w:r w:rsidRPr="00052AFA">
              <w:rPr>
                <w:iCs/>
                <w:color w:val="000000" w:themeColor="text1"/>
                <w:sz w:val="18"/>
                <w:szCs w:val="18"/>
                <w:lang w:val="en-GB"/>
              </w:rPr>
              <w:t>Source:</w:t>
            </w:r>
            <w:r w:rsidR="00BE038C" w:rsidRPr="00052AFA">
              <w:rPr>
                <w:iCs/>
                <w:color w:val="000000" w:themeColor="text1"/>
                <w:sz w:val="18"/>
                <w:szCs w:val="18"/>
                <w:lang w:val="en-GB"/>
              </w:rPr>
              <w:t xml:space="preserve"> Independent evaluation and project reports</w:t>
            </w:r>
          </w:p>
          <w:p w14:paraId="76B321EB" w14:textId="77777777" w:rsidR="00E624EC" w:rsidRPr="00052AFA" w:rsidRDefault="00E624EC" w:rsidP="00CA4FED">
            <w:pPr>
              <w:ind w:left="360"/>
              <w:rPr>
                <w:b/>
                <w:color w:val="000000" w:themeColor="text1"/>
                <w:sz w:val="18"/>
                <w:szCs w:val="18"/>
                <w:lang w:val="en-GB"/>
              </w:rPr>
            </w:pPr>
          </w:p>
          <w:p w14:paraId="7D7FCA2F" w14:textId="2B930B14" w:rsidR="005D7CA0" w:rsidRPr="00715998" w:rsidRDefault="00E624EC" w:rsidP="00715998">
            <w:pPr>
              <w:pBdr>
                <w:top w:val="nil"/>
                <w:left w:val="nil"/>
                <w:bottom w:val="nil"/>
                <w:right w:val="nil"/>
                <w:between w:val="nil"/>
              </w:pBdr>
              <w:rPr>
                <w:b/>
                <w:bCs/>
                <w:color w:val="000000" w:themeColor="text1"/>
                <w:sz w:val="18"/>
                <w:szCs w:val="18"/>
                <w:lang w:val="en-GB"/>
              </w:rPr>
            </w:pPr>
            <w:r>
              <w:rPr>
                <w:b/>
                <w:bCs/>
                <w:color w:val="000000" w:themeColor="text1"/>
                <w:sz w:val="18"/>
                <w:szCs w:val="18"/>
                <w:lang w:val="en-GB"/>
              </w:rPr>
              <w:t>1.2</w:t>
            </w:r>
            <w:r w:rsidR="00BA0D2B">
              <w:rPr>
                <w:b/>
                <w:bCs/>
                <w:color w:val="000000" w:themeColor="text1"/>
                <w:sz w:val="18"/>
                <w:szCs w:val="18"/>
                <w:lang w:val="en-GB"/>
              </w:rPr>
              <w:t>.</w:t>
            </w:r>
            <w:r>
              <w:rPr>
                <w:b/>
                <w:bCs/>
                <w:color w:val="000000" w:themeColor="text1"/>
                <w:sz w:val="18"/>
                <w:szCs w:val="18"/>
                <w:lang w:val="en-GB"/>
              </w:rPr>
              <w:t xml:space="preserve"> </w:t>
            </w:r>
            <w:r w:rsidR="4435C01B" w:rsidRPr="00715998">
              <w:rPr>
                <w:b/>
                <w:bCs/>
                <w:color w:val="000000" w:themeColor="text1"/>
                <w:sz w:val="18"/>
                <w:szCs w:val="18"/>
                <w:lang w:val="en-GB"/>
              </w:rPr>
              <w:t xml:space="preserve">Public financial management strengthened for efficient and effective execution of budgets </w:t>
            </w:r>
            <w:r w:rsidR="00B91CD7" w:rsidRPr="00715998">
              <w:rPr>
                <w:b/>
                <w:bCs/>
                <w:color w:val="000000" w:themeColor="text1"/>
                <w:sz w:val="18"/>
                <w:szCs w:val="18"/>
                <w:lang w:val="en-GB"/>
              </w:rPr>
              <w:t>allocated for the delivery of basic services</w:t>
            </w:r>
            <w:r w:rsidR="00053123">
              <w:rPr>
                <w:b/>
                <w:bCs/>
                <w:color w:val="000000" w:themeColor="text1"/>
                <w:sz w:val="18"/>
                <w:szCs w:val="18"/>
                <w:lang w:val="en-GB"/>
              </w:rPr>
              <w:t>.</w:t>
            </w:r>
          </w:p>
          <w:p w14:paraId="2A7C74FF" w14:textId="77777777" w:rsidR="005D7CA0" w:rsidRPr="00052AFA" w:rsidRDefault="005D7CA0" w:rsidP="00CA4FED">
            <w:pPr>
              <w:pBdr>
                <w:top w:val="nil"/>
                <w:left w:val="nil"/>
                <w:bottom w:val="nil"/>
                <w:right w:val="nil"/>
                <w:between w:val="nil"/>
              </w:pBdr>
              <w:ind w:left="360"/>
              <w:rPr>
                <w:color w:val="000000" w:themeColor="text1"/>
                <w:sz w:val="18"/>
                <w:szCs w:val="18"/>
                <w:lang w:val="en-GB"/>
              </w:rPr>
            </w:pPr>
          </w:p>
          <w:p w14:paraId="03A1214C" w14:textId="616B066D" w:rsidR="005D7CA0" w:rsidRPr="00052AFA" w:rsidRDefault="4435C01B" w:rsidP="00CA4FED">
            <w:pPr>
              <w:ind w:left="360"/>
              <w:rPr>
                <w:color w:val="000000" w:themeColor="text1"/>
                <w:sz w:val="18"/>
                <w:szCs w:val="18"/>
                <w:lang w:val="en-GB"/>
              </w:rPr>
            </w:pPr>
            <w:r w:rsidRPr="00052AFA">
              <w:rPr>
                <w:color w:val="000000" w:themeColor="text1"/>
                <w:sz w:val="18"/>
                <w:szCs w:val="18"/>
                <w:lang w:val="en-GB"/>
              </w:rPr>
              <w:t>1.2.1</w:t>
            </w:r>
            <w:r w:rsidR="00E624EC">
              <w:rPr>
                <w:color w:val="000000" w:themeColor="text1"/>
                <w:sz w:val="18"/>
                <w:szCs w:val="18"/>
                <w:lang w:val="en-GB"/>
              </w:rPr>
              <w:t>.</w:t>
            </w:r>
            <w:r w:rsidRPr="00052AFA">
              <w:rPr>
                <w:color w:val="000000" w:themeColor="text1"/>
                <w:sz w:val="18"/>
                <w:szCs w:val="18"/>
                <w:lang w:val="en-GB"/>
              </w:rPr>
              <w:t xml:space="preserve"> Number of UNDP-assisted </w:t>
            </w:r>
            <w:r w:rsidR="001735F7">
              <w:rPr>
                <w:color w:val="000000" w:themeColor="text1"/>
                <w:sz w:val="18"/>
                <w:szCs w:val="18"/>
                <w:lang w:val="en-GB"/>
              </w:rPr>
              <w:t>n</w:t>
            </w:r>
            <w:r w:rsidR="00D04C6C">
              <w:rPr>
                <w:color w:val="000000" w:themeColor="text1"/>
                <w:sz w:val="18"/>
                <w:szCs w:val="18"/>
                <w:lang w:val="en-GB"/>
              </w:rPr>
              <w:t xml:space="preserve">ational </w:t>
            </w:r>
            <w:r w:rsidR="001735F7">
              <w:rPr>
                <w:color w:val="000000" w:themeColor="text1"/>
                <w:sz w:val="18"/>
                <w:szCs w:val="18"/>
                <w:lang w:val="en-GB"/>
              </w:rPr>
              <w:t>g</w:t>
            </w:r>
            <w:r w:rsidR="00D04C6C">
              <w:rPr>
                <w:color w:val="000000" w:themeColor="text1"/>
                <w:sz w:val="18"/>
                <w:szCs w:val="18"/>
                <w:lang w:val="en-GB"/>
              </w:rPr>
              <w:t xml:space="preserve">overnment </w:t>
            </w:r>
            <w:r w:rsidR="001735F7">
              <w:rPr>
                <w:color w:val="000000" w:themeColor="text1"/>
                <w:sz w:val="18"/>
                <w:szCs w:val="18"/>
                <w:lang w:val="en-GB"/>
              </w:rPr>
              <w:t>a</w:t>
            </w:r>
            <w:r w:rsidR="00D04C6C">
              <w:rPr>
                <w:color w:val="000000" w:themeColor="text1"/>
                <w:sz w:val="18"/>
                <w:szCs w:val="18"/>
                <w:lang w:val="en-GB"/>
              </w:rPr>
              <w:t>gencie</w:t>
            </w:r>
            <w:r w:rsidRPr="00052AFA">
              <w:rPr>
                <w:color w:val="000000" w:themeColor="text1"/>
                <w:sz w:val="18"/>
                <w:szCs w:val="18"/>
                <w:lang w:val="en-GB"/>
              </w:rPr>
              <w:t>s</w:t>
            </w:r>
            <w:r w:rsidR="002A05AC" w:rsidRPr="00052AFA">
              <w:rPr>
                <w:color w:val="000000" w:themeColor="text1"/>
                <w:sz w:val="18"/>
                <w:szCs w:val="18"/>
                <w:lang w:val="en-GB"/>
              </w:rPr>
              <w:t xml:space="preserve"> and LGUs</w:t>
            </w:r>
            <w:r w:rsidRPr="00052AFA">
              <w:rPr>
                <w:color w:val="000000" w:themeColor="text1"/>
                <w:sz w:val="18"/>
                <w:szCs w:val="18"/>
                <w:lang w:val="en-GB"/>
              </w:rPr>
              <w:t xml:space="preserve"> implementing reforms and innovations for:</w:t>
            </w:r>
          </w:p>
          <w:p w14:paraId="57871F19" w14:textId="56EEFC3B" w:rsidR="005D7CA0" w:rsidRPr="00052AFA" w:rsidRDefault="4435C01B" w:rsidP="00CA4FED">
            <w:pPr>
              <w:numPr>
                <w:ilvl w:val="0"/>
                <w:numId w:val="13"/>
              </w:numPr>
              <w:pBdr>
                <w:top w:val="nil"/>
                <w:left w:val="nil"/>
                <w:bottom w:val="nil"/>
                <w:right w:val="nil"/>
                <w:between w:val="nil"/>
              </w:pBdr>
              <w:rPr>
                <w:color w:val="000000" w:themeColor="text1"/>
                <w:sz w:val="18"/>
                <w:szCs w:val="18"/>
                <w:lang w:val="en-GB"/>
              </w:rPr>
            </w:pPr>
            <w:r w:rsidRPr="00052AFA">
              <w:rPr>
                <w:color w:val="000000" w:themeColor="text1"/>
                <w:sz w:val="18"/>
                <w:szCs w:val="18"/>
                <w:lang w:val="en-GB"/>
              </w:rPr>
              <w:lastRenderedPageBreak/>
              <w:t>Delivery and monitoring of services</w:t>
            </w:r>
            <w:r w:rsidR="00E624EC">
              <w:rPr>
                <w:color w:val="000000" w:themeColor="text1"/>
                <w:sz w:val="18"/>
                <w:szCs w:val="18"/>
                <w:lang w:val="en-GB"/>
              </w:rPr>
              <w:t>;</w:t>
            </w:r>
          </w:p>
          <w:p w14:paraId="75C0EEA6" w14:textId="294F5A6C" w:rsidR="005D7CA0" w:rsidRPr="00052AFA" w:rsidRDefault="4435C01B" w:rsidP="00CA4FED">
            <w:pPr>
              <w:numPr>
                <w:ilvl w:val="0"/>
                <w:numId w:val="13"/>
              </w:numPr>
              <w:pBdr>
                <w:top w:val="nil"/>
                <w:left w:val="nil"/>
                <w:bottom w:val="nil"/>
                <w:right w:val="nil"/>
                <w:between w:val="nil"/>
              </w:pBdr>
              <w:rPr>
                <w:color w:val="000000" w:themeColor="text1"/>
                <w:sz w:val="18"/>
                <w:szCs w:val="18"/>
                <w:lang w:val="en-GB"/>
              </w:rPr>
            </w:pPr>
            <w:r w:rsidRPr="00052AFA">
              <w:rPr>
                <w:color w:val="000000" w:themeColor="text1"/>
                <w:sz w:val="18"/>
                <w:szCs w:val="18"/>
                <w:lang w:val="en-GB"/>
              </w:rPr>
              <w:t>Public finance management</w:t>
            </w:r>
            <w:r w:rsidR="00E624EC">
              <w:rPr>
                <w:color w:val="000000" w:themeColor="text1"/>
                <w:sz w:val="18"/>
                <w:szCs w:val="18"/>
                <w:lang w:val="en-GB"/>
              </w:rPr>
              <w:t>;</w:t>
            </w:r>
          </w:p>
          <w:p w14:paraId="05905E14" w14:textId="644CA5CB" w:rsidR="005D7CA0" w:rsidRPr="00052AFA" w:rsidRDefault="4435C01B" w:rsidP="00CA4FED">
            <w:pPr>
              <w:numPr>
                <w:ilvl w:val="0"/>
                <w:numId w:val="13"/>
              </w:numPr>
              <w:pBdr>
                <w:top w:val="nil"/>
                <w:left w:val="nil"/>
                <w:bottom w:val="nil"/>
                <w:right w:val="nil"/>
                <w:between w:val="nil"/>
              </w:pBdr>
              <w:rPr>
                <w:color w:val="000000" w:themeColor="text1"/>
                <w:sz w:val="18"/>
                <w:szCs w:val="18"/>
                <w:lang w:val="en-GB"/>
              </w:rPr>
            </w:pPr>
            <w:r w:rsidRPr="00052AFA">
              <w:rPr>
                <w:color w:val="000000" w:themeColor="text1"/>
                <w:sz w:val="18"/>
                <w:szCs w:val="18"/>
                <w:lang w:val="en-GB"/>
              </w:rPr>
              <w:t>Public procurement</w:t>
            </w:r>
            <w:r w:rsidR="00E624EC">
              <w:rPr>
                <w:color w:val="000000" w:themeColor="text1"/>
                <w:sz w:val="18"/>
                <w:szCs w:val="18"/>
                <w:lang w:val="en-GB"/>
              </w:rPr>
              <w:t>;</w:t>
            </w:r>
            <w:r w:rsidRPr="00052AFA">
              <w:rPr>
                <w:color w:val="000000" w:themeColor="text1"/>
                <w:sz w:val="18"/>
                <w:szCs w:val="18"/>
                <w:lang w:val="en-GB"/>
              </w:rPr>
              <w:t xml:space="preserve"> </w:t>
            </w:r>
          </w:p>
          <w:p w14:paraId="0E75DDD7" w14:textId="04BC9F9D" w:rsidR="005D7CA0" w:rsidRPr="00052AFA" w:rsidRDefault="004038C1" w:rsidP="00CA4FED">
            <w:pPr>
              <w:ind w:left="360"/>
              <w:rPr>
                <w:iCs/>
                <w:color w:val="000000" w:themeColor="text1"/>
                <w:sz w:val="18"/>
                <w:szCs w:val="18"/>
                <w:lang w:val="en-GB"/>
              </w:rPr>
            </w:pPr>
            <w:r w:rsidRPr="00052AFA">
              <w:rPr>
                <w:iCs/>
                <w:color w:val="000000" w:themeColor="text1"/>
                <w:sz w:val="18"/>
                <w:szCs w:val="18"/>
                <w:lang w:val="en-GB"/>
              </w:rPr>
              <w:t>Baseline</w:t>
            </w:r>
            <w:r w:rsidR="00A93864" w:rsidRPr="00052AFA">
              <w:rPr>
                <w:iCs/>
                <w:color w:val="000000" w:themeColor="text1"/>
                <w:sz w:val="18"/>
                <w:szCs w:val="18"/>
                <w:lang w:val="en-GB"/>
              </w:rPr>
              <w:t xml:space="preserve"> </w:t>
            </w:r>
            <w:r w:rsidR="4435C01B" w:rsidRPr="00052AFA">
              <w:rPr>
                <w:iCs/>
                <w:color w:val="000000" w:themeColor="text1"/>
                <w:sz w:val="18"/>
                <w:szCs w:val="18"/>
                <w:lang w:val="en-GB"/>
              </w:rPr>
              <w:t xml:space="preserve">(2017): </w:t>
            </w:r>
            <w:r w:rsidR="00410C7C" w:rsidRPr="00052AFA">
              <w:rPr>
                <w:iCs/>
                <w:color w:val="000000" w:themeColor="text1"/>
                <w:sz w:val="18"/>
                <w:szCs w:val="18"/>
                <w:lang w:val="en-GB"/>
              </w:rPr>
              <w:t>NGA</w:t>
            </w:r>
            <w:r w:rsidR="00E624EC">
              <w:rPr>
                <w:iCs/>
                <w:color w:val="000000" w:themeColor="text1"/>
                <w:sz w:val="18"/>
                <w:szCs w:val="18"/>
                <w:lang w:val="en-GB"/>
              </w:rPr>
              <w:t xml:space="preserve"> (</w:t>
            </w:r>
            <w:r w:rsidR="00410C7C" w:rsidRPr="00052AFA">
              <w:rPr>
                <w:iCs/>
                <w:color w:val="000000" w:themeColor="text1"/>
                <w:sz w:val="18"/>
                <w:szCs w:val="18"/>
                <w:lang w:val="en-GB"/>
              </w:rPr>
              <w:t>2</w:t>
            </w:r>
            <w:r w:rsidR="00E624EC">
              <w:rPr>
                <w:iCs/>
                <w:color w:val="000000" w:themeColor="text1"/>
                <w:sz w:val="18"/>
                <w:szCs w:val="18"/>
                <w:lang w:val="en-GB"/>
              </w:rPr>
              <w:t xml:space="preserve">); </w:t>
            </w:r>
            <w:r w:rsidR="00410C7C" w:rsidRPr="00052AFA">
              <w:rPr>
                <w:iCs/>
                <w:color w:val="000000" w:themeColor="text1"/>
                <w:sz w:val="18"/>
                <w:szCs w:val="18"/>
                <w:lang w:val="en-GB"/>
              </w:rPr>
              <w:t>LGU</w:t>
            </w:r>
            <w:r w:rsidR="00E624EC">
              <w:rPr>
                <w:iCs/>
                <w:color w:val="000000" w:themeColor="text1"/>
                <w:sz w:val="18"/>
                <w:szCs w:val="18"/>
                <w:lang w:val="en-GB"/>
              </w:rPr>
              <w:t xml:space="preserve"> (</w:t>
            </w:r>
            <w:r w:rsidR="00410C7C" w:rsidRPr="00052AFA">
              <w:rPr>
                <w:iCs/>
                <w:color w:val="000000" w:themeColor="text1"/>
                <w:sz w:val="18"/>
                <w:szCs w:val="18"/>
                <w:lang w:val="en-GB"/>
              </w:rPr>
              <w:t>0</w:t>
            </w:r>
            <w:r w:rsidR="00E624EC">
              <w:rPr>
                <w:iCs/>
                <w:color w:val="000000" w:themeColor="text1"/>
                <w:sz w:val="18"/>
                <w:szCs w:val="18"/>
                <w:lang w:val="en-GB"/>
              </w:rPr>
              <w:t>)</w:t>
            </w:r>
          </w:p>
          <w:p w14:paraId="6237E8E8" w14:textId="53440DFF" w:rsidR="005D7CA0" w:rsidRPr="00052AFA" w:rsidRDefault="4435C01B" w:rsidP="00CA4FED">
            <w:pPr>
              <w:ind w:left="360"/>
              <w:rPr>
                <w:iCs/>
                <w:color w:val="000000" w:themeColor="text1"/>
                <w:sz w:val="18"/>
                <w:szCs w:val="18"/>
                <w:lang w:val="en-GB"/>
              </w:rPr>
            </w:pPr>
            <w:r w:rsidRPr="00052AFA">
              <w:rPr>
                <w:iCs/>
                <w:color w:val="000000" w:themeColor="text1"/>
                <w:sz w:val="18"/>
                <w:szCs w:val="18"/>
                <w:lang w:val="en-GB"/>
              </w:rPr>
              <w:t>Target: 8</w:t>
            </w:r>
            <w:r w:rsidR="00E624EC">
              <w:rPr>
                <w:iCs/>
                <w:color w:val="000000" w:themeColor="text1"/>
                <w:sz w:val="18"/>
                <w:szCs w:val="18"/>
                <w:lang w:val="en-GB"/>
              </w:rPr>
              <w:t xml:space="preserve">; </w:t>
            </w:r>
            <w:r w:rsidR="002A05AC" w:rsidRPr="00052AFA">
              <w:rPr>
                <w:iCs/>
                <w:color w:val="000000" w:themeColor="text1"/>
                <w:sz w:val="18"/>
                <w:szCs w:val="18"/>
                <w:lang w:val="en-GB"/>
              </w:rPr>
              <w:t>100</w:t>
            </w:r>
          </w:p>
          <w:p w14:paraId="1FCD5F33" w14:textId="7E969430" w:rsidR="006739E4" w:rsidRPr="00052AFA" w:rsidRDefault="006739E4" w:rsidP="00CA4FED">
            <w:pPr>
              <w:ind w:left="360"/>
              <w:rPr>
                <w:iCs/>
                <w:color w:val="000000" w:themeColor="text1"/>
                <w:sz w:val="18"/>
                <w:szCs w:val="18"/>
                <w:lang w:val="en-GB"/>
              </w:rPr>
            </w:pPr>
            <w:r w:rsidRPr="00052AFA">
              <w:rPr>
                <w:iCs/>
                <w:color w:val="000000" w:themeColor="text1"/>
                <w:sz w:val="18"/>
                <w:szCs w:val="18"/>
                <w:lang w:val="en-GB"/>
              </w:rPr>
              <w:t>Source:</w:t>
            </w:r>
            <w:r w:rsidR="00BE038C" w:rsidRPr="00052AFA">
              <w:rPr>
                <w:iCs/>
                <w:color w:val="000000" w:themeColor="text1"/>
                <w:sz w:val="18"/>
                <w:szCs w:val="18"/>
                <w:lang w:val="en-GB"/>
              </w:rPr>
              <w:t xml:space="preserve"> Project reports</w:t>
            </w:r>
          </w:p>
          <w:p w14:paraId="15EEEA8B" w14:textId="77777777" w:rsidR="005D7CA0" w:rsidRPr="00052AFA" w:rsidRDefault="005D7CA0" w:rsidP="00CA4FED">
            <w:pPr>
              <w:ind w:left="360"/>
              <w:rPr>
                <w:color w:val="000000" w:themeColor="text1"/>
                <w:sz w:val="18"/>
                <w:szCs w:val="18"/>
                <w:lang w:val="en-GB"/>
              </w:rPr>
            </w:pPr>
          </w:p>
          <w:p w14:paraId="72062F79" w14:textId="4C0FFDCF" w:rsidR="009F6622" w:rsidRPr="00052AFA" w:rsidRDefault="009F6622" w:rsidP="00CA4FED">
            <w:pPr>
              <w:ind w:left="360"/>
              <w:rPr>
                <w:color w:val="000000" w:themeColor="text1"/>
                <w:sz w:val="18"/>
                <w:szCs w:val="18"/>
                <w:lang w:val="en-GB"/>
              </w:rPr>
            </w:pPr>
            <w:r w:rsidRPr="00052AFA">
              <w:rPr>
                <w:color w:val="000000" w:themeColor="text1"/>
                <w:sz w:val="18"/>
                <w:szCs w:val="18"/>
                <w:lang w:val="en-GB"/>
              </w:rPr>
              <w:t>1.2.2</w:t>
            </w:r>
            <w:r w:rsidR="00E624EC">
              <w:rPr>
                <w:color w:val="000000" w:themeColor="text1"/>
                <w:sz w:val="18"/>
                <w:szCs w:val="18"/>
                <w:lang w:val="en-GB"/>
              </w:rPr>
              <w:t>.</w:t>
            </w:r>
            <w:r w:rsidRPr="00052AFA">
              <w:rPr>
                <w:color w:val="000000" w:themeColor="text1"/>
                <w:sz w:val="18"/>
                <w:szCs w:val="18"/>
                <w:lang w:val="en-GB"/>
              </w:rPr>
              <w:t xml:space="preserve"> Number of NGAs and LGUs using the UNDP-assisted electronic-governance system</w:t>
            </w:r>
            <w:r w:rsidR="00E624EC">
              <w:rPr>
                <w:color w:val="000000" w:themeColor="text1"/>
                <w:sz w:val="18"/>
                <w:szCs w:val="18"/>
                <w:lang w:val="en-GB"/>
              </w:rPr>
              <w:t>.</w:t>
            </w:r>
            <w:r w:rsidRPr="00052AFA">
              <w:rPr>
                <w:color w:val="000000" w:themeColor="text1"/>
                <w:sz w:val="18"/>
                <w:szCs w:val="18"/>
                <w:lang w:val="en-GB"/>
              </w:rPr>
              <w:t xml:space="preserve"> </w:t>
            </w:r>
            <w:r w:rsidR="0034285F" w:rsidRPr="00052AFA">
              <w:rPr>
                <w:color w:val="000000" w:themeColor="text1"/>
                <w:sz w:val="18"/>
                <w:szCs w:val="18"/>
                <w:lang w:val="en-GB"/>
              </w:rPr>
              <w:t>[IRRF 2.2.1.1]</w:t>
            </w:r>
          </w:p>
          <w:p w14:paraId="72583AB4" w14:textId="61F1F0B2" w:rsidR="009F6622" w:rsidRPr="00052AFA" w:rsidRDefault="009F6622" w:rsidP="00CA4FED">
            <w:pPr>
              <w:ind w:left="360"/>
              <w:rPr>
                <w:color w:val="000000" w:themeColor="text1"/>
                <w:sz w:val="18"/>
                <w:szCs w:val="18"/>
                <w:lang w:val="en-GB"/>
              </w:rPr>
            </w:pPr>
            <w:r w:rsidRPr="00052AFA">
              <w:rPr>
                <w:color w:val="000000" w:themeColor="text1"/>
                <w:sz w:val="18"/>
                <w:szCs w:val="18"/>
                <w:lang w:val="en-GB"/>
              </w:rPr>
              <w:t>B</w:t>
            </w:r>
            <w:r w:rsidR="004038C1" w:rsidRPr="00052AFA">
              <w:rPr>
                <w:color w:val="000000" w:themeColor="text1"/>
                <w:sz w:val="18"/>
                <w:szCs w:val="18"/>
                <w:lang w:val="en-GB"/>
              </w:rPr>
              <w:t>aseline</w:t>
            </w:r>
            <w:r w:rsidR="00A93864" w:rsidRPr="00052AFA">
              <w:rPr>
                <w:color w:val="000000" w:themeColor="text1"/>
                <w:sz w:val="18"/>
                <w:szCs w:val="18"/>
                <w:lang w:val="en-GB"/>
              </w:rPr>
              <w:t xml:space="preserve"> </w:t>
            </w:r>
            <w:r w:rsidR="00C66EE6" w:rsidRPr="00052AFA">
              <w:rPr>
                <w:color w:val="000000" w:themeColor="text1"/>
                <w:sz w:val="18"/>
                <w:szCs w:val="18"/>
                <w:lang w:val="en-GB"/>
              </w:rPr>
              <w:t>(2017):</w:t>
            </w:r>
            <w:r w:rsidR="00E624EC">
              <w:rPr>
                <w:color w:val="000000" w:themeColor="text1"/>
                <w:sz w:val="18"/>
                <w:szCs w:val="18"/>
                <w:lang w:val="en-GB"/>
              </w:rPr>
              <w:t xml:space="preserve"> </w:t>
            </w:r>
            <w:r w:rsidR="00410C7C" w:rsidRPr="00052AFA">
              <w:rPr>
                <w:color w:val="000000" w:themeColor="text1"/>
                <w:sz w:val="18"/>
                <w:szCs w:val="18"/>
                <w:lang w:val="en-GB"/>
              </w:rPr>
              <w:t>NGA</w:t>
            </w:r>
            <w:r w:rsidR="00E624EC">
              <w:rPr>
                <w:color w:val="000000" w:themeColor="text1"/>
                <w:sz w:val="18"/>
                <w:szCs w:val="18"/>
                <w:lang w:val="en-GB"/>
              </w:rPr>
              <w:t xml:space="preserve"> (</w:t>
            </w:r>
            <w:r w:rsidR="00410C7C" w:rsidRPr="00052AFA">
              <w:rPr>
                <w:color w:val="000000" w:themeColor="text1"/>
                <w:sz w:val="18"/>
                <w:szCs w:val="18"/>
                <w:lang w:val="en-GB"/>
              </w:rPr>
              <w:t>0</w:t>
            </w:r>
            <w:r w:rsidR="00E624EC">
              <w:rPr>
                <w:color w:val="000000" w:themeColor="text1"/>
                <w:sz w:val="18"/>
                <w:szCs w:val="18"/>
                <w:lang w:val="en-GB"/>
              </w:rPr>
              <w:t>)</w:t>
            </w:r>
            <w:r w:rsidR="00053123">
              <w:rPr>
                <w:color w:val="000000" w:themeColor="text1"/>
                <w:sz w:val="18"/>
                <w:szCs w:val="18"/>
                <w:lang w:val="en-GB"/>
              </w:rPr>
              <w:t xml:space="preserve">; </w:t>
            </w:r>
            <w:r w:rsidRPr="00052AFA">
              <w:rPr>
                <w:color w:val="000000" w:themeColor="text1"/>
                <w:sz w:val="18"/>
                <w:szCs w:val="18"/>
                <w:lang w:val="en-GB"/>
              </w:rPr>
              <w:t>LGU</w:t>
            </w:r>
            <w:r w:rsidR="00053123">
              <w:rPr>
                <w:color w:val="000000" w:themeColor="text1"/>
                <w:sz w:val="18"/>
                <w:szCs w:val="18"/>
                <w:lang w:val="en-GB"/>
              </w:rPr>
              <w:t xml:space="preserve"> (</w:t>
            </w:r>
            <w:r w:rsidR="00410C7C" w:rsidRPr="00052AFA">
              <w:rPr>
                <w:color w:val="000000" w:themeColor="text1"/>
                <w:sz w:val="18"/>
                <w:szCs w:val="18"/>
                <w:lang w:val="en-GB"/>
              </w:rPr>
              <w:t>0</w:t>
            </w:r>
            <w:r w:rsidR="00053123">
              <w:rPr>
                <w:color w:val="000000" w:themeColor="text1"/>
                <w:sz w:val="18"/>
                <w:szCs w:val="18"/>
                <w:lang w:val="en-GB"/>
              </w:rPr>
              <w:t>)</w:t>
            </w:r>
          </w:p>
          <w:p w14:paraId="3DD0EE12" w14:textId="19ABC498" w:rsidR="009F6622" w:rsidRPr="00052AFA" w:rsidRDefault="009F6622" w:rsidP="00CA4FED">
            <w:pPr>
              <w:ind w:left="360"/>
              <w:rPr>
                <w:color w:val="000000" w:themeColor="text1"/>
                <w:sz w:val="18"/>
                <w:szCs w:val="18"/>
                <w:lang w:val="en-GB"/>
              </w:rPr>
            </w:pPr>
            <w:r w:rsidRPr="00052AFA">
              <w:rPr>
                <w:color w:val="000000" w:themeColor="text1"/>
                <w:sz w:val="18"/>
                <w:szCs w:val="18"/>
                <w:lang w:val="en-GB"/>
              </w:rPr>
              <w:t>Target: 4</w:t>
            </w:r>
            <w:r w:rsidR="00053123">
              <w:rPr>
                <w:color w:val="000000" w:themeColor="text1"/>
                <w:sz w:val="18"/>
                <w:szCs w:val="18"/>
                <w:lang w:val="en-GB"/>
              </w:rPr>
              <w:t xml:space="preserve">; </w:t>
            </w:r>
            <w:r w:rsidRPr="00052AFA">
              <w:rPr>
                <w:color w:val="000000" w:themeColor="text1"/>
                <w:sz w:val="18"/>
                <w:szCs w:val="18"/>
                <w:lang w:val="en-GB"/>
              </w:rPr>
              <w:t>50</w:t>
            </w:r>
          </w:p>
          <w:p w14:paraId="077C67EC" w14:textId="2BBC6A1C" w:rsidR="006739E4" w:rsidRPr="00052AFA" w:rsidRDefault="006739E4" w:rsidP="00CA4FED">
            <w:pPr>
              <w:ind w:left="360"/>
              <w:rPr>
                <w:color w:val="000000" w:themeColor="text1"/>
                <w:sz w:val="18"/>
                <w:szCs w:val="18"/>
                <w:lang w:val="en-GB"/>
              </w:rPr>
            </w:pPr>
            <w:r w:rsidRPr="00052AFA">
              <w:rPr>
                <w:color w:val="000000" w:themeColor="text1"/>
                <w:sz w:val="18"/>
                <w:szCs w:val="18"/>
                <w:lang w:val="en-GB"/>
              </w:rPr>
              <w:t>Source:</w:t>
            </w:r>
            <w:r w:rsidR="004D44C1" w:rsidRPr="00052AFA">
              <w:rPr>
                <w:color w:val="000000" w:themeColor="text1"/>
                <w:sz w:val="18"/>
                <w:szCs w:val="18"/>
                <w:lang w:val="en-GB"/>
              </w:rPr>
              <w:t xml:space="preserve"> DILG and project reports</w:t>
            </w:r>
          </w:p>
          <w:p w14:paraId="1A4F85B7" w14:textId="77777777" w:rsidR="00053123" w:rsidRPr="00052AFA" w:rsidRDefault="00053123" w:rsidP="00CA4FED">
            <w:pPr>
              <w:rPr>
                <w:b/>
                <w:color w:val="000000" w:themeColor="text1"/>
                <w:sz w:val="18"/>
                <w:szCs w:val="18"/>
                <w:lang w:val="en-GB"/>
              </w:rPr>
            </w:pPr>
          </w:p>
          <w:p w14:paraId="744C9DE9" w14:textId="547513D4" w:rsidR="005D7CA0" w:rsidRPr="00715998" w:rsidRDefault="00053123" w:rsidP="00715998">
            <w:pPr>
              <w:pBdr>
                <w:top w:val="nil"/>
                <w:left w:val="nil"/>
                <w:bottom w:val="nil"/>
                <w:right w:val="nil"/>
                <w:between w:val="nil"/>
              </w:pBdr>
              <w:rPr>
                <w:b/>
                <w:bCs/>
                <w:color w:val="000000" w:themeColor="text1"/>
                <w:sz w:val="18"/>
                <w:szCs w:val="18"/>
                <w:lang w:val="en-GB"/>
              </w:rPr>
            </w:pPr>
            <w:r>
              <w:rPr>
                <w:b/>
                <w:bCs/>
                <w:color w:val="000000" w:themeColor="text1"/>
                <w:sz w:val="18"/>
                <w:szCs w:val="18"/>
                <w:lang w:val="en-GB"/>
              </w:rPr>
              <w:t xml:space="preserve">1.3. </w:t>
            </w:r>
            <w:r w:rsidR="4435C01B" w:rsidRPr="00715998">
              <w:rPr>
                <w:b/>
                <w:bCs/>
                <w:color w:val="000000" w:themeColor="text1"/>
                <w:sz w:val="18"/>
                <w:szCs w:val="18"/>
                <w:lang w:val="en-GB"/>
              </w:rPr>
              <w:t xml:space="preserve">Existing platforms for citizen </w:t>
            </w:r>
            <w:r w:rsidR="00B91CD7" w:rsidRPr="00715998">
              <w:rPr>
                <w:b/>
                <w:bCs/>
                <w:color w:val="000000" w:themeColor="text1"/>
                <w:sz w:val="18"/>
                <w:szCs w:val="18"/>
                <w:lang w:val="en-GB"/>
              </w:rPr>
              <w:t>engagement</w:t>
            </w:r>
            <w:r w:rsidR="4435C01B" w:rsidRPr="00715998">
              <w:rPr>
                <w:b/>
                <w:bCs/>
                <w:color w:val="000000" w:themeColor="text1"/>
                <w:sz w:val="18"/>
                <w:szCs w:val="18"/>
                <w:lang w:val="en-GB"/>
              </w:rPr>
              <w:t xml:space="preserve"> strengthened to </w:t>
            </w:r>
            <w:r w:rsidR="00B91CD7" w:rsidRPr="00715998">
              <w:rPr>
                <w:b/>
                <w:bCs/>
                <w:color w:val="000000" w:themeColor="text1"/>
                <w:sz w:val="18"/>
                <w:szCs w:val="18"/>
                <w:lang w:val="en-GB"/>
              </w:rPr>
              <w:t xml:space="preserve">build strong local constituencies for </w:t>
            </w:r>
            <w:r w:rsidR="4435C01B" w:rsidRPr="00715998">
              <w:rPr>
                <w:b/>
                <w:bCs/>
                <w:color w:val="000000" w:themeColor="text1"/>
                <w:sz w:val="18"/>
                <w:szCs w:val="18"/>
                <w:lang w:val="en-GB"/>
              </w:rPr>
              <w:t>democracy and governance reforms</w:t>
            </w:r>
            <w:r>
              <w:rPr>
                <w:b/>
                <w:bCs/>
                <w:color w:val="000000" w:themeColor="text1"/>
                <w:sz w:val="18"/>
                <w:szCs w:val="18"/>
                <w:lang w:val="en-GB"/>
              </w:rPr>
              <w:t>.</w:t>
            </w:r>
          </w:p>
          <w:p w14:paraId="3A52F08D" w14:textId="77777777" w:rsidR="005D7CA0" w:rsidRPr="00052AFA" w:rsidRDefault="005D7CA0" w:rsidP="00CA4FED">
            <w:pPr>
              <w:rPr>
                <w:color w:val="000000" w:themeColor="text1"/>
                <w:sz w:val="18"/>
                <w:szCs w:val="18"/>
                <w:lang w:val="en-GB"/>
              </w:rPr>
            </w:pPr>
          </w:p>
          <w:p w14:paraId="0337EDCE" w14:textId="6DBFED94" w:rsidR="009F6622" w:rsidRPr="00052AFA" w:rsidRDefault="4435C01B" w:rsidP="00CA4FED">
            <w:pPr>
              <w:pStyle w:val="ListParagraph"/>
              <w:ind w:left="360"/>
              <w:rPr>
                <w:color w:val="000000" w:themeColor="text1"/>
                <w:sz w:val="18"/>
                <w:szCs w:val="18"/>
                <w:lang w:val="en-GB"/>
              </w:rPr>
            </w:pPr>
            <w:r w:rsidRPr="00052AFA">
              <w:rPr>
                <w:color w:val="000000" w:themeColor="text1"/>
                <w:sz w:val="18"/>
                <w:szCs w:val="18"/>
                <w:lang w:val="en-GB"/>
              </w:rPr>
              <w:t>1.3.1</w:t>
            </w:r>
            <w:r w:rsidR="00BA0D2B">
              <w:rPr>
                <w:color w:val="000000" w:themeColor="text1"/>
                <w:sz w:val="18"/>
                <w:szCs w:val="18"/>
                <w:lang w:val="en-GB"/>
              </w:rPr>
              <w:t>.</w:t>
            </w:r>
            <w:r w:rsidRPr="00052AFA">
              <w:rPr>
                <w:color w:val="000000" w:themeColor="text1"/>
                <w:sz w:val="18"/>
                <w:szCs w:val="18"/>
                <w:lang w:val="en-GB"/>
              </w:rPr>
              <w:t xml:space="preserve"> </w:t>
            </w:r>
            <w:r w:rsidR="009F6622" w:rsidRPr="00052AFA">
              <w:rPr>
                <w:color w:val="000000" w:themeColor="text1"/>
                <w:sz w:val="18"/>
                <w:szCs w:val="18"/>
                <w:lang w:val="en-GB"/>
              </w:rPr>
              <w:t>Number of individuals and institutions engaged in NGAs and LGUs through UNDP-supported civic engagement mechanisms</w:t>
            </w:r>
            <w:r w:rsidR="00BA0D2B">
              <w:rPr>
                <w:color w:val="000000" w:themeColor="text1"/>
                <w:sz w:val="18"/>
                <w:szCs w:val="18"/>
                <w:lang w:val="en-GB"/>
              </w:rPr>
              <w:t>.</w:t>
            </w:r>
          </w:p>
          <w:p w14:paraId="13AAA1B9" w14:textId="3F2C44A4" w:rsidR="009F6622" w:rsidRPr="00052AFA" w:rsidRDefault="004038C1" w:rsidP="00CA4FED">
            <w:pPr>
              <w:ind w:left="360"/>
              <w:rPr>
                <w:color w:val="000000" w:themeColor="text1"/>
                <w:sz w:val="18"/>
                <w:szCs w:val="18"/>
                <w:lang w:val="en-GB"/>
              </w:rPr>
            </w:pPr>
            <w:r w:rsidRPr="00052AFA">
              <w:rPr>
                <w:color w:val="000000" w:themeColor="text1"/>
                <w:sz w:val="18"/>
                <w:szCs w:val="18"/>
                <w:lang w:val="en-GB"/>
              </w:rPr>
              <w:t>Baseline</w:t>
            </w:r>
            <w:r w:rsidR="00A93864" w:rsidRPr="00052AFA">
              <w:rPr>
                <w:color w:val="000000" w:themeColor="text1"/>
                <w:sz w:val="18"/>
                <w:szCs w:val="18"/>
                <w:lang w:val="en-GB"/>
              </w:rPr>
              <w:t xml:space="preserve"> </w:t>
            </w:r>
            <w:r w:rsidR="009F6622" w:rsidRPr="00052AFA">
              <w:rPr>
                <w:color w:val="000000" w:themeColor="text1"/>
                <w:sz w:val="18"/>
                <w:szCs w:val="18"/>
                <w:lang w:val="en-GB"/>
              </w:rPr>
              <w:t xml:space="preserve">(2017): </w:t>
            </w:r>
            <w:r w:rsidR="00BA0D2B">
              <w:rPr>
                <w:color w:val="000000" w:themeColor="text1"/>
                <w:sz w:val="18"/>
                <w:szCs w:val="18"/>
                <w:lang w:val="en-GB"/>
              </w:rPr>
              <w:t>m</w:t>
            </w:r>
            <w:r w:rsidR="001B13F6" w:rsidRPr="00052AFA">
              <w:rPr>
                <w:color w:val="000000" w:themeColor="text1"/>
                <w:sz w:val="18"/>
                <w:szCs w:val="18"/>
                <w:lang w:val="en-GB"/>
              </w:rPr>
              <w:t>ale</w:t>
            </w:r>
            <w:r w:rsidR="00BA0D2B">
              <w:rPr>
                <w:color w:val="000000" w:themeColor="text1"/>
                <w:sz w:val="18"/>
                <w:szCs w:val="18"/>
                <w:lang w:val="en-GB"/>
              </w:rPr>
              <w:t xml:space="preserve"> (</w:t>
            </w:r>
            <w:r w:rsidR="001B13F6" w:rsidRPr="00052AFA">
              <w:rPr>
                <w:color w:val="000000" w:themeColor="text1"/>
                <w:sz w:val="18"/>
                <w:szCs w:val="18"/>
                <w:lang w:val="en-GB"/>
              </w:rPr>
              <w:t>1</w:t>
            </w:r>
            <w:r w:rsidR="00BA0D2B">
              <w:rPr>
                <w:color w:val="000000" w:themeColor="text1"/>
                <w:sz w:val="18"/>
                <w:szCs w:val="18"/>
                <w:lang w:val="en-GB"/>
              </w:rPr>
              <w:t>,</w:t>
            </w:r>
            <w:r w:rsidR="001B13F6" w:rsidRPr="00052AFA">
              <w:rPr>
                <w:color w:val="000000" w:themeColor="text1"/>
                <w:sz w:val="18"/>
                <w:szCs w:val="18"/>
                <w:lang w:val="en-GB"/>
              </w:rPr>
              <w:t>219</w:t>
            </w:r>
            <w:r w:rsidR="00BA0D2B">
              <w:rPr>
                <w:color w:val="000000" w:themeColor="text1"/>
                <w:sz w:val="18"/>
                <w:szCs w:val="18"/>
                <w:lang w:val="en-GB"/>
              </w:rPr>
              <w:t>);</w:t>
            </w:r>
            <w:r w:rsidR="001B13F6" w:rsidRPr="00052AFA">
              <w:rPr>
                <w:color w:val="000000" w:themeColor="text1"/>
                <w:sz w:val="18"/>
                <w:szCs w:val="18"/>
                <w:lang w:val="en-GB"/>
              </w:rPr>
              <w:t xml:space="preserve"> </w:t>
            </w:r>
            <w:r w:rsidR="00BA0D2B">
              <w:rPr>
                <w:color w:val="000000" w:themeColor="text1"/>
                <w:sz w:val="18"/>
                <w:szCs w:val="18"/>
                <w:lang w:val="en-GB"/>
              </w:rPr>
              <w:t>f</w:t>
            </w:r>
            <w:r w:rsidR="001B13F6" w:rsidRPr="00052AFA">
              <w:rPr>
                <w:color w:val="000000" w:themeColor="text1"/>
                <w:sz w:val="18"/>
                <w:szCs w:val="18"/>
                <w:lang w:val="en-GB"/>
              </w:rPr>
              <w:t>emale</w:t>
            </w:r>
            <w:r w:rsidR="00BA0D2B">
              <w:rPr>
                <w:color w:val="000000" w:themeColor="text1"/>
                <w:sz w:val="18"/>
                <w:szCs w:val="18"/>
                <w:lang w:val="en-GB"/>
              </w:rPr>
              <w:t xml:space="preserve"> (</w:t>
            </w:r>
            <w:r w:rsidR="001B13F6" w:rsidRPr="00052AFA">
              <w:rPr>
                <w:color w:val="000000" w:themeColor="text1"/>
                <w:sz w:val="18"/>
                <w:szCs w:val="18"/>
                <w:lang w:val="en-GB"/>
              </w:rPr>
              <w:t>1</w:t>
            </w:r>
            <w:r w:rsidR="00BA0D2B">
              <w:rPr>
                <w:color w:val="000000" w:themeColor="text1"/>
                <w:sz w:val="18"/>
                <w:szCs w:val="18"/>
                <w:lang w:val="en-GB"/>
              </w:rPr>
              <w:t>,</w:t>
            </w:r>
            <w:r w:rsidR="001B13F6" w:rsidRPr="00052AFA">
              <w:rPr>
                <w:color w:val="000000" w:themeColor="text1"/>
                <w:sz w:val="18"/>
                <w:szCs w:val="18"/>
                <w:lang w:val="en-GB"/>
              </w:rPr>
              <w:t>642</w:t>
            </w:r>
            <w:r w:rsidR="00BA0D2B">
              <w:rPr>
                <w:color w:val="000000" w:themeColor="text1"/>
                <w:sz w:val="18"/>
                <w:szCs w:val="18"/>
                <w:lang w:val="en-GB"/>
              </w:rPr>
              <w:t>); y</w:t>
            </w:r>
            <w:r w:rsidR="001B13F6" w:rsidRPr="00052AFA">
              <w:rPr>
                <w:color w:val="000000" w:themeColor="text1"/>
                <w:sz w:val="18"/>
                <w:szCs w:val="18"/>
                <w:lang w:val="en-GB"/>
              </w:rPr>
              <w:t>outh</w:t>
            </w:r>
            <w:r w:rsidR="00BA0D2B">
              <w:rPr>
                <w:color w:val="000000" w:themeColor="text1"/>
                <w:sz w:val="18"/>
                <w:szCs w:val="18"/>
                <w:lang w:val="en-GB"/>
              </w:rPr>
              <w:t xml:space="preserve"> (</w:t>
            </w:r>
            <w:r w:rsidR="001B13F6" w:rsidRPr="00052AFA">
              <w:rPr>
                <w:color w:val="000000" w:themeColor="text1"/>
                <w:sz w:val="18"/>
                <w:szCs w:val="18"/>
                <w:lang w:val="en-GB"/>
              </w:rPr>
              <w:t>1</w:t>
            </w:r>
            <w:r w:rsidR="00BA0D2B">
              <w:rPr>
                <w:color w:val="000000" w:themeColor="text1"/>
                <w:sz w:val="18"/>
                <w:szCs w:val="18"/>
                <w:lang w:val="en-GB"/>
              </w:rPr>
              <w:t>,</w:t>
            </w:r>
            <w:r w:rsidR="001B13F6" w:rsidRPr="00052AFA">
              <w:rPr>
                <w:color w:val="000000" w:themeColor="text1"/>
                <w:sz w:val="18"/>
                <w:szCs w:val="18"/>
                <w:lang w:val="en-GB"/>
              </w:rPr>
              <w:t>874</w:t>
            </w:r>
            <w:r w:rsidR="00BA0D2B">
              <w:rPr>
                <w:color w:val="000000" w:themeColor="text1"/>
                <w:sz w:val="18"/>
                <w:szCs w:val="18"/>
                <w:lang w:val="en-GB"/>
              </w:rPr>
              <w:t>); civil society organizations (</w:t>
            </w:r>
            <w:r w:rsidR="001B13F6" w:rsidRPr="00052AFA">
              <w:rPr>
                <w:color w:val="000000" w:themeColor="text1"/>
                <w:sz w:val="18"/>
                <w:szCs w:val="18"/>
                <w:lang w:val="en-GB"/>
              </w:rPr>
              <w:t>CSO</w:t>
            </w:r>
            <w:r w:rsidR="00BA0D2B">
              <w:rPr>
                <w:color w:val="000000" w:themeColor="text1"/>
                <w:sz w:val="18"/>
                <w:szCs w:val="18"/>
                <w:lang w:val="en-GB"/>
              </w:rPr>
              <w:t>s) (</w:t>
            </w:r>
            <w:r w:rsidR="001B13F6" w:rsidRPr="00052AFA">
              <w:rPr>
                <w:color w:val="000000" w:themeColor="text1"/>
                <w:sz w:val="18"/>
                <w:szCs w:val="18"/>
                <w:lang w:val="en-GB"/>
              </w:rPr>
              <w:t>88</w:t>
            </w:r>
            <w:r w:rsidR="00BA0D2B">
              <w:rPr>
                <w:color w:val="000000" w:themeColor="text1"/>
                <w:sz w:val="18"/>
                <w:szCs w:val="18"/>
                <w:lang w:val="en-GB"/>
              </w:rPr>
              <w:t>)</w:t>
            </w:r>
          </w:p>
          <w:p w14:paraId="4D5127CF" w14:textId="0E49DF06" w:rsidR="005D7CA0" w:rsidRPr="00052AFA" w:rsidRDefault="4435C01B" w:rsidP="00CA4FED">
            <w:pPr>
              <w:ind w:left="360"/>
              <w:rPr>
                <w:iCs/>
                <w:color w:val="000000" w:themeColor="text1"/>
                <w:sz w:val="18"/>
                <w:szCs w:val="18"/>
                <w:lang w:val="en-GB"/>
              </w:rPr>
            </w:pPr>
            <w:r w:rsidRPr="00052AFA">
              <w:rPr>
                <w:iCs/>
                <w:color w:val="000000" w:themeColor="text1"/>
                <w:sz w:val="18"/>
                <w:szCs w:val="18"/>
                <w:lang w:val="en-GB"/>
              </w:rPr>
              <w:t xml:space="preserve">Target: </w:t>
            </w:r>
            <w:r w:rsidR="001B13F6" w:rsidRPr="00052AFA">
              <w:rPr>
                <w:iCs/>
                <w:color w:val="000000" w:themeColor="text1"/>
                <w:sz w:val="18"/>
                <w:szCs w:val="18"/>
                <w:lang w:val="en-GB"/>
              </w:rPr>
              <w:t>1</w:t>
            </w:r>
            <w:r w:rsidR="00BA0D2B">
              <w:rPr>
                <w:iCs/>
                <w:color w:val="000000" w:themeColor="text1"/>
                <w:sz w:val="18"/>
                <w:szCs w:val="18"/>
                <w:lang w:val="en-GB"/>
              </w:rPr>
              <w:t>,</w:t>
            </w:r>
            <w:r w:rsidR="001B13F6" w:rsidRPr="00052AFA">
              <w:rPr>
                <w:iCs/>
                <w:color w:val="000000" w:themeColor="text1"/>
                <w:sz w:val="18"/>
                <w:szCs w:val="18"/>
                <w:lang w:val="en-GB"/>
              </w:rPr>
              <w:t>460</w:t>
            </w:r>
            <w:r w:rsidR="00BA0D2B">
              <w:rPr>
                <w:iCs/>
                <w:color w:val="000000" w:themeColor="text1"/>
                <w:sz w:val="18"/>
                <w:szCs w:val="18"/>
                <w:lang w:val="en-GB"/>
              </w:rPr>
              <w:t xml:space="preserve">; </w:t>
            </w:r>
            <w:r w:rsidR="001B13F6" w:rsidRPr="00052AFA">
              <w:rPr>
                <w:iCs/>
                <w:color w:val="000000" w:themeColor="text1"/>
                <w:sz w:val="18"/>
                <w:szCs w:val="18"/>
                <w:lang w:val="en-GB"/>
              </w:rPr>
              <w:t>1</w:t>
            </w:r>
            <w:r w:rsidR="00BA0D2B">
              <w:rPr>
                <w:iCs/>
                <w:color w:val="000000" w:themeColor="text1"/>
                <w:sz w:val="18"/>
                <w:szCs w:val="18"/>
                <w:lang w:val="en-GB"/>
              </w:rPr>
              <w:t>,</w:t>
            </w:r>
            <w:r w:rsidR="001B13F6" w:rsidRPr="00052AFA">
              <w:rPr>
                <w:iCs/>
                <w:color w:val="000000" w:themeColor="text1"/>
                <w:sz w:val="18"/>
                <w:szCs w:val="18"/>
                <w:lang w:val="en-GB"/>
              </w:rPr>
              <w:t>970</w:t>
            </w:r>
            <w:r w:rsidR="00BA0D2B">
              <w:rPr>
                <w:iCs/>
                <w:color w:val="000000" w:themeColor="text1"/>
                <w:sz w:val="18"/>
                <w:szCs w:val="18"/>
                <w:lang w:val="en-GB"/>
              </w:rPr>
              <w:t xml:space="preserve">; </w:t>
            </w:r>
            <w:r w:rsidR="001B13F6" w:rsidRPr="00052AFA">
              <w:rPr>
                <w:iCs/>
                <w:color w:val="000000" w:themeColor="text1"/>
                <w:sz w:val="18"/>
                <w:szCs w:val="18"/>
                <w:lang w:val="en-GB"/>
              </w:rPr>
              <w:t>2</w:t>
            </w:r>
            <w:r w:rsidR="00BA0D2B">
              <w:rPr>
                <w:iCs/>
                <w:color w:val="000000" w:themeColor="text1"/>
                <w:sz w:val="18"/>
                <w:szCs w:val="18"/>
                <w:lang w:val="en-GB"/>
              </w:rPr>
              <w:t>,</w:t>
            </w:r>
            <w:r w:rsidR="001B13F6" w:rsidRPr="00052AFA">
              <w:rPr>
                <w:iCs/>
                <w:color w:val="000000" w:themeColor="text1"/>
                <w:sz w:val="18"/>
                <w:szCs w:val="18"/>
                <w:lang w:val="en-GB"/>
              </w:rPr>
              <w:t>250</w:t>
            </w:r>
            <w:r w:rsidR="00BA0D2B">
              <w:rPr>
                <w:iCs/>
                <w:color w:val="000000" w:themeColor="text1"/>
                <w:sz w:val="18"/>
                <w:szCs w:val="18"/>
                <w:lang w:val="en-GB"/>
              </w:rPr>
              <w:t xml:space="preserve">; </w:t>
            </w:r>
            <w:r w:rsidR="001B13F6" w:rsidRPr="00052AFA">
              <w:rPr>
                <w:iCs/>
                <w:color w:val="000000" w:themeColor="text1"/>
                <w:sz w:val="18"/>
                <w:szCs w:val="18"/>
                <w:lang w:val="en-GB"/>
              </w:rPr>
              <w:t>100</w:t>
            </w:r>
          </w:p>
          <w:p w14:paraId="2B863A72" w14:textId="3EF51F6E" w:rsidR="006739E4" w:rsidRPr="00052AFA" w:rsidRDefault="006739E4" w:rsidP="00CA4FED">
            <w:pPr>
              <w:ind w:left="360"/>
              <w:rPr>
                <w:iCs/>
                <w:color w:val="000000" w:themeColor="text1"/>
                <w:sz w:val="18"/>
                <w:szCs w:val="18"/>
                <w:lang w:val="en-GB"/>
              </w:rPr>
            </w:pPr>
            <w:r w:rsidRPr="00052AFA">
              <w:rPr>
                <w:iCs/>
                <w:color w:val="000000" w:themeColor="text1"/>
                <w:sz w:val="18"/>
                <w:szCs w:val="18"/>
                <w:lang w:val="en-GB"/>
              </w:rPr>
              <w:t>Source:</w:t>
            </w:r>
            <w:r w:rsidR="00010599" w:rsidRPr="00052AFA">
              <w:rPr>
                <w:iCs/>
                <w:color w:val="000000" w:themeColor="text1"/>
                <w:sz w:val="18"/>
                <w:szCs w:val="18"/>
                <w:lang w:val="en-GB"/>
              </w:rPr>
              <w:t xml:space="preserve"> Project reports</w:t>
            </w:r>
          </w:p>
          <w:p w14:paraId="3D70FDD3" w14:textId="77777777" w:rsidR="005D7CA0" w:rsidRPr="00052AFA" w:rsidRDefault="005D7CA0" w:rsidP="00CA4FED">
            <w:pPr>
              <w:rPr>
                <w:color w:val="000000" w:themeColor="text1"/>
                <w:sz w:val="18"/>
                <w:szCs w:val="18"/>
                <w:lang w:val="en-GB"/>
              </w:rPr>
            </w:pPr>
          </w:p>
          <w:p w14:paraId="643C6382" w14:textId="770A4637" w:rsidR="009F6622" w:rsidRPr="00052AFA" w:rsidRDefault="009F6622" w:rsidP="00CA4FED">
            <w:pPr>
              <w:ind w:left="360"/>
              <w:rPr>
                <w:color w:val="000000" w:themeColor="text1"/>
                <w:sz w:val="18"/>
                <w:szCs w:val="18"/>
                <w:lang w:val="en-GB"/>
              </w:rPr>
            </w:pPr>
            <w:r w:rsidRPr="00052AFA">
              <w:rPr>
                <w:color w:val="000000" w:themeColor="text1"/>
                <w:sz w:val="18"/>
                <w:szCs w:val="18"/>
                <w:lang w:val="en-GB"/>
              </w:rPr>
              <w:t>1.3.2</w:t>
            </w:r>
            <w:r w:rsidR="00BA0D2B">
              <w:rPr>
                <w:color w:val="000000" w:themeColor="text1"/>
                <w:sz w:val="18"/>
                <w:szCs w:val="18"/>
                <w:lang w:val="en-GB"/>
              </w:rPr>
              <w:t>.</w:t>
            </w:r>
            <w:r w:rsidRPr="00052AFA">
              <w:rPr>
                <w:color w:val="000000" w:themeColor="text1"/>
                <w:sz w:val="18"/>
                <w:szCs w:val="18"/>
                <w:lang w:val="en-GB"/>
              </w:rPr>
              <w:t xml:space="preserve"> Number of LGUs using the UNDP-developed governance index measuring the state of local governance</w:t>
            </w:r>
            <w:r w:rsidR="00BA0D2B">
              <w:rPr>
                <w:color w:val="000000" w:themeColor="text1"/>
                <w:sz w:val="18"/>
                <w:szCs w:val="18"/>
                <w:lang w:val="en-GB"/>
              </w:rPr>
              <w:t>.</w:t>
            </w:r>
          </w:p>
          <w:p w14:paraId="7BC2514F" w14:textId="35E127DC" w:rsidR="009F6622" w:rsidRPr="00052AFA" w:rsidRDefault="009F6622" w:rsidP="00CA4FED">
            <w:pPr>
              <w:ind w:left="360"/>
              <w:rPr>
                <w:color w:val="000000" w:themeColor="text1"/>
                <w:sz w:val="18"/>
                <w:szCs w:val="18"/>
                <w:lang w:val="en-GB"/>
              </w:rPr>
            </w:pPr>
            <w:r w:rsidRPr="00052AFA">
              <w:rPr>
                <w:color w:val="000000" w:themeColor="text1"/>
                <w:sz w:val="18"/>
                <w:szCs w:val="18"/>
                <w:lang w:val="en-GB"/>
              </w:rPr>
              <w:t>B</w:t>
            </w:r>
            <w:r w:rsidR="004038C1" w:rsidRPr="00052AFA">
              <w:rPr>
                <w:color w:val="000000" w:themeColor="text1"/>
                <w:sz w:val="18"/>
                <w:szCs w:val="18"/>
                <w:lang w:val="en-GB"/>
              </w:rPr>
              <w:t>aseline</w:t>
            </w:r>
            <w:r w:rsidR="00A93864" w:rsidRPr="00052AFA">
              <w:rPr>
                <w:color w:val="000000" w:themeColor="text1"/>
                <w:sz w:val="18"/>
                <w:szCs w:val="18"/>
                <w:lang w:val="en-GB"/>
              </w:rPr>
              <w:t xml:space="preserve"> </w:t>
            </w:r>
            <w:r w:rsidRPr="00052AFA">
              <w:rPr>
                <w:color w:val="000000" w:themeColor="text1"/>
                <w:sz w:val="18"/>
                <w:szCs w:val="18"/>
                <w:lang w:val="en-GB"/>
              </w:rPr>
              <w:t>(2017): 0</w:t>
            </w:r>
          </w:p>
          <w:p w14:paraId="68B630CB" w14:textId="77777777" w:rsidR="009F6622" w:rsidRPr="00052AFA" w:rsidRDefault="009F6622" w:rsidP="00CA4FED">
            <w:pPr>
              <w:ind w:left="360"/>
              <w:rPr>
                <w:color w:val="000000" w:themeColor="text1"/>
                <w:sz w:val="18"/>
                <w:szCs w:val="18"/>
                <w:lang w:val="en-GB"/>
              </w:rPr>
            </w:pPr>
            <w:r w:rsidRPr="00052AFA">
              <w:rPr>
                <w:color w:val="000000" w:themeColor="text1"/>
                <w:sz w:val="18"/>
                <w:szCs w:val="18"/>
                <w:lang w:val="en-GB"/>
              </w:rPr>
              <w:t>Target: 45</w:t>
            </w:r>
          </w:p>
          <w:p w14:paraId="427E65B8" w14:textId="7D580C6A" w:rsidR="005D7CA0" w:rsidRPr="00052AFA" w:rsidRDefault="006739E4" w:rsidP="00A93864">
            <w:pPr>
              <w:ind w:left="360"/>
              <w:rPr>
                <w:color w:val="000000" w:themeColor="text1"/>
                <w:sz w:val="18"/>
                <w:szCs w:val="18"/>
                <w:lang w:val="en-GB"/>
              </w:rPr>
            </w:pPr>
            <w:r w:rsidRPr="00052AFA">
              <w:rPr>
                <w:color w:val="000000" w:themeColor="text1"/>
                <w:sz w:val="18"/>
                <w:szCs w:val="18"/>
                <w:lang w:val="en-GB"/>
              </w:rPr>
              <w:t>Source:</w:t>
            </w:r>
            <w:r w:rsidR="004D44C1" w:rsidRPr="00052AFA">
              <w:rPr>
                <w:color w:val="000000" w:themeColor="text1"/>
                <w:sz w:val="18"/>
                <w:szCs w:val="18"/>
                <w:lang w:val="en-GB"/>
              </w:rPr>
              <w:t xml:space="preserve"> DILG and project reports</w:t>
            </w:r>
          </w:p>
        </w:tc>
        <w:tc>
          <w:tcPr>
            <w:tcW w:w="1984" w:type="dxa"/>
            <w:gridSpan w:val="2"/>
            <w:vMerge w:val="restart"/>
          </w:tcPr>
          <w:p w14:paraId="06110A0E" w14:textId="77777777" w:rsidR="005D7CA0" w:rsidRPr="00052AFA" w:rsidRDefault="4435C01B" w:rsidP="00CA4FED">
            <w:pPr>
              <w:rPr>
                <w:b/>
                <w:bCs/>
                <w:color w:val="000000" w:themeColor="text1"/>
                <w:sz w:val="18"/>
                <w:szCs w:val="18"/>
                <w:lang w:val="en-GB"/>
              </w:rPr>
            </w:pPr>
            <w:r w:rsidRPr="00052AFA">
              <w:rPr>
                <w:b/>
                <w:bCs/>
                <w:color w:val="000000" w:themeColor="text1"/>
                <w:sz w:val="18"/>
                <w:szCs w:val="18"/>
                <w:lang w:val="en-GB"/>
              </w:rPr>
              <w:lastRenderedPageBreak/>
              <w:t>Government</w:t>
            </w:r>
          </w:p>
          <w:p w14:paraId="56BB7621" w14:textId="19F64219" w:rsidR="005D7CA0" w:rsidRPr="00052AFA" w:rsidRDefault="4435C01B" w:rsidP="00CA4FED">
            <w:pPr>
              <w:rPr>
                <w:color w:val="000000" w:themeColor="text1"/>
                <w:sz w:val="18"/>
                <w:szCs w:val="18"/>
                <w:lang w:val="en-GB"/>
              </w:rPr>
            </w:pPr>
            <w:r w:rsidRPr="00052AFA">
              <w:rPr>
                <w:color w:val="000000" w:themeColor="text1"/>
                <w:sz w:val="18"/>
                <w:szCs w:val="18"/>
                <w:lang w:val="en-GB"/>
              </w:rPr>
              <w:t xml:space="preserve">National Economic and Development Authority (NEDA) • DBM • </w:t>
            </w:r>
            <w:r w:rsidR="00D04C6C" w:rsidRPr="00715998">
              <w:rPr>
                <w:color w:val="000000" w:themeColor="text1"/>
                <w:sz w:val="18"/>
                <w:szCs w:val="18"/>
                <w:lang w:val="en-GB"/>
              </w:rPr>
              <w:t xml:space="preserve">Department of the Interior and Local </w:t>
            </w:r>
            <w:r w:rsidR="001735F7" w:rsidRPr="001735F7">
              <w:rPr>
                <w:color w:val="000000" w:themeColor="text1"/>
                <w:sz w:val="18"/>
                <w:szCs w:val="18"/>
                <w:lang w:val="en-GB"/>
              </w:rPr>
              <w:t>Government</w:t>
            </w:r>
            <w:r w:rsidR="00D04C6C" w:rsidRPr="00715998">
              <w:rPr>
                <w:color w:val="000000" w:themeColor="text1"/>
                <w:sz w:val="18"/>
                <w:szCs w:val="18"/>
                <w:lang w:val="en-GB"/>
              </w:rPr>
              <w:t xml:space="preserve"> (</w:t>
            </w:r>
            <w:r w:rsidRPr="00052AFA">
              <w:rPr>
                <w:color w:val="000000" w:themeColor="text1"/>
                <w:sz w:val="18"/>
                <w:szCs w:val="18"/>
                <w:lang w:val="en-GB"/>
              </w:rPr>
              <w:t>DILG</w:t>
            </w:r>
            <w:r w:rsidR="00D04C6C">
              <w:rPr>
                <w:color w:val="000000" w:themeColor="text1"/>
                <w:sz w:val="18"/>
                <w:szCs w:val="18"/>
                <w:lang w:val="en-GB"/>
              </w:rPr>
              <w:t>)</w:t>
            </w:r>
            <w:r w:rsidRPr="00052AFA">
              <w:rPr>
                <w:color w:val="000000" w:themeColor="text1"/>
                <w:sz w:val="18"/>
                <w:szCs w:val="18"/>
                <w:lang w:val="en-GB"/>
              </w:rPr>
              <w:t>• Department of Social Welfare and Development (DSWD) • other frontline national government agencies • Philippine National AIDS Council • Commission on Human Rights (CHR) • C</w:t>
            </w:r>
            <w:r w:rsidR="00D04C6C">
              <w:rPr>
                <w:color w:val="000000" w:themeColor="text1"/>
                <w:sz w:val="18"/>
                <w:szCs w:val="18"/>
                <w:lang w:val="en-GB"/>
              </w:rPr>
              <w:t xml:space="preserve">ivil </w:t>
            </w:r>
            <w:r w:rsidRPr="00052AFA">
              <w:rPr>
                <w:color w:val="000000" w:themeColor="text1"/>
                <w:sz w:val="18"/>
                <w:szCs w:val="18"/>
                <w:lang w:val="en-GB"/>
              </w:rPr>
              <w:t>S</w:t>
            </w:r>
            <w:r w:rsidR="00D04C6C">
              <w:rPr>
                <w:color w:val="000000" w:themeColor="text1"/>
                <w:sz w:val="18"/>
                <w:szCs w:val="18"/>
                <w:lang w:val="en-GB"/>
              </w:rPr>
              <w:t xml:space="preserve">ervice </w:t>
            </w:r>
            <w:r w:rsidRPr="00052AFA">
              <w:rPr>
                <w:color w:val="000000" w:themeColor="text1"/>
                <w:sz w:val="18"/>
                <w:szCs w:val="18"/>
                <w:lang w:val="en-GB"/>
              </w:rPr>
              <w:t>C</w:t>
            </w:r>
            <w:r w:rsidR="00D04C6C">
              <w:rPr>
                <w:color w:val="000000" w:themeColor="text1"/>
                <w:sz w:val="18"/>
                <w:szCs w:val="18"/>
                <w:lang w:val="en-GB"/>
              </w:rPr>
              <w:t>ommission</w:t>
            </w:r>
            <w:r w:rsidRPr="00052AFA">
              <w:rPr>
                <w:color w:val="000000" w:themeColor="text1"/>
                <w:sz w:val="18"/>
                <w:szCs w:val="18"/>
                <w:lang w:val="en-GB"/>
              </w:rPr>
              <w:t xml:space="preserve"> • Office of the Ombudsman • Supreme Court • Leagues of Cities, Municipalities and Provinces • Selected LGUs</w:t>
            </w:r>
          </w:p>
          <w:p w14:paraId="70AFAEEB" w14:textId="77777777" w:rsidR="005D7CA0" w:rsidRPr="00052AFA" w:rsidRDefault="005D7CA0" w:rsidP="00CA4FED">
            <w:pPr>
              <w:rPr>
                <w:color w:val="000000" w:themeColor="text1"/>
                <w:sz w:val="18"/>
                <w:szCs w:val="18"/>
                <w:lang w:val="en-GB"/>
              </w:rPr>
            </w:pPr>
          </w:p>
          <w:p w14:paraId="1ED672E5" w14:textId="15016B55" w:rsidR="005D7CA0" w:rsidRPr="00052AFA" w:rsidRDefault="4435C01B" w:rsidP="00CA4FED">
            <w:pPr>
              <w:rPr>
                <w:b/>
                <w:bCs/>
                <w:color w:val="000000" w:themeColor="text1"/>
                <w:sz w:val="18"/>
                <w:szCs w:val="18"/>
                <w:lang w:val="en-GB"/>
              </w:rPr>
            </w:pPr>
            <w:r w:rsidRPr="00052AFA">
              <w:rPr>
                <w:b/>
                <w:bCs/>
                <w:color w:val="000000" w:themeColor="text1"/>
                <w:sz w:val="18"/>
                <w:szCs w:val="18"/>
                <w:lang w:val="en-GB"/>
              </w:rPr>
              <w:t xml:space="preserve">Donors </w:t>
            </w:r>
          </w:p>
          <w:p w14:paraId="2402890B" w14:textId="087C531C" w:rsidR="005D7CA0" w:rsidRPr="00052AFA" w:rsidRDefault="4435C01B" w:rsidP="00CA4FED">
            <w:pPr>
              <w:rPr>
                <w:color w:val="000000" w:themeColor="text1"/>
                <w:sz w:val="18"/>
                <w:szCs w:val="18"/>
                <w:lang w:val="en-GB"/>
              </w:rPr>
            </w:pPr>
            <w:r w:rsidRPr="00052AFA">
              <w:rPr>
                <w:color w:val="000000" w:themeColor="text1"/>
                <w:sz w:val="18"/>
                <w:szCs w:val="18"/>
                <w:lang w:val="en-GB"/>
              </w:rPr>
              <w:t xml:space="preserve">Government of Australia • Canadian International Development Agency • European Commission • </w:t>
            </w:r>
            <w:r w:rsidRPr="00052AFA">
              <w:rPr>
                <w:color w:val="000000" w:themeColor="text1"/>
                <w:sz w:val="18"/>
                <w:szCs w:val="18"/>
                <w:lang w:val="en-GB"/>
              </w:rPr>
              <w:lastRenderedPageBreak/>
              <w:t xml:space="preserve">Government of New Zealand • Government of Spain • </w:t>
            </w:r>
            <w:r w:rsidR="00BA0D2B">
              <w:rPr>
                <w:color w:val="000000" w:themeColor="text1"/>
                <w:sz w:val="18"/>
                <w:szCs w:val="18"/>
                <w:lang w:val="en-GB"/>
              </w:rPr>
              <w:t>Korea International Cooperation Agency (</w:t>
            </w:r>
            <w:r w:rsidRPr="00052AFA">
              <w:rPr>
                <w:color w:val="000000" w:themeColor="text1"/>
                <w:sz w:val="18"/>
                <w:szCs w:val="18"/>
                <w:lang w:val="en-GB"/>
              </w:rPr>
              <w:t>KOICA</w:t>
            </w:r>
            <w:r w:rsidR="00BA0D2B">
              <w:rPr>
                <w:color w:val="000000" w:themeColor="text1"/>
                <w:sz w:val="18"/>
                <w:szCs w:val="18"/>
                <w:lang w:val="en-GB"/>
              </w:rPr>
              <w:t>)</w:t>
            </w:r>
            <w:r w:rsidRPr="00052AFA">
              <w:rPr>
                <w:color w:val="000000" w:themeColor="text1"/>
                <w:sz w:val="18"/>
                <w:szCs w:val="18"/>
                <w:lang w:val="en-GB"/>
              </w:rPr>
              <w:t xml:space="preserve"> </w:t>
            </w:r>
          </w:p>
          <w:p w14:paraId="10503A46" w14:textId="77777777" w:rsidR="005D7CA0" w:rsidRPr="00052AFA" w:rsidRDefault="005D7CA0" w:rsidP="00CA4FED">
            <w:pPr>
              <w:rPr>
                <w:color w:val="000000" w:themeColor="text1"/>
                <w:sz w:val="18"/>
                <w:szCs w:val="18"/>
                <w:lang w:val="en-GB"/>
              </w:rPr>
            </w:pPr>
          </w:p>
          <w:p w14:paraId="70D849A5" w14:textId="727F4995" w:rsidR="005D7CA0" w:rsidRPr="00052AFA" w:rsidRDefault="4435C01B" w:rsidP="00CA4FED">
            <w:pPr>
              <w:rPr>
                <w:color w:val="000000" w:themeColor="text1"/>
                <w:sz w:val="18"/>
                <w:szCs w:val="18"/>
                <w:lang w:val="en-GB"/>
              </w:rPr>
            </w:pPr>
            <w:r w:rsidRPr="00052AFA">
              <w:rPr>
                <w:b/>
                <w:bCs/>
                <w:color w:val="000000" w:themeColor="text1"/>
                <w:sz w:val="18"/>
                <w:szCs w:val="18"/>
                <w:lang w:val="en-GB"/>
              </w:rPr>
              <w:t xml:space="preserve">Other partners </w:t>
            </w:r>
          </w:p>
          <w:p w14:paraId="348E4451" w14:textId="25B0F5B8" w:rsidR="005D7CA0" w:rsidRPr="00052AFA" w:rsidRDefault="4435C01B" w:rsidP="00CA4FED">
            <w:pPr>
              <w:rPr>
                <w:iCs/>
                <w:color w:val="000000" w:themeColor="text1"/>
                <w:sz w:val="18"/>
                <w:szCs w:val="18"/>
                <w:lang w:val="en-GB"/>
              </w:rPr>
            </w:pPr>
            <w:r w:rsidRPr="00052AFA">
              <w:rPr>
                <w:color w:val="000000" w:themeColor="text1"/>
                <w:sz w:val="18"/>
                <w:szCs w:val="18"/>
                <w:lang w:val="en-GB"/>
              </w:rPr>
              <w:t>• Philippine Institute for Development Studies (PIDS) • Philippine Business for Social Progress • Social Watch Philippines • U</w:t>
            </w:r>
            <w:r w:rsidR="00BA0D2B">
              <w:rPr>
                <w:color w:val="000000" w:themeColor="text1"/>
                <w:sz w:val="18"/>
                <w:szCs w:val="18"/>
                <w:lang w:val="en-GB"/>
              </w:rPr>
              <w:t xml:space="preserve">nited </w:t>
            </w:r>
            <w:r w:rsidRPr="00052AFA">
              <w:rPr>
                <w:color w:val="000000" w:themeColor="text1"/>
                <w:sz w:val="18"/>
                <w:szCs w:val="18"/>
                <w:lang w:val="en-GB"/>
              </w:rPr>
              <w:t>N</w:t>
            </w:r>
            <w:r w:rsidR="00BA0D2B">
              <w:rPr>
                <w:color w:val="000000" w:themeColor="text1"/>
                <w:sz w:val="18"/>
                <w:szCs w:val="18"/>
                <w:lang w:val="en-GB"/>
              </w:rPr>
              <w:t>ations</w:t>
            </w:r>
            <w:r w:rsidRPr="00052AFA">
              <w:rPr>
                <w:color w:val="000000" w:themeColor="text1"/>
                <w:sz w:val="18"/>
                <w:szCs w:val="18"/>
                <w:lang w:val="en-GB"/>
              </w:rPr>
              <w:t xml:space="preserve"> Civil Society Advisory Council • Ateneo School of Government • H</w:t>
            </w:r>
            <w:r w:rsidR="009E347C">
              <w:rPr>
                <w:color w:val="000000" w:themeColor="text1"/>
                <w:sz w:val="18"/>
                <w:szCs w:val="18"/>
                <w:lang w:val="en-GB"/>
              </w:rPr>
              <w:t xml:space="preserve">uman </w:t>
            </w:r>
            <w:r w:rsidRPr="00052AFA">
              <w:rPr>
                <w:color w:val="000000" w:themeColor="text1"/>
                <w:sz w:val="18"/>
                <w:szCs w:val="18"/>
                <w:lang w:val="en-GB"/>
              </w:rPr>
              <w:t>D</w:t>
            </w:r>
            <w:r w:rsidR="009E347C">
              <w:rPr>
                <w:color w:val="000000" w:themeColor="text1"/>
                <w:sz w:val="18"/>
                <w:szCs w:val="18"/>
                <w:lang w:val="en-GB"/>
              </w:rPr>
              <w:t xml:space="preserve">evelopment </w:t>
            </w:r>
            <w:r w:rsidRPr="00052AFA">
              <w:rPr>
                <w:color w:val="000000" w:themeColor="text1"/>
                <w:sz w:val="18"/>
                <w:szCs w:val="18"/>
                <w:lang w:val="en-GB"/>
              </w:rPr>
              <w:t>N</w:t>
            </w:r>
            <w:r w:rsidR="009E347C">
              <w:rPr>
                <w:color w:val="000000" w:themeColor="text1"/>
                <w:sz w:val="18"/>
                <w:szCs w:val="18"/>
                <w:lang w:val="en-GB"/>
              </w:rPr>
              <w:t>etwork</w:t>
            </w:r>
            <w:r w:rsidRPr="00052AFA">
              <w:rPr>
                <w:color w:val="000000" w:themeColor="text1"/>
                <w:sz w:val="18"/>
                <w:szCs w:val="18"/>
                <w:lang w:val="en-GB"/>
              </w:rPr>
              <w:t xml:space="preserve"> • </w:t>
            </w:r>
            <w:r w:rsidR="00BA0D2B">
              <w:rPr>
                <w:color w:val="000000" w:themeColor="text1"/>
                <w:sz w:val="18"/>
                <w:szCs w:val="18"/>
                <w:lang w:val="en-GB"/>
              </w:rPr>
              <w:t>y</w:t>
            </w:r>
            <w:r w:rsidRPr="00052AFA">
              <w:rPr>
                <w:color w:val="000000" w:themeColor="text1"/>
                <w:sz w:val="18"/>
                <w:szCs w:val="18"/>
                <w:lang w:val="en-GB"/>
              </w:rPr>
              <w:t xml:space="preserve">outh groups • </w:t>
            </w:r>
            <w:r w:rsidR="00BA0D2B">
              <w:rPr>
                <w:color w:val="000000" w:themeColor="text1"/>
                <w:sz w:val="18"/>
                <w:szCs w:val="18"/>
                <w:lang w:val="en-GB"/>
              </w:rPr>
              <w:t>p</w:t>
            </w:r>
            <w:r w:rsidRPr="00052AFA">
              <w:rPr>
                <w:color w:val="000000" w:themeColor="text1"/>
                <w:sz w:val="18"/>
                <w:szCs w:val="18"/>
                <w:lang w:val="en-GB"/>
              </w:rPr>
              <w:t>rivate sector associations • U</w:t>
            </w:r>
            <w:r w:rsidR="00BA0D2B">
              <w:rPr>
                <w:color w:val="000000" w:themeColor="text1"/>
                <w:sz w:val="18"/>
                <w:szCs w:val="18"/>
                <w:lang w:val="en-GB"/>
              </w:rPr>
              <w:t xml:space="preserve">nited </w:t>
            </w:r>
            <w:r w:rsidRPr="00052AFA">
              <w:rPr>
                <w:color w:val="000000" w:themeColor="text1"/>
                <w:sz w:val="18"/>
                <w:szCs w:val="18"/>
                <w:lang w:val="en-GB"/>
              </w:rPr>
              <w:t>N</w:t>
            </w:r>
            <w:r w:rsidR="00BA0D2B">
              <w:rPr>
                <w:color w:val="000000" w:themeColor="text1"/>
                <w:sz w:val="18"/>
                <w:szCs w:val="18"/>
                <w:lang w:val="en-GB"/>
              </w:rPr>
              <w:t>ations</w:t>
            </w:r>
            <w:r w:rsidRPr="00052AFA">
              <w:rPr>
                <w:color w:val="000000" w:themeColor="text1"/>
                <w:sz w:val="18"/>
                <w:szCs w:val="18"/>
                <w:lang w:val="en-GB"/>
              </w:rPr>
              <w:t xml:space="preserve"> </w:t>
            </w:r>
            <w:r w:rsidR="00BA0D2B">
              <w:rPr>
                <w:color w:val="000000" w:themeColor="text1"/>
                <w:sz w:val="18"/>
                <w:szCs w:val="18"/>
                <w:lang w:val="en-GB"/>
              </w:rPr>
              <w:t>organizations</w:t>
            </w:r>
          </w:p>
          <w:p w14:paraId="50DF9730" w14:textId="77777777" w:rsidR="005D7CA0" w:rsidRPr="00052AFA" w:rsidRDefault="005D7CA0" w:rsidP="00CA4FED">
            <w:pPr>
              <w:rPr>
                <w:color w:val="000000" w:themeColor="text1"/>
                <w:sz w:val="18"/>
                <w:szCs w:val="18"/>
                <w:lang w:val="en-GB"/>
              </w:rPr>
            </w:pPr>
          </w:p>
        </w:tc>
        <w:tc>
          <w:tcPr>
            <w:tcW w:w="1574" w:type="dxa"/>
            <w:gridSpan w:val="2"/>
            <w:tcMar>
              <w:top w:w="15" w:type="dxa"/>
              <w:left w:w="108" w:type="dxa"/>
              <w:bottom w:w="0" w:type="dxa"/>
              <w:right w:w="108" w:type="dxa"/>
            </w:tcMar>
          </w:tcPr>
          <w:p w14:paraId="2CB7FC62" w14:textId="77777777" w:rsidR="005D7CA0" w:rsidRPr="00052AFA" w:rsidRDefault="4435C01B" w:rsidP="00CA4FED">
            <w:pPr>
              <w:rPr>
                <w:b/>
                <w:bCs/>
                <w:color w:val="000000" w:themeColor="text1"/>
                <w:sz w:val="18"/>
                <w:szCs w:val="18"/>
                <w:lang w:val="en-GB"/>
              </w:rPr>
            </w:pPr>
            <w:r w:rsidRPr="00052AFA">
              <w:rPr>
                <w:b/>
                <w:bCs/>
                <w:color w:val="000000" w:themeColor="text1"/>
                <w:sz w:val="18"/>
                <w:szCs w:val="18"/>
                <w:lang w:val="en-GB"/>
              </w:rPr>
              <w:lastRenderedPageBreak/>
              <w:t>Regular</w:t>
            </w:r>
          </w:p>
          <w:p w14:paraId="2959FD51" w14:textId="77777777" w:rsidR="005D7CA0" w:rsidRPr="00052AFA" w:rsidRDefault="005D7CA0" w:rsidP="00CA4FED">
            <w:pPr>
              <w:rPr>
                <w:b/>
                <w:color w:val="000000" w:themeColor="text1"/>
                <w:sz w:val="18"/>
                <w:szCs w:val="18"/>
                <w:lang w:val="en-GB"/>
              </w:rPr>
            </w:pPr>
          </w:p>
          <w:p w14:paraId="7C57CB5D" w14:textId="10CF6D29" w:rsidR="005D7CA0" w:rsidRPr="00052AFA" w:rsidRDefault="000522EF" w:rsidP="00CA4FED">
            <w:pPr>
              <w:rPr>
                <w:b/>
                <w:bCs/>
                <w:color w:val="000000" w:themeColor="text1"/>
                <w:sz w:val="18"/>
                <w:szCs w:val="18"/>
                <w:lang w:val="en-GB"/>
              </w:rPr>
            </w:pPr>
            <w:r>
              <w:rPr>
                <w:b/>
                <w:bCs/>
                <w:color w:val="000000" w:themeColor="text1"/>
                <w:sz w:val="18"/>
                <w:szCs w:val="18"/>
                <w:lang w:val="en-GB"/>
              </w:rPr>
              <w:t>687,000</w:t>
            </w:r>
          </w:p>
        </w:tc>
      </w:tr>
      <w:tr w:rsidR="005D7CA0" w:rsidRPr="00052AFA" w14:paraId="5387D1DF" w14:textId="77777777" w:rsidTr="00701583">
        <w:tc>
          <w:tcPr>
            <w:tcW w:w="2835" w:type="dxa"/>
            <w:vMerge/>
            <w:tcBorders>
              <w:bottom w:val="single" w:sz="4" w:space="0" w:color="auto"/>
            </w:tcBorders>
            <w:tcMar>
              <w:top w:w="72" w:type="dxa"/>
              <w:left w:w="144" w:type="dxa"/>
              <w:bottom w:w="72" w:type="dxa"/>
              <w:right w:w="144" w:type="dxa"/>
            </w:tcMar>
          </w:tcPr>
          <w:p w14:paraId="57D60D97" w14:textId="77777777" w:rsidR="005D7CA0" w:rsidRPr="00052AFA" w:rsidRDefault="005D7CA0" w:rsidP="00CA4FED">
            <w:pPr>
              <w:widowControl w:val="0"/>
              <w:rPr>
                <w:b/>
                <w:color w:val="000000" w:themeColor="text1"/>
                <w:sz w:val="18"/>
                <w:szCs w:val="18"/>
                <w:lang w:val="en-GB"/>
              </w:rPr>
            </w:pPr>
          </w:p>
        </w:tc>
        <w:tc>
          <w:tcPr>
            <w:tcW w:w="2007" w:type="dxa"/>
            <w:gridSpan w:val="2"/>
            <w:vMerge/>
            <w:tcBorders>
              <w:bottom w:val="single" w:sz="4" w:space="0" w:color="auto"/>
            </w:tcBorders>
          </w:tcPr>
          <w:p w14:paraId="49D44201" w14:textId="77777777" w:rsidR="005D7CA0" w:rsidRPr="00052AFA" w:rsidRDefault="005D7CA0" w:rsidP="00CA4FED">
            <w:pPr>
              <w:widowControl w:val="0"/>
              <w:rPr>
                <w:b/>
                <w:color w:val="000000" w:themeColor="text1"/>
                <w:sz w:val="18"/>
                <w:szCs w:val="18"/>
                <w:lang w:val="en-GB"/>
              </w:rPr>
            </w:pPr>
          </w:p>
        </w:tc>
        <w:tc>
          <w:tcPr>
            <w:tcW w:w="6063" w:type="dxa"/>
            <w:vMerge/>
            <w:tcBorders>
              <w:bottom w:val="single" w:sz="4" w:space="0" w:color="auto"/>
            </w:tcBorders>
            <w:tcMar>
              <w:top w:w="72" w:type="dxa"/>
              <w:left w:w="144" w:type="dxa"/>
              <w:bottom w:w="72" w:type="dxa"/>
              <w:right w:w="144" w:type="dxa"/>
            </w:tcMar>
          </w:tcPr>
          <w:p w14:paraId="6EF50CA2" w14:textId="77777777" w:rsidR="005D7CA0" w:rsidRPr="00052AFA" w:rsidRDefault="005D7CA0" w:rsidP="00CA4FED">
            <w:pPr>
              <w:widowControl w:val="0"/>
              <w:rPr>
                <w:b/>
                <w:color w:val="000000" w:themeColor="text1"/>
                <w:sz w:val="18"/>
                <w:szCs w:val="18"/>
                <w:lang w:val="en-GB"/>
              </w:rPr>
            </w:pPr>
          </w:p>
        </w:tc>
        <w:tc>
          <w:tcPr>
            <w:tcW w:w="1984" w:type="dxa"/>
            <w:gridSpan w:val="2"/>
            <w:vMerge/>
            <w:tcBorders>
              <w:bottom w:val="single" w:sz="4" w:space="0" w:color="auto"/>
            </w:tcBorders>
          </w:tcPr>
          <w:p w14:paraId="49F28EBF" w14:textId="77777777" w:rsidR="005D7CA0" w:rsidRPr="00052AFA" w:rsidRDefault="005D7CA0" w:rsidP="00CA4FED">
            <w:pPr>
              <w:rPr>
                <w:color w:val="000000" w:themeColor="text1"/>
                <w:sz w:val="18"/>
                <w:szCs w:val="18"/>
                <w:lang w:val="en-GB"/>
              </w:rPr>
            </w:pPr>
          </w:p>
        </w:tc>
        <w:tc>
          <w:tcPr>
            <w:tcW w:w="1574" w:type="dxa"/>
            <w:gridSpan w:val="2"/>
            <w:tcBorders>
              <w:bottom w:val="single" w:sz="4" w:space="0" w:color="auto"/>
            </w:tcBorders>
            <w:tcMar>
              <w:top w:w="15" w:type="dxa"/>
              <w:left w:w="108" w:type="dxa"/>
              <w:bottom w:w="0" w:type="dxa"/>
              <w:right w:w="108" w:type="dxa"/>
            </w:tcMar>
          </w:tcPr>
          <w:p w14:paraId="795B24CD" w14:textId="77777777" w:rsidR="005D7CA0" w:rsidRPr="00052AFA" w:rsidRDefault="4435C01B" w:rsidP="00CA4FED">
            <w:pPr>
              <w:rPr>
                <w:b/>
                <w:bCs/>
                <w:color w:val="000000" w:themeColor="text1"/>
                <w:sz w:val="18"/>
                <w:szCs w:val="18"/>
                <w:lang w:val="en-GB"/>
              </w:rPr>
            </w:pPr>
            <w:r w:rsidRPr="00052AFA">
              <w:rPr>
                <w:b/>
                <w:bCs/>
                <w:color w:val="000000" w:themeColor="text1"/>
                <w:sz w:val="18"/>
                <w:szCs w:val="18"/>
                <w:lang w:val="en-GB"/>
              </w:rPr>
              <w:t>Other</w:t>
            </w:r>
          </w:p>
          <w:p w14:paraId="389FD07F" w14:textId="77777777" w:rsidR="005D7CA0" w:rsidRPr="00052AFA" w:rsidRDefault="005D7CA0" w:rsidP="00CA4FED">
            <w:pPr>
              <w:rPr>
                <w:b/>
                <w:color w:val="000000" w:themeColor="text1"/>
                <w:sz w:val="18"/>
                <w:szCs w:val="18"/>
                <w:lang w:val="en-GB"/>
              </w:rPr>
            </w:pPr>
          </w:p>
          <w:p w14:paraId="660E7412" w14:textId="48620886" w:rsidR="005D7CA0" w:rsidRPr="00052AFA" w:rsidRDefault="007B242B" w:rsidP="00CA4FED">
            <w:pPr>
              <w:rPr>
                <w:b/>
                <w:bCs/>
                <w:color w:val="000000" w:themeColor="text1"/>
                <w:sz w:val="18"/>
                <w:szCs w:val="18"/>
                <w:lang w:val="en-GB"/>
              </w:rPr>
            </w:pPr>
            <w:r w:rsidRPr="00052AFA">
              <w:rPr>
                <w:b/>
                <w:bCs/>
                <w:color w:val="000000" w:themeColor="text1"/>
                <w:sz w:val="18"/>
                <w:szCs w:val="18"/>
                <w:lang w:val="en-GB"/>
              </w:rPr>
              <w:t>40</w:t>
            </w:r>
            <w:r w:rsidR="4435C01B" w:rsidRPr="00052AFA">
              <w:rPr>
                <w:b/>
                <w:bCs/>
                <w:color w:val="000000" w:themeColor="text1"/>
                <w:sz w:val="18"/>
                <w:szCs w:val="18"/>
                <w:lang w:val="en-GB"/>
              </w:rPr>
              <w:t>,</w:t>
            </w:r>
            <w:r w:rsidRPr="00052AFA">
              <w:rPr>
                <w:b/>
                <w:bCs/>
                <w:color w:val="000000" w:themeColor="text1"/>
                <w:sz w:val="18"/>
                <w:szCs w:val="18"/>
                <w:lang w:val="en-GB"/>
              </w:rPr>
              <w:t>55</w:t>
            </w:r>
            <w:r w:rsidR="4435C01B" w:rsidRPr="00052AFA">
              <w:rPr>
                <w:b/>
                <w:bCs/>
                <w:color w:val="000000" w:themeColor="text1"/>
                <w:sz w:val="18"/>
                <w:szCs w:val="18"/>
                <w:lang w:val="en-GB"/>
              </w:rPr>
              <w:t>3,000</w:t>
            </w:r>
          </w:p>
        </w:tc>
      </w:tr>
      <w:tr w:rsidR="005D7CA0" w:rsidRPr="00052AFA" w14:paraId="27D28022" w14:textId="77777777" w:rsidTr="00701583">
        <w:tc>
          <w:tcPr>
            <w:tcW w:w="14463" w:type="dxa"/>
            <w:gridSpan w:val="8"/>
            <w:shd w:val="clear" w:color="auto" w:fill="auto"/>
            <w:tcMar>
              <w:top w:w="72" w:type="dxa"/>
              <w:left w:w="144" w:type="dxa"/>
              <w:bottom w:w="72" w:type="dxa"/>
              <w:right w:w="144" w:type="dxa"/>
            </w:tcMar>
          </w:tcPr>
          <w:p w14:paraId="22E78B2A" w14:textId="009B8528" w:rsidR="005D7CA0" w:rsidRPr="00052AFA" w:rsidRDefault="00BA0D2B">
            <w:pPr>
              <w:rPr>
                <w:b/>
                <w:bCs/>
                <w:iCs/>
                <w:color w:val="000000" w:themeColor="text1"/>
                <w:sz w:val="18"/>
                <w:szCs w:val="18"/>
                <w:lang w:val="en-GB"/>
              </w:rPr>
            </w:pPr>
            <w:r w:rsidRPr="00052AFA">
              <w:rPr>
                <w:b/>
                <w:bCs/>
                <w:color w:val="000000" w:themeColor="text1"/>
                <w:sz w:val="18"/>
                <w:szCs w:val="18"/>
                <w:lang w:val="en-GB"/>
              </w:rPr>
              <w:t>PHILIPPINE DEVELOPMENT PLAN</w:t>
            </w:r>
            <w:r>
              <w:rPr>
                <w:b/>
                <w:bCs/>
                <w:color w:val="000000" w:themeColor="text1"/>
                <w:sz w:val="18"/>
                <w:szCs w:val="18"/>
                <w:lang w:val="en-GB"/>
              </w:rPr>
              <w:t xml:space="preserve">, </w:t>
            </w:r>
            <w:r w:rsidRPr="00052AFA">
              <w:rPr>
                <w:b/>
                <w:bCs/>
                <w:color w:val="000000" w:themeColor="text1"/>
                <w:sz w:val="18"/>
                <w:szCs w:val="18"/>
                <w:lang w:val="en-GB"/>
              </w:rPr>
              <w:t>2017-2022</w:t>
            </w:r>
            <w:r>
              <w:rPr>
                <w:b/>
                <w:bCs/>
                <w:color w:val="000000" w:themeColor="text1"/>
                <w:sz w:val="18"/>
                <w:szCs w:val="18"/>
                <w:lang w:val="en-GB"/>
              </w:rPr>
              <w:t>,</w:t>
            </w:r>
            <w:r w:rsidRPr="00052AFA">
              <w:rPr>
                <w:b/>
                <w:bCs/>
                <w:color w:val="000000" w:themeColor="text1"/>
                <w:sz w:val="18"/>
                <w:szCs w:val="18"/>
                <w:lang w:val="en-GB"/>
              </w:rPr>
              <w:t xml:space="preserve"> GOAL</w:t>
            </w:r>
            <w:r w:rsidR="4435C01B" w:rsidRPr="00052AFA">
              <w:rPr>
                <w:b/>
                <w:bCs/>
                <w:color w:val="000000" w:themeColor="text1"/>
                <w:sz w:val="18"/>
                <w:szCs w:val="18"/>
                <w:lang w:val="en-GB"/>
              </w:rPr>
              <w:t xml:space="preserve">: </w:t>
            </w:r>
            <w:r w:rsidR="4435C01B" w:rsidRPr="00715998">
              <w:rPr>
                <w:bCs/>
                <w:iCs/>
                <w:color w:val="000000" w:themeColor="text1"/>
                <w:sz w:val="18"/>
                <w:szCs w:val="18"/>
                <w:lang w:val="en-GB"/>
              </w:rPr>
              <w:t>Ensuring ecological integrity, clean and healthy environment</w:t>
            </w:r>
            <w:r w:rsidRPr="00715998">
              <w:rPr>
                <w:bCs/>
                <w:iCs/>
                <w:color w:val="000000" w:themeColor="text1"/>
                <w:sz w:val="18"/>
                <w:szCs w:val="18"/>
                <w:lang w:val="en-GB"/>
              </w:rPr>
              <w:t>.</w:t>
            </w:r>
          </w:p>
        </w:tc>
      </w:tr>
      <w:tr w:rsidR="005D7CA0" w:rsidRPr="00052AFA" w14:paraId="44FE4DFC" w14:textId="77777777" w:rsidTr="00701583">
        <w:tc>
          <w:tcPr>
            <w:tcW w:w="14463" w:type="dxa"/>
            <w:gridSpan w:val="8"/>
            <w:shd w:val="clear" w:color="auto" w:fill="auto"/>
            <w:tcMar>
              <w:top w:w="72" w:type="dxa"/>
              <w:left w:w="144" w:type="dxa"/>
              <w:bottom w:w="72" w:type="dxa"/>
              <w:right w:w="144" w:type="dxa"/>
            </w:tcMar>
          </w:tcPr>
          <w:p w14:paraId="518A62D4" w14:textId="694FF90A" w:rsidR="005D7CA0" w:rsidRPr="00052AFA" w:rsidRDefault="4435C01B" w:rsidP="00CA4FED">
            <w:pPr>
              <w:rPr>
                <w:b/>
                <w:bCs/>
                <w:iCs/>
                <w:color w:val="000000" w:themeColor="text1"/>
                <w:sz w:val="18"/>
                <w:szCs w:val="18"/>
                <w:lang w:val="en-GB"/>
              </w:rPr>
            </w:pPr>
            <w:r w:rsidRPr="00052AFA">
              <w:rPr>
                <w:b/>
                <w:bCs/>
                <w:color w:val="000000" w:themeColor="text1"/>
                <w:sz w:val="18"/>
                <w:szCs w:val="18"/>
                <w:lang w:val="en-GB"/>
              </w:rPr>
              <w:t>UNDAF OUTCOME 2:</w:t>
            </w:r>
            <w:r w:rsidRPr="00052AFA">
              <w:rPr>
                <w:color w:val="000000" w:themeColor="text1"/>
                <w:sz w:val="18"/>
                <w:szCs w:val="18"/>
                <w:lang w:val="en-GB"/>
              </w:rPr>
              <w:t xml:space="preserve"> </w:t>
            </w:r>
            <w:r w:rsidR="001C1622" w:rsidRPr="00715998">
              <w:rPr>
                <w:bCs/>
                <w:iCs/>
                <w:color w:val="000000" w:themeColor="text1"/>
                <w:sz w:val="18"/>
                <w:szCs w:val="18"/>
                <w:lang w:val="en-GB"/>
              </w:rPr>
              <w:t>Urbani</w:t>
            </w:r>
            <w:r w:rsidR="00BA0D2B" w:rsidRPr="00715998">
              <w:rPr>
                <w:bCs/>
                <w:iCs/>
                <w:color w:val="000000" w:themeColor="text1"/>
                <w:sz w:val="18"/>
                <w:szCs w:val="18"/>
                <w:lang w:val="en-GB"/>
              </w:rPr>
              <w:t>z</w:t>
            </w:r>
            <w:r w:rsidR="001C1622" w:rsidRPr="00715998">
              <w:rPr>
                <w:bCs/>
                <w:iCs/>
                <w:color w:val="000000" w:themeColor="text1"/>
                <w:sz w:val="18"/>
                <w:szCs w:val="18"/>
                <w:lang w:val="en-GB"/>
              </w:rPr>
              <w:t>ation, economic growth, and climate change actions are converging for a resilient, equitable, and sustainable development path for communities</w:t>
            </w:r>
            <w:r w:rsidR="00BA0D2B">
              <w:rPr>
                <w:bCs/>
                <w:iCs/>
                <w:color w:val="000000" w:themeColor="text1"/>
                <w:sz w:val="18"/>
                <w:szCs w:val="18"/>
                <w:lang w:val="en-GB"/>
              </w:rPr>
              <w:t>.</w:t>
            </w:r>
          </w:p>
        </w:tc>
      </w:tr>
      <w:tr w:rsidR="005D7CA0" w:rsidRPr="00052AFA" w14:paraId="5D5E84FD" w14:textId="77777777" w:rsidTr="00701583">
        <w:tc>
          <w:tcPr>
            <w:tcW w:w="14463" w:type="dxa"/>
            <w:gridSpan w:val="8"/>
            <w:shd w:val="clear" w:color="auto" w:fill="auto"/>
            <w:tcMar>
              <w:top w:w="72" w:type="dxa"/>
              <w:left w:w="144" w:type="dxa"/>
              <w:bottom w:w="72" w:type="dxa"/>
              <w:right w:w="144" w:type="dxa"/>
            </w:tcMar>
          </w:tcPr>
          <w:p w14:paraId="6B0296C2" w14:textId="15C86B74" w:rsidR="005D7CA0" w:rsidRPr="00052AFA" w:rsidRDefault="4435C01B">
            <w:pPr>
              <w:rPr>
                <w:b/>
                <w:bCs/>
                <w:color w:val="000000" w:themeColor="text1"/>
                <w:sz w:val="18"/>
                <w:szCs w:val="18"/>
                <w:lang w:val="en-GB"/>
              </w:rPr>
            </w:pPr>
            <w:r w:rsidRPr="00052AFA">
              <w:rPr>
                <w:b/>
                <w:bCs/>
                <w:color w:val="000000" w:themeColor="text1"/>
                <w:sz w:val="18"/>
                <w:szCs w:val="18"/>
                <w:lang w:val="en-GB"/>
              </w:rPr>
              <w:t>S</w:t>
            </w:r>
            <w:r w:rsidR="00BA0D2B">
              <w:rPr>
                <w:b/>
                <w:bCs/>
                <w:color w:val="000000" w:themeColor="text1"/>
                <w:sz w:val="18"/>
                <w:szCs w:val="18"/>
                <w:lang w:val="en-GB"/>
              </w:rPr>
              <w:t xml:space="preserve">TRATEGIC PLAN, </w:t>
            </w:r>
            <w:r w:rsidRPr="00052AFA">
              <w:rPr>
                <w:b/>
                <w:bCs/>
                <w:color w:val="000000" w:themeColor="text1"/>
                <w:sz w:val="18"/>
                <w:szCs w:val="18"/>
                <w:lang w:val="en-GB"/>
              </w:rPr>
              <w:t>2018-2021</w:t>
            </w:r>
            <w:r w:rsidR="00BA0D2B">
              <w:rPr>
                <w:b/>
                <w:bCs/>
                <w:color w:val="000000" w:themeColor="text1"/>
                <w:sz w:val="18"/>
                <w:szCs w:val="18"/>
                <w:lang w:val="en-GB"/>
              </w:rPr>
              <w:t xml:space="preserve">, </w:t>
            </w:r>
            <w:r w:rsidRPr="00052AFA">
              <w:rPr>
                <w:b/>
                <w:bCs/>
                <w:color w:val="000000" w:themeColor="text1"/>
                <w:sz w:val="18"/>
                <w:szCs w:val="18"/>
                <w:lang w:val="en-GB"/>
              </w:rPr>
              <w:t>OUTCOME</w:t>
            </w:r>
            <w:r w:rsidRPr="00052AFA">
              <w:rPr>
                <w:b/>
                <w:bCs/>
                <w:iCs/>
                <w:color w:val="000000" w:themeColor="text1"/>
                <w:sz w:val="18"/>
                <w:szCs w:val="18"/>
                <w:lang w:val="en-GB"/>
              </w:rPr>
              <w:t xml:space="preserve"> 2: </w:t>
            </w:r>
            <w:r w:rsidRPr="00715998">
              <w:rPr>
                <w:bCs/>
                <w:iCs/>
                <w:color w:val="000000" w:themeColor="text1"/>
                <w:sz w:val="18"/>
                <w:szCs w:val="18"/>
                <w:lang w:val="en-GB"/>
              </w:rPr>
              <w:t>Accelerate structural transformations for sustainable development</w:t>
            </w:r>
            <w:r w:rsidR="00BA0D2B" w:rsidRPr="00715998">
              <w:rPr>
                <w:bCs/>
                <w:iCs/>
                <w:color w:val="000000" w:themeColor="text1"/>
                <w:sz w:val="18"/>
                <w:szCs w:val="18"/>
                <w:lang w:val="en-GB"/>
              </w:rPr>
              <w:t>.</w:t>
            </w:r>
            <w:r w:rsidRPr="00052AFA">
              <w:rPr>
                <w:b/>
                <w:bCs/>
                <w:iCs/>
                <w:color w:val="000000" w:themeColor="text1"/>
                <w:sz w:val="18"/>
                <w:szCs w:val="18"/>
                <w:lang w:val="en-GB"/>
              </w:rPr>
              <w:t xml:space="preserve"> </w:t>
            </w:r>
          </w:p>
        </w:tc>
      </w:tr>
      <w:tr w:rsidR="005D7CA0" w:rsidRPr="00052AFA" w14:paraId="1A6CFDBC" w14:textId="77777777" w:rsidTr="003718B3">
        <w:tc>
          <w:tcPr>
            <w:tcW w:w="2835" w:type="dxa"/>
            <w:vMerge w:val="restart"/>
            <w:tcMar>
              <w:top w:w="72" w:type="dxa"/>
              <w:left w:w="144" w:type="dxa"/>
              <w:bottom w:w="72" w:type="dxa"/>
              <w:right w:w="144" w:type="dxa"/>
            </w:tcMar>
          </w:tcPr>
          <w:p w14:paraId="58A853C8" w14:textId="7B928A60" w:rsidR="005D7CA0" w:rsidRPr="00052AFA" w:rsidRDefault="4435C01B" w:rsidP="00CA4FED">
            <w:pPr>
              <w:rPr>
                <w:b/>
                <w:bCs/>
                <w:color w:val="000000" w:themeColor="text1"/>
                <w:sz w:val="18"/>
                <w:szCs w:val="18"/>
                <w:lang w:val="en-GB"/>
              </w:rPr>
            </w:pPr>
            <w:r w:rsidRPr="00052AFA">
              <w:rPr>
                <w:b/>
                <w:bCs/>
                <w:color w:val="000000" w:themeColor="text1"/>
                <w:sz w:val="18"/>
                <w:szCs w:val="18"/>
                <w:lang w:val="en-GB"/>
              </w:rPr>
              <w:t>2.</w:t>
            </w:r>
            <w:r w:rsidR="000C7575" w:rsidRPr="00052AFA">
              <w:rPr>
                <w:b/>
                <w:bCs/>
                <w:color w:val="000000" w:themeColor="text1"/>
                <w:sz w:val="18"/>
                <w:szCs w:val="18"/>
                <w:lang w:val="en-GB"/>
              </w:rPr>
              <w:t>1</w:t>
            </w:r>
            <w:r w:rsidR="006D5D75">
              <w:rPr>
                <w:b/>
                <w:bCs/>
                <w:color w:val="000000" w:themeColor="text1"/>
                <w:sz w:val="18"/>
                <w:szCs w:val="18"/>
                <w:lang w:val="en-GB"/>
              </w:rPr>
              <w:t>.</w:t>
            </w:r>
            <w:r w:rsidRPr="00052AFA">
              <w:rPr>
                <w:b/>
                <w:bCs/>
                <w:color w:val="000000" w:themeColor="text1"/>
                <w:sz w:val="18"/>
                <w:szCs w:val="18"/>
                <w:lang w:val="en-GB"/>
              </w:rPr>
              <w:t xml:space="preserve"> </w:t>
            </w:r>
            <w:r w:rsidR="0074019A">
              <w:rPr>
                <w:b/>
                <w:bCs/>
                <w:color w:val="000000" w:themeColor="text1"/>
                <w:sz w:val="18"/>
                <w:szCs w:val="18"/>
                <w:lang w:val="en-GB"/>
              </w:rPr>
              <w:t>Greenhouse</w:t>
            </w:r>
            <w:r w:rsidR="006D5D75">
              <w:rPr>
                <w:b/>
                <w:bCs/>
                <w:color w:val="000000" w:themeColor="text1"/>
                <w:sz w:val="18"/>
                <w:szCs w:val="18"/>
                <w:lang w:val="en-GB"/>
              </w:rPr>
              <w:t xml:space="preserve"> gas </w:t>
            </w:r>
            <w:r w:rsidRPr="00052AFA">
              <w:rPr>
                <w:b/>
                <w:bCs/>
                <w:color w:val="000000" w:themeColor="text1"/>
                <w:sz w:val="18"/>
                <w:szCs w:val="18"/>
                <w:lang w:val="en-GB"/>
              </w:rPr>
              <w:t>emissions per sector reduced (mMT CO2e)</w:t>
            </w:r>
          </w:p>
          <w:p w14:paraId="4CA2FF90" w14:textId="5CBBCD34" w:rsidR="005D7CA0" w:rsidRPr="00052AFA" w:rsidRDefault="4435C01B" w:rsidP="00CA4FED">
            <w:pPr>
              <w:rPr>
                <w:iCs/>
                <w:color w:val="000000" w:themeColor="text1"/>
                <w:sz w:val="18"/>
                <w:szCs w:val="18"/>
                <w:lang w:val="en-GB"/>
              </w:rPr>
            </w:pPr>
            <w:r w:rsidRPr="00052AFA">
              <w:rPr>
                <w:iCs/>
                <w:color w:val="000000" w:themeColor="text1"/>
                <w:sz w:val="18"/>
                <w:szCs w:val="18"/>
                <w:lang w:val="en-GB"/>
              </w:rPr>
              <w:t xml:space="preserve">Baseline (2010): </w:t>
            </w:r>
            <w:r w:rsidR="00D748FA">
              <w:rPr>
                <w:iCs/>
                <w:color w:val="000000" w:themeColor="text1"/>
                <w:sz w:val="18"/>
                <w:szCs w:val="18"/>
                <w:lang w:val="en-GB"/>
              </w:rPr>
              <w:t>e</w:t>
            </w:r>
            <w:r w:rsidRPr="00052AFA">
              <w:rPr>
                <w:iCs/>
                <w:color w:val="000000" w:themeColor="text1"/>
                <w:sz w:val="18"/>
                <w:szCs w:val="18"/>
                <w:lang w:val="en-GB"/>
              </w:rPr>
              <w:t xml:space="preserve">nergy </w:t>
            </w:r>
            <w:r w:rsidR="006D5D75">
              <w:rPr>
                <w:iCs/>
                <w:color w:val="000000" w:themeColor="text1"/>
                <w:sz w:val="18"/>
                <w:szCs w:val="18"/>
                <w:lang w:val="en-GB"/>
              </w:rPr>
              <w:t>(</w:t>
            </w:r>
            <w:r w:rsidRPr="00052AFA">
              <w:rPr>
                <w:iCs/>
                <w:color w:val="000000" w:themeColor="text1"/>
                <w:sz w:val="18"/>
                <w:szCs w:val="18"/>
                <w:lang w:val="en-GB"/>
              </w:rPr>
              <w:t>55.7</w:t>
            </w:r>
            <w:r w:rsidR="006D5D75">
              <w:rPr>
                <w:iCs/>
                <w:color w:val="000000" w:themeColor="text1"/>
                <w:sz w:val="18"/>
                <w:szCs w:val="18"/>
                <w:lang w:val="en-GB"/>
              </w:rPr>
              <w:t xml:space="preserve">); </w:t>
            </w:r>
            <w:r w:rsidR="00D748FA">
              <w:rPr>
                <w:iCs/>
                <w:color w:val="000000" w:themeColor="text1"/>
                <w:sz w:val="18"/>
                <w:szCs w:val="18"/>
                <w:lang w:val="en-GB"/>
              </w:rPr>
              <w:t>t</w:t>
            </w:r>
            <w:r w:rsidRPr="00052AFA">
              <w:rPr>
                <w:iCs/>
                <w:color w:val="000000" w:themeColor="text1"/>
                <w:sz w:val="18"/>
                <w:szCs w:val="18"/>
                <w:lang w:val="en-GB"/>
              </w:rPr>
              <w:t>ransport</w:t>
            </w:r>
            <w:r w:rsidR="006D5D75">
              <w:rPr>
                <w:iCs/>
                <w:color w:val="000000" w:themeColor="text1"/>
                <w:sz w:val="18"/>
                <w:szCs w:val="18"/>
                <w:lang w:val="en-GB"/>
              </w:rPr>
              <w:t xml:space="preserve"> (</w:t>
            </w:r>
            <w:r w:rsidRPr="00052AFA">
              <w:rPr>
                <w:iCs/>
                <w:color w:val="000000" w:themeColor="text1"/>
                <w:sz w:val="18"/>
                <w:szCs w:val="18"/>
                <w:lang w:val="en-GB"/>
              </w:rPr>
              <w:t>25.3</w:t>
            </w:r>
            <w:r w:rsidR="006D5D75">
              <w:rPr>
                <w:iCs/>
                <w:color w:val="000000" w:themeColor="text1"/>
                <w:sz w:val="18"/>
                <w:szCs w:val="18"/>
                <w:lang w:val="en-GB"/>
              </w:rPr>
              <w:t>)</w:t>
            </w:r>
          </w:p>
          <w:p w14:paraId="24332456" w14:textId="2BBC1AA9" w:rsidR="005D7CA0" w:rsidRPr="00052AFA" w:rsidRDefault="4435C01B" w:rsidP="00CA4FED">
            <w:pPr>
              <w:rPr>
                <w:iCs/>
                <w:color w:val="000000" w:themeColor="text1"/>
                <w:sz w:val="18"/>
                <w:szCs w:val="18"/>
                <w:lang w:val="en-GB"/>
              </w:rPr>
            </w:pPr>
            <w:r w:rsidRPr="00052AFA">
              <w:rPr>
                <w:iCs/>
                <w:color w:val="000000" w:themeColor="text1"/>
                <w:sz w:val="18"/>
                <w:szCs w:val="18"/>
                <w:lang w:val="en-GB"/>
              </w:rPr>
              <w:t>Target: 38.4</w:t>
            </w:r>
            <w:r w:rsidR="006D5D75">
              <w:rPr>
                <w:iCs/>
                <w:color w:val="000000" w:themeColor="text1"/>
                <w:sz w:val="18"/>
                <w:szCs w:val="18"/>
                <w:lang w:val="en-GB"/>
              </w:rPr>
              <w:t xml:space="preserve">; </w:t>
            </w:r>
            <w:r w:rsidRPr="00052AFA">
              <w:rPr>
                <w:iCs/>
                <w:color w:val="000000" w:themeColor="text1"/>
                <w:sz w:val="18"/>
                <w:szCs w:val="18"/>
                <w:lang w:val="en-GB"/>
              </w:rPr>
              <w:t>21.3</w:t>
            </w:r>
          </w:p>
          <w:p w14:paraId="5905B5BB" w14:textId="77777777" w:rsidR="005D7CA0" w:rsidRPr="00052AFA" w:rsidRDefault="005D7CA0" w:rsidP="00CA4FED">
            <w:pPr>
              <w:rPr>
                <w:b/>
                <w:color w:val="000000" w:themeColor="text1"/>
                <w:sz w:val="18"/>
                <w:szCs w:val="18"/>
                <w:lang w:val="en-GB"/>
              </w:rPr>
            </w:pPr>
          </w:p>
          <w:p w14:paraId="0D6D83F1" w14:textId="3B3622C8" w:rsidR="00C356C6" w:rsidRPr="00052AFA" w:rsidRDefault="4435C01B" w:rsidP="00CA4FED">
            <w:pPr>
              <w:ind w:hanging="6"/>
              <w:rPr>
                <w:b/>
                <w:bCs/>
                <w:color w:val="000000" w:themeColor="text1"/>
                <w:sz w:val="18"/>
                <w:szCs w:val="18"/>
                <w:lang w:val="en-GB"/>
              </w:rPr>
            </w:pPr>
            <w:r w:rsidRPr="00052AFA">
              <w:rPr>
                <w:b/>
                <w:bCs/>
                <w:color w:val="000000" w:themeColor="text1"/>
                <w:sz w:val="18"/>
                <w:szCs w:val="18"/>
                <w:lang w:val="en-GB"/>
              </w:rPr>
              <w:t>2.</w:t>
            </w:r>
            <w:r w:rsidR="000C7575" w:rsidRPr="00052AFA">
              <w:rPr>
                <w:b/>
                <w:bCs/>
                <w:color w:val="000000" w:themeColor="text1"/>
                <w:sz w:val="18"/>
                <w:szCs w:val="18"/>
                <w:lang w:val="en-GB"/>
              </w:rPr>
              <w:t>2</w:t>
            </w:r>
            <w:r w:rsidR="006D5D75">
              <w:rPr>
                <w:b/>
                <w:bCs/>
                <w:color w:val="000000" w:themeColor="text1"/>
                <w:sz w:val="18"/>
                <w:szCs w:val="18"/>
                <w:lang w:val="en-GB"/>
              </w:rPr>
              <w:t>.</w:t>
            </w:r>
            <w:r w:rsidRPr="00052AFA">
              <w:rPr>
                <w:b/>
                <w:bCs/>
                <w:color w:val="000000" w:themeColor="text1"/>
                <w:sz w:val="18"/>
                <w:szCs w:val="18"/>
                <w:lang w:val="en-GB"/>
              </w:rPr>
              <w:t xml:space="preserve"> </w:t>
            </w:r>
            <w:r w:rsidR="00C356C6" w:rsidRPr="00052AFA">
              <w:rPr>
                <w:b/>
                <w:bCs/>
                <w:color w:val="000000" w:themeColor="text1"/>
                <w:sz w:val="18"/>
                <w:szCs w:val="18"/>
                <w:lang w:val="en-GB"/>
              </w:rPr>
              <w:t xml:space="preserve">Area of important sites for biodiversity covered by </w:t>
            </w:r>
            <w:r w:rsidR="00C356C6" w:rsidRPr="00052AFA">
              <w:rPr>
                <w:b/>
                <w:bCs/>
                <w:color w:val="000000" w:themeColor="text1"/>
                <w:sz w:val="18"/>
                <w:szCs w:val="18"/>
                <w:lang w:val="en-GB"/>
              </w:rPr>
              <w:lastRenderedPageBreak/>
              <w:t>protected areas, by ecosystem type</w:t>
            </w:r>
          </w:p>
          <w:p w14:paraId="3D6B7716" w14:textId="181217F7" w:rsidR="00C356C6" w:rsidRPr="00052AFA" w:rsidRDefault="00C356C6" w:rsidP="00CA4FED">
            <w:pPr>
              <w:rPr>
                <w:iCs/>
                <w:color w:val="000000" w:themeColor="text1"/>
                <w:sz w:val="18"/>
                <w:szCs w:val="18"/>
                <w:lang w:val="en-GB"/>
              </w:rPr>
            </w:pPr>
            <w:r w:rsidRPr="00052AFA">
              <w:rPr>
                <w:iCs/>
                <w:color w:val="000000" w:themeColor="text1"/>
                <w:sz w:val="18"/>
                <w:szCs w:val="18"/>
                <w:lang w:val="en-GB"/>
              </w:rPr>
              <w:t>Baseline</w:t>
            </w:r>
            <w:r w:rsidR="006D5D75">
              <w:rPr>
                <w:iCs/>
                <w:color w:val="000000" w:themeColor="text1"/>
                <w:sz w:val="18"/>
                <w:szCs w:val="18"/>
                <w:lang w:val="en-GB"/>
              </w:rPr>
              <w:t xml:space="preserve"> </w:t>
            </w:r>
            <w:r w:rsidR="00D530A4" w:rsidRPr="00052AFA">
              <w:rPr>
                <w:iCs/>
                <w:color w:val="000000" w:themeColor="text1"/>
                <w:sz w:val="18"/>
                <w:szCs w:val="18"/>
                <w:lang w:val="en-GB"/>
              </w:rPr>
              <w:t>(2016)</w:t>
            </w:r>
            <w:r w:rsidRPr="00052AFA">
              <w:rPr>
                <w:iCs/>
                <w:color w:val="000000" w:themeColor="text1"/>
                <w:sz w:val="18"/>
                <w:szCs w:val="18"/>
                <w:lang w:val="en-GB"/>
              </w:rPr>
              <w:t xml:space="preserve">: </w:t>
            </w:r>
            <w:r w:rsidR="00D748FA">
              <w:rPr>
                <w:iCs/>
                <w:color w:val="000000" w:themeColor="text1"/>
                <w:sz w:val="18"/>
                <w:szCs w:val="18"/>
                <w:lang w:val="en-GB"/>
              </w:rPr>
              <w:t>m</w:t>
            </w:r>
            <w:r w:rsidRPr="00052AFA">
              <w:rPr>
                <w:iCs/>
                <w:color w:val="000000" w:themeColor="text1"/>
                <w:sz w:val="18"/>
                <w:szCs w:val="18"/>
                <w:lang w:val="en-GB"/>
              </w:rPr>
              <w:t>arine</w:t>
            </w:r>
            <w:r w:rsidR="006D5D75">
              <w:rPr>
                <w:iCs/>
                <w:color w:val="000000" w:themeColor="text1"/>
                <w:sz w:val="18"/>
                <w:szCs w:val="18"/>
                <w:lang w:val="en-GB"/>
              </w:rPr>
              <w:t xml:space="preserve"> (</w:t>
            </w:r>
            <w:r w:rsidR="00D530A4" w:rsidRPr="00052AFA">
              <w:rPr>
                <w:iCs/>
                <w:color w:val="000000" w:themeColor="text1"/>
                <w:sz w:val="18"/>
                <w:szCs w:val="18"/>
                <w:lang w:val="en-GB"/>
              </w:rPr>
              <w:t>112,822</w:t>
            </w:r>
            <w:r w:rsidR="006D5D75">
              <w:rPr>
                <w:iCs/>
                <w:color w:val="000000" w:themeColor="text1"/>
                <w:sz w:val="18"/>
                <w:szCs w:val="18"/>
                <w:lang w:val="en-GB"/>
              </w:rPr>
              <w:t>);</w:t>
            </w:r>
            <w:r w:rsidR="00D530A4" w:rsidRPr="00052AFA">
              <w:rPr>
                <w:iCs/>
                <w:color w:val="000000" w:themeColor="text1"/>
                <w:sz w:val="18"/>
                <w:szCs w:val="18"/>
                <w:lang w:val="en-GB"/>
              </w:rPr>
              <w:t xml:space="preserve"> </w:t>
            </w:r>
            <w:r w:rsidR="00D748FA">
              <w:rPr>
                <w:iCs/>
                <w:color w:val="000000" w:themeColor="text1"/>
                <w:sz w:val="18"/>
                <w:szCs w:val="18"/>
                <w:lang w:val="en-GB"/>
              </w:rPr>
              <w:t>t</w:t>
            </w:r>
            <w:r w:rsidR="00D530A4" w:rsidRPr="00052AFA">
              <w:rPr>
                <w:iCs/>
                <w:color w:val="000000" w:themeColor="text1"/>
                <w:sz w:val="18"/>
                <w:szCs w:val="18"/>
                <w:lang w:val="en-GB"/>
              </w:rPr>
              <w:t>errestrial</w:t>
            </w:r>
            <w:r w:rsidR="006D5D75">
              <w:rPr>
                <w:iCs/>
                <w:color w:val="000000" w:themeColor="text1"/>
                <w:sz w:val="18"/>
                <w:szCs w:val="18"/>
                <w:lang w:val="en-GB"/>
              </w:rPr>
              <w:t xml:space="preserve"> (</w:t>
            </w:r>
            <w:r w:rsidRPr="00052AFA">
              <w:rPr>
                <w:iCs/>
                <w:color w:val="000000" w:themeColor="text1"/>
                <w:sz w:val="18"/>
                <w:szCs w:val="18"/>
                <w:lang w:val="en-GB"/>
              </w:rPr>
              <w:t>42,135</w:t>
            </w:r>
            <w:r w:rsidR="006D5D75">
              <w:rPr>
                <w:iCs/>
                <w:color w:val="000000" w:themeColor="text1"/>
                <w:sz w:val="18"/>
                <w:szCs w:val="18"/>
                <w:lang w:val="en-GB"/>
              </w:rPr>
              <w:t>)</w:t>
            </w:r>
          </w:p>
          <w:p w14:paraId="5EC46C38" w14:textId="77777777" w:rsidR="00C356C6" w:rsidRPr="00052AFA" w:rsidRDefault="00C356C6" w:rsidP="00CA4FED">
            <w:pPr>
              <w:ind w:hanging="6"/>
              <w:rPr>
                <w:b/>
                <w:bCs/>
                <w:iCs/>
                <w:color w:val="000000" w:themeColor="text1"/>
                <w:sz w:val="18"/>
                <w:szCs w:val="18"/>
                <w:lang w:val="en-GB"/>
              </w:rPr>
            </w:pPr>
            <w:r w:rsidRPr="00052AFA">
              <w:rPr>
                <w:iCs/>
                <w:color w:val="000000" w:themeColor="text1"/>
                <w:sz w:val="18"/>
                <w:szCs w:val="18"/>
                <w:lang w:val="en-GB"/>
              </w:rPr>
              <w:t>Target: 2.57 M/ 1.86 M</w:t>
            </w:r>
          </w:p>
          <w:p w14:paraId="57006228" w14:textId="6AA65E7C" w:rsidR="005D7CA0" w:rsidRPr="00052AFA" w:rsidRDefault="005D7CA0" w:rsidP="00CA4FED">
            <w:pPr>
              <w:rPr>
                <w:color w:val="000000" w:themeColor="text1"/>
                <w:sz w:val="18"/>
                <w:szCs w:val="18"/>
                <w:lang w:val="en-GB"/>
              </w:rPr>
            </w:pPr>
          </w:p>
        </w:tc>
        <w:tc>
          <w:tcPr>
            <w:tcW w:w="1985" w:type="dxa"/>
            <w:vMerge w:val="restart"/>
          </w:tcPr>
          <w:p w14:paraId="72613A46" w14:textId="35D0533F" w:rsidR="005D7CA0" w:rsidRPr="00052AFA" w:rsidRDefault="4435C01B" w:rsidP="00CA4FED">
            <w:pPr>
              <w:rPr>
                <w:color w:val="000000" w:themeColor="text1"/>
                <w:sz w:val="18"/>
                <w:szCs w:val="18"/>
                <w:lang w:val="en-GB"/>
              </w:rPr>
            </w:pPr>
            <w:r w:rsidRPr="00052AFA">
              <w:rPr>
                <w:color w:val="000000" w:themeColor="text1"/>
                <w:sz w:val="18"/>
                <w:szCs w:val="18"/>
                <w:lang w:val="en-GB"/>
              </w:rPr>
              <w:lastRenderedPageBreak/>
              <w:t>Climate Change Commission (CCC</w:t>
            </w:r>
            <w:r w:rsidR="004038C1" w:rsidRPr="00052AFA">
              <w:rPr>
                <w:color w:val="000000" w:themeColor="text1"/>
                <w:sz w:val="18"/>
                <w:szCs w:val="18"/>
                <w:lang w:val="en-GB"/>
              </w:rPr>
              <w:t>)</w:t>
            </w:r>
            <w:r w:rsidRPr="00052AFA">
              <w:rPr>
                <w:color w:val="000000" w:themeColor="text1"/>
                <w:sz w:val="18"/>
                <w:szCs w:val="18"/>
                <w:lang w:val="en-GB"/>
              </w:rPr>
              <w:t>,</w:t>
            </w:r>
            <w:r w:rsidR="008A4D59" w:rsidRPr="00052AFA">
              <w:rPr>
                <w:color w:val="000000" w:themeColor="text1"/>
                <w:sz w:val="18"/>
                <w:szCs w:val="18"/>
                <w:lang w:val="en-GB"/>
              </w:rPr>
              <w:t xml:space="preserve"> </w:t>
            </w:r>
            <w:r w:rsidR="004038C1" w:rsidRPr="00052AFA">
              <w:rPr>
                <w:color w:val="000000" w:themeColor="text1"/>
                <w:sz w:val="18"/>
                <w:szCs w:val="18"/>
                <w:lang w:val="en-GB"/>
              </w:rPr>
              <w:t>annual</w:t>
            </w:r>
          </w:p>
          <w:p w14:paraId="17057E1A" w14:textId="77777777" w:rsidR="005D7CA0" w:rsidRPr="00052AFA" w:rsidRDefault="005D7CA0" w:rsidP="00CA4FED">
            <w:pPr>
              <w:rPr>
                <w:color w:val="000000" w:themeColor="text1"/>
                <w:sz w:val="18"/>
                <w:szCs w:val="18"/>
                <w:lang w:val="en-GB"/>
              </w:rPr>
            </w:pPr>
          </w:p>
          <w:p w14:paraId="48C369DC" w14:textId="77777777" w:rsidR="005D7CA0" w:rsidRPr="00052AFA" w:rsidRDefault="005D7CA0" w:rsidP="00CA4FED">
            <w:pPr>
              <w:rPr>
                <w:color w:val="000000" w:themeColor="text1"/>
                <w:sz w:val="18"/>
                <w:szCs w:val="18"/>
                <w:lang w:val="en-GB"/>
              </w:rPr>
            </w:pPr>
          </w:p>
          <w:p w14:paraId="0BC10287" w14:textId="77777777" w:rsidR="005D7CA0" w:rsidRPr="00052AFA" w:rsidRDefault="005D7CA0" w:rsidP="00CA4FED">
            <w:pPr>
              <w:rPr>
                <w:color w:val="000000" w:themeColor="text1"/>
                <w:sz w:val="18"/>
                <w:szCs w:val="18"/>
                <w:lang w:val="en-GB"/>
              </w:rPr>
            </w:pPr>
          </w:p>
          <w:p w14:paraId="123033D1" w14:textId="77777777" w:rsidR="005D7CA0" w:rsidRPr="00052AFA" w:rsidRDefault="005D7CA0" w:rsidP="00CA4FED">
            <w:pPr>
              <w:rPr>
                <w:color w:val="000000" w:themeColor="text1"/>
                <w:sz w:val="18"/>
                <w:szCs w:val="18"/>
                <w:lang w:val="en-GB"/>
              </w:rPr>
            </w:pPr>
          </w:p>
          <w:p w14:paraId="7B38217C" w14:textId="467AD74E" w:rsidR="00D8561A" w:rsidRPr="00052AFA" w:rsidRDefault="00D8561A" w:rsidP="00CA4FED">
            <w:pPr>
              <w:rPr>
                <w:color w:val="000000" w:themeColor="text1"/>
                <w:sz w:val="18"/>
                <w:szCs w:val="18"/>
                <w:lang w:val="en-GB"/>
              </w:rPr>
            </w:pPr>
            <w:r w:rsidRPr="00052AFA">
              <w:rPr>
                <w:color w:val="000000" w:themeColor="text1"/>
                <w:sz w:val="18"/>
                <w:szCs w:val="18"/>
                <w:lang w:val="en-GB"/>
              </w:rPr>
              <w:lastRenderedPageBreak/>
              <w:t xml:space="preserve">Department of Environment and Natural Resources </w:t>
            </w:r>
            <w:r w:rsidR="004038C1" w:rsidRPr="00052AFA">
              <w:rPr>
                <w:color w:val="000000" w:themeColor="text1"/>
                <w:sz w:val="18"/>
                <w:szCs w:val="18"/>
                <w:lang w:val="en-GB"/>
              </w:rPr>
              <w:t>Biodiversity Management Bureau</w:t>
            </w:r>
            <w:r w:rsidRPr="00052AFA">
              <w:rPr>
                <w:color w:val="000000" w:themeColor="text1"/>
                <w:sz w:val="18"/>
                <w:szCs w:val="18"/>
                <w:lang w:val="en-GB"/>
              </w:rPr>
              <w:t xml:space="preserve"> (</w:t>
            </w:r>
            <w:r w:rsidR="00CB75B0" w:rsidRPr="00052AFA">
              <w:rPr>
                <w:color w:val="000000" w:themeColor="text1"/>
                <w:sz w:val="18"/>
                <w:szCs w:val="18"/>
                <w:lang w:val="en-GB"/>
              </w:rPr>
              <w:t>DENR BMB</w:t>
            </w:r>
            <w:r w:rsidR="008A4D59" w:rsidRPr="00052AFA">
              <w:rPr>
                <w:color w:val="000000" w:themeColor="text1"/>
                <w:sz w:val="18"/>
                <w:szCs w:val="18"/>
                <w:lang w:val="en-GB"/>
              </w:rPr>
              <w:t>)</w:t>
            </w:r>
            <w:r w:rsidR="00CB75B0" w:rsidRPr="00052AFA">
              <w:rPr>
                <w:color w:val="000000" w:themeColor="text1"/>
                <w:sz w:val="18"/>
                <w:szCs w:val="18"/>
                <w:lang w:val="en-GB"/>
              </w:rPr>
              <w:t>,</w:t>
            </w:r>
            <w:r w:rsidR="008A4D59" w:rsidRPr="00052AFA">
              <w:rPr>
                <w:color w:val="000000" w:themeColor="text1"/>
                <w:sz w:val="18"/>
                <w:szCs w:val="18"/>
                <w:lang w:val="en-GB"/>
              </w:rPr>
              <w:t xml:space="preserve"> </w:t>
            </w:r>
            <w:r w:rsidR="004038C1" w:rsidRPr="00052AFA">
              <w:rPr>
                <w:color w:val="000000" w:themeColor="text1"/>
                <w:sz w:val="18"/>
                <w:szCs w:val="18"/>
                <w:lang w:val="en-GB"/>
              </w:rPr>
              <w:t>annual</w:t>
            </w:r>
          </w:p>
          <w:p w14:paraId="6EAA4DD4" w14:textId="77777777" w:rsidR="005D7CA0" w:rsidRPr="00052AFA" w:rsidRDefault="005D7CA0" w:rsidP="003718B3">
            <w:pPr>
              <w:rPr>
                <w:color w:val="000000" w:themeColor="text1"/>
                <w:sz w:val="18"/>
                <w:szCs w:val="18"/>
                <w:lang w:val="en-GB"/>
              </w:rPr>
            </w:pPr>
          </w:p>
        </w:tc>
        <w:tc>
          <w:tcPr>
            <w:tcW w:w="6095" w:type="dxa"/>
            <w:gridSpan w:val="3"/>
            <w:vMerge w:val="restart"/>
            <w:tcMar>
              <w:top w:w="72" w:type="dxa"/>
              <w:left w:w="144" w:type="dxa"/>
              <w:bottom w:w="72" w:type="dxa"/>
              <w:right w:w="144" w:type="dxa"/>
            </w:tcMar>
          </w:tcPr>
          <w:p w14:paraId="1678A3D9" w14:textId="092E192E" w:rsidR="005D7CA0" w:rsidRPr="00715998" w:rsidRDefault="00B91CD7" w:rsidP="00715998">
            <w:pPr>
              <w:pStyle w:val="ListParagraph"/>
              <w:numPr>
                <w:ilvl w:val="1"/>
                <w:numId w:val="27"/>
              </w:numPr>
              <w:pBdr>
                <w:top w:val="nil"/>
                <w:left w:val="nil"/>
                <w:bottom w:val="nil"/>
                <w:right w:val="nil"/>
                <w:between w:val="nil"/>
              </w:pBdr>
              <w:rPr>
                <w:b/>
                <w:bCs/>
                <w:color w:val="000000" w:themeColor="text1"/>
                <w:sz w:val="18"/>
                <w:szCs w:val="18"/>
                <w:lang w:val="en-GB"/>
              </w:rPr>
            </w:pPr>
            <w:r w:rsidRPr="00715998">
              <w:rPr>
                <w:b/>
                <w:bCs/>
                <w:color w:val="000000" w:themeColor="text1"/>
                <w:sz w:val="18"/>
                <w:szCs w:val="18"/>
                <w:lang w:val="en-GB"/>
              </w:rPr>
              <w:lastRenderedPageBreak/>
              <w:t>C</w:t>
            </w:r>
            <w:r w:rsidR="4435C01B" w:rsidRPr="00715998">
              <w:rPr>
                <w:b/>
                <w:bCs/>
                <w:color w:val="000000" w:themeColor="text1"/>
                <w:sz w:val="18"/>
                <w:szCs w:val="18"/>
                <w:lang w:val="en-GB"/>
              </w:rPr>
              <w:t>limate-sensitiv</w:t>
            </w:r>
            <w:r w:rsidRPr="00715998">
              <w:rPr>
                <w:b/>
                <w:bCs/>
                <w:color w:val="000000" w:themeColor="text1"/>
                <w:sz w:val="18"/>
                <w:szCs w:val="18"/>
                <w:lang w:val="en-GB"/>
              </w:rPr>
              <w:t>ity models and</w:t>
            </w:r>
            <w:r w:rsidR="4435C01B" w:rsidRPr="00715998">
              <w:rPr>
                <w:b/>
                <w:bCs/>
                <w:color w:val="000000" w:themeColor="text1"/>
                <w:sz w:val="18"/>
                <w:szCs w:val="18"/>
                <w:lang w:val="en-GB"/>
              </w:rPr>
              <w:t xml:space="preserve"> hazard maps developed</w:t>
            </w:r>
            <w:r w:rsidRPr="00715998">
              <w:rPr>
                <w:b/>
                <w:bCs/>
                <w:color w:val="000000" w:themeColor="text1"/>
                <w:sz w:val="18"/>
                <w:szCs w:val="18"/>
                <w:lang w:val="en-GB"/>
              </w:rPr>
              <w:t xml:space="preserve"> and applied</w:t>
            </w:r>
            <w:r w:rsidR="4435C01B" w:rsidRPr="00715998">
              <w:rPr>
                <w:b/>
                <w:bCs/>
                <w:color w:val="000000" w:themeColor="text1"/>
                <w:sz w:val="18"/>
                <w:szCs w:val="18"/>
                <w:lang w:val="en-GB"/>
              </w:rPr>
              <w:t xml:space="preserve"> to help NGAs and LGUs better understand</w:t>
            </w:r>
            <w:r w:rsidRPr="00715998">
              <w:rPr>
                <w:b/>
                <w:bCs/>
                <w:color w:val="000000" w:themeColor="text1"/>
                <w:sz w:val="18"/>
                <w:szCs w:val="18"/>
                <w:lang w:val="en-GB"/>
              </w:rPr>
              <w:t xml:space="preserve"> and plan for</w:t>
            </w:r>
            <w:r w:rsidR="4435C01B" w:rsidRPr="00715998">
              <w:rPr>
                <w:b/>
                <w:bCs/>
                <w:color w:val="000000" w:themeColor="text1"/>
                <w:sz w:val="18"/>
                <w:szCs w:val="18"/>
                <w:lang w:val="en-GB"/>
              </w:rPr>
              <w:t xml:space="preserve"> the extent, scope, and distribution of </w:t>
            </w:r>
            <w:r w:rsidRPr="00715998">
              <w:rPr>
                <w:b/>
                <w:bCs/>
                <w:color w:val="000000" w:themeColor="text1"/>
                <w:sz w:val="18"/>
                <w:szCs w:val="18"/>
                <w:lang w:val="en-GB"/>
              </w:rPr>
              <w:t>medium and long-term risks</w:t>
            </w:r>
            <w:r w:rsidR="00917143">
              <w:rPr>
                <w:b/>
                <w:bCs/>
                <w:color w:val="000000" w:themeColor="text1"/>
                <w:sz w:val="18"/>
                <w:szCs w:val="18"/>
                <w:lang w:val="en-GB"/>
              </w:rPr>
              <w:t>.</w:t>
            </w:r>
          </w:p>
          <w:p w14:paraId="2D32699D" w14:textId="77777777" w:rsidR="005D7CA0" w:rsidRPr="00052AFA" w:rsidRDefault="005D7CA0" w:rsidP="00CA4FED">
            <w:pPr>
              <w:ind w:left="360"/>
              <w:rPr>
                <w:color w:val="000000" w:themeColor="text1"/>
                <w:sz w:val="18"/>
                <w:szCs w:val="18"/>
                <w:lang w:val="en-GB"/>
              </w:rPr>
            </w:pPr>
          </w:p>
          <w:p w14:paraId="020A8534" w14:textId="5FC9BD53" w:rsidR="005D7CA0" w:rsidRPr="00052AFA" w:rsidRDefault="4435C01B" w:rsidP="00CA4FED">
            <w:pPr>
              <w:ind w:left="360"/>
              <w:rPr>
                <w:color w:val="000000" w:themeColor="text1"/>
                <w:sz w:val="18"/>
                <w:szCs w:val="18"/>
                <w:lang w:val="en-GB"/>
              </w:rPr>
            </w:pPr>
            <w:r w:rsidRPr="00052AFA">
              <w:rPr>
                <w:color w:val="000000" w:themeColor="text1"/>
                <w:sz w:val="18"/>
                <w:szCs w:val="18"/>
                <w:lang w:val="en-GB"/>
              </w:rPr>
              <w:t>2.1.1</w:t>
            </w:r>
            <w:r w:rsidR="00917143">
              <w:rPr>
                <w:color w:val="000000" w:themeColor="text1"/>
                <w:sz w:val="18"/>
                <w:szCs w:val="18"/>
                <w:lang w:val="en-GB"/>
              </w:rPr>
              <w:t>.</w:t>
            </w:r>
            <w:r w:rsidRPr="00052AFA">
              <w:rPr>
                <w:color w:val="000000" w:themeColor="text1"/>
                <w:sz w:val="18"/>
                <w:szCs w:val="18"/>
                <w:lang w:val="en-GB"/>
              </w:rPr>
              <w:t xml:space="preserve"> Number of UNDP-assisted LGUs with risk-informed development and investment plans, integrating solutions for disaster risk reduction (DRR) and climate change adaptation and mitigation</w:t>
            </w:r>
            <w:r w:rsidR="00D748FA">
              <w:rPr>
                <w:color w:val="000000" w:themeColor="text1"/>
                <w:sz w:val="18"/>
                <w:szCs w:val="18"/>
                <w:lang w:val="en-GB"/>
              </w:rPr>
              <w:t>.</w:t>
            </w:r>
            <w:r w:rsidRPr="00052AFA">
              <w:rPr>
                <w:color w:val="000000" w:themeColor="text1"/>
                <w:sz w:val="18"/>
                <w:szCs w:val="18"/>
                <w:lang w:val="en-GB"/>
              </w:rPr>
              <w:t xml:space="preserve"> </w:t>
            </w:r>
            <w:r w:rsidR="00C37C07" w:rsidRPr="00052AFA">
              <w:rPr>
                <w:color w:val="000000" w:themeColor="text1"/>
                <w:sz w:val="18"/>
                <w:szCs w:val="18"/>
                <w:lang w:val="en-GB"/>
              </w:rPr>
              <w:t>[IRRF 2.3.1.1]</w:t>
            </w:r>
          </w:p>
          <w:p w14:paraId="68A4D535" w14:textId="548E0A5E" w:rsidR="005D7CA0" w:rsidRPr="00052AFA" w:rsidRDefault="004038C1" w:rsidP="00CA4FED">
            <w:pPr>
              <w:ind w:left="360"/>
              <w:rPr>
                <w:iCs/>
                <w:color w:val="000000" w:themeColor="text1"/>
                <w:sz w:val="18"/>
                <w:szCs w:val="18"/>
                <w:lang w:val="en-GB"/>
              </w:rPr>
            </w:pPr>
            <w:r w:rsidRPr="00052AFA">
              <w:rPr>
                <w:iCs/>
                <w:color w:val="000000" w:themeColor="text1"/>
                <w:sz w:val="18"/>
                <w:szCs w:val="18"/>
                <w:lang w:val="en-GB"/>
              </w:rPr>
              <w:t>Baseline</w:t>
            </w:r>
            <w:r w:rsidR="00A93864" w:rsidRPr="00052AFA">
              <w:rPr>
                <w:iCs/>
                <w:color w:val="000000" w:themeColor="text1"/>
                <w:sz w:val="18"/>
                <w:szCs w:val="18"/>
                <w:lang w:val="en-GB"/>
              </w:rPr>
              <w:t xml:space="preserve"> </w:t>
            </w:r>
            <w:r w:rsidR="00B91CD7" w:rsidRPr="00052AFA">
              <w:rPr>
                <w:iCs/>
                <w:color w:val="000000" w:themeColor="text1"/>
                <w:sz w:val="18"/>
                <w:szCs w:val="18"/>
                <w:lang w:val="en-GB"/>
              </w:rPr>
              <w:t xml:space="preserve">(2017): </w:t>
            </w:r>
            <w:r w:rsidR="00D748FA">
              <w:rPr>
                <w:iCs/>
                <w:color w:val="000000" w:themeColor="text1"/>
                <w:sz w:val="18"/>
                <w:szCs w:val="18"/>
                <w:lang w:val="en-GB"/>
              </w:rPr>
              <w:t>p</w:t>
            </w:r>
            <w:r w:rsidR="00B91CD7" w:rsidRPr="00052AFA">
              <w:rPr>
                <w:iCs/>
                <w:color w:val="000000" w:themeColor="text1"/>
                <w:sz w:val="18"/>
                <w:szCs w:val="18"/>
                <w:lang w:val="en-GB"/>
              </w:rPr>
              <w:t>rovinces</w:t>
            </w:r>
            <w:r w:rsidR="00D748FA">
              <w:rPr>
                <w:iCs/>
                <w:color w:val="000000" w:themeColor="text1"/>
                <w:sz w:val="18"/>
                <w:szCs w:val="18"/>
                <w:lang w:val="en-GB"/>
              </w:rPr>
              <w:t xml:space="preserve"> (</w:t>
            </w:r>
            <w:r w:rsidR="4435C01B" w:rsidRPr="00052AFA">
              <w:rPr>
                <w:iCs/>
                <w:color w:val="000000" w:themeColor="text1"/>
                <w:sz w:val="18"/>
                <w:szCs w:val="18"/>
                <w:lang w:val="en-GB"/>
              </w:rPr>
              <w:t>74</w:t>
            </w:r>
            <w:r w:rsidR="00D748FA">
              <w:rPr>
                <w:iCs/>
                <w:color w:val="000000" w:themeColor="text1"/>
                <w:sz w:val="18"/>
                <w:szCs w:val="18"/>
                <w:lang w:val="en-GB"/>
              </w:rPr>
              <w:t>); m</w:t>
            </w:r>
            <w:r w:rsidR="4435C01B" w:rsidRPr="00052AFA">
              <w:rPr>
                <w:iCs/>
                <w:color w:val="000000" w:themeColor="text1"/>
                <w:sz w:val="18"/>
                <w:szCs w:val="18"/>
                <w:lang w:val="en-GB"/>
              </w:rPr>
              <w:t>unicipalities</w:t>
            </w:r>
            <w:r w:rsidR="00D748FA">
              <w:rPr>
                <w:iCs/>
                <w:color w:val="000000" w:themeColor="text1"/>
                <w:sz w:val="18"/>
                <w:szCs w:val="18"/>
                <w:lang w:val="en-GB"/>
              </w:rPr>
              <w:t xml:space="preserve"> (</w:t>
            </w:r>
            <w:r w:rsidR="4435C01B" w:rsidRPr="00052AFA">
              <w:rPr>
                <w:iCs/>
                <w:color w:val="000000" w:themeColor="text1"/>
                <w:sz w:val="18"/>
                <w:szCs w:val="18"/>
                <w:lang w:val="en-GB"/>
              </w:rPr>
              <w:t>11</w:t>
            </w:r>
            <w:r w:rsidR="00D748FA">
              <w:rPr>
                <w:iCs/>
                <w:color w:val="000000" w:themeColor="text1"/>
                <w:sz w:val="18"/>
                <w:szCs w:val="18"/>
                <w:lang w:val="en-GB"/>
              </w:rPr>
              <w:t>)</w:t>
            </w:r>
          </w:p>
          <w:p w14:paraId="55DDF84F" w14:textId="6830ADC9" w:rsidR="006739E4" w:rsidRPr="00052AFA" w:rsidRDefault="4435C01B" w:rsidP="00CA4FED">
            <w:pPr>
              <w:ind w:left="360"/>
              <w:rPr>
                <w:iCs/>
                <w:color w:val="000000" w:themeColor="text1"/>
                <w:sz w:val="18"/>
                <w:szCs w:val="18"/>
                <w:lang w:val="en-GB"/>
              </w:rPr>
            </w:pPr>
            <w:r w:rsidRPr="00052AFA">
              <w:rPr>
                <w:iCs/>
                <w:color w:val="000000" w:themeColor="text1"/>
                <w:sz w:val="18"/>
                <w:szCs w:val="18"/>
                <w:lang w:val="en-GB"/>
              </w:rPr>
              <w:lastRenderedPageBreak/>
              <w:t>Target:</w:t>
            </w:r>
            <w:r w:rsidR="007014AC" w:rsidRPr="00052AFA">
              <w:rPr>
                <w:iCs/>
                <w:color w:val="000000" w:themeColor="text1"/>
                <w:sz w:val="18"/>
                <w:szCs w:val="18"/>
                <w:lang w:val="en-GB"/>
              </w:rPr>
              <w:t xml:space="preserve"> 80</w:t>
            </w:r>
            <w:r w:rsidR="00D748FA">
              <w:rPr>
                <w:iCs/>
                <w:color w:val="000000" w:themeColor="text1"/>
                <w:sz w:val="18"/>
                <w:szCs w:val="18"/>
                <w:lang w:val="en-GB"/>
              </w:rPr>
              <w:t xml:space="preserve">; </w:t>
            </w:r>
            <w:r w:rsidR="007014AC" w:rsidRPr="00052AFA">
              <w:rPr>
                <w:iCs/>
                <w:color w:val="000000" w:themeColor="text1"/>
                <w:sz w:val="18"/>
                <w:szCs w:val="18"/>
                <w:lang w:val="en-GB"/>
              </w:rPr>
              <w:t>37</w:t>
            </w:r>
          </w:p>
          <w:p w14:paraId="169450BD" w14:textId="1D40AAFF" w:rsidR="005D7CA0" w:rsidRPr="00052AFA" w:rsidRDefault="006739E4" w:rsidP="00CA4FED">
            <w:pPr>
              <w:ind w:left="360"/>
              <w:rPr>
                <w:iCs/>
                <w:color w:val="000000" w:themeColor="text1"/>
                <w:sz w:val="18"/>
                <w:szCs w:val="18"/>
                <w:lang w:val="en-GB"/>
              </w:rPr>
            </w:pPr>
            <w:r w:rsidRPr="00052AFA">
              <w:rPr>
                <w:iCs/>
                <w:color w:val="000000" w:themeColor="text1"/>
                <w:sz w:val="18"/>
                <w:szCs w:val="18"/>
                <w:lang w:val="en-GB"/>
              </w:rPr>
              <w:t>Source:</w:t>
            </w:r>
            <w:r w:rsidR="00010599" w:rsidRPr="00052AFA">
              <w:rPr>
                <w:iCs/>
                <w:color w:val="000000" w:themeColor="text1"/>
                <w:sz w:val="18"/>
                <w:szCs w:val="18"/>
                <w:lang w:val="en-GB"/>
              </w:rPr>
              <w:t xml:space="preserve"> NDRRMC and project reports</w:t>
            </w:r>
          </w:p>
          <w:p w14:paraId="63727AC1" w14:textId="77777777" w:rsidR="005D7CA0" w:rsidRPr="00052AFA" w:rsidRDefault="005D7CA0" w:rsidP="000C5ABB">
            <w:pPr>
              <w:rPr>
                <w:color w:val="000000" w:themeColor="text1"/>
                <w:sz w:val="18"/>
                <w:szCs w:val="18"/>
                <w:lang w:val="en-GB"/>
              </w:rPr>
            </w:pPr>
          </w:p>
          <w:p w14:paraId="39DC1E66" w14:textId="300852A0" w:rsidR="005D7CA0" w:rsidRPr="00052AFA" w:rsidRDefault="4435C01B" w:rsidP="00CA4FED">
            <w:pPr>
              <w:ind w:left="360"/>
              <w:rPr>
                <w:color w:val="000000" w:themeColor="text1"/>
                <w:sz w:val="18"/>
                <w:szCs w:val="18"/>
                <w:lang w:val="en-GB"/>
              </w:rPr>
            </w:pPr>
            <w:r w:rsidRPr="00052AFA">
              <w:rPr>
                <w:color w:val="000000" w:themeColor="text1"/>
                <w:sz w:val="18"/>
                <w:szCs w:val="18"/>
                <w:lang w:val="en-GB"/>
              </w:rPr>
              <w:t>2.1.</w:t>
            </w:r>
            <w:r w:rsidR="009F6622" w:rsidRPr="00052AFA">
              <w:rPr>
                <w:color w:val="000000" w:themeColor="text1"/>
                <w:sz w:val="18"/>
                <w:szCs w:val="18"/>
                <w:lang w:val="en-GB"/>
              </w:rPr>
              <w:t>2</w:t>
            </w:r>
            <w:r w:rsidR="00D748FA">
              <w:rPr>
                <w:color w:val="000000" w:themeColor="text1"/>
                <w:sz w:val="18"/>
                <w:szCs w:val="18"/>
                <w:lang w:val="en-GB"/>
              </w:rPr>
              <w:t>.</w:t>
            </w:r>
            <w:r w:rsidRPr="00052AFA">
              <w:rPr>
                <w:color w:val="000000" w:themeColor="text1"/>
                <w:sz w:val="18"/>
                <w:szCs w:val="18"/>
                <w:lang w:val="en-GB"/>
              </w:rPr>
              <w:t xml:space="preserve"> Number of farmers implementing climate change adaptation and mitigation strategies in UNDP-assisted communities</w:t>
            </w:r>
            <w:r w:rsidR="00D748FA">
              <w:rPr>
                <w:color w:val="000000" w:themeColor="text1"/>
                <w:sz w:val="18"/>
                <w:szCs w:val="18"/>
                <w:lang w:val="en-GB"/>
              </w:rPr>
              <w:t>.</w:t>
            </w:r>
            <w:r w:rsidRPr="00052AFA">
              <w:rPr>
                <w:color w:val="000000" w:themeColor="text1"/>
                <w:sz w:val="18"/>
                <w:szCs w:val="18"/>
                <w:lang w:val="en-GB"/>
              </w:rPr>
              <w:t xml:space="preserve"> </w:t>
            </w:r>
          </w:p>
          <w:p w14:paraId="4C86F231" w14:textId="1D84896C" w:rsidR="005D7CA0" w:rsidRPr="00052AFA" w:rsidRDefault="4435C01B" w:rsidP="00CA4FED">
            <w:pPr>
              <w:ind w:left="360"/>
              <w:rPr>
                <w:iCs/>
                <w:color w:val="000000" w:themeColor="text1"/>
                <w:sz w:val="18"/>
                <w:szCs w:val="18"/>
                <w:lang w:val="en-GB"/>
              </w:rPr>
            </w:pPr>
            <w:r w:rsidRPr="00052AFA">
              <w:rPr>
                <w:iCs/>
                <w:color w:val="000000" w:themeColor="text1"/>
                <w:sz w:val="18"/>
                <w:szCs w:val="18"/>
                <w:lang w:val="en-GB"/>
              </w:rPr>
              <w:t>Baseline</w:t>
            </w:r>
            <w:r w:rsidR="00A93864" w:rsidRPr="00052AFA">
              <w:rPr>
                <w:iCs/>
                <w:color w:val="000000" w:themeColor="text1"/>
                <w:sz w:val="18"/>
                <w:szCs w:val="18"/>
                <w:lang w:val="en-GB"/>
              </w:rPr>
              <w:t xml:space="preserve"> </w:t>
            </w:r>
            <w:r w:rsidR="004038C1" w:rsidRPr="00052AFA">
              <w:rPr>
                <w:iCs/>
                <w:color w:val="000000" w:themeColor="text1"/>
                <w:sz w:val="18"/>
                <w:szCs w:val="18"/>
                <w:lang w:val="en-GB"/>
              </w:rPr>
              <w:t>(2017)</w:t>
            </w:r>
            <w:r w:rsidRPr="00052AFA">
              <w:rPr>
                <w:iCs/>
                <w:color w:val="000000" w:themeColor="text1"/>
                <w:sz w:val="18"/>
                <w:szCs w:val="18"/>
                <w:lang w:val="en-GB"/>
              </w:rPr>
              <w:t>: 2,413</w:t>
            </w:r>
          </w:p>
          <w:p w14:paraId="7006120C" w14:textId="77777777" w:rsidR="005D7CA0" w:rsidRPr="00052AFA" w:rsidRDefault="4435C01B" w:rsidP="00CA4FED">
            <w:pPr>
              <w:ind w:left="360"/>
              <w:rPr>
                <w:iCs/>
                <w:color w:val="000000" w:themeColor="text1"/>
                <w:sz w:val="18"/>
                <w:szCs w:val="18"/>
                <w:lang w:val="en-GB"/>
              </w:rPr>
            </w:pPr>
            <w:r w:rsidRPr="00052AFA">
              <w:rPr>
                <w:iCs/>
                <w:color w:val="000000" w:themeColor="text1"/>
                <w:sz w:val="18"/>
                <w:szCs w:val="18"/>
                <w:lang w:val="en-GB"/>
              </w:rPr>
              <w:t>Target: 5,000</w:t>
            </w:r>
          </w:p>
          <w:p w14:paraId="48FFA627" w14:textId="2C8D6AF5" w:rsidR="006739E4" w:rsidRPr="00052AFA" w:rsidRDefault="006739E4" w:rsidP="00CA4FED">
            <w:pPr>
              <w:ind w:left="360"/>
              <w:rPr>
                <w:iCs/>
                <w:color w:val="000000" w:themeColor="text1"/>
                <w:sz w:val="18"/>
                <w:szCs w:val="18"/>
                <w:lang w:val="en-GB"/>
              </w:rPr>
            </w:pPr>
            <w:r w:rsidRPr="00052AFA">
              <w:rPr>
                <w:iCs/>
                <w:color w:val="000000" w:themeColor="text1"/>
                <w:sz w:val="18"/>
                <w:szCs w:val="18"/>
                <w:lang w:val="en-GB"/>
              </w:rPr>
              <w:t>Source:</w:t>
            </w:r>
            <w:r w:rsidR="00010599" w:rsidRPr="00052AFA">
              <w:rPr>
                <w:iCs/>
                <w:color w:val="000000" w:themeColor="text1"/>
                <w:sz w:val="18"/>
                <w:szCs w:val="18"/>
                <w:lang w:val="en-GB"/>
              </w:rPr>
              <w:t xml:space="preserve"> Project </w:t>
            </w:r>
            <w:r w:rsidR="00D748FA">
              <w:rPr>
                <w:iCs/>
                <w:color w:val="000000" w:themeColor="text1"/>
                <w:sz w:val="18"/>
                <w:szCs w:val="18"/>
                <w:lang w:val="en-GB"/>
              </w:rPr>
              <w:t xml:space="preserve">monitoring and evaluation </w:t>
            </w:r>
            <w:r w:rsidR="00010599" w:rsidRPr="00052AFA">
              <w:rPr>
                <w:iCs/>
                <w:color w:val="000000" w:themeColor="text1"/>
                <w:sz w:val="18"/>
                <w:szCs w:val="18"/>
                <w:lang w:val="en-GB"/>
              </w:rPr>
              <w:t>data</w:t>
            </w:r>
          </w:p>
          <w:p w14:paraId="33EF44CE" w14:textId="77777777" w:rsidR="005D7CA0" w:rsidRPr="00052AFA" w:rsidRDefault="005D7CA0" w:rsidP="00CA4FED">
            <w:pPr>
              <w:rPr>
                <w:b/>
                <w:color w:val="000000" w:themeColor="text1"/>
                <w:sz w:val="18"/>
                <w:lang w:val="en-GB"/>
              </w:rPr>
            </w:pPr>
          </w:p>
          <w:p w14:paraId="7D2F62C8" w14:textId="769ED804" w:rsidR="005D7CA0" w:rsidRPr="00715998" w:rsidRDefault="4435C01B" w:rsidP="00715998">
            <w:pPr>
              <w:pStyle w:val="ListParagraph"/>
              <w:numPr>
                <w:ilvl w:val="1"/>
                <w:numId w:val="27"/>
              </w:numPr>
              <w:pBdr>
                <w:top w:val="nil"/>
                <w:left w:val="nil"/>
                <w:bottom w:val="nil"/>
                <w:right w:val="nil"/>
                <w:between w:val="nil"/>
              </w:pBdr>
              <w:contextualSpacing/>
              <w:rPr>
                <w:b/>
                <w:bCs/>
                <w:color w:val="000000" w:themeColor="text1"/>
                <w:sz w:val="18"/>
                <w:szCs w:val="18"/>
                <w:lang w:val="en-GB"/>
              </w:rPr>
            </w:pPr>
            <w:r w:rsidRPr="00715998">
              <w:rPr>
                <w:b/>
                <w:bCs/>
                <w:color w:val="000000" w:themeColor="text1"/>
                <w:sz w:val="18"/>
                <w:szCs w:val="18"/>
                <w:lang w:val="en-GB"/>
              </w:rPr>
              <w:t xml:space="preserve">Enabling policies, private sector engagement, monitoring, reporting and verification systems strengthened to help the country meet its </w:t>
            </w:r>
            <w:r w:rsidR="00B91CD7" w:rsidRPr="00715998">
              <w:rPr>
                <w:b/>
                <w:bCs/>
                <w:color w:val="000000" w:themeColor="text1"/>
                <w:sz w:val="18"/>
                <w:szCs w:val="18"/>
                <w:lang w:val="en-GB"/>
              </w:rPr>
              <w:t xml:space="preserve">commitments to the Paris </w:t>
            </w:r>
            <w:r w:rsidR="00D748FA">
              <w:rPr>
                <w:b/>
                <w:bCs/>
                <w:color w:val="000000" w:themeColor="text1"/>
                <w:sz w:val="18"/>
                <w:szCs w:val="18"/>
                <w:lang w:val="en-GB"/>
              </w:rPr>
              <w:t xml:space="preserve">Climate </w:t>
            </w:r>
            <w:r w:rsidR="00B91CD7" w:rsidRPr="00715998">
              <w:rPr>
                <w:b/>
                <w:bCs/>
                <w:color w:val="000000" w:themeColor="text1"/>
                <w:sz w:val="18"/>
                <w:szCs w:val="18"/>
                <w:lang w:val="en-GB"/>
              </w:rPr>
              <w:t>Agreement</w:t>
            </w:r>
            <w:r w:rsidR="00D748FA">
              <w:rPr>
                <w:b/>
                <w:bCs/>
                <w:color w:val="000000" w:themeColor="text1"/>
                <w:sz w:val="18"/>
                <w:szCs w:val="18"/>
                <w:lang w:val="en-GB"/>
              </w:rPr>
              <w:t>.</w:t>
            </w:r>
          </w:p>
          <w:p w14:paraId="1DED8B98" w14:textId="77777777" w:rsidR="005D7CA0" w:rsidRPr="00052AFA" w:rsidRDefault="005D7CA0" w:rsidP="00CA4FED">
            <w:pPr>
              <w:rPr>
                <w:color w:val="000000" w:themeColor="text1"/>
                <w:sz w:val="18"/>
                <w:szCs w:val="18"/>
                <w:lang w:val="en-GB"/>
              </w:rPr>
            </w:pPr>
          </w:p>
          <w:p w14:paraId="256B1916" w14:textId="46D215B4" w:rsidR="009F6622" w:rsidRPr="00052AFA" w:rsidRDefault="009F6622" w:rsidP="00CA4FED">
            <w:pPr>
              <w:ind w:left="333"/>
              <w:rPr>
                <w:color w:val="000000" w:themeColor="text1"/>
                <w:sz w:val="18"/>
                <w:szCs w:val="18"/>
                <w:lang w:val="en-GB"/>
              </w:rPr>
            </w:pPr>
            <w:r w:rsidRPr="00052AFA">
              <w:rPr>
                <w:color w:val="000000" w:themeColor="text1"/>
                <w:sz w:val="18"/>
                <w:szCs w:val="18"/>
                <w:lang w:val="en-GB"/>
              </w:rPr>
              <w:t>2.2.1</w:t>
            </w:r>
            <w:r w:rsidR="00D748FA">
              <w:rPr>
                <w:color w:val="000000" w:themeColor="text1"/>
                <w:sz w:val="18"/>
                <w:szCs w:val="18"/>
                <w:lang w:val="en-GB"/>
              </w:rPr>
              <w:t>.</w:t>
            </w:r>
            <w:r w:rsidRPr="00052AFA">
              <w:rPr>
                <w:color w:val="000000" w:themeColor="text1"/>
                <w:sz w:val="18"/>
                <w:szCs w:val="18"/>
                <w:lang w:val="en-GB"/>
              </w:rPr>
              <w:t xml:space="preserve"> Extent to which low emission and climate-resilient development targets are reflected in: </w:t>
            </w:r>
          </w:p>
          <w:p w14:paraId="18AE2255" w14:textId="484CF8C5" w:rsidR="009F6622" w:rsidRPr="00052AFA" w:rsidRDefault="009F6622" w:rsidP="00CA4FED">
            <w:pPr>
              <w:numPr>
                <w:ilvl w:val="0"/>
                <w:numId w:val="15"/>
              </w:numPr>
              <w:pBdr>
                <w:top w:val="nil"/>
                <w:left w:val="nil"/>
                <w:bottom w:val="nil"/>
                <w:right w:val="nil"/>
                <w:between w:val="nil"/>
              </w:pBdr>
              <w:rPr>
                <w:color w:val="000000" w:themeColor="text1"/>
                <w:sz w:val="18"/>
                <w:szCs w:val="18"/>
                <w:lang w:val="en-GB"/>
              </w:rPr>
            </w:pPr>
            <w:r w:rsidRPr="00052AFA">
              <w:rPr>
                <w:color w:val="000000" w:themeColor="text1"/>
                <w:sz w:val="18"/>
                <w:szCs w:val="18"/>
                <w:lang w:val="en-GB"/>
              </w:rPr>
              <w:t>National plans, strategies and budgets</w:t>
            </w:r>
            <w:r w:rsidR="00D748FA">
              <w:rPr>
                <w:color w:val="000000" w:themeColor="text1"/>
                <w:sz w:val="18"/>
                <w:szCs w:val="18"/>
                <w:lang w:val="en-GB"/>
              </w:rPr>
              <w:t>;</w:t>
            </w:r>
          </w:p>
          <w:p w14:paraId="6B67D957" w14:textId="4BF06725" w:rsidR="009F6622" w:rsidRPr="00052AFA" w:rsidRDefault="009F6622" w:rsidP="00CA4FED">
            <w:pPr>
              <w:numPr>
                <w:ilvl w:val="0"/>
                <w:numId w:val="15"/>
              </w:numPr>
              <w:pBdr>
                <w:top w:val="nil"/>
                <w:left w:val="nil"/>
                <w:bottom w:val="nil"/>
                <w:right w:val="nil"/>
                <w:between w:val="nil"/>
              </w:pBdr>
              <w:rPr>
                <w:color w:val="000000" w:themeColor="text1"/>
                <w:sz w:val="18"/>
                <w:szCs w:val="18"/>
                <w:lang w:val="en-GB"/>
              </w:rPr>
            </w:pPr>
            <w:r w:rsidRPr="00052AFA">
              <w:rPr>
                <w:color w:val="000000" w:themeColor="text1"/>
                <w:sz w:val="18"/>
                <w:szCs w:val="18"/>
                <w:lang w:val="en-GB"/>
              </w:rPr>
              <w:t>Local development plans, strategies and budgets</w:t>
            </w:r>
            <w:r w:rsidR="00D748FA">
              <w:rPr>
                <w:color w:val="000000" w:themeColor="text1"/>
                <w:sz w:val="18"/>
                <w:szCs w:val="18"/>
                <w:lang w:val="en-GB"/>
              </w:rPr>
              <w:t>;</w:t>
            </w:r>
          </w:p>
          <w:p w14:paraId="0A09BCDE" w14:textId="63EA28B8" w:rsidR="009F6622" w:rsidRPr="00052AFA" w:rsidRDefault="009F6622" w:rsidP="00CA4FED">
            <w:pPr>
              <w:numPr>
                <w:ilvl w:val="0"/>
                <w:numId w:val="15"/>
              </w:numPr>
              <w:pBdr>
                <w:top w:val="nil"/>
                <w:left w:val="nil"/>
                <w:bottom w:val="nil"/>
                <w:right w:val="nil"/>
                <w:between w:val="nil"/>
              </w:pBdr>
              <w:rPr>
                <w:color w:val="000000" w:themeColor="text1"/>
                <w:sz w:val="18"/>
                <w:szCs w:val="18"/>
                <w:lang w:val="en-GB"/>
              </w:rPr>
            </w:pPr>
            <w:r w:rsidRPr="00052AFA">
              <w:rPr>
                <w:color w:val="000000" w:themeColor="text1"/>
                <w:sz w:val="18"/>
                <w:szCs w:val="18"/>
                <w:lang w:val="en-GB"/>
              </w:rPr>
              <w:t>Private sector business plans and strategies</w:t>
            </w:r>
            <w:r w:rsidR="00D748FA">
              <w:rPr>
                <w:color w:val="000000" w:themeColor="text1"/>
                <w:sz w:val="18"/>
                <w:szCs w:val="18"/>
                <w:lang w:val="en-GB"/>
              </w:rPr>
              <w:t>.</w:t>
            </w:r>
          </w:p>
          <w:p w14:paraId="70E6D65C" w14:textId="62BA835A" w:rsidR="00C37C07" w:rsidRPr="00052AFA" w:rsidRDefault="00C37C07" w:rsidP="000C5ABB">
            <w:pPr>
              <w:pBdr>
                <w:top w:val="nil"/>
                <w:left w:val="nil"/>
                <w:bottom w:val="nil"/>
                <w:right w:val="nil"/>
                <w:between w:val="nil"/>
              </w:pBdr>
              <w:ind w:left="567"/>
              <w:rPr>
                <w:color w:val="000000" w:themeColor="text1"/>
                <w:sz w:val="18"/>
                <w:szCs w:val="18"/>
                <w:lang w:val="en-GB"/>
              </w:rPr>
            </w:pPr>
            <w:r w:rsidRPr="00052AFA">
              <w:rPr>
                <w:color w:val="000000" w:themeColor="text1"/>
                <w:sz w:val="18"/>
                <w:szCs w:val="18"/>
                <w:lang w:val="en-GB"/>
              </w:rPr>
              <w:t>[IRRF 2.1.1.1]</w:t>
            </w:r>
          </w:p>
          <w:p w14:paraId="329F579B" w14:textId="60B1DE84" w:rsidR="009F6622" w:rsidRPr="00052AFA" w:rsidRDefault="009F6622" w:rsidP="00CA4FED">
            <w:pPr>
              <w:ind w:left="360"/>
              <w:rPr>
                <w:color w:val="000000" w:themeColor="text1"/>
                <w:sz w:val="18"/>
                <w:szCs w:val="18"/>
                <w:lang w:val="en-GB"/>
              </w:rPr>
            </w:pPr>
            <w:r w:rsidRPr="00052AFA">
              <w:rPr>
                <w:color w:val="000000" w:themeColor="text1"/>
                <w:sz w:val="18"/>
                <w:szCs w:val="18"/>
                <w:lang w:val="en-GB"/>
              </w:rPr>
              <w:t>Baseli</w:t>
            </w:r>
            <w:r w:rsidR="004038C1" w:rsidRPr="00052AFA">
              <w:rPr>
                <w:color w:val="000000" w:themeColor="text1"/>
                <w:sz w:val="18"/>
                <w:szCs w:val="18"/>
                <w:lang w:val="en-GB"/>
              </w:rPr>
              <w:t>ne</w:t>
            </w:r>
            <w:r w:rsidR="00996D42" w:rsidRPr="00052AFA">
              <w:rPr>
                <w:color w:val="000000" w:themeColor="text1"/>
                <w:sz w:val="18"/>
                <w:szCs w:val="18"/>
                <w:lang w:val="en-GB"/>
              </w:rPr>
              <w:t xml:space="preserve"> </w:t>
            </w:r>
            <w:r w:rsidRPr="00052AFA">
              <w:rPr>
                <w:color w:val="000000" w:themeColor="text1"/>
                <w:sz w:val="18"/>
                <w:szCs w:val="18"/>
                <w:lang w:val="en-GB"/>
              </w:rPr>
              <w:t>(2017): 1</w:t>
            </w:r>
            <w:r w:rsidR="00D748FA">
              <w:rPr>
                <w:color w:val="000000" w:themeColor="text1"/>
                <w:sz w:val="18"/>
                <w:szCs w:val="18"/>
                <w:lang w:val="en-GB"/>
              </w:rPr>
              <w:t xml:space="preserve"> </w:t>
            </w:r>
            <w:r w:rsidRPr="00052AFA">
              <w:rPr>
                <w:color w:val="000000" w:themeColor="text1"/>
                <w:sz w:val="18"/>
                <w:szCs w:val="18"/>
                <w:lang w:val="en-GB"/>
              </w:rPr>
              <w:t>(</w:t>
            </w:r>
            <w:r w:rsidR="00D748FA">
              <w:rPr>
                <w:color w:val="000000" w:themeColor="text1"/>
                <w:sz w:val="18"/>
                <w:szCs w:val="18"/>
                <w:lang w:val="en-GB"/>
              </w:rPr>
              <w:t>i</w:t>
            </w:r>
            <w:r w:rsidRPr="00052AFA">
              <w:rPr>
                <w:color w:val="000000" w:themeColor="text1"/>
                <w:sz w:val="18"/>
                <w:szCs w:val="18"/>
                <w:lang w:val="en-GB"/>
              </w:rPr>
              <w:t>nadequate)</w:t>
            </w:r>
          </w:p>
          <w:p w14:paraId="25F0AFAD" w14:textId="22B25342" w:rsidR="009F6622" w:rsidRPr="00052AFA" w:rsidRDefault="009F6622" w:rsidP="00CA4FED">
            <w:pPr>
              <w:ind w:left="360"/>
              <w:rPr>
                <w:color w:val="000000" w:themeColor="text1"/>
                <w:sz w:val="18"/>
                <w:szCs w:val="18"/>
                <w:lang w:val="en-GB"/>
              </w:rPr>
            </w:pPr>
            <w:r w:rsidRPr="00052AFA">
              <w:rPr>
                <w:color w:val="000000" w:themeColor="text1"/>
                <w:sz w:val="18"/>
                <w:szCs w:val="18"/>
                <w:lang w:val="en-GB"/>
              </w:rPr>
              <w:t>Target: 4</w:t>
            </w:r>
            <w:r w:rsidR="00D748FA">
              <w:rPr>
                <w:color w:val="000000" w:themeColor="text1"/>
                <w:sz w:val="18"/>
                <w:szCs w:val="18"/>
                <w:lang w:val="en-GB"/>
              </w:rPr>
              <w:t xml:space="preserve"> </w:t>
            </w:r>
            <w:r w:rsidRPr="00052AFA">
              <w:rPr>
                <w:color w:val="000000" w:themeColor="text1"/>
                <w:sz w:val="18"/>
                <w:szCs w:val="18"/>
                <w:lang w:val="en-GB"/>
              </w:rPr>
              <w:t>(</w:t>
            </w:r>
            <w:r w:rsidR="00D748FA">
              <w:rPr>
                <w:color w:val="000000" w:themeColor="text1"/>
                <w:sz w:val="18"/>
                <w:szCs w:val="18"/>
                <w:lang w:val="en-GB"/>
              </w:rPr>
              <w:t>l</w:t>
            </w:r>
            <w:r w:rsidRPr="00052AFA">
              <w:rPr>
                <w:color w:val="000000" w:themeColor="text1"/>
                <w:sz w:val="18"/>
                <w:szCs w:val="18"/>
                <w:lang w:val="en-GB"/>
              </w:rPr>
              <w:t xml:space="preserve">argely) </w:t>
            </w:r>
          </w:p>
          <w:p w14:paraId="1D15AF64" w14:textId="45F728E5" w:rsidR="006739E4" w:rsidRPr="00052AFA" w:rsidRDefault="006739E4" w:rsidP="00CA4FED">
            <w:pPr>
              <w:ind w:left="360"/>
              <w:rPr>
                <w:color w:val="000000" w:themeColor="text1"/>
                <w:sz w:val="18"/>
                <w:szCs w:val="18"/>
                <w:lang w:val="en-GB"/>
              </w:rPr>
            </w:pPr>
            <w:r w:rsidRPr="00052AFA">
              <w:rPr>
                <w:color w:val="000000" w:themeColor="text1"/>
                <w:sz w:val="18"/>
                <w:szCs w:val="18"/>
                <w:lang w:val="en-GB"/>
              </w:rPr>
              <w:t>Source:</w:t>
            </w:r>
            <w:r w:rsidR="00010599" w:rsidRPr="00052AFA">
              <w:rPr>
                <w:color w:val="000000" w:themeColor="text1"/>
                <w:sz w:val="18"/>
                <w:szCs w:val="18"/>
                <w:lang w:val="en-GB"/>
              </w:rPr>
              <w:t xml:space="preserve"> Project reports</w:t>
            </w:r>
          </w:p>
          <w:p w14:paraId="1D903593" w14:textId="77777777" w:rsidR="009F6622" w:rsidRPr="00052AFA" w:rsidRDefault="009F6622" w:rsidP="00CA4FED">
            <w:pPr>
              <w:rPr>
                <w:color w:val="000000" w:themeColor="text1"/>
                <w:sz w:val="18"/>
                <w:szCs w:val="18"/>
                <w:lang w:val="en-GB"/>
              </w:rPr>
            </w:pPr>
          </w:p>
          <w:p w14:paraId="406404F2" w14:textId="0E1EBB2E" w:rsidR="009F6622" w:rsidRPr="00052AFA" w:rsidRDefault="009F6622" w:rsidP="00CA4FED">
            <w:pPr>
              <w:ind w:left="333"/>
              <w:rPr>
                <w:color w:val="000000" w:themeColor="text1"/>
                <w:sz w:val="18"/>
                <w:szCs w:val="18"/>
                <w:lang w:val="en-GB"/>
              </w:rPr>
            </w:pPr>
            <w:r w:rsidRPr="00052AFA">
              <w:rPr>
                <w:color w:val="000000" w:themeColor="text1"/>
                <w:sz w:val="18"/>
                <w:szCs w:val="18"/>
                <w:lang w:val="en-GB"/>
              </w:rPr>
              <w:t>2.2.2</w:t>
            </w:r>
            <w:r w:rsidR="00D748FA">
              <w:rPr>
                <w:color w:val="000000" w:themeColor="text1"/>
                <w:sz w:val="18"/>
                <w:szCs w:val="18"/>
                <w:lang w:val="en-GB"/>
              </w:rPr>
              <w:t>.</w:t>
            </w:r>
            <w:r w:rsidRPr="00052AFA">
              <w:rPr>
                <w:color w:val="000000" w:themeColor="text1"/>
                <w:sz w:val="18"/>
                <w:szCs w:val="18"/>
                <w:lang w:val="en-GB"/>
              </w:rPr>
              <w:t xml:space="preserve"> </w:t>
            </w:r>
            <w:r w:rsidRPr="00052AFA">
              <w:rPr>
                <w:color w:val="000000"/>
                <w:sz w:val="18"/>
                <w:szCs w:val="18"/>
                <w:lang w:val="en-GB"/>
              </w:rPr>
              <w:t>Number of public and private entities making investments in low emission solutions and schemes</w:t>
            </w:r>
            <w:r w:rsidRPr="00052AFA">
              <w:rPr>
                <w:color w:val="000000" w:themeColor="text1"/>
                <w:sz w:val="18"/>
                <w:szCs w:val="18"/>
                <w:lang w:val="en-GB"/>
              </w:rPr>
              <w:t xml:space="preserve"> through UNDP support</w:t>
            </w:r>
            <w:r w:rsidR="00D748FA">
              <w:rPr>
                <w:color w:val="000000" w:themeColor="text1"/>
                <w:sz w:val="18"/>
                <w:szCs w:val="18"/>
                <w:lang w:val="en-GB"/>
              </w:rPr>
              <w:t>.</w:t>
            </w:r>
            <w:r w:rsidR="00C37C07" w:rsidRPr="00052AFA">
              <w:rPr>
                <w:color w:val="000000" w:themeColor="text1"/>
                <w:sz w:val="18"/>
                <w:szCs w:val="18"/>
                <w:lang w:val="en-GB"/>
              </w:rPr>
              <w:t xml:space="preserve"> [IRRF 2.5.1.1]</w:t>
            </w:r>
          </w:p>
          <w:p w14:paraId="581E88C3" w14:textId="745810E5" w:rsidR="009F6622" w:rsidRPr="00052AFA" w:rsidRDefault="009F6622" w:rsidP="00CA4FED">
            <w:pPr>
              <w:ind w:left="360"/>
              <w:rPr>
                <w:color w:val="000000" w:themeColor="text1"/>
                <w:sz w:val="18"/>
                <w:szCs w:val="18"/>
                <w:lang w:val="en-GB"/>
              </w:rPr>
            </w:pPr>
            <w:r w:rsidRPr="00052AFA">
              <w:rPr>
                <w:color w:val="000000" w:themeColor="text1"/>
                <w:sz w:val="18"/>
                <w:szCs w:val="18"/>
                <w:lang w:val="en-GB"/>
              </w:rPr>
              <w:t>B</w:t>
            </w:r>
            <w:r w:rsidR="004038C1" w:rsidRPr="00052AFA">
              <w:rPr>
                <w:color w:val="000000" w:themeColor="text1"/>
                <w:sz w:val="18"/>
                <w:szCs w:val="18"/>
                <w:lang w:val="en-GB"/>
              </w:rPr>
              <w:t>aseline</w:t>
            </w:r>
            <w:r w:rsidR="00996D42" w:rsidRPr="00052AFA">
              <w:rPr>
                <w:color w:val="000000" w:themeColor="text1"/>
                <w:sz w:val="18"/>
                <w:szCs w:val="18"/>
                <w:lang w:val="en-GB"/>
              </w:rPr>
              <w:t xml:space="preserve"> </w:t>
            </w:r>
            <w:r w:rsidRPr="00052AFA">
              <w:rPr>
                <w:color w:val="000000" w:themeColor="text1"/>
                <w:sz w:val="18"/>
                <w:szCs w:val="18"/>
                <w:lang w:val="en-GB"/>
              </w:rPr>
              <w:t>(2017): 0</w:t>
            </w:r>
          </w:p>
          <w:p w14:paraId="26717A4E" w14:textId="77777777" w:rsidR="009F6622" w:rsidRPr="00052AFA" w:rsidRDefault="009F6622" w:rsidP="00CA4FED">
            <w:pPr>
              <w:ind w:left="360"/>
              <w:rPr>
                <w:color w:val="000000" w:themeColor="text1"/>
                <w:sz w:val="18"/>
                <w:szCs w:val="18"/>
                <w:lang w:val="en-GB"/>
              </w:rPr>
            </w:pPr>
            <w:r w:rsidRPr="00052AFA">
              <w:rPr>
                <w:color w:val="000000" w:themeColor="text1"/>
                <w:sz w:val="18"/>
                <w:szCs w:val="18"/>
                <w:lang w:val="en-GB"/>
              </w:rPr>
              <w:t>Target: 5</w:t>
            </w:r>
          </w:p>
          <w:p w14:paraId="6A6DD787" w14:textId="74A63C17" w:rsidR="009F6622" w:rsidRPr="00052AFA" w:rsidRDefault="009F6622" w:rsidP="00CA4FED">
            <w:pPr>
              <w:ind w:left="360"/>
              <w:rPr>
                <w:color w:val="000000" w:themeColor="text1"/>
                <w:sz w:val="18"/>
                <w:szCs w:val="18"/>
                <w:lang w:val="en-GB"/>
              </w:rPr>
            </w:pPr>
            <w:r w:rsidRPr="00052AFA">
              <w:rPr>
                <w:color w:val="000000" w:themeColor="text1"/>
                <w:sz w:val="18"/>
                <w:szCs w:val="18"/>
                <w:lang w:val="en-GB"/>
              </w:rPr>
              <w:t>Source:</w:t>
            </w:r>
            <w:r w:rsidR="00010599" w:rsidRPr="00052AFA">
              <w:rPr>
                <w:color w:val="000000" w:themeColor="text1"/>
                <w:sz w:val="18"/>
                <w:szCs w:val="18"/>
                <w:lang w:val="en-GB"/>
              </w:rPr>
              <w:t xml:space="preserve"> Independent evaluation and project reports</w:t>
            </w:r>
          </w:p>
          <w:p w14:paraId="095E3A6E" w14:textId="77777777" w:rsidR="005D7CA0" w:rsidRPr="00052AFA" w:rsidRDefault="005D7CA0" w:rsidP="00CA4FED">
            <w:pPr>
              <w:rPr>
                <w:color w:val="000000" w:themeColor="text1"/>
                <w:sz w:val="18"/>
                <w:szCs w:val="18"/>
                <w:lang w:val="en-GB"/>
              </w:rPr>
            </w:pPr>
          </w:p>
          <w:p w14:paraId="7EF44362" w14:textId="4BFF938D" w:rsidR="005D7CA0" w:rsidRPr="00052AFA" w:rsidRDefault="4435C01B" w:rsidP="00715998">
            <w:pPr>
              <w:numPr>
                <w:ilvl w:val="1"/>
                <w:numId w:val="27"/>
              </w:numPr>
              <w:pBdr>
                <w:top w:val="nil"/>
                <w:left w:val="nil"/>
                <w:bottom w:val="nil"/>
                <w:right w:val="nil"/>
                <w:between w:val="nil"/>
              </w:pBdr>
              <w:rPr>
                <w:rFonts w:asciiTheme="majorHAnsi" w:eastAsiaTheme="majorEastAsia" w:hAnsiTheme="majorHAnsi" w:cstheme="majorBidi"/>
                <w:b/>
                <w:bCs/>
                <w:i/>
                <w:iCs/>
                <w:color w:val="000000" w:themeColor="text1"/>
                <w:sz w:val="18"/>
                <w:szCs w:val="18"/>
                <w:lang w:val="en-GB"/>
              </w:rPr>
            </w:pPr>
            <w:r w:rsidRPr="00052AFA">
              <w:rPr>
                <w:b/>
                <w:bCs/>
                <w:color w:val="000000" w:themeColor="text1"/>
                <w:sz w:val="18"/>
                <w:szCs w:val="18"/>
                <w:lang w:val="en-GB"/>
              </w:rPr>
              <w:t>Partnerships strengthened and economic models introduced to reduce biodiversity degradation from unsustainable prac</w:t>
            </w:r>
            <w:r w:rsidR="00B91CD7" w:rsidRPr="00052AFA">
              <w:rPr>
                <w:b/>
                <w:bCs/>
                <w:color w:val="000000" w:themeColor="text1"/>
                <w:sz w:val="18"/>
                <w:szCs w:val="18"/>
                <w:lang w:val="en-GB"/>
              </w:rPr>
              <w:t>tices and climate impact</w:t>
            </w:r>
            <w:r w:rsidR="00D748FA">
              <w:rPr>
                <w:b/>
                <w:bCs/>
                <w:color w:val="000000" w:themeColor="text1"/>
                <w:sz w:val="18"/>
                <w:szCs w:val="18"/>
                <w:lang w:val="en-GB"/>
              </w:rPr>
              <w:t>.</w:t>
            </w:r>
            <w:r w:rsidRPr="00052AFA">
              <w:rPr>
                <w:b/>
                <w:bCs/>
                <w:color w:val="000000" w:themeColor="text1"/>
                <w:sz w:val="18"/>
                <w:szCs w:val="18"/>
                <w:lang w:val="en-GB"/>
              </w:rPr>
              <w:t xml:space="preserve"> </w:t>
            </w:r>
          </w:p>
          <w:p w14:paraId="7BC9F3FE" w14:textId="77777777" w:rsidR="005D7CA0" w:rsidRPr="00052AFA" w:rsidRDefault="005D7CA0" w:rsidP="00CA4FED">
            <w:pPr>
              <w:ind w:left="360"/>
              <w:rPr>
                <w:color w:val="000000" w:themeColor="text1"/>
                <w:sz w:val="18"/>
                <w:szCs w:val="18"/>
                <w:lang w:val="en-GB"/>
              </w:rPr>
            </w:pPr>
          </w:p>
          <w:p w14:paraId="0DA25EF9" w14:textId="08766186" w:rsidR="005D7CA0" w:rsidRPr="00052AFA" w:rsidRDefault="4435C01B" w:rsidP="00CA4FED">
            <w:pPr>
              <w:ind w:left="360"/>
              <w:rPr>
                <w:color w:val="000000" w:themeColor="text1"/>
                <w:sz w:val="18"/>
                <w:szCs w:val="18"/>
                <w:lang w:val="en-GB"/>
              </w:rPr>
            </w:pPr>
            <w:r w:rsidRPr="00052AFA">
              <w:rPr>
                <w:color w:val="000000" w:themeColor="text1"/>
                <w:sz w:val="18"/>
                <w:szCs w:val="18"/>
                <w:lang w:val="en-GB"/>
              </w:rPr>
              <w:t>2.3.1</w:t>
            </w:r>
            <w:r w:rsidR="00D748FA">
              <w:rPr>
                <w:color w:val="000000" w:themeColor="text1"/>
                <w:sz w:val="18"/>
                <w:szCs w:val="18"/>
                <w:lang w:val="en-GB"/>
              </w:rPr>
              <w:t>.</w:t>
            </w:r>
            <w:r w:rsidRPr="00052AFA">
              <w:rPr>
                <w:color w:val="000000" w:themeColor="text1"/>
                <w:sz w:val="18"/>
                <w:szCs w:val="18"/>
                <w:lang w:val="en-GB"/>
              </w:rPr>
              <w:t xml:space="preserve"> Area of UNDP-assisted protected areas with high biodiversity effectively managed</w:t>
            </w:r>
            <w:r w:rsidR="00D748FA">
              <w:rPr>
                <w:color w:val="000000" w:themeColor="text1"/>
                <w:sz w:val="18"/>
                <w:szCs w:val="18"/>
                <w:lang w:val="en-GB"/>
              </w:rPr>
              <w:t>.</w:t>
            </w:r>
            <w:r w:rsidR="00C37C07" w:rsidRPr="00052AFA">
              <w:rPr>
                <w:color w:val="000000" w:themeColor="text1"/>
                <w:sz w:val="18"/>
                <w:szCs w:val="18"/>
                <w:lang w:val="en-GB"/>
              </w:rPr>
              <w:t xml:space="preserve"> [IRRF 1.4.1.2]</w:t>
            </w:r>
            <w:r w:rsidRPr="00052AFA">
              <w:rPr>
                <w:color w:val="000000" w:themeColor="text1"/>
                <w:sz w:val="18"/>
                <w:szCs w:val="18"/>
                <w:lang w:val="en-GB"/>
              </w:rPr>
              <w:t xml:space="preserve"> </w:t>
            </w:r>
          </w:p>
          <w:p w14:paraId="29222823" w14:textId="05397CA1" w:rsidR="005D7CA0" w:rsidRPr="00052AFA" w:rsidRDefault="004038C1" w:rsidP="00CA4FED">
            <w:pPr>
              <w:ind w:left="360"/>
              <w:rPr>
                <w:iCs/>
                <w:color w:val="000000" w:themeColor="text1"/>
                <w:sz w:val="18"/>
                <w:szCs w:val="18"/>
                <w:lang w:val="en-GB"/>
              </w:rPr>
            </w:pPr>
            <w:r w:rsidRPr="00052AFA">
              <w:rPr>
                <w:iCs/>
                <w:color w:val="000000" w:themeColor="text1"/>
                <w:sz w:val="18"/>
                <w:szCs w:val="18"/>
                <w:lang w:val="en-GB"/>
              </w:rPr>
              <w:t>Baseline</w:t>
            </w:r>
            <w:r w:rsidR="00996D42" w:rsidRPr="00052AFA">
              <w:rPr>
                <w:iCs/>
                <w:color w:val="000000" w:themeColor="text1"/>
                <w:sz w:val="18"/>
                <w:szCs w:val="18"/>
                <w:lang w:val="en-GB"/>
              </w:rPr>
              <w:t xml:space="preserve"> </w:t>
            </w:r>
            <w:r w:rsidR="00B91CD7" w:rsidRPr="00052AFA">
              <w:rPr>
                <w:iCs/>
                <w:color w:val="000000" w:themeColor="text1"/>
                <w:sz w:val="18"/>
                <w:szCs w:val="18"/>
                <w:lang w:val="en-GB"/>
              </w:rPr>
              <w:t xml:space="preserve">(2017): </w:t>
            </w:r>
            <w:r w:rsidR="00D748FA">
              <w:rPr>
                <w:iCs/>
                <w:color w:val="000000" w:themeColor="text1"/>
                <w:sz w:val="18"/>
                <w:szCs w:val="18"/>
                <w:lang w:val="en-GB"/>
              </w:rPr>
              <w:t>m</w:t>
            </w:r>
            <w:r w:rsidR="00B91CD7" w:rsidRPr="00052AFA">
              <w:rPr>
                <w:iCs/>
                <w:color w:val="000000" w:themeColor="text1"/>
                <w:sz w:val="18"/>
                <w:szCs w:val="18"/>
                <w:lang w:val="en-GB"/>
              </w:rPr>
              <w:t>arine</w:t>
            </w:r>
            <w:r w:rsidR="00D748FA">
              <w:rPr>
                <w:iCs/>
                <w:color w:val="000000" w:themeColor="text1"/>
                <w:sz w:val="18"/>
                <w:szCs w:val="18"/>
                <w:lang w:val="en-GB"/>
              </w:rPr>
              <w:t xml:space="preserve"> (</w:t>
            </w:r>
            <w:r w:rsidR="00B91CD7" w:rsidRPr="00052AFA">
              <w:rPr>
                <w:iCs/>
                <w:color w:val="000000" w:themeColor="text1"/>
                <w:sz w:val="18"/>
                <w:szCs w:val="18"/>
                <w:lang w:val="en-GB"/>
              </w:rPr>
              <w:t>800,000</w:t>
            </w:r>
            <w:r w:rsidR="00D748FA">
              <w:rPr>
                <w:iCs/>
                <w:color w:val="000000" w:themeColor="text1"/>
                <w:sz w:val="18"/>
                <w:szCs w:val="18"/>
                <w:lang w:val="en-GB"/>
              </w:rPr>
              <w:t>); t</w:t>
            </w:r>
            <w:r w:rsidR="00B91CD7" w:rsidRPr="00052AFA">
              <w:rPr>
                <w:iCs/>
                <w:color w:val="000000" w:themeColor="text1"/>
                <w:sz w:val="18"/>
                <w:szCs w:val="18"/>
                <w:lang w:val="en-GB"/>
              </w:rPr>
              <w:t>errestrial</w:t>
            </w:r>
            <w:r w:rsidR="00D748FA">
              <w:rPr>
                <w:iCs/>
                <w:color w:val="000000" w:themeColor="text1"/>
                <w:sz w:val="18"/>
                <w:szCs w:val="18"/>
                <w:lang w:val="en-GB"/>
              </w:rPr>
              <w:t xml:space="preserve"> (</w:t>
            </w:r>
            <w:r w:rsidR="4435C01B" w:rsidRPr="00052AFA">
              <w:rPr>
                <w:iCs/>
                <w:color w:val="000000" w:themeColor="text1"/>
                <w:sz w:val="18"/>
                <w:szCs w:val="18"/>
                <w:lang w:val="en-GB"/>
              </w:rPr>
              <w:t>96,825.56</w:t>
            </w:r>
            <w:r w:rsidR="00D748FA">
              <w:rPr>
                <w:iCs/>
                <w:color w:val="000000" w:themeColor="text1"/>
                <w:sz w:val="18"/>
                <w:szCs w:val="18"/>
                <w:lang w:val="en-GB"/>
              </w:rPr>
              <w:t>)</w:t>
            </w:r>
          </w:p>
          <w:p w14:paraId="1E6A8A9A" w14:textId="096ED2B5" w:rsidR="005D7CA0" w:rsidRPr="00052AFA" w:rsidRDefault="4435C01B" w:rsidP="00CA4FED">
            <w:pPr>
              <w:ind w:left="360"/>
              <w:rPr>
                <w:iCs/>
                <w:color w:val="000000" w:themeColor="text1"/>
                <w:sz w:val="18"/>
                <w:szCs w:val="18"/>
                <w:lang w:val="en-GB"/>
              </w:rPr>
            </w:pPr>
            <w:r w:rsidRPr="00052AFA">
              <w:rPr>
                <w:iCs/>
                <w:color w:val="000000" w:themeColor="text1"/>
                <w:sz w:val="18"/>
                <w:szCs w:val="18"/>
                <w:lang w:val="en-GB"/>
              </w:rPr>
              <w:t>Target: 1,800,000</w:t>
            </w:r>
            <w:r w:rsidR="00D748FA">
              <w:rPr>
                <w:iCs/>
                <w:color w:val="000000" w:themeColor="text1"/>
                <w:sz w:val="18"/>
                <w:szCs w:val="18"/>
                <w:lang w:val="en-GB"/>
              </w:rPr>
              <w:t xml:space="preserve">; </w:t>
            </w:r>
            <w:r w:rsidRPr="00052AFA">
              <w:rPr>
                <w:iCs/>
                <w:color w:val="000000" w:themeColor="text1"/>
                <w:sz w:val="18"/>
                <w:szCs w:val="18"/>
                <w:lang w:val="en-GB"/>
              </w:rPr>
              <w:t>496,000</w:t>
            </w:r>
          </w:p>
          <w:p w14:paraId="33F8E651" w14:textId="7B960F4A" w:rsidR="006739E4" w:rsidRPr="00052AFA" w:rsidRDefault="006739E4" w:rsidP="00CA4FED">
            <w:pPr>
              <w:ind w:left="360"/>
              <w:rPr>
                <w:iCs/>
                <w:color w:val="000000" w:themeColor="text1"/>
                <w:sz w:val="18"/>
                <w:szCs w:val="18"/>
                <w:lang w:val="en-GB"/>
              </w:rPr>
            </w:pPr>
            <w:r w:rsidRPr="00052AFA">
              <w:rPr>
                <w:iCs/>
                <w:color w:val="000000" w:themeColor="text1"/>
                <w:sz w:val="18"/>
                <w:szCs w:val="18"/>
                <w:lang w:val="en-GB"/>
              </w:rPr>
              <w:t>Source:</w:t>
            </w:r>
            <w:r w:rsidR="00010599" w:rsidRPr="00052AFA">
              <w:rPr>
                <w:iCs/>
                <w:color w:val="000000" w:themeColor="text1"/>
                <w:sz w:val="18"/>
                <w:szCs w:val="18"/>
                <w:lang w:val="en-GB"/>
              </w:rPr>
              <w:t xml:space="preserve"> Project </w:t>
            </w:r>
            <w:r w:rsidR="00D748FA">
              <w:rPr>
                <w:iCs/>
                <w:color w:val="000000" w:themeColor="text1"/>
                <w:sz w:val="18"/>
                <w:szCs w:val="18"/>
                <w:lang w:val="en-GB"/>
              </w:rPr>
              <w:t xml:space="preserve">monitoring and evaluation </w:t>
            </w:r>
            <w:r w:rsidR="00010599" w:rsidRPr="00052AFA">
              <w:rPr>
                <w:iCs/>
                <w:color w:val="000000" w:themeColor="text1"/>
                <w:sz w:val="18"/>
                <w:szCs w:val="18"/>
                <w:lang w:val="en-GB"/>
              </w:rPr>
              <w:t>data</w:t>
            </w:r>
          </w:p>
          <w:p w14:paraId="7853FF26" w14:textId="77777777" w:rsidR="005D7CA0" w:rsidRPr="00052AFA" w:rsidRDefault="005D7CA0" w:rsidP="00CA4FED">
            <w:pPr>
              <w:ind w:left="1080"/>
              <w:rPr>
                <w:color w:val="000000" w:themeColor="text1"/>
                <w:sz w:val="18"/>
                <w:szCs w:val="18"/>
                <w:lang w:val="en-GB"/>
              </w:rPr>
            </w:pPr>
          </w:p>
          <w:p w14:paraId="374C8135" w14:textId="50E726EC" w:rsidR="009F6622" w:rsidRPr="00052AFA" w:rsidRDefault="4435C01B" w:rsidP="00CA4FED">
            <w:pPr>
              <w:ind w:left="360"/>
              <w:rPr>
                <w:color w:val="000000" w:themeColor="text1"/>
                <w:sz w:val="18"/>
                <w:szCs w:val="18"/>
                <w:lang w:val="en-GB"/>
              </w:rPr>
            </w:pPr>
            <w:r w:rsidRPr="00052AFA">
              <w:rPr>
                <w:color w:val="000000" w:themeColor="text1"/>
                <w:sz w:val="18"/>
                <w:szCs w:val="18"/>
                <w:lang w:val="en-GB"/>
              </w:rPr>
              <w:t>2.3.2</w:t>
            </w:r>
            <w:r w:rsidR="00D748FA">
              <w:rPr>
                <w:color w:val="000000" w:themeColor="text1"/>
                <w:sz w:val="18"/>
                <w:szCs w:val="18"/>
                <w:lang w:val="en-GB"/>
              </w:rPr>
              <w:t>.</w:t>
            </w:r>
            <w:r w:rsidRPr="00052AFA">
              <w:rPr>
                <w:color w:val="000000" w:themeColor="text1"/>
                <w:sz w:val="18"/>
                <w:szCs w:val="18"/>
                <w:lang w:val="en-GB"/>
              </w:rPr>
              <w:t xml:space="preserve"> </w:t>
            </w:r>
            <w:r w:rsidR="009F6622" w:rsidRPr="00052AFA">
              <w:rPr>
                <w:color w:val="000000" w:themeColor="text1"/>
                <w:sz w:val="18"/>
                <w:szCs w:val="18"/>
                <w:lang w:val="en-GB"/>
              </w:rPr>
              <w:t>Number of models developed, piloted and evaluated for equitable access and benefit sharing from sustainable use of genetic resources</w:t>
            </w:r>
            <w:r w:rsidR="00D748FA">
              <w:rPr>
                <w:color w:val="000000" w:themeColor="text1"/>
                <w:sz w:val="18"/>
                <w:szCs w:val="18"/>
                <w:lang w:val="en-GB"/>
              </w:rPr>
              <w:t>.</w:t>
            </w:r>
            <w:r w:rsidR="009F6622" w:rsidRPr="00052AFA">
              <w:rPr>
                <w:color w:val="000000" w:themeColor="text1"/>
                <w:sz w:val="18"/>
                <w:szCs w:val="18"/>
                <w:lang w:val="en-GB"/>
              </w:rPr>
              <w:t xml:space="preserve"> </w:t>
            </w:r>
            <w:r w:rsidR="003375BF" w:rsidRPr="00052AFA">
              <w:rPr>
                <w:color w:val="000000" w:themeColor="text1"/>
                <w:sz w:val="18"/>
                <w:szCs w:val="18"/>
                <w:lang w:val="en-GB"/>
              </w:rPr>
              <w:t>[IRRF 2.4.1.1]</w:t>
            </w:r>
          </w:p>
          <w:p w14:paraId="0D0595AA" w14:textId="26031FBE" w:rsidR="009F6622" w:rsidRPr="00052AFA" w:rsidRDefault="004038C1" w:rsidP="00CA4FED">
            <w:pPr>
              <w:ind w:left="360"/>
              <w:rPr>
                <w:color w:val="000000" w:themeColor="text1"/>
                <w:sz w:val="18"/>
                <w:szCs w:val="18"/>
                <w:lang w:val="en-GB"/>
              </w:rPr>
            </w:pPr>
            <w:r w:rsidRPr="00052AFA">
              <w:rPr>
                <w:color w:val="000000" w:themeColor="text1"/>
                <w:sz w:val="18"/>
                <w:szCs w:val="18"/>
                <w:lang w:val="en-GB"/>
              </w:rPr>
              <w:lastRenderedPageBreak/>
              <w:t>Baseline</w:t>
            </w:r>
            <w:r w:rsidR="00996D42" w:rsidRPr="00052AFA">
              <w:rPr>
                <w:color w:val="000000" w:themeColor="text1"/>
                <w:sz w:val="18"/>
                <w:szCs w:val="18"/>
                <w:lang w:val="en-GB"/>
              </w:rPr>
              <w:t xml:space="preserve"> </w:t>
            </w:r>
            <w:r w:rsidR="009F6622" w:rsidRPr="00052AFA">
              <w:rPr>
                <w:color w:val="000000" w:themeColor="text1"/>
                <w:sz w:val="18"/>
                <w:szCs w:val="18"/>
                <w:lang w:val="en-GB"/>
              </w:rPr>
              <w:t xml:space="preserve">(2017): 0 </w:t>
            </w:r>
          </w:p>
          <w:p w14:paraId="2049F6C6" w14:textId="418C24F5" w:rsidR="009F6622" w:rsidRPr="00052AFA" w:rsidRDefault="009F6622" w:rsidP="00CA4FED">
            <w:pPr>
              <w:ind w:left="360"/>
              <w:rPr>
                <w:color w:val="000000" w:themeColor="text1"/>
                <w:sz w:val="18"/>
                <w:szCs w:val="18"/>
                <w:lang w:val="en-GB"/>
              </w:rPr>
            </w:pPr>
            <w:r w:rsidRPr="00052AFA">
              <w:rPr>
                <w:color w:val="000000" w:themeColor="text1"/>
                <w:sz w:val="18"/>
                <w:szCs w:val="18"/>
                <w:lang w:val="en-GB"/>
              </w:rPr>
              <w:t xml:space="preserve">Target: </w:t>
            </w:r>
            <w:r w:rsidR="00DA54E1" w:rsidRPr="00052AFA">
              <w:rPr>
                <w:color w:val="000000" w:themeColor="text1"/>
                <w:sz w:val="18"/>
                <w:szCs w:val="18"/>
                <w:lang w:val="en-GB"/>
              </w:rPr>
              <w:t>2</w:t>
            </w:r>
          </w:p>
          <w:p w14:paraId="680E60AD" w14:textId="6B6F0E0F" w:rsidR="006739E4" w:rsidRPr="00052AFA" w:rsidRDefault="006739E4" w:rsidP="00CA4FED">
            <w:pPr>
              <w:ind w:left="360"/>
              <w:rPr>
                <w:color w:val="000000" w:themeColor="text1"/>
                <w:sz w:val="18"/>
                <w:szCs w:val="18"/>
                <w:lang w:val="en-GB"/>
              </w:rPr>
            </w:pPr>
            <w:r w:rsidRPr="00052AFA">
              <w:rPr>
                <w:color w:val="000000" w:themeColor="text1"/>
                <w:sz w:val="18"/>
                <w:szCs w:val="18"/>
                <w:lang w:val="en-GB"/>
              </w:rPr>
              <w:t>Source:</w:t>
            </w:r>
            <w:r w:rsidR="005F6E35" w:rsidRPr="00052AFA">
              <w:rPr>
                <w:color w:val="000000" w:themeColor="text1"/>
                <w:sz w:val="18"/>
                <w:szCs w:val="18"/>
                <w:lang w:val="en-GB"/>
              </w:rPr>
              <w:t xml:space="preserve"> Project reports</w:t>
            </w:r>
          </w:p>
          <w:p w14:paraId="4C1FC166" w14:textId="77777777" w:rsidR="005D7CA0" w:rsidRPr="00052AFA" w:rsidRDefault="005D7CA0" w:rsidP="00CA4FED">
            <w:pPr>
              <w:contextualSpacing/>
              <w:rPr>
                <w:color w:val="000000" w:themeColor="text1"/>
                <w:sz w:val="18"/>
                <w:szCs w:val="18"/>
                <w:lang w:val="en-GB"/>
              </w:rPr>
            </w:pPr>
          </w:p>
          <w:p w14:paraId="794B413D" w14:textId="073FAFF2" w:rsidR="005D7CA0" w:rsidRPr="00052AFA" w:rsidRDefault="4435C01B" w:rsidP="00CA4FED">
            <w:pPr>
              <w:ind w:left="360"/>
              <w:contextualSpacing/>
              <w:rPr>
                <w:color w:val="000000" w:themeColor="text1"/>
                <w:sz w:val="18"/>
                <w:szCs w:val="18"/>
                <w:lang w:val="en-GB"/>
              </w:rPr>
            </w:pPr>
            <w:r w:rsidRPr="00052AFA">
              <w:rPr>
                <w:color w:val="000000" w:themeColor="text1"/>
                <w:sz w:val="18"/>
                <w:szCs w:val="18"/>
                <w:lang w:val="en-GB"/>
              </w:rPr>
              <w:t>2.3.4</w:t>
            </w:r>
            <w:r w:rsidR="00CC2ED9">
              <w:rPr>
                <w:color w:val="000000" w:themeColor="text1"/>
                <w:sz w:val="18"/>
                <w:szCs w:val="18"/>
                <w:lang w:val="en-GB"/>
              </w:rPr>
              <w:t>.</w:t>
            </w:r>
            <w:r w:rsidRPr="00052AFA">
              <w:rPr>
                <w:color w:val="000000" w:themeColor="text1"/>
                <w:sz w:val="18"/>
                <w:szCs w:val="18"/>
                <w:lang w:val="en-GB"/>
              </w:rPr>
              <w:t xml:space="preserve"> Value of financing generated for conservation and sustainable use of biodiversity and ecosystems.</w:t>
            </w:r>
          </w:p>
          <w:p w14:paraId="5712C389" w14:textId="46D58A29" w:rsidR="005D7CA0" w:rsidRPr="00052AFA" w:rsidRDefault="004038C1" w:rsidP="00CA4FED">
            <w:pPr>
              <w:ind w:left="360"/>
              <w:rPr>
                <w:iCs/>
                <w:color w:val="000000" w:themeColor="text1"/>
                <w:sz w:val="18"/>
                <w:szCs w:val="18"/>
                <w:lang w:val="en-GB"/>
              </w:rPr>
            </w:pPr>
            <w:r w:rsidRPr="00052AFA">
              <w:rPr>
                <w:iCs/>
                <w:color w:val="000000" w:themeColor="text1"/>
                <w:sz w:val="18"/>
                <w:szCs w:val="18"/>
                <w:lang w:val="en-GB"/>
              </w:rPr>
              <w:t>Baseline</w:t>
            </w:r>
            <w:r w:rsidR="00996D42" w:rsidRPr="00052AFA">
              <w:rPr>
                <w:iCs/>
                <w:color w:val="000000" w:themeColor="text1"/>
                <w:sz w:val="18"/>
                <w:szCs w:val="18"/>
                <w:lang w:val="en-GB"/>
              </w:rPr>
              <w:t xml:space="preserve"> </w:t>
            </w:r>
            <w:r w:rsidR="4435C01B" w:rsidRPr="00052AFA">
              <w:rPr>
                <w:iCs/>
                <w:color w:val="000000" w:themeColor="text1"/>
                <w:sz w:val="18"/>
                <w:szCs w:val="18"/>
                <w:lang w:val="en-GB"/>
              </w:rPr>
              <w:t xml:space="preserve">(2017): </w:t>
            </w:r>
            <w:r w:rsidR="00CC2ED9">
              <w:rPr>
                <w:iCs/>
                <w:color w:val="000000" w:themeColor="text1"/>
                <w:sz w:val="18"/>
                <w:szCs w:val="18"/>
                <w:lang w:val="en-GB"/>
              </w:rPr>
              <w:t>$</w:t>
            </w:r>
            <w:r w:rsidR="4435C01B" w:rsidRPr="00052AFA">
              <w:rPr>
                <w:iCs/>
                <w:color w:val="000000" w:themeColor="text1"/>
                <w:sz w:val="18"/>
                <w:szCs w:val="18"/>
                <w:lang w:val="en-GB"/>
              </w:rPr>
              <w:t>96</w:t>
            </w:r>
            <w:r w:rsidR="00CC2ED9">
              <w:rPr>
                <w:iCs/>
                <w:color w:val="000000" w:themeColor="text1"/>
                <w:sz w:val="18"/>
                <w:szCs w:val="18"/>
                <w:lang w:val="en-GB"/>
              </w:rPr>
              <w:t xml:space="preserve"> million </w:t>
            </w:r>
          </w:p>
          <w:p w14:paraId="2EA994AA" w14:textId="09221F8A" w:rsidR="005D7CA0" w:rsidRPr="00052AFA" w:rsidRDefault="4435C01B" w:rsidP="00CA4FED">
            <w:pPr>
              <w:ind w:left="360"/>
              <w:contextualSpacing/>
              <w:rPr>
                <w:iCs/>
                <w:color w:val="000000" w:themeColor="text1"/>
                <w:sz w:val="18"/>
                <w:szCs w:val="18"/>
                <w:lang w:val="en-GB"/>
              </w:rPr>
            </w:pPr>
            <w:r w:rsidRPr="00052AFA">
              <w:rPr>
                <w:iCs/>
                <w:color w:val="000000" w:themeColor="text1"/>
                <w:sz w:val="18"/>
                <w:szCs w:val="18"/>
                <w:lang w:val="en-GB"/>
              </w:rPr>
              <w:t xml:space="preserve">Target: </w:t>
            </w:r>
            <w:r w:rsidR="00CC2ED9">
              <w:rPr>
                <w:iCs/>
                <w:color w:val="000000" w:themeColor="text1"/>
                <w:sz w:val="18"/>
                <w:szCs w:val="18"/>
                <w:lang w:val="en-GB"/>
              </w:rPr>
              <w:t>$</w:t>
            </w:r>
            <w:r w:rsidR="007014AC" w:rsidRPr="00052AFA">
              <w:rPr>
                <w:iCs/>
                <w:color w:val="000000" w:themeColor="text1"/>
                <w:sz w:val="18"/>
                <w:szCs w:val="18"/>
                <w:lang w:val="en-GB"/>
              </w:rPr>
              <w:t>196</w:t>
            </w:r>
            <w:r w:rsidR="00CC2ED9">
              <w:rPr>
                <w:iCs/>
                <w:color w:val="000000" w:themeColor="text1"/>
                <w:sz w:val="18"/>
                <w:szCs w:val="18"/>
                <w:lang w:val="en-GB"/>
              </w:rPr>
              <w:t xml:space="preserve"> million</w:t>
            </w:r>
          </w:p>
          <w:p w14:paraId="4BE7C04C" w14:textId="5DE10CA2" w:rsidR="006739E4" w:rsidRPr="00052AFA" w:rsidRDefault="006739E4" w:rsidP="00C66EE6">
            <w:pPr>
              <w:ind w:left="360"/>
              <w:contextualSpacing/>
              <w:rPr>
                <w:color w:val="000000" w:themeColor="text1"/>
                <w:sz w:val="18"/>
                <w:szCs w:val="18"/>
                <w:lang w:val="en-GB"/>
              </w:rPr>
            </w:pPr>
            <w:r w:rsidRPr="00052AFA">
              <w:rPr>
                <w:iCs/>
                <w:color w:val="000000" w:themeColor="text1"/>
                <w:sz w:val="18"/>
                <w:szCs w:val="18"/>
                <w:lang w:val="en-GB"/>
              </w:rPr>
              <w:t>Source:</w:t>
            </w:r>
            <w:r w:rsidR="005F6E35" w:rsidRPr="00052AFA">
              <w:rPr>
                <w:iCs/>
                <w:color w:val="000000" w:themeColor="text1"/>
                <w:sz w:val="18"/>
                <w:szCs w:val="18"/>
                <w:lang w:val="en-GB"/>
              </w:rPr>
              <w:t xml:space="preserve"> </w:t>
            </w:r>
            <w:r w:rsidR="00751B7E" w:rsidRPr="00052AFA">
              <w:rPr>
                <w:iCs/>
                <w:color w:val="000000" w:themeColor="text1"/>
                <w:sz w:val="18"/>
                <w:szCs w:val="18"/>
                <w:lang w:val="en-GB"/>
              </w:rPr>
              <w:t xml:space="preserve">DENR </w:t>
            </w:r>
            <w:r w:rsidR="005F6E35" w:rsidRPr="00052AFA">
              <w:rPr>
                <w:iCs/>
                <w:color w:val="000000" w:themeColor="text1"/>
                <w:sz w:val="18"/>
                <w:szCs w:val="18"/>
                <w:lang w:val="en-GB"/>
              </w:rPr>
              <w:t>and project reports</w:t>
            </w:r>
          </w:p>
        </w:tc>
        <w:tc>
          <w:tcPr>
            <w:tcW w:w="1985" w:type="dxa"/>
            <w:gridSpan w:val="2"/>
            <w:vMerge w:val="restart"/>
          </w:tcPr>
          <w:p w14:paraId="14C8FC54" w14:textId="77777777" w:rsidR="005D7CA0" w:rsidRPr="00052AFA" w:rsidRDefault="4435C01B" w:rsidP="00CA4FED">
            <w:pPr>
              <w:rPr>
                <w:b/>
                <w:bCs/>
                <w:color w:val="000000" w:themeColor="text1"/>
                <w:sz w:val="18"/>
                <w:szCs w:val="18"/>
                <w:lang w:val="en-GB"/>
              </w:rPr>
            </w:pPr>
            <w:r w:rsidRPr="00052AFA">
              <w:rPr>
                <w:b/>
                <w:bCs/>
                <w:color w:val="000000" w:themeColor="text1"/>
                <w:sz w:val="18"/>
                <w:szCs w:val="18"/>
                <w:lang w:val="en-GB"/>
              </w:rPr>
              <w:lastRenderedPageBreak/>
              <w:t>Government</w:t>
            </w:r>
          </w:p>
          <w:p w14:paraId="7D84D863" w14:textId="0F5FD3CC" w:rsidR="005D7CA0" w:rsidRPr="00052AFA" w:rsidRDefault="4435C01B" w:rsidP="00CA4FED">
            <w:pPr>
              <w:rPr>
                <w:color w:val="000000" w:themeColor="text1"/>
                <w:sz w:val="18"/>
                <w:szCs w:val="18"/>
                <w:lang w:val="en-GB"/>
              </w:rPr>
            </w:pPr>
            <w:r w:rsidRPr="00052AFA">
              <w:rPr>
                <w:color w:val="000000" w:themeColor="text1"/>
                <w:sz w:val="18"/>
                <w:szCs w:val="18"/>
                <w:lang w:val="en-GB"/>
              </w:rPr>
              <w:t>NEDA • D</w:t>
            </w:r>
            <w:r w:rsidR="009E347C">
              <w:rPr>
                <w:color w:val="000000" w:themeColor="text1"/>
                <w:sz w:val="18"/>
                <w:szCs w:val="18"/>
                <w:lang w:val="en-GB"/>
              </w:rPr>
              <w:t xml:space="preserve">epartment of </w:t>
            </w:r>
            <w:r w:rsidRPr="00052AFA">
              <w:rPr>
                <w:color w:val="000000" w:themeColor="text1"/>
                <w:sz w:val="18"/>
                <w:szCs w:val="18"/>
                <w:lang w:val="en-GB"/>
              </w:rPr>
              <w:t>E</w:t>
            </w:r>
            <w:r w:rsidR="009E347C">
              <w:rPr>
                <w:color w:val="000000" w:themeColor="text1"/>
                <w:sz w:val="18"/>
                <w:szCs w:val="18"/>
                <w:lang w:val="en-GB"/>
              </w:rPr>
              <w:t xml:space="preserve">nvironment </w:t>
            </w:r>
            <w:r w:rsidRPr="00052AFA">
              <w:rPr>
                <w:color w:val="000000" w:themeColor="text1"/>
                <w:sz w:val="18"/>
                <w:szCs w:val="18"/>
                <w:lang w:val="en-GB"/>
              </w:rPr>
              <w:t>N</w:t>
            </w:r>
            <w:r w:rsidR="009E347C">
              <w:rPr>
                <w:color w:val="000000" w:themeColor="text1"/>
                <w:sz w:val="18"/>
                <w:szCs w:val="18"/>
                <w:lang w:val="en-GB"/>
              </w:rPr>
              <w:t xml:space="preserve">atural </w:t>
            </w:r>
            <w:r w:rsidRPr="00052AFA">
              <w:rPr>
                <w:color w:val="000000" w:themeColor="text1"/>
                <w:sz w:val="18"/>
                <w:szCs w:val="18"/>
                <w:lang w:val="en-GB"/>
              </w:rPr>
              <w:t>R</w:t>
            </w:r>
            <w:r w:rsidR="009E347C">
              <w:rPr>
                <w:color w:val="000000" w:themeColor="text1"/>
                <w:sz w:val="18"/>
                <w:szCs w:val="18"/>
                <w:lang w:val="en-GB"/>
              </w:rPr>
              <w:t>esources</w:t>
            </w:r>
            <w:r w:rsidRPr="00052AFA">
              <w:rPr>
                <w:color w:val="000000" w:themeColor="text1"/>
                <w:sz w:val="18"/>
                <w:szCs w:val="18"/>
                <w:lang w:val="en-GB"/>
              </w:rPr>
              <w:t xml:space="preserve"> • CCC • D</w:t>
            </w:r>
            <w:r w:rsidR="009E347C">
              <w:rPr>
                <w:color w:val="000000" w:themeColor="text1"/>
                <w:sz w:val="18"/>
                <w:szCs w:val="18"/>
                <w:lang w:val="en-GB"/>
              </w:rPr>
              <w:t xml:space="preserve">epartment of </w:t>
            </w:r>
            <w:r w:rsidRPr="00052AFA">
              <w:rPr>
                <w:color w:val="000000" w:themeColor="text1"/>
                <w:sz w:val="18"/>
                <w:szCs w:val="18"/>
                <w:lang w:val="en-GB"/>
              </w:rPr>
              <w:t>E</w:t>
            </w:r>
            <w:r w:rsidR="009E347C">
              <w:rPr>
                <w:color w:val="000000" w:themeColor="text1"/>
                <w:sz w:val="18"/>
                <w:szCs w:val="18"/>
                <w:lang w:val="en-GB"/>
              </w:rPr>
              <w:t xml:space="preserve">nergy </w:t>
            </w:r>
            <w:r w:rsidRPr="00052AFA">
              <w:rPr>
                <w:color w:val="000000" w:themeColor="text1"/>
                <w:sz w:val="18"/>
                <w:szCs w:val="18"/>
                <w:lang w:val="en-GB"/>
              </w:rPr>
              <w:t xml:space="preserve"> • DILG • Office of Civil </w:t>
            </w:r>
            <w:r w:rsidR="00D748FA" w:rsidRPr="00052AFA">
              <w:rPr>
                <w:color w:val="000000" w:themeColor="text1"/>
                <w:sz w:val="18"/>
                <w:szCs w:val="18"/>
                <w:lang w:val="en-GB"/>
              </w:rPr>
              <w:t>Defence</w:t>
            </w:r>
            <w:r w:rsidRPr="00052AFA">
              <w:rPr>
                <w:color w:val="000000" w:themeColor="text1"/>
                <w:sz w:val="18"/>
                <w:szCs w:val="18"/>
                <w:lang w:val="en-GB"/>
              </w:rPr>
              <w:t xml:space="preserve"> (OCD) –</w:t>
            </w:r>
            <w:r w:rsidR="009E347C">
              <w:rPr>
                <w:rFonts w:ascii="Arial" w:hAnsi="Arial" w:cs="Arial"/>
                <w:sz w:val="36"/>
                <w:szCs w:val="36"/>
                <w:shd w:val="clear" w:color="auto" w:fill="FFFFFF"/>
              </w:rPr>
              <w:t xml:space="preserve"> </w:t>
            </w:r>
            <w:r w:rsidR="009E347C" w:rsidRPr="00715998">
              <w:rPr>
                <w:color w:val="000000" w:themeColor="text1"/>
                <w:sz w:val="18"/>
                <w:szCs w:val="18"/>
                <w:lang w:val="en-GB"/>
              </w:rPr>
              <w:t xml:space="preserve">National Disaster Risk </w:t>
            </w:r>
            <w:r w:rsidR="009E347C" w:rsidRPr="00715998">
              <w:rPr>
                <w:color w:val="000000" w:themeColor="text1"/>
                <w:sz w:val="18"/>
                <w:szCs w:val="18"/>
                <w:lang w:val="en-GB"/>
              </w:rPr>
              <w:lastRenderedPageBreak/>
              <w:t>Reduction and Management Council</w:t>
            </w:r>
            <w:r w:rsidRPr="00052AFA">
              <w:rPr>
                <w:color w:val="000000" w:themeColor="text1"/>
                <w:sz w:val="18"/>
                <w:szCs w:val="18"/>
                <w:lang w:val="en-GB"/>
              </w:rPr>
              <w:t xml:space="preserve"> • Department of Transportation; Philippine Atmospheric, Geophysical </w:t>
            </w:r>
            <w:r w:rsidR="00CC2ED9">
              <w:rPr>
                <w:color w:val="000000" w:themeColor="text1"/>
                <w:sz w:val="18"/>
                <w:szCs w:val="18"/>
                <w:lang w:val="en-GB"/>
              </w:rPr>
              <w:t>and</w:t>
            </w:r>
            <w:r w:rsidRPr="00052AFA">
              <w:rPr>
                <w:color w:val="000000" w:themeColor="text1"/>
                <w:sz w:val="18"/>
                <w:szCs w:val="18"/>
                <w:lang w:val="en-GB"/>
              </w:rPr>
              <w:t xml:space="preserve"> Astronomical Services Administration • Philippine Institute of Volcanology and Seismology • </w:t>
            </w:r>
            <w:r w:rsidR="00CC2ED9">
              <w:rPr>
                <w:color w:val="000000" w:themeColor="text1"/>
                <w:sz w:val="18"/>
                <w:szCs w:val="18"/>
                <w:lang w:val="en-GB"/>
              </w:rPr>
              <w:t>l</w:t>
            </w:r>
            <w:r w:rsidRPr="00052AFA">
              <w:rPr>
                <w:color w:val="000000" w:themeColor="text1"/>
                <w:sz w:val="18"/>
                <w:szCs w:val="18"/>
                <w:lang w:val="en-GB"/>
              </w:rPr>
              <w:t xml:space="preserve">eagues of </w:t>
            </w:r>
            <w:r w:rsidR="00CC2ED9">
              <w:rPr>
                <w:color w:val="000000" w:themeColor="text1"/>
                <w:sz w:val="18"/>
                <w:szCs w:val="18"/>
                <w:lang w:val="en-GB"/>
              </w:rPr>
              <w:t>c</w:t>
            </w:r>
            <w:r w:rsidRPr="00052AFA">
              <w:rPr>
                <w:color w:val="000000" w:themeColor="text1"/>
                <w:sz w:val="18"/>
                <w:szCs w:val="18"/>
                <w:lang w:val="en-GB"/>
              </w:rPr>
              <w:t xml:space="preserve">ities, </w:t>
            </w:r>
            <w:r w:rsidR="00CC2ED9">
              <w:rPr>
                <w:color w:val="000000" w:themeColor="text1"/>
                <w:sz w:val="18"/>
                <w:szCs w:val="18"/>
                <w:lang w:val="en-GB"/>
              </w:rPr>
              <w:t>m</w:t>
            </w:r>
            <w:r w:rsidRPr="00052AFA">
              <w:rPr>
                <w:color w:val="000000" w:themeColor="text1"/>
                <w:sz w:val="18"/>
                <w:szCs w:val="18"/>
                <w:lang w:val="en-GB"/>
              </w:rPr>
              <w:t xml:space="preserve">unicipalities and </w:t>
            </w:r>
            <w:r w:rsidR="00CC2ED9">
              <w:rPr>
                <w:color w:val="000000" w:themeColor="text1"/>
                <w:sz w:val="18"/>
                <w:szCs w:val="18"/>
                <w:lang w:val="en-GB"/>
              </w:rPr>
              <w:t>p</w:t>
            </w:r>
            <w:r w:rsidRPr="00052AFA">
              <w:rPr>
                <w:color w:val="000000" w:themeColor="text1"/>
                <w:sz w:val="18"/>
                <w:szCs w:val="18"/>
                <w:lang w:val="en-GB"/>
              </w:rPr>
              <w:t xml:space="preserve">rovinces • </w:t>
            </w:r>
            <w:r w:rsidR="00CC2ED9">
              <w:rPr>
                <w:color w:val="000000" w:themeColor="text1"/>
                <w:sz w:val="18"/>
                <w:szCs w:val="18"/>
                <w:lang w:val="en-GB"/>
              </w:rPr>
              <w:t>s</w:t>
            </w:r>
            <w:r w:rsidRPr="00052AFA">
              <w:rPr>
                <w:color w:val="000000" w:themeColor="text1"/>
                <w:sz w:val="18"/>
                <w:szCs w:val="18"/>
                <w:lang w:val="en-GB"/>
              </w:rPr>
              <w:t>elected LGUs</w:t>
            </w:r>
          </w:p>
          <w:p w14:paraId="6C6E3ECE" w14:textId="77777777" w:rsidR="005D7CA0" w:rsidRPr="00052AFA" w:rsidRDefault="005D7CA0" w:rsidP="00CA4FED">
            <w:pPr>
              <w:rPr>
                <w:color w:val="000000" w:themeColor="text1"/>
                <w:sz w:val="18"/>
                <w:szCs w:val="18"/>
                <w:lang w:val="en-GB"/>
              </w:rPr>
            </w:pPr>
          </w:p>
          <w:p w14:paraId="5C6C53F4" w14:textId="49488AE0" w:rsidR="005D7CA0" w:rsidRPr="00052AFA" w:rsidRDefault="4435C01B" w:rsidP="00CA4FED">
            <w:pPr>
              <w:rPr>
                <w:color w:val="000000" w:themeColor="text1"/>
                <w:sz w:val="18"/>
                <w:szCs w:val="18"/>
                <w:lang w:val="en-GB"/>
              </w:rPr>
            </w:pPr>
            <w:r w:rsidRPr="00052AFA">
              <w:rPr>
                <w:b/>
                <w:bCs/>
                <w:color w:val="000000" w:themeColor="text1"/>
                <w:sz w:val="18"/>
                <w:szCs w:val="18"/>
                <w:lang w:val="en-GB"/>
              </w:rPr>
              <w:t xml:space="preserve">Donors </w:t>
            </w:r>
          </w:p>
          <w:p w14:paraId="42DD9FDE" w14:textId="77777777" w:rsidR="005D7CA0" w:rsidRPr="00052AFA" w:rsidRDefault="4435C01B" w:rsidP="00CA4FED">
            <w:pPr>
              <w:rPr>
                <w:color w:val="000000" w:themeColor="text1"/>
                <w:sz w:val="18"/>
                <w:szCs w:val="18"/>
                <w:lang w:val="en-GB"/>
              </w:rPr>
            </w:pPr>
            <w:r w:rsidRPr="00052AFA">
              <w:rPr>
                <w:color w:val="000000" w:themeColor="text1"/>
                <w:sz w:val="18"/>
                <w:szCs w:val="18"/>
                <w:lang w:val="en-GB"/>
              </w:rPr>
              <w:t xml:space="preserve">Government of Australia • European Commission • Global Environment Facility • Green Climate Fund Government of New Zealand • Government of Spain • Government of Japan  </w:t>
            </w:r>
          </w:p>
          <w:p w14:paraId="4B4AD486" w14:textId="77777777" w:rsidR="005D7CA0" w:rsidRPr="00052AFA" w:rsidRDefault="005D7CA0" w:rsidP="00CA4FED">
            <w:pPr>
              <w:rPr>
                <w:color w:val="000000" w:themeColor="text1"/>
                <w:sz w:val="18"/>
                <w:szCs w:val="18"/>
                <w:lang w:val="en-GB"/>
              </w:rPr>
            </w:pPr>
          </w:p>
          <w:p w14:paraId="10C80075" w14:textId="7F049860" w:rsidR="005D7CA0" w:rsidRPr="00052AFA" w:rsidRDefault="4435C01B" w:rsidP="00CA4FED">
            <w:pPr>
              <w:rPr>
                <w:color w:val="000000" w:themeColor="text1"/>
                <w:sz w:val="18"/>
                <w:szCs w:val="18"/>
                <w:lang w:val="en-GB"/>
              </w:rPr>
            </w:pPr>
            <w:r w:rsidRPr="00052AFA">
              <w:rPr>
                <w:b/>
                <w:bCs/>
                <w:color w:val="000000" w:themeColor="text1"/>
                <w:sz w:val="18"/>
                <w:szCs w:val="18"/>
                <w:lang w:val="en-GB"/>
              </w:rPr>
              <w:t xml:space="preserve">Other partners </w:t>
            </w:r>
          </w:p>
          <w:p w14:paraId="63C651EF" w14:textId="1CCCDE25" w:rsidR="005D7CA0" w:rsidRPr="00052AFA" w:rsidRDefault="4435C01B" w:rsidP="00CA4FED">
            <w:pPr>
              <w:rPr>
                <w:color w:val="000000" w:themeColor="text1"/>
                <w:sz w:val="18"/>
                <w:szCs w:val="18"/>
                <w:lang w:val="en-GB"/>
              </w:rPr>
            </w:pPr>
            <w:r w:rsidRPr="00052AFA">
              <w:rPr>
                <w:color w:val="000000" w:themeColor="text1"/>
                <w:sz w:val="18"/>
                <w:szCs w:val="18"/>
                <w:lang w:val="en-GB"/>
              </w:rPr>
              <w:t xml:space="preserve">• Philippine Business for Environment • Philippine Disaster Resilience Foundation (PDRF) • other civil society organizations • </w:t>
            </w:r>
            <w:r w:rsidR="005946C4">
              <w:rPr>
                <w:color w:val="000000" w:themeColor="text1"/>
                <w:sz w:val="18"/>
                <w:szCs w:val="18"/>
                <w:lang w:val="en-GB"/>
              </w:rPr>
              <w:t>y</w:t>
            </w:r>
            <w:r w:rsidRPr="00052AFA">
              <w:rPr>
                <w:color w:val="000000" w:themeColor="text1"/>
                <w:sz w:val="18"/>
                <w:szCs w:val="18"/>
                <w:lang w:val="en-GB"/>
              </w:rPr>
              <w:t xml:space="preserve">outh groups • </w:t>
            </w:r>
            <w:r w:rsidR="005946C4">
              <w:rPr>
                <w:color w:val="000000" w:themeColor="text1"/>
                <w:sz w:val="18"/>
                <w:szCs w:val="18"/>
                <w:lang w:val="en-GB"/>
              </w:rPr>
              <w:t>p</w:t>
            </w:r>
            <w:r w:rsidRPr="00052AFA">
              <w:rPr>
                <w:color w:val="000000" w:themeColor="text1"/>
                <w:sz w:val="18"/>
                <w:szCs w:val="18"/>
                <w:lang w:val="en-GB"/>
              </w:rPr>
              <w:t>rivate sector associations • U</w:t>
            </w:r>
            <w:r w:rsidR="005946C4">
              <w:rPr>
                <w:color w:val="000000" w:themeColor="text1"/>
                <w:sz w:val="18"/>
                <w:szCs w:val="18"/>
                <w:lang w:val="en-GB"/>
              </w:rPr>
              <w:t xml:space="preserve">nited </w:t>
            </w:r>
            <w:r w:rsidRPr="00052AFA">
              <w:rPr>
                <w:color w:val="000000" w:themeColor="text1"/>
                <w:sz w:val="18"/>
                <w:szCs w:val="18"/>
                <w:lang w:val="en-GB"/>
              </w:rPr>
              <w:t>N</w:t>
            </w:r>
            <w:r w:rsidR="005946C4">
              <w:rPr>
                <w:color w:val="000000" w:themeColor="text1"/>
                <w:sz w:val="18"/>
                <w:szCs w:val="18"/>
                <w:lang w:val="en-GB"/>
              </w:rPr>
              <w:t>ations</w:t>
            </w:r>
            <w:r w:rsidRPr="00052AFA">
              <w:rPr>
                <w:color w:val="000000" w:themeColor="text1"/>
                <w:sz w:val="18"/>
                <w:szCs w:val="18"/>
                <w:lang w:val="en-GB"/>
              </w:rPr>
              <w:t xml:space="preserve"> </w:t>
            </w:r>
            <w:r w:rsidR="005946C4">
              <w:rPr>
                <w:color w:val="000000" w:themeColor="text1"/>
                <w:sz w:val="18"/>
                <w:szCs w:val="18"/>
                <w:lang w:val="en-GB"/>
              </w:rPr>
              <w:t>organizations</w:t>
            </w:r>
          </w:p>
          <w:p w14:paraId="2C9263F7" w14:textId="77777777" w:rsidR="005D7CA0" w:rsidRPr="00052AFA" w:rsidRDefault="005D7CA0" w:rsidP="00475DE8">
            <w:pPr>
              <w:rPr>
                <w:color w:val="000000" w:themeColor="text1"/>
                <w:sz w:val="18"/>
                <w:szCs w:val="18"/>
                <w:lang w:val="en-GB"/>
              </w:rPr>
            </w:pPr>
          </w:p>
        </w:tc>
        <w:tc>
          <w:tcPr>
            <w:tcW w:w="1563" w:type="dxa"/>
            <w:tcMar>
              <w:top w:w="15" w:type="dxa"/>
              <w:left w:w="108" w:type="dxa"/>
              <w:bottom w:w="0" w:type="dxa"/>
              <w:right w:w="108" w:type="dxa"/>
            </w:tcMar>
          </w:tcPr>
          <w:p w14:paraId="0711C118" w14:textId="77777777" w:rsidR="005D7CA0" w:rsidRPr="00052AFA" w:rsidRDefault="4435C01B" w:rsidP="00CA4FED">
            <w:pPr>
              <w:ind w:right="-260"/>
              <w:rPr>
                <w:b/>
                <w:bCs/>
                <w:color w:val="000000" w:themeColor="text1"/>
                <w:sz w:val="18"/>
                <w:szCs w:val="18"/>
                <w:lang w:val="en-GB"/>
              </w:rPr>
            </w:pPr>
            <w:r w:rsidRPr="00052AFA">
              <w:rPr>
                <w:b/>
                <w:bCs/>
                <w:color w:val="000000" w:themeColor="text1"/>
                <w:sz w:val="18"/>
                <w:szCs w:val="18"/>
                <w:lang w:val="en-GB"/>
              </w:rPr>
              <w:lastRenderedPageBreak/>
              <w:t xml:space="preserve">Regular </w:t>
            </w:r>
          </w:p>
          <w:p w14:paraId="4F295856" w14:textId="77777777" w:rsidR="005D7CA0" w:rsidRPr="00052AFA" w:rsidRDefault="005D7CA0" w:rsidP="00CA4FED">
            <w:pPr>
              <w:ind w:right="-260"/>
              <w:rPr>
                <w:b/>
                <w:color w:val="000000" w:themeColor="text1"/>
                <w:sz w:val="18"/>
                <w:szCs w:val="18"/>
                <w:lang w:val="en-GB"/>
              </w:rPr>
            </w:pPr>
          </w:p>
          <w:p w14:paraId="002EB1F0" w14:textId="7A72EA15" w:rsidR="005D7CA0" w:rsidRPr="00052AFA" w:rsidRDefault="000522EF" w:rsidP="00CA4FED">
            <w:pPr>
              <w:ind w:right="-260"/>
              <w:rPr>
                <w:b/>
                <w:bCs/>
                <w:color w:val="000000" w:themeColor="text1"/>
                <w:sz w:val="18"/>
                <w:szCs w:val="18"/>
                <w:lang w:val="en-GB"/>
              </w:rPr>
            </w:pPr>
            <w:r>
              <w:rPr>
                <w:b/>
                <w:bCs/>
                <w:color w:val="000000" w:themeColor="text1"/>
                <w:sz w:val="18"/>
                <w:szCs w:val="18"/>
                <w:lang w:val="en-GB"/>
              </w:rPr>
              <w:t>687,000</w:t>
            </w:r>
          </w:p>
        </w:tc>
      </w:tr>
      <w:tr w:rsidR="005D7CA0" w:rsidRPr="00052AFA" w14:paraId="65ED2A4E" w14:textId="77777777" w:rsidTr="00701583">
        <w:tc>
          <w:tcPr>
            <w:tcW w:w="2835" w:type="dxa"/>
            <w:vMerge/>
            <w:tcBorders>
              <w:bottom w:val="single" w:sz="4" w:space="0" w:color="auto"/>
            </w:tcBorders>
            <w:tcMar>
              <w:top w:w="72" w:type="dxa"/>
              <w:left w:w="144" w:type="dxa"/>
              <w:bottom w:w="72" w:type="dxa"/>
              <w:right w:w="144" w:type="dxa"/>
            </w:tcMar>
          </w:tcPr>
          <w:p w14:paraId="624EDBF4" w14:textId="77777777" w:rsidR="005D7CA0" w:rsidRPr="00052AFA" w:rsidRDefault="005D7CA0" w:rsidP="00CA4FED">
            <w:pPr>
              <w:widowControl w:val="0"/>
              <w:rPr>
                <w:b/>
                <w:color w:val="000000" w:themeColor="text1"/>
                <w:sz w:val="18"/>
                <w:szCs w:val="18"/>
                <w:lang w:val="en-GB"/>
              </w:rPr>
            </w:pPr>
          </w:p>
        </w:tc>
        <w:tc>
          <w:tcPr>
            <w:tcW w:w="1985" w:type="dxa"/>
            <w:vMerge/>
            <w:tcBorders>
              <w:bottom w:val="single" w:sz="4" w:space="0" w:color="auto"/>
            </w:tcBorders>
          </w:tcPr>
          <w:p w14:paraId="065912DE" w14:textId="77777777" w:rsidR="005D7CA0" w:rsidRPr="00052AFA" w:rsidRDefault="005D7CA0" w:rsidP="00CA4FED">
            <w:pPr>
              <w:widowControl w:val="0"/>
              <w:rPr>
                <w:b/>
                <w:color w:val="000000" w:themeColor="text1"/>
                <w:sz w:val="18"/>
                <w:szCs w:val="18"/>
                <w:lang w:val="en-GB"/>
              </w:rPr>
            </w:pPr>
          </w:p>
        </w:tc>
        <w:tc>
          <w:tcPr>
            <w:tcW w:w="6095" w:type="dxa"/>
            <w:gridSpan w:val="3"/>
            <w:vMerge/>
            <w:tcBorders>
              <w:bottom w:val="single" w:sz="4" w:space="0" w:color="auto"/>
            </w:tcBorders>
            <w:tcMar>
              <w:top w:w="72" w:type="dxa"/>
              <w:left w:w="144" w:type="dxa"/>
              <w:bottom w:w="72" w:type="dxa"/>
              <w:right w:w="144" w:type="dxa"/>
            </w:tcMar>
          </w:tcPr>
          <w:p w14:paraId="22357191" w14:textId="77777777" w:rsidR="005D7CA0" w:rsidRPr="00052AFA" w:rsidRDefault="005D7CA0" w:rsidP="00CA4FED">
            <w:pPr>
              <w:widowControl w:val="0"/>
              <w:rPr>
                <w:b/>
                <w:color w:val="000000" w:themeColor="text1"/>
                <w:sz w:val="18"/>
                <w:szCs w:val="18"/>
                <w:lang w:val="en-GB"/>
              </w:rPr>
            </w:pPr>
          </w:p>
        </w:tc>
        <w:tc>
          <w:tcPr>
            <w:tcW w:w="1985" w:type="dxa"/>
            <w:gridSpan w:val="2"/>
            <w:vMerge/>
            <w:tcBorders>
              <w:bottom w:val="single" w:sz="4" w:space="0" w:color="auto"/>
            </w:tcBorders>
          </w:tcPr>
          <w:p w14:paraId="775293E0" w14:textId="77777777" w:rsidR="005D7CA0" w:rsidRPr="00052AFA" w:rsidRDefault="005D7CA0" w:rsidP="00CA4FED">
            <w:pPr>
              <w:rPr>
                <w:color w:val="000000" w:themeColor="text1"/>
                <w:sz w:val="18"/>
                <w:szCs w:val="18"/>
                <w:lang w:val="en-GB"/>
              </w:rPr>
            </w:pPr>
          </w:p>
        </w:tc>
        <w:tc>
          <w:tcPr>
            <w:tcW w:w="1563" w:type="dxa"/>
            <w:tcBorders>
              <w:bottom w:val="single" w:sz="4" w:space="0" w:color="auto"/>
            </w:tcBorders>
            <w:tcMar>
              <w:top w:w="15" w:type="dxa"/>
              <w:left w:w="108" w:type="dxa"/>
              <w:bottom w:w="0" w:type="dxa"/>
              <w:right w:w="108" w:type="dxa"/>
            </w:tcMar>
          </w:tcPr>
          <w:p w14:paraId="35FFEE2A" w14:textId="77777777" w:rsidR="005D7CA0" w:rsidRPr="00052AFA" w:rsidRDefault="4435C01B" w:rsidP="00CA4FED">
            <w:pPr>
              <w:rPr>
                <w:b/>
                <w:bCs/>
                <w:color w:val="000000" w:themeColor="text1"/>
                <w:sz w:val="18"/>
                <w:szCs w:val="18"/>
                <w:lang w:val="en-GB"/>
              </w:rPr>
            </w:pPr>
            <w:r w:rsidRPr="00052AFA">
              <w:rPr>
                <w:b/>
                <w:bCs/>
                <w:color w:val="000000" w:themeColor="text1"/>
                <w:sz w:val="18"/>
                <w:szCs w:val="18"/>
                <w:lang w:val="en-GB"/>
              </w:rPr>
              <w:t xml:space="preserve">Other </w:t>
            </w:r>
          </w:p>
          <w:p w14:paraId="3660896A" w14:textId="77777777" w:rsidR="005D7CA0" w:rsidRPr="00052AFA" w:rsidRDefault="005D7CA0" w:rsidP="00CA4FED">
            <w:pPr>
              <w:rPr>
                <w:b/>
                <w:color w:val="000000" w:themeColor="text1"/>
                <w:sz w:val="18"/>
                <w:szCs w:val="18"/>
                <w:lang w:val="en-GB"/>
              </w:rPr>
            </w:pPr>
          </w:p>
          <w:p w14:paraId="30847E47" w14:textId="3594473E" w:rsidR="005D7CA0" w:rsidRPr="00052AFA" w:rsidRDefault="00167B7B" w:rsidP="00CA4FED">
            <w:pPr>
              <w:rPr>
                <w:b/>
                <w:bCs/>
                <w:color w:val="000000" w:themeColor="text1"/>
                <w:sz w:val="18"/>
                <w:szCs w:val="18"/>
                <w:lang w:val="en-GB"/>
              </w:rPr>
            </w:pPr>
            <w:r w:rsidRPr="00052AFA">
              <w:rPr>
                <w:b/>
                <w:bCs/>
                <w:color w:val="000000" w:themeColor="text1"/>
                <w:sz w:val="18"/>
                <w:szCs w:val="18"/>
                <w:lang w:val="en-GB"/>
              </w:rPr>
              <w:t>12</w:t>
            </w:r>
            <w:r w:rsidR="005F5E13" w:rsidRPr="00052AFA">
              <w:rPr>
                <w:b/>
                <w:bCs/>
                <w:color w:val="000000" w:themeColor="text1"/>
                <w:sz w:val="18"/>
                <w:szCs w:val="18"/>
                <w:lang w:val="en-GB"/>
              </w:rPr>
              <w:t>4</w:t>
            </w:r>
            <w:r w:rsidR="00F740CA" w:rsidRPr="00052AFA">
              <w:rPr>
                <w:b/>
                <w:bCs/>
                <w:color w:val="000000" w:themeColor="text1"/>
                <w:sz w:val="18"/>
                <w:szCs w:val="18"/>
                <w:lang w:val="en-GB"/>
              </w:rPr>
              <w:t>,</w:t>
            </w:r>
            <w:r w:rsidR="005F5E13" w:rsidRPr="00052AFA">
              <w:rPr>
                <w:b/>
                <w:bCs/>
                <w:color w:val="000000" w:themeColor="text1"/>
                <w:sz w:val="18"/>
                <w:szCs w:val="18"/>
                <w:lang w:val="en-GB"/>
              </w:rPr>
              <w:t>254,</w:t>
            </w:r>
            <w:r w:rsidRPr="00052AFA">
              <w:rPr>
                <w:b/>
                <w:bCs/>
                <w:color w:val="000000" w:themeColor="text1"/>
                <w:sz w:val="18"/>
                <w:szCs w:val="18"/>
                <w:lang w:val="en-GB"/>
              </w:rPr>
              <w:t>000</w:t>
            </w:r>
          </w:p>
        </w:tc>
      </w:tr>
      <w:tr w:rsidR="005D7CA0" w:rsidRPr="00052AFA" w14:paraId="20B68EDD" w14:textId="77777777" w:rsidTr="00701583">
        <w:trPr>
          <w:trHeight w:val="20"/>
        </w:trPr>
        <w:tc>
          <w:tcPr>
            <w:tcW w:w="14463" w:type="dxa"/>
            <w:gridSpan w:val="8"/>
            <w:shd w:val="clear" w:color="auto" w:fill="auto"/>
            <w:tcMar>
              <w:top w:w="72" w:type="dxa"/>
              <w:left w:w="144" w:type="dxa"/>
              <w:bottom w:w="72" w:type="dxa"/>
              <w:right w:w="144" w:type="dxa"/>
            </w:tcMar>
          </w:tcPr>
          <w:p w14:paraId="7AC6339A" w14:textId="258B341F" w:rsidR="005D7CA0" w:rsidRPr="00052AFA" w:rsidRDefault="00994915" w:rsidP="00CA4FED">
            <w:pPr>
              <w:rPr>
                <w:b/>
                <w:bCs/>
                <w:iCs/>
                <w:color w:val="000000" w:themeColor="text1"/>
                <w:sz w:val="18"/>
                <w:szCs w:val="18"/>
                <w:lang w:val="en-GB"/>
              </w:rPr>
            </w:pPr>
            <w:r w:rsidRPr="00052AFA">
              <w:rPr>
                <w:b/>
                <w:bCs/>
                <w:color w:val="000000" w:themeColor="text1"/>
                <w:sz w:val="18"/>
                <w:szCs w:val="18"/>
                <w:lang w:val="en-GB"/>
              </w:rPr>
              <w:lastRenderedPageBreak/>
              <w:t>PHILIPPINE DEVELOPMENT PLAN</w:t>
            </w:r>
            <w:r>
              <w:rPr>
                <w:b/>
                <w:bCs/>
                <w:color w:val="000000" w:themeColor="text1"/>
                <w:sz w:val="18"/>
                <w:szCs w:val="18"/>
                <w:lang w:val="en-GB"/>
              </w:rPr>
              <w:t xml:space="preserve">, </w:t>
            </w:r>
            <w:r w:rsidRPr="00052AFA">
              <w:rPr>
                <w:b/>
                <w:bCs/>
                <w:color w:val="000000" w:themeColor="text1"/>
                <w:sz w:val="18"/>
                <w:szCs w:val="18"/>
                <w:lang w:val="en-GB"/>
              </w:rPr>
              <w:t>2017-2022</w:t>
            </w:r>
            <w:r>
              <w:rPr>
                <w:b/>
                <w:bCs/>
                <w:color w:val="000000" w:themeColor="text1"/>
                <w:sz w:val="18"/>
                <w:szCs w:val="18"/>
                <w:lang w:val="en-GB"/>
              </w:rPr>
              <w:t>,</w:t>
            </w:r>
            <w:r w:rsidRPr="00052AFA">
              <w:rPr>
                <w:b/>
                <w:bCs/>
                <w:color w:val="000000" w:themeColor="text1"/>
                <w:sz w:val="18"/>
                <w:szCs w:val="18"/>
                <w:lang w:val="en-GB"/>
              </w:rPr>
              <w:t xml:space="preserve"> GOAL</w:t>
            </w:r>
            <w:r w:rsidR="4435C01B" w:rsidRPr="00052AFA">
              <w:rPr>
                <w:b/>
                <w:bCs/>
                <w:color w:val="000000" w:themeColor="text1"/>
                <w:sz w:val="18"/>
                <w:szCs w:val="18"/>
                <w:lang w:val="en-GB"/>
              </w:rPr>
              <w:t xml:space="preserve">: </w:t>
            </w:r>
            <w:r w:rsidR="4435C01B" w:rsidRPr="00715998">
              <w:rPr>
                <w:bCs/>
                <w:iCs/>
                <w:color w:val="000000" w:themeColor="text1"/>
                <w:sz w:val="18"/>
                <w:szCs w:val="18"/>
                <w:lang w:val="en-GB"/>
              </w:rPr>
              <w:t>Reduce vulnerability of individuals and families</w:t>
            </w:r>
            <w:r w:rsidRPr="00715998">
              <w:rPr>
                <w:bCs/>
                <w:iCs/>
                <w:color w:val="000000" w:themeColor="text1"/>
                <w:sz w:val="18"/>
                <w:szCs w:val="18"/>
                <w:lang w:val="en-GB"/>
              </w:rPr>
              <w:t>.</w:t>
            </w:r>
          </w:p>
        </w:tc>
      </w:tr>
      <w:tr w:rsidR="005D7CA0" w:rsidRPr="00052AFA" w14:paraId="33700DF0" w14:textId="77777777" w:rsidTr="00701583">
        <w:tc>
          <w:tcPr>
            <w:tcW w:w="14463" w:type="dxa"/>
            <w:gridSpan w:val="8"/>
            <w:shd w:val="clear" w:color="auto" w:fill="auto"/>
            <w:tcMar>
              <w:top w:w="72" w:type="dxa"/>
              <w:left w:w="144" w:type="dxa"/>
              <w:bottom w:w="72" w:type="dxa"/>
              <w:right w:w="144" w:type="dxa"/>
            </w:tcMar>
          </w:tcPr>
          <w:p w14:paraId="16937EB1" w14:textId="653134A8" w:rsidR="005D7CA0" w:rsidRPr="00052AFA" w:rsidRDefault="4435C01B" w:rsidP="00CA4FED">
            <w:pPr>
              <w:ind w:right="196"/>
              <w:rPr>
                <w:b/>
                <w:bCs/>
                <w:iCs/>
                <w:color w:val="000000" w:themeColor="text1"/>
                <w:sz w:val="18"/>
                <w:szCs w:val="18"/>
                <w:lang w:val="en-GB"/>
              </w:rPr>
            </w:pPr>
            <w:r w:rsidRPr="00052AFA">
              <w:rPr>
                <w:b/>
                <w:bCs/>
                <w:color w:val="000000" w:themeColor="text1"/>
                <w:sz w:val="18"/>
                <w:szCs w:val="18"/>
                <w:lang w:val="en-GB"/>
              </w:rPr>
              <w:t>UNDAF OUTCOME 3</w:t>
            </w:r>
            <w:r w:rsidRPr="00052AFA">
              <w:rPr>
                <w:b/>
                <w:bCs/>
                <w:iCs/>
                <w:color w:val="000000" w:themeColor="text1"/>
                <w:sz w:val="18"/>
                <w:szCs w:val="18"/>
                <w:lang w:val="en-GB"/>
              </w:rPr>
              <w:t xml:space="preserve">: </w:t>
            </w:r>
            <w:r w:rsidRPr="00715998">
              <w:rPr>
                <w:bCs/>
                <w:iCs/>
                <w:color w:val="000000" w:themeColor="text1"/>
                <w:sz w:val="18"/>
                <w:szCs w:val="18"/>
                <w:lang w:val="en-GB"/>
              </w:rPr>
              <w:t>National and local governments and key stakeholders recognize and share a common understanding of the diverse cultural history, identity and inequalities of areas affected by conflict, enabling the establishment of inclusive and responsive governance systems and accelerating sustainable and equitable development for just and lasting peace in conflict affected areas in Mindanao</w:t>
            </w:r>
            <w:r w:rsidRPr="00052AFA">
              <w:rPr>
                <w:b/>
                <w:bCs/>
                <w:iCs/>
                <w:color w:val="000000" w:themeColor="text1"/>
                <w:sz w:val="18"/>
                <w:szCs w:val="18"/>
                <w:lang w:val="en-GB"/>
              </w:rPr>
              <w:t>.</w:t>
            </w:r>
          </w:p>
        </w:tc>
      </w:tr>
      <w:tr w:rsidR="005D7CA0" w:rsidRPr="00052AFA" w14:paraId="0B0F7875" w14:textId="77777777" w:rsidTr="00701583">
        <w:tc>
          <w:tcPr>
            <w:tcW w:w="14463" w:type="dxa"/>
            <w:gridSpan w:val="8"/>
            <w:shd w:val="clear" w:color="auto" w:fill="auto"/>
            <w:tcMar>
              <w:top w:w="72" w:type="dxa"/>
              <w:left w:w="144" w:type="dxa"/>
              <w:bottom w:w="72" w:type="dxa"/>
              <w:right w:w="144" w:type="dxa"/>
            </w:tcMar>
          </w:tcPr>
          <w:p w14:paraId="6CD38E85" w14:textId="24BC35E8" w:rsidR="005D7CA0" w:rsidRPr="00052AFA" w:rsidRDefault="00D86819" w:rsidP="00CA4FED">
            <w:pPr>
              <w:rPr>
                <w:b/>
                <w:bCs/>
                <w:iCs/>
                <w:color w:val="000000" w:themeColor="text1"/>
                <w:sz w:val="18"/>
                <w:szCs w:val="18"/>
                <w:lang w:val="en-GB"/>
              </w:rPr>
            </w:pPr>
            <w:r w:rsidRPr="00052AFA">
              <w:rPr>
                <w:b/>
                <w:bCs/>
                <w:color w:val="000000" w:themeColor="text1"/>
                <w:sz w:val="18"/>
                <w:szCs w:val="18"/>
                <w:lang w:val="en-GB"/>
              </w:rPr>
              <w:t>S</w:t>
            </w:r>
            <w:r>
              <w:rPr>
                <w:b/>
                <w:bCs/>
                <w:color w:val="000000" w:themeColor="text1"/>
                <w:sz w:val="18"/>
                <w:szCs w:val="18"/>
                <w:lang w:val="en-GB"/>
              </w:rPr>
              <w:t xml:space="preserve">TRATEGIC PLAN, </w:t>
            </w:r>
            <w:r w:rsidRPr="00052AFA">
              <w:rPr>
                <w:b/>
                <w:bCs/>
                <w:color w:val="000000" w:themeColor="text1"/>
                <w:sz w:val="18"/>
                <w:szCs w:val="18"/>
                <w:lang w:val="en-GB"/>
              </w:rPr>
              <w:t>2018-2021</w:t>
            </w:r>
            <w:r>
              <w:rPr>
                <w:b/>
                <w:bCs/>
                <w:color w:val="000000" w:themeColor="text1"/>
                <w:sz w:val="18"/>
                <w:szCs w:val="18"/>
                <w:lang w:val="en-GB"/>
              </w:rPr>
              <w:t xml:space="preserve">, </w:t>
            </w:r>
            <w:r w:rsidRPr="00052AFA">
              <w:rPr>
                <w:b/>
                <w:bCs/>
                <w:color w:val="000000" w:themeColor="text1"/>
                <w:sz w:val="18"/>
                <w:szCs w:val="18"/>
                <w:lang w:val="en-GB"/>
              </w:rPr>
              <w:t>OUTCOME</w:t>
            </w:r>
            <w:r w:rsidRPr="00052AFA">
              <w:rPr>
                <w:b/>
                <w:bCs/>
                <w:iCs/>
                <w:color w:val="000000" w:themeColor="text1"/>
                <w:sz w:val="18"/>
                <w:szCs w:val="18"/>
                <w:lang w:val="en-GB"/>
              </w:rPr>
              <w:t xml:space="preserve"> </w:t>
            </w:r>
            <w:r w:rsidR="4435C01B" w:rsidRPr="00052AFA">
              <w:rPr>
                <w:b/>
                <w:bCs/>
                <w:iCs/>
                <w:color w:val="000000" w:themeColor="text1"/>
                <w:sz w:val="18"/>
                <w:szCs w:val="18"/>
                <w:lang w:val="en-GB"/>
              </w:rPr>
              <w:t xml:space="preserve">3: </w:t>
            </w:r>
            <w:r w:rsidR="4435C01B" w:rsidRPr="00715998">
              <w:rPr>
                <w:bCs/>
                <w:iCs/>
                <w:color w:val="000000" w:themeColor="text1"/>
                <w:sz w:val="18"/>
                <w:szCs w:val="18"/>
                <w:lang w:val="en-GB"/>
              </w:rPr>
              <w:t>Strengthen resilience to shocks and crisis</w:t>
            </w:r>
            <w:r>
              <w:rPr>
                <w:b/>
                <w:bCs/>
                <w:iCs/>
                <w:color w:val="000000" w:themeColor="text1"/>
                <w:sz w:val="18"/>
                <w:szCs w:val="18"/>
                <w:lang w:val="en-GB"/>
              </w:rPr>
              <w:t>.</w:t>
            </w:r>
          </w:p>
        </w:tc>
      </w:tr>
      <w:tr w:rsidR="005D7CA0" w:rsidRPr="00052AFA" w14:paraId="6333EC03" w14:textId="77777777" w:rsidTr="003718B3">
        <w:tc>
          <w:tcPr>
            <w:tcW w:w="2835" w:type="dxa"/>
            <w:vMerge w:val="restart"/>
            <w:tcMar>
              <w:top w:w="72" w:type="dxa"/>
              <w:left w:w="144" w:type="dxa"/>
              <w:bottom w:w="72" w:type="dxa"/>
              <w:right w:w="144" w:type="dxa"/>
            </w:tcMar>
          </w:tcPr>
          <w:p w14:paraId="0B77C390" w14:textId="34C39C5F" w:rsidR="005D7CA0" w:rsidRPr="00052AFA" w:rsidRDefault="4435C01B" w:rsidP="00CA4FED">
            <w:pPr>
              <w:rPr>
                <w:color w:val="000000" w:themeColor="text1"/>
                <w:sz w:val="18"/>
                <w:szCs w:val="18"/>
                <w:lang w:val="en-GB"/>
              </w:rPr>
            </w:pPr>
            <w:r w:rsidRPr="00052AFA">
              <w:rPr>
                <w:b/>
                <w:bCs/>
                <w:color w:val="000000" w:themeColor="text1"/>
                <w:sz w:val="18"/>
                <w:szCs w:val="18"/>
                <w:lang w:val="en-GB"/>
              </w:rPr>
              <w:t>3.</w:t>
            </w:r>
            <w:r w:rsidR="007E3BBE" w:rsidRPr="00052AFA">
              <w:rPr>
                <w:b/>
                <w:bCs/>
                <w:color w:val="000000" w:themeColor="text1"/>
                <w:sz w:val="18"/>
                <w:szCs w:val="18"/>
                <w:lang w:val="en-GB"/>
              </w:rPr>
              <w:t>1</w:t>
            </w:r>
            <w:r w:rsidR="003B63E9">
              <w:rPr>
                <w:b/>
                <w:bCs/>
                <w:color w:val="000000" w:themeColor="text1"/>
                <w:sz w:val="18"/>
                <w:szCs w:val="18"/>
                <w:lang w:val="en-GB"/>
              </w:rPr>
              <w:t>.</w:t>
            </w:r>
            <w:r w:rsidRPr="00052AFA">
              <w:rPr>
                <w:b/>
                <w:bCs/>
                <w:color w:val="000000" w:themeColor="text1"/>
                <w:sz w:val="18"/>
                <w:szCs w:val="18"/>
                <w:lang w:val="en-GB"/>
              </w:rPr>
              <w:t xml:space="preserve"> </w:t>
            </w:r>
            <w:r w:rsidR="001A165C" w:rsidRPr="00715998">
              <w:rPr>
                <w:b/>
                <w:color w:val="000000" w:themeColor="text1"/>
                <w:sz w:val="18"/>
                <w:szCs w:val="18"/>
                <w:lang w:val="en-GB"/>
              </w:rPr>
              <w:t>Number of non-state armed groups transformed into legitimate socioeconomic/political organizations</w:t>
            </w:r>
          </w:p>
          <w:p w14:paraId="0C9610B5" w14:textId="457DB585" w:rsidR="005D7CA0" w:rsidRPr="00052AFA" w:rsidRDefault="4435C01B" w:rsidP="00CA4FED">
            <w:pPr>
              <w:rPr>
                <w:iCs/>
                <w:color w:val="000000" w:themeColor="text1"/>
                <w:sz w:val="18"/>
                <w:szCs w:val="18"/>
                <w:lang w:val="en-GB"/>
              </w:rPr>
            </w:pPr>
            <w:r w:rsidRPr="00052AFA">
              <w:rPr>
                <w:iCs/>
                <w:color w:val="000000" w:themeColor="text1"/>
                <w:sz w:val="18"/>
                <w:szCs w:val="18"/>
                <w:lang w:val="en-GB"/>
              </w:rPr>
              <w:t>Baseline (201</w:t>
            </w:r>
            <w:r w:rsidR="001A165C" w:rsidRPr="00052AFA">
              <w:rPr>
                <w:iCs/>
                <w:color w:val="000000" w:themeColor="text1"/>
                <w:sz w:val="18"/>
                <w:szCs w:val="18"/>
                <w:lang w:val="en-GB"/>
              </w:rPr>
              <w:t>6</w:t>
            </w:r>
            <w:r w:rsidRPr="00052AFA">
              <w:rPr>
                <w:iCs/>
                <w:color w:val="000000" w:themeColor="text1"/>
                <w:sz w:val="18"/>
                <w:szCs w:val="18"/>
                <w:lang w:val="en-GB"/>
              </w:rPr>
              <w:t xml:space="preserve">): </w:t>
            </w:r>
            <w:r w:rsidR="00677D5F" w:rsidRPr="00052AFA">
              <w:rPr>
                <w:iCs/>
                <w:color w:val="000000" w:themeColor="text1"/>
                <w:sz w:val="18"/>
                <w:szCs w:val="18"/>
                <w:lang w:val="en-GB"/>
              </w:rPr>
              <w:t>1</w:t>
            </w:r>
          </w:p>
          <w:p w14:paraId="740B955D" w14:textId="02A98CC2" w:rsidR="005D7CA0" w:rsidRPr="00052AFA" w:rsidRDefault="4435C01B" w:rsidP="00CA4FED">
            <w:pPr>
              <w:rPr>
                <w:iCs/>
                <w:color w:val="000000" w:themeColor="text1"/>
                <w:sz w:val="18"/>
                <w:szCs w:val="18"/>
                <w:lang w:val="en-GB"/>
              </w:rPr>
            </w:pPr>
            <w:r w:rsidRPr="00052AFA">
              <w:rPr>
                <w:iCs/>
                <w:color w:val="000000" w:themeColor="text1"/>
                <w:sz w:val="18"/>
                <w:szCs w:val="18"/>
                <w:lang w:val="en-GB"/>
              </w:rPr>
              <w:t xml:space="preserve">Target: </w:t>
            </w:r>
            <w:r w:rsidR="00677D5F" w:rsidRPr="00052AFA">
              <w:rPr>
                <w:iCs/>
                <w:color w:val="000000" w:themeColor="text1"/>
                <w:sz w:val="18"/>
                <w:szCs w:val="18"/>
                <w:lang w:val="en-GB"/>
              </w:rPr>
              <w:t>5</w:t>
            </w:r>
          </w:p>
          <w:p w14:paraId="6B3C8988" w14:textId="77777777" w:rsidR="00677D5F" w:rsidRPr="00052AFA" w:rsidRDefault="00677D5F" w:rsidP="00CA4FED">
            <w:pPr>
              <w:rPr>
                <w:iCs/>
                <w:color w:val="000000" w:themeColor="text1"/>
                <w:sz w:val="18"/>
                <w:szCs w:val="18"/>
                <w:lang w:val="en-GB"/>
              </w:rPr>
            </w:pPr>
          </w:p>
          <w:p w14:paraId="0C75153B" w14:textId="4F52C486" w:rsidR="00677D5F" w:rsidRPr="00715998" w:rsidRDefault="00677D5F" w:rsidP="00CA4FED">
            <w:pPr>
              <w:rPr>
                <w:b/>
                <w:iCs/>
                <w:color w:val="000000" w:themeColor="text1"/>
                <w:sz w:val="18"/>
                <w:szCs w:val="18"/>
                <w:lang w:val="en-GB"/>
              </w:rPr>
            </w:pPr>
            <w:r w:rsidRPr="00052AFA">
              <w:rPr>
                <w:b/>
                <w:iCs/>
                <w:color w:val="000000" w:themeColor="text1"/>
                <w:sz w:val="18"/>
                <w:szCs w:val="18"/>
                <w:lang w:val="en-GB"/>
              </w:rPr>
              <w:t>3.2</w:t>
            </w:r>
            <w:r w:rsidR="003B63E9">
              <w:rPr>
                <w:b/>
                <w:iCs/>
                <w:color w:val="000000" w:themeColor="text1"/>
                <w:sz w:val="18"/>
                <w:szCs w:val="18"/>
                <w:lang w:val="en-GB"/>
              </w:rPr>
              <w:t>.</w:t>
            </w:r>
            <w:r w:rsidRPr="00052AFA">
              <w:rPr>
                <w:iCs/>
                <w:color w:val="000000" w:themeColor="text1"/>
                <w:sz w:val="18"/>
                <w:szCs w:val="18"/>
                <w:lang w:val="en-GB"/>
              </w:rPr>
              <w:t xml:space="preserve"> </w:t>
            </w:r>
            <w:r w:rsidRPr="00715998">
              <w:rPr>
                <w:b/>
                <w:iCs/>
                <w:color w:val="000000" w:themeColor="text1"/>
                <w:sz w:val="18"/>
                <w:szCs w:val="18"/>
                <w:lang w:val="en-GB"/>
              </w:rPr>
              <w:t>Number of barangays affected by internal armed conflict</w:t>
            </w:r>
          </w:p>
          <w:p w14:paraId="0C6D88A2" w14:textId="16BA8E99" w:rsidR="00677D5F" w:rsidRPr="00052AFA" w:rsidRDefault="00677D5F" w:rsidP="00677D5F">
            <w:pPr>
              <w:rPr>
                <w:iCs/>
                <w:color w:val="000000" w:themeColor="text1"/>
                <w:sz w:val="18"/>
                <w:szCs w:val="18"/>
                <w:lang w:val="en-GB"/>
              </w:rPr>
            </w:pPr>
            <w:r w:rsidRPr="00052AFA">
              <w:rPr>
                <w:iCs/>
                <w:color w:val="000000" w:themeColor="text1"/>
                <w:sz w:val="18"/>
                <w:szCs w:val="18"/>
                <w:lang w:val="en-GB"/>
              </w:rPr>
              <w:t>Baseline (2017): 716</w:t>
            </w:r>
          </w:p>
          <w:p w14:paraId="499CBF80" w14:textId="4A5628C1" w:rsidR="005D7CA0" w:rsidRPr="00052AFA" w:rsidRDefault="00677D5F" w:rsidP="00CA4FED">
            <w:pPr>
              <w:rPr>
                <w:iCs/>
                <w:color w:val="000000" w:themeColor="text1"/>
                <w:sz w:val="18"/>
                <w:szCs w:val="18"/>
                <w:lang w:val="en-GB"/>
              </w:rPr>
            </w:pPr>
            <w:r w:rsidRPr="00052AFA">
              <w:rPr>
                <w:iCs/>
                <w:color w:val="000000" w:themeColor="text1"/>
                <w:sz w:val="18"/>
                <w:szCs w:val="18"/>
                <w:lang w:val="en-GB"/>
              </w:rPr>
              <w:t>Target: 0</w:t>
            </w:r>
          </w:p>
          <w:p w14:paraId="1D6B6E30" w14:textId="77777777" w:rsidR="005D7CA0" w:rsidRPr="00052AFA" w:rsidRDefault="005D7CA0" w:rsidP="00CA4FED">
            <w:pPr>
              <w:rPr>
                <w:color w:val="000000" w:themeColor="text1"/>
                <w:sz w:val="18"/>
                <w:szCs w:val="18"/>
                <w:lang w:val="en-GB"/>
              </w:rPr>
            </w:pPr>
            <w:bookmarkStart w:id="2" w:name="_gjdgxs" w:colFirst="0" w:colLast="0"/>
            <w:bookmarkEnd w:id="2"/>
          </w:p>
        </w:tc>
        <w:tc>
          <w:tcPr>
            <w:tcW w:w="1985" w:type="dxa"/>
            <w:vMerge w:val="restart"/>
          </w:tcPr>
          <w:p w14:paraId="2E529780" w14:textId="71A2B4E8" w:rsidR="005D7CA0" w:rsidRPr="00052AFA" w:rsidRDefault="00910623" w:rsidP="00CA4FED">
            <w:pPr>
              <w:rPr>
                <w:color w:val="000000" w:themeColor="text1"/>
                <w:sz w:val="18"/>
                <w:szCs w:val="18"/>
                <w:lang w:val="en-GB"/>
              </w:rPr>
            </w:pPr>
            <w:r w:rsidRPr="00052AFA">
              <w:rPr>
                <w:color w:val="000000" w:themeColor="text1"/>
                <w:sz w:val="18"/>
                <w:szCs w:val="18"/>
                <w:lang w:val="en-GB"/>
              </w:rPr>
              <w:t>Office of the Presidential Adviser on the Peace Process (</w:t>
            </w:r>
            <w:r w:rsidR="001A165C" w:rsidRPr="00052AFA">
              <w:rPr>
                <w:color w:val="000000" w:themeColor="text1"/>
                <w:sz w:val="18"/>
                <w:szCs w:val="18"/>
                <w:lang w:val="en-GB"/>
              </w:rPr>
              <w:t>OPAPP</w:t>
            </w:r>
            <w:r w:rsidR="004038C1" w:rsidRPr="00052AFA">
              <w:rPr>
                <w:color w:val="000000" w:themeColor="text1"/>
                <w:sz w:val="18"/>
                <w:szCs w:val="18"/>
                <w:lang w:val="en-GB"/>
              </w:rPr>
              <w:t>)</w:t>
            </w:r>
            <w:r w:rsidR="00EA09B5" w:rsidRPr="00052AFA">
              <w:rPr>
                <w:color w:val="000000" w:themeColor="text1"/>
                <w:sz w:val="18"/>
                <w:szCs w:val="18"/>
                <w:lang w:val="en-GB"/>
              </w:rPr>
              <w:t>,</w:t>
            </w:r>
            <w:r w:rsidR="008A4D59" w:rsidRPr="00052AFA">
              <w:rPr>
                <w:color w:val="000000" w:themeColor="text1"/>
                <w:sz w:val="18"/>
                <w:szCs w:val="18"/>
                <w:lang w:val="en-GB"/>
              </w:rPr>
              <w:t xml:space="preserve"> </w:t>
            </w:r>
            <w:r w:rsidR="004038C1" w:rsidRPr="00052AFA">
              <w:rPr>
                <w:color w:val="000000" w:themeColor="text1"/>
                <w:sz w:val="18"/>
                <w:szCs w:val="18"/>
                <w:lang w:val="en-GB"/>
              </w:rPr>
              <w:t>annual</w:t>
            </w:r>
          </w:p>
          <w:p w14:paraId="5FEF37BB" w14:textId="77777777" w:rsidR="00677D5F" w:rsidRPr="00052AFA" w:rsidRDefault="00677D5F" w:rsidP="00CA4FED">
            <w:pPr>
              <w:rPr>
                <w:color w:val="000000" w:themeColor="text1"/>
                <w:sz w:val="18"/>
                <w:szCs w:val="18"/>
                <w:lang w:val="en-GB"/>
              </w:rPr>
            </w:pPr>
          </w:p>
          <w:p w14:paraId="7739F79E" w14:textId="77777777" w:rsidR="00677D5F" w:rsidRPr="00052AFA" w:rsidRDefault="00677D5F" w:rsidP="00CA4FED">
            <w:pPr>
              <w:rPr>
                <w:color w:val="000000" w:themeColor="text1"/>
                <w:sz w:val="18"/>
                <w:szCs w:val="18"/>
                <w:lang w:val="en-GB"/>
              </w:rPr>
            </w:pPr>
          </w:p>
          <w:p w14:paraId="05DD5DD1" w14:textId="77777777" w:rsidR="00677D5F" w:rsidRPr="00052AFA" w:rsidRDefault="00677D5F" w:rsidP="00CA4FED">
            <w:pPr>
              <w:rPr>
                <w:color w:val="000000" w:themeColor="text1"/>
                <w:sz w:val="18"/>
                <w:szCs w:val="18"/>
                <w:lang w:val="en-GB"/>
              </w:rPr>
            </w:pPr>
          </w:p>
          <w:p w14:paraId="47F226FE" w14:textId="636CCF4F" w:rsidR="00677D5F" w:rsidRPr="00052AFA" w:rsidRDefault="00677D5F" w:rsidP="00CA4FED">
            <w:pPr>
              <w:rPr>
                <w:color w:val="000000" w:themeColor="text1"/>
                <w:sz w:val="18"/>
                <w:szCs w:val="18"/>
                <w:lang w:val="en-GB"/>
              </w:rPr>
            </w:pPr>
            <w:r w:rsidRPr="00052AFA">
              <w:rPr>
                <w:color w:val="000000" w:themeColor="text1"/>
                <w:sz w:val="18"/>
                <w:szCs w:val="18"/>
                <w:lang w:val="en-GB"/>
              </w:rPr>
              <w:t xml:space="preserve">Department of National </w:t>
            </w:r>
            <w:r w:rsidR="001735F7" w:rsidRPr="00052AFA">
              <w:rPr>
                <w:color w:val="000000" w:themeColor="text1"/>
                <w:sz w:val="18"/>
                <w:szCs w:val="18"/>
                <w:lang w:val="en-GB"/>
              </w:rPr>
              <w:t>Defence</w:t>
            </w:r>
            <w:r w:rsidR="00EA09B5" w:rsidRPr="00052AFA">
              <w:rPr>
                <w:color w:val="000000" w:themeColor="text1"/>
                <w:sz w:val="18"/>
                <w:szCs w:val="18"/>
                <w:lang w:val="en-GB"/>
              </w:rPr>
              <w:t xml:space="preserve"> (DND</w:t>
            </w:r>
            <w:r w:rsidR="004038C1" w:rsidRPr="00052AFA">
              <w:rPr>
                <w:color w:val="000000" w:themeColor="text1"/>
                <w:sz w:val="18"/>
                <w:szCs w:val="18"/>
                <w:lang w:val="en-GB"/>
              </w:rPr>
              <w:t>)</w:t>
            </w:r>
            <w:r w:rsidR="00EA09B5" w:rsidRPr="00052AFA">
              <w:rPr>
                <w:color w:val="000000" w:themeColor="text1"/>
                <w:sz w:val="18"/>
                <w:szCs w:val="18"/>
                <w:lang w:val="en-GB"/>
              </w:rPr>
              <w:t>,</w:t>
            </w:r>
            <w:r w:rsidR="008A4D59" w:rsidRPr="00052AFA">
              <w:rPr>
                <w:color w:val="000000" w:themeColor="text1"/>
                <w:sz w:val="18"/>
                <w:szCs w:val="18"/>
                <w:lang w:val="en-GB"/>
              </w:rPr>
              <w:t xml:space="preserve"> </w:t>
            </w:r>
            <w:r w:rsidRPr="00052AFA">
              <w:rPr>
                <w:color w:val="000000" w:themeColor="text1"/>
                <w:sz w:val="18"/>
                <w:szCs w:val="18"/>
                <w:lang w:val="en-GB"/>
              </w:rPr>
              <w:t>annual</w:t>
            </w:r>
          </w:p>
        </w:tc>
        <w:tc>
          <w:tcPr>
            <w:tcW w:w="6095" w:type="dxa"/>
            <w:gridSpan w:val="3"/>
            <w:vMerge w:val="restart"/>
            <w:tcMar>
              <w:top w:w="72" w:type="dxa"/>
              <w:left w:w="144" w:type="dxa"/>
              <w:bottom w:w="72" w:type="dxa"/>
              <w:right w:w="144" w:type="dxa"/>
            </w:tcMar>
          </w:tcPr>
          <w:p w14:paraId="2FCEB99D" w14:textId="068396FB" w:rsidR="005D7CA0" w:rsidRPr="00715998" w:rsidRDefault="4435C01B" w:rsidP="00715998">
            <w:pPr>
              <w:pStyle w:val="ListParagraph"/>
              <w:numPr>
                <w:ilvl w:val="1"/>
                <w:numId w:val="28"/>
              </w:numPr>
              <w:pBdr>
                <w:top w:val="nil"/>
                <w:left w:val="nil"/>
                <w:bottom w:val="nil"/>
                <w:right w:val="nil"/>
                <w:between w:val="nil"/>
              </w:pBdr>
              <w:rPr>
                <w:b/>
                <w:bCs/>
                <w:color w:val="000000" w:themeColor="text1"/>
                <w:sz w:val="18"/>
                <w:szCs w:val="18"/>
                <w:lang w:val="en-GB"/>
              </w:rPr>
            </w:pPr>
            <w:r w:rsidRPr="00715998">
              <w:rPr>
                <w:b/>
                <w:bCs/>
                <w:color w:val="000000" w:themeColor="text1"/>
                <w:sz w:val="18"/>
                <w:szCs w:val="18"/>
                <w:lang w:val="en-GB"/>
              </w:rPr>
              <w:t>Effective participation of former combatants in local governance</w:t>
            </w:r>
            <w:r w:rsidR="00B26CF3" w:rsidRPr="00715998">
              <w:rPr>
                <w:b/>
                <w:bCs/>
                <w:color w:val="000000" w:themeColor="text1"/>
                <w:sz w:val="18"/>
                <w:szCs w:val="18"/>
                <w:lang w:val="en-GB"/>
              </w:rPr>
              <w:t>, public administration,</w:t>
            </w:r>
            <w:r w:rsidRPr="00715998">
              <w:rPr>
                <w:b/>
                <w:bCs/>
                <w:color w:val="000000" w:themeColor="text1"/>
                <w:sz w:val="18"/>
                <w:szCs w:val="18"/>
                <w:lang w:val="en-GB"/>
              </w:rPr>
              <w:t xml:space="preserve"> and political processes supported to secure lasting peace</w:t>
            </w:r>
            <w:r w:rsidR="0073578E">
              <w:rPr>
                <w:b/>
                <w:bCs/>
                <w:color w:val="000000" w:themeColor="text1"/>
                <w:sz w:val="18"/>
                <w:szCs w:val="18"/>
                <w:lang w:val="en-GB"/>
              </w:rPr>
              <w:t>.</w:t>
            </w:r>
            <w:r w:rsidRPr="00715998">
              <w:rPr>
                <w:b/>
                <w:bCs/>
                <w:color w:val="000000" w:themeColor="text1"/>
                <w:sz w:val="18"/>
                <w:szCs w:val="18"/>
                <w:lang w:val="en-GB"/>
              </w:rPr>
              <w:t xml:space="preserve"> </w:t>
            </w:r>
          </w:p>
          <w:p w14:paraId="28B37F9F" w14:textId="77777777" w:rsidR="005D7CA0" w:rsidRPr="00052AFA" w:rsidRDefault="005D7CA0" w:rsidP="00CA4FED">
            <w:pPr>
              <w:ind w:left="360"/>
              <w:rPr>
                <w:color w:val="000000" w:themeColor="text1"/>
                <w:sz w:val="18"/>
                <w:szCs w:val="18"/>
                <w:lang w:val="en-GB"/>
              </w:rPr>
            </w:pPr>
          </w:p>
          <w:p w14:paraId="0933CA76" w14:textId="07FC88EB" w:rsidR="005D7CA0" w:rsidRPr="00052AFA" w:rsidRDefault="4435C01B" w:rsidP="00CA4FED">
            <w:pPr>
              <w:ind w:left="360"/>
              <w:rPr>
                <w:color w:val="000000" w:themeColor="text1"/>
                <w:sz w:val="18"/>
                <w:szCs w:val="18"/>
                <w:lang w:val="en-GB"/>
              </w:rPr>
            </w:pPr>
            <w:r w:rsidRPr="00052AFA">
              <w:rPr>
                <w:color w:val="000000" w:themeColor="text1"/>
                <w:sz w:val="18"/>
                <w:szCs w:val="18"/>
                <w:lang w:val="en-GB"/>
              </w:rPr>
              <w:t>3.1.1</w:t>
            </w:r>
            <w:r w:rsidR="0073578E">
              <w:rPr>
                <w:color w:val="000000" w:themeColor="text1"/>
                <w:sz w:val="18"/>
                <w:szCs w:val="18"/>
                <w:lang w:val="en-GB"/>
              </w:rPr>
              <w:t>.</w:t>
            </w:r>
            <w:r w:rsidRPr="00052AFA">
              <w:rPr>
                <w:color w:val="000000" w:themeColor="text1"/>
                <w:sz w:val="18"/>
                <w:szCs w:val="18"/>
                <w:lang w:val="en-GB"/>
              </w:rPr>
              <w:t xml:space="preserve"> Number of former combatants </w:t>
            </w:r>
            <w:r w:rsidR="00894422" w:rsidRPr="00052AFA">
              <w:rPr>
                <w:color w:val="000000" w:themeColor="text1"/>
                <w:sz w:val="18"/>
                <w:szCs w:val="18"/>
                <w:lang w:val="en-GB"/>
              </w:rPr>
              <w:t>who have completed integration, healing, and reconciliation program</w:t>
            </w:r>
            <w:r w:rsidR="0073578E">
              <w:rPr>
                <w:color w:val="000000" w:themeColor="text1"/>
                <w:sz w:val="18"/>
                <w:szCs w:val="18"/>
                <w:lang w:val="en-GB"/>
              </w:rPr>
              <w:t>me</w:t>
            </w:r>
            <w:r w:rsidR="00894422" w:rsidRPr="00052AFA">
              <w:rPr>
                <w:color w:val="000000" w:themeColor="text1"/>
                <w:sz w:val="18"/>
                <w:szCs w:val="18"/>
                <w:lang w:val="en-GB"/>
              </w:rPr>
              <w:t xml:space="preserve">s </w:t>
            </w:r>
            <w:r w:rsidRPr="00052AFA">
              <w:rPr>
                <w:color w:val="000000" w:themeColor="text1"/>
                <w:sz w:val="18"/>
                <w:szCs w:val="18"/>
                <w:lang w:val="en-GB"/>
              </w:rPr>
              <w:t xml:space="preserve">through UNDP </w:t>
            </w:r>
            <w:r w:rsidR="000F4541" w:rsidRPr="00052AFA">
              <w:rPr>
                <w:color w:val="000000" w:themeColor="text1"/>
                <w:sz w:val="18"/>
                <w:szCs w:val="18"/>
                <w:lang w:val="en-GB"/>
              </w:rPr>
              <w:t>support</w:t>
            </w:r>
            <w:r w:rsidR="0073578E">
              <w:rPr>
                <w:color w:val="000000" w:themeColor="text1"/>
                <w:sz w:val="18"/>
                <w:szCs w:val="18"/>
                <w:lang w:val="en-GB"/>
              </w:rPr>
              <w:t>.</w:t>
            </w:r>
            <w:r w:rsidR="003375BF" w:rsidRPr="00052AFA">
              <w:rPr>
                <w:color w:val="000000" w:themeColor="text1"/>
                <w:sz w:val="18"/>
                <w:szCs w:val="18"/>
                <w:lang w:val="en-GB"/>
              </w:rPr>
              <w:t xml:space="preserve"> </w:t>
            </w:r>
          </w:p>
          <w:p w14:paraId="22EAC039" w14:textId="2C7B413A" w:rsidR="005D7CA0" w:rsidRPr="00052AFA" w:rsidRDefault="004038C1" w:rsidP="00CA4FED">
            <w:pPr>
              <w:ind w:left="360"/>
              <w:rPr>
                <w:iCs/>
                <w:color w:val="000000" w:themeColor="text1"/>
                <w:sz w:val="18"/>
                <w:szCs w:val="18"/>
                <w:lang w:val="en-GB"/>
              </w:rPr>
            </w:pPr>
            <w:r w:rsidRPr="00052AFA">
              <w:rPr>
                <w:iCs/>
                <w:color w:val="000000" w:themeColor="text1"/>
                <w:sz w:val="18"/>
                <w:szCs w:val="18"/>
                <w:lang w:val="en-GB"/>
              </w:rPr>
              <w:t>Baseline</w:t>
            </w:r>
            <w:r w:rsidR="00996D42" w:rsidRPr="00052AFA">
              <w:rPr>
                <w:iCs/>
                <w:color w:val="000000" w:themeColor="text1"/>
                <w:sz w:val="18"/>
                <w:szCs w:val="18"/>
                <w:lang w:val="en-GB"/>
              </w:rPr>
              <w:t xml:space="preserve"> </w:t>
            </w:r>
            <w:r w:rsidR="4435C01B" w:rsidRPr="00052AFA">
              <w:rPr>
                <w:iCs/>
                <w:color w:val="000000" w:themeColor="text1"/>
                <w:sz w:val="18"/>
                <w:szCs w:val="18"/>
                <w:lang w:val="en-GB"/>
              </w:rPr>
              <w:t xml:space="preserve">(2016): </w:t>
            </w:r>
            <w:r w:rsidR="00CC39FE" w:rsidRPr="00052AFA">
              <w:rPr>
                <w:iCs/>
                <w:color w:val="000000" w:themeColor="text1"/>
                <w:sz w:val="18"/>
                <w:szCs w:val="18"/>
                <w:lang w:val="en-GB"/>
              </w:rPr>
              <w:t>1</w:t>
            </w:r>
            <w:r w:rsidR="4435C01B" w:rsidRPr="00052AFA">
              <w:rPr>
                <w:iCs/>
                <w:color w:val="000000" w:themeColor="text1"/>
                <w:sz w:val="18"/>
                <w:szCs w:val="18"/>
                <w:lang w:val="en-GB"/>
              </w:rPr>
              <w:t>48</w:t>
            </w:r>
          </w:p>
          <w:p w14:paraId="22DD1CC1" w14:textId="77777777" w:rsidR="005D7CA0" w:rsidRPr="00052AFA" w:rsidRDefault="4435C01B" w:rsidP="00CA4FED">
            <w:pPr>
              <w:ind w:left="360"/>
              <w:rPr>
                <w:iCs/>
                <w:color w:val="000000" w:themeColor="text1"/>
                <w:sz w:val="18"/>
                <w:szCs w:val="18"/>
                <w:lang w:val="en-GB"/>
              </w:rPr>
            </w:pPr>
            <w:r w:rsidRPr="00052AFA">
              <w:rPr>
                <w:iCs/>
                <w:color w:val="000000" w:themeColor="text1"/>
                <w:sz w:val="18"/>
                <w:szCs w:val="18"/>
                <w:lang w:val="en-GB"/>
              </w:rPr>
              <w:t>Target: 1,000</w:t>
            </w:r>
          </w:p>
          <w:p w14:paraId="64ED44E8" w14:textId="6059F538" w:rsidR="006739E4" w:rsidRPr="00052AFA" w:rsidRDefault="006739E4" w:rsidP="00CA4FED">
            <w:pPr>
              <w:ind w:left="360"/>
              <w:rPr>
                <w:iCs/>
                <w:color w:val="000000" w:themeColor="text1"/>
                <w:sz w:val="18"/>
                <w:szCs w:val="18"/>
                <w:lang w:val="en-GB"/>
              </w:rPr>
            </w:pPr>
            <w:r w:rsidRPr="00052AFA">
              <w:rPr>
                <w:iCs/>
                <w:color w:val="000000" w:themeColor="text1"/>
                <w:sz w:val="18"/>
                <w:szCs w:val="18"/>
                <w:lang w:val="en-GB"/>
              </w:rPr>
              <w:t>Source:</w:t>
            </w:r>
            <w:r w:rsidR="006706BD" w:rsidRPr="00052AFA">
              <w:rPr>
                <w:iCs/>
                <w:color w:val="000000" w:themeColor="text1"/>
                <w:sz w:val="18"/>
                <w:szCs w:val="18"/>
                <w:lang w:val="en-GB"/>
              </w:rPr>
              <w:t xml:space="preserve"> Project </w:t>
            </w:r>
            <w:r w:rsidR="0073578E">
              <w:rPr>
                <w:iCs/>
                <w:color w:val="000000" w:themeColor="text1"/>
                <w:sz w:val="18"/>
                <w:szCs w:val="18"/>
                <w:lang w:val="en-GB"/>
              </w:rPr>
              <w:t xml:space="preserve">monitoring and evaluation </w:t>
            </w:r>
            <w:r w:rsidR="006706BD" w:rsidRPr="00052AFA">
              <w:rPr>
                <w:iCs/>
                <w:color w:val="000000" w:themeColor="text1"/>
                <w:sz w:val="18"/>
                <w:szCs w:val="18"/>
                <w:lang w:val="en-GB"/>
              </w:rPr>
              <w:t>data</w:t>
            </w:r>
          </w:p>
          <w:p w14:paraId="17A4EDFC" w14:textId="77777777" w:rsidR="005D7CA0" w:rsidRPr="00052AFA" w:rsidRDefault="005D7CA0" w:rsidP="00CA4FED">
            <w:pPr>
              <w:rPr>
                <w:color w:val="000000" w:themeColor="text1"/>
                <w:sz w:val="18"/>
                <w:szCs w:val="18"/>
                <w:lang w:val="en-GB"/>
              </w:rPr>
            </w:pPr>
          </w:p>
          <w:p w14:paraId="2D4A962B" w14:textId="66EF3325" w:rsidR="005D7CA0" w:rsidRPr="00715998" w:rsidRDefault="4435C01B" w:rsidP="00715998">
            <w:pPr>
              <w:pStyle w:val="ListParagraph"/>
              <w:numPr>
                <w:ilvl w:val="1"/>
                <w:numId w:val="28"/>
              </w:numPr>
              <w:pBdr>
                <w:top w:val="nil"/>
                <w:left w:val="nil"/>
                <w:bottom w:val="nil"/>
                <w:right w:val="nil"/>
                <w:between w:val="nil"/>
              </w:pBdr>
              <w:rPr>
                <w:b/>
                <w:bCs/>
                <w:color w:val="000000" w:themeColor="text1"/>
                <w:sz w:val="18"/>
                <w:szCs w:val="18"/>
                <w:lang w:val="en-GB"/>
              </w:rPr>
            </w:pPr>
            <w:r w:rsidRPr="00715998">
              <w:rPr>
                <w:b/>
                <w:bCs/>
                <w:color w:val="000000" w:themeColor="text1"/>
                <w:sz w:val="18"/>
                <w:szCs w:val="18"/>
                <w:lang w:val="en-GB"/>
              </w:rPr>
              <w:t xml:space="preserve">Platforms for transitional justice and community security established and operationalized to respond to the </w:t>
            </w:r>
            <w:r w:rsidR="001351CC" w:rsidRPr="00715998">
              <w:rPr>
                <w:b/>
                <w:bCs/>
                <w:color w:val="000000" w:themeColor="text1"/>
                <w:sz w:val="18"/>
                <w:szCs w:val="18"/>
                <w:lang w:val="en-GB"/>
              </w:rPr>
              <w:t>deep sense of marginalization</w:t>
            </w:r>
            <w:r w:rsidR="0073578E">
              <w:rPr>
                <w:b/>
                <w:bCs/>
                <w:color w:val="000000" w:themeColor="text1"/>
                <w:sz w:val="18"/>
                <w:szCs w:val="18"/>
                <w:lang w:val="en-GB"/>
              </w:rPr>
              <w:t>.</w:t>
            </w:r>
          </w:p>
          <w:p w14:paraId="216FBD40" w14:textId="77777777" w:rsidR="005D7CA0" w:rsidRPr="00052AFA" w:rsidRDefault="005D7CA0" w:rsidP="00CA4FED">
            <w:pPr>
              <w:rPr>
                <w:b/>
                <w:color w:val="000000" w:themeColor="text1"/>
                <w:sz w:val="18"/>
                <w:szCs w:val="18"/>
                <w:lang w:val="en-GB"/>
              </w:rPr>
            </w:pPr>
          </w:p>
          <w:p w14:paraId="56BBFA9E" w14:textId="0189F966" w:rsidR="005D7CA0" w:rsidRPr="00052AFA" w:rsidRDefault="4435C01B" w:rsidP="00CA4FED">
            <w:pPr>
              <w:ind w:left="360"/>
              <w:rPr>
                <w:color w:val="000000" w:themeColor="text1"/>
                <w:sz w:val="18"/>
                <w:szCs w:val="18"/>
                <w:lang w:val="en-GB"/>
              </w:rPr>
            </w:pPr>
            <w:r w:rsidRPr="00052AFA">
              <w:rPr>
                <w:color w:val="000000" w:themeColor="text1"/>
                <w:sz w:val="18"/>
                <w:szCs w:val="18"/>
                <w:lang w:val="en-GB"/>
              </w:rPr>
              <w:t>3.2.1</w:t>
            </w:r>
            <w:r w:rsidR="0073578E">
              <w:rPr>
                <w:color w:val="000000" w:themeColor="text1"/>
                <w:sz w:val="18"/>
                <w:szCs w:val="18"/>
                <w:lang w:val="en-GB"/>
              </w:rPr>
              <w:t>.</w:t>
            </w:r>
            <w:r w:rsidRPr="00052AFA">
              <w:rPr>
                <w:color w:val="000000" w:themeColor="text1"/>
                <w:sz w:val="18"/>
                <w:szCs w:val="18"/>
                <w:lang w:val="en-GB"/>
              </w:rPr>
              <w:t xml:space="preserve"> Extent </w:t>
            </w:r>
            <w:r w:rsidR="00C86638" w:rsidRPr="00052AFA">
              <w:rPr>
                <w:color w:val="000000" w:themeColor="text1"/>
                <w:sz w:val="18"/>
                <w:szCs w:val="18"/>
                <w:lang w:val="en-GB"/>
              </w:rPr>
              <w:t>to which</w:t>
            </w:r>
            <w:r w:rsidRPr="00052AFA">
              <w:rPr>
                <w:color w:val="000000" w:themeColor="text1"/>
                <w:sz w:val="18"/>
                <w:szCs w:val="18"/>
                <w:lang w:val="en-GB"/>
              </w:rPr>
              <w:t xml:space="preserve"> transitional justice </w:t>
            </w:r>
            <w:r w:rsidR="00F84060" w:rsidRPr="00052AFA">
              <w:rPr>
                <w:color w:val="000000" w:themeColor="text1"/>
                <w:sz w:val="18"/>
                <w:szCs w:val="18"/>
                <w:lang w:val="en-GB"/>
              </w:rPr>
              <w:t>mechanisms are operational</w:t>
            </w:r>
            <w:r w:rsidRPr="00052AFA">
              <w:rPr>
                <w:color w:val="000000" w:themeColor="text1"/>
                <w:sz w:val="18"/>
                <w:szCs w:val="18"/>
                <w:lang w:val="en-GB"/>
              </w:rPr>
              <w:t xml:space="preserve"> </w:t>
            </w:r>
            <w:r w:rsidR="003375BF" w:rsidRPr="00052AFA">
              <w:rPr>
                <w:color w:val="000000" w:themeColor="text1"/>
                <w:sz w:val="18"/>
                <w:szCs w:val="18"/>
                <w:lang w:val="en-GB"/>
              </w:rPr>
              <w:t>[IRRF 3.2.2.1]</w:t>
            </w:r>
          </w:p>
          <w:p w14:paraId="048A6C59" w14:textId="25316133" w:rsidR="005D7CA0" w:rsidRPr="00052AFA" w:rsidRDefault="004038C1" w:rsidP="00CA4FED">
            <w:pPr>
              <w:ind w:left="360"/>
              <w:rPr>
                <w:iCs/>
                <w:color w:val="000000" w:themeColor="text1"/>
                <w:sz w:val="18"/>
                <w:szCs w:val="18"/>
                <w:lang w:val="en-GB"/>
              </w:rPr>
            </w:pPr>
            <w:r w:rsidRPr="00052AFA">
              <w:rPr>
                <w:iCs/>
                <w:color w:val="000000" w:themeColor="text1"/>
                <w:sz w:val="18"/>
                <w:szCs w:val="18"/>
                <w:lang w:val="en-GB"/>
              </w:rPr>
              <w:t>Baseline</w:t>
            </w:r>
            <w:r w:rsidR="00996D42" w:rsidRPr="00052AFA">
              <w:rPr>
                <w:iCs/>
                <w:color w:val="000000" w:themeColor="text1"/>
                <w:sz w:val="18"/>
                <w:szCs w:val="18"/>
                <w:lang w:val="en-GB"/>
              </w:rPr>
              <w:t xml:space="preserve"> </w:t>
            </w:r>
            <w:r w:rsidR="4435C01B" w:rsidRPr="00052AFA">
              <w:rPr>
                <w:iCs/>
                <w:color w:val="000000" w:themeColor="text1"/>
                <w:sz w:val="18"/>
                <w:szCs w:val="18"/>
                <w:lang w:val="en-GB"/>
              </w:rPr>
              <w:t>(2017): 1</w:t>
            </w:r>
            <w:r w:rsidR="0073578E">
              <w:rPr>
                <w:iCs/>
                <w:color w:val="000000" w:themeColor="text1"/>
                <w:sz w:val="18"/>
                <w:szCs w:val="18"/>
                <w:lang w:val="en-GB"/>
              </w:rPr>
              <w:t xml:space="preserve"> </w:t>
            </w:r>
            <w:r w:rsidR="4435C01B" w:rsidRPr="00052AFA">
              <w:rPr>
                <w:iCs/>
                <w:color w:val="000000" w:themeColor="text1"/>
                <w:sz w:val="18"/>
                <w:szCs w:val="18"/>
                <w:lang w:val="en-GB"/>
              </w:rPr>
              <w:t>(Partially)</w:t>
            </w:r>
          </w:p>
          <w:p w14:paraId="4D6B49DA" w14:textId="726A9C45" w:rsidR="005D7CA0" w:rsidRPr="00052AFA" w:rsidRDefault="4435C01B" w:rsidP="00CA4FED">
            <w:pPr>
              <w:ind w:left="360"/>
              <w:rPr>
                <w:iCs/>
                <w:color w:val="000000" w:themeColor="text1"/>
                <w:sz w:val="18"/>
                <w:szCs w:val="18"/>
                <w:lang w:val="en-GB"/>
              </w:rPr>
            </w:pPr>
            <w:r w:rsidRPr="00052AFA">
              <w:rPr>
                <w:iCs/>
                <w:color w:val="000000" w:themeColor="text1"/>
                <w:sz w:val="18"/>
                <w:szCs w:val="18"/>
                <w:lang w:val="en-GB"/>
              </w:rPr>
              <w:t>Target: 4</w:t>
            </w:r>
            <w:r w:rsidR="0073578E">
              <w:rPr>
                <w:iCs/>
                <w:color w:val="000000" w:themeColor="text1"/>
                <w:sz w:val="18"/>
                <w:szCs w:val="18"/>
                <w:lang w:val="en-GB"/>
              </w:rPr>
              <w:t xml:space="preserve"> </w:t>
            </w:r>
            <w:r w:rsidRPr="00052AFA">
              <w:rPr>
                <w:iCs/>
                <w:color w:val="000000" w:themeColor="text1"/>
                <w:sz w:val="18"/>
                <w:szCs w:val="18"/>
                <w:lang w:val="en-GB"/>
              </w:rPr>
              <w:t>(Largely)</w:t>
            </w:r>
          </w:p>
          <w:p w14:paraId="2EA86DCD" w14:textId="33DC4C8A" w:rsidR="006739E4" w:rsidRPr="00052AFA" w:rsidRDefault="006739E4" w:rsidP="00CA4FED">
            <w:pPr>
              <w:ind w:left="360"/>
              <w:rPr>
                <w:iCs/>
                <w:color w:val="000000" w:themeColor="text1"/>
                <w:sz w:val="18"/>
                <w:szCs w:val="18"/>
                <w:lang w:val="en-GB"/>
              </w:rPr>
            </w:pPr>
            <w:r w:rsidRPr="00052AFA">
              <w:rPr>
                <w:iCs/>
                <w:color w:val="000000" w:themeColor="text1"/>
                <w:sz w:val="18"/>
                <w:szCs w:val="18"/>
                <w:lang w:val="en-GB"/>
              </w:rPr>
              <w:t>Source:</w:t>
            </w:r>
            <w:r w:rsidR="006706BD" w:rsidRPr="00052AFA">
              <w:rPr>
                <w:iCs/>
                <w:color w:val="000000" w:themeColor="text1"/>
                <w:sz w:val="18"/>
                <w:szCs w:val="18"/>
                <w:lang w:val="en-GB"/>
              </w:rPr>
              <w:t xml:space="preserve"> Independent evaluation and project reports</w:t>
            </w:r>
          </w:p>
          <w:p w14:paraId="1833B698" w14:textId="77777777" w:rsidR="005D7CA0" w:rsidRPr="00052AFA" w:rsidRDefault="005D7CA0" w:rsidP="000C5ABB">
            <w:pPr>
              <w:rPr>
                <w:color w:val="000000" w:themeColor="text1"/>
                <w:sz w:val="18"/>
                <w:szCs w:val="18"/>
                <w:lang w:val="en-GB"/>
              </w:rPr>
            </w:pPr>
          </w:p>
          <w:p w14:paraId="12F091CE" w14:textId="56ABA350" w:rsidR="005D7CA0" w:rsidRPr="00052AFA" w:rsidRDefault="4435C01B" w:rsidP="00CA4FED">
            <w:pPr>
              <w:ind w:left="360"/>
              <w:rPr>
                <w:color w:val="000000" w:themeColor="text1"/>
                <w:sz w:val="18"/>
                <w:szCs w:val="18"/>
                <w:lang w:val="en-GB"/>
              </w:rPr>
            </w:pPr>
            <w:r w:rsidRPr="00052AFA">
              <w:rPr>
                <w:color w:val="000000" w:themeColor="text1"/>
                <w:sz w:val="18"/>
                <w:szCs w:val="18"/>
                <w:lang w:val="en-GB"/>
              </w:rPr>
              <w:t>3.2.</w:t>
            </w:r>
            <w:r w:rsidR="000C7F71" w:rsidRPr="00052AFA">
              <w:rPr>
                <w:color w:val="000000" w:themeColor="text1"/>
                <w:sz w:val="18"/>
                <w:szCs w:val="18"/>
                <w:lang w:val="en-GB"/>
              </w:rPr>
              <w:t>2</w:t>
            </w:r>
            <w:r w:rsidR="0073578E">
              <w:rPr>
                <w:color w:val="000000" w:themeColor="text1"/>
                <w:sz w:val="18"/>
                <w:szCs w:val="18"/>
                <w:lang w:val="en-GB"/>
              </w:rPr>
              <w:t>.</w:t>
            </w:r>
            <w:r w:rsidRPr="00052AFA">
              <w:rPr>
                <w:color w:val="000000" w:themeColor="text1"/>
                <w:sz w:val="18"/>
                <w:szCs w:val="18"/>
                <w:lang w:val="en-GB"/>
              </w:rPr>
              <w:t xml:space="preserve"> </w:t>
            </w:r>
            <w:r w:rsidR="00F84060" w:rsidRPr="00052AFA">
              <w:rPr>
                <w:color w:val="000000" w:themeColor="text1"/>
                <w:sz w:val="18"/>
                <w:szCs w:val="18"/>
                <w:lang w:val="en-GB"/>
              </w:rPr>
              <w:t>Number of local security plans and mechanisms that integrate the UNDP-developed early warning syste</w:t>
            </w:r>
            <w:r w:rsidR="00917C94" w:rsidRPr="00052AFA">
              <w:rPr>
                <w:color w:val="000000" w:themeColor="text1"/>
                <w:sz w:val="18"/>
                <w:szCs w:val="18"/>
                <w:lang w:val="en-GB"/>
              </w:rPr>
              <w:t>m for threats of conflict</w:t>
            </w:r>
            <w:r w:rsidR="0073578E">
              <w:rPr>
                <w:color w:val="000000" w:themeColor="text1"/>
                <w:sz w:val="18"/>
                <w:szCs w:val="18"/>
                <w:lang w:val="en-GB"/>
              </w:rPr>
              <w:t>.</w:t>
            </w:r>
            <w:r w:rsidR="003375BF" w:rsidRPr="00052AFA">
              <w:rPr>
                <w:color w:val="000000" w:themeColor="text1"/>
                <w:sz w:val="18"/>
                <w:szCs w:val="18"/>
                <w:lang w:val="en-GB"/>
              </w:rPr>
              <w:t xml:space="preserve"> [IRRF 3.3.1.1]</w:t>
            </w:r>
          </w:p>
          <w:p w14:paraId="3216423C" w14:textId="0BFA8D15" w:rsidR="005D7CA0" w:rsidRPr="00052AFA" w:rsidRDefault="004038C1" w:rsidP="00CA4FED">
            <w:pPr>
              <w:ind w:left="360"/>
              <w:rPr>
                <w:iCs/>
                <w:color w:val="000000" w:themeColor="text1"/>
                <w:sz w:val="18"/>
                <w:szCs w:val="18"/>
                <w:lang w:val="en-GB"/>
              </w:rPr>
            </w:pPr>
            <w:r w:rsidRPr="00052AFA">
              <w:rPr>
                <w:iCs/>
                <w:color w:val="000000" w:themeColor="text1"/>
                <w:sz w:val="18"/>
                <w:szCs w:val="18"/>
                <w:lang w:val="en-GB"/>
              </w:rPr>
              <w:t>Baseline</w:t>
            </w:r>
            <w:r w:rsidR="00996D42" w:rsidRPr="00052AFA">
              <w:rPr>
                <w:iCs/>
                <w:color w:val="000000" w:themeColor="text1"/>
                <w:sz w:val="18"/>
                <w:szCs w:val="18"/>
                <w:lang w:val="en-GB"/>
              </w:rPr>
              <w:t xml:space="preserve"> </w:t>
            </w:r>
            <w:r w:rsidR="4435C01B" w:rsidRPr="00052AFA">
              <w:rPr>
                <w:iCs/>
                <w:color w:val="000000" w:themeColor="text1"/>
                <w:sz w:val="18"/>
                <w:szCs w:val="18"/>
                <w:lang w:val="en-GB"/>
              </w:rPr>
              <w:t>(2017):</w:t>
            </w:r>
            <w:r w:rsidR="00325E66" w:rsidRPr="00052AFA">
              <w:rPr>
                <w:iCs/>
                <w:color w:val="000000" w:themeColor="text1"/>
                <w:sz w:val="18"/>
                <w:szCs w:val="18"/>
                <w:lang w:val="en-GB"/>
              </w:rPr>
              <w:t xml:space="preserve"> 0</w:t>
            </w:r>
            <w:r w:rsidR="006D0F09" w:rsidRPr="00052AFA">
              <w:rPr>
                <w:iCs/>
                <w:color w:val="000000" w:themeColor="text1"/>
                <w:sz w:val="18"/>
                <w:szCs w:val="18"/>
                <w:lang w:val="en-GB"/>
              </w:rPr>
              <w:t xml:space="preserve"> LGUs</w:t>
            </w:r>
          </w:p>
          <w:p w14:paraId="1AF7CCB1" w14:textId="22EDC0BF" w:rsidR="005D7CA0" w:rsidRPr="00052AFA" w:rsidRDefault="4435C01B" w:rsidP="00CA4FED">
            <w:pPr>
              <w:ind w:left="360"/>
              <w:rPr>
                <w:iCs/>
                <w:color w:val="000000" w:themeColor="text1"/>
                <w:sz w:val="18"/>
                <w:szCs w:val="18"/>
                <w:lang w:val="en-GB"/>
              </w:rPr>
            </w:pPr>
            <w:r w:rsidRPr="00052AFA">
              <w:rPr>
                <w:iCs/>
                <w:color w:val="000000" w:themeColor="text1"/>
                <w:sz w:val="18"/>
                <w:szCs w:val="18"/>
                <w:lang w:val="en-GB"/>
              </w:rPr>
              <w:t xml:space="preserve">Target: </w:t>
            </w:r>
            <w:r w:rsidR="00BB5412" w:rsidRPr="00052AFA">
              <w:rPr>
                <w:iCs/>
                <w:color w:val="000000" w:themeColor="text1"/>
                <w:sz w:val="18"/>
                <w:szCs w:val="18"/>
                <w:lang w:val="en-GB"/>
              </w:rPr>
              <w:t>10</w:t>
            </w:r>
          </w:p>
          <w:p w14:paraId="08F0A0E7" w14:textId="38DA93AC" w:rsidR="006739E4" w:rsidRPr="00052AFA" w:rsidRDefault="006739E4" w:rsidP="00CA4FED">
            <w:pPr>
              <w:ind w:left="360"/>
              <w:rPr>
                <w:iCs/>
                <w:color w:val="000000" w:themeColor="text1"/>
                <w:sz w:val="18"/>
                <w:szCs w:val="18"/>
                <w:lang w:val="en-GB"/>
              </w:rPr>
            </w:pPr>
            <w:r w:rsidRPr="00052AFA">
              <w:rPr>
                <w:iCs/>
                <w:color w:val="000000" w:themeColor="text1"/>
                <w:sz w:val="18"/>
                <w:szCs w:val="18"/>
                <w:lang w:val="en-GB"/>
              </w:rPr>
              <w:t>Source:</w:t>
            </w:r>
            <w:r w:rsidR="006706BD" w:rsidRPr="00052AFA">
              <w:rPr>
                <w:iCs/>
                <w:color w:val="000000" w:themeColor="text1"/>
                <w:sz w:val="18"/>
                <w:szCs w:val="18"/>
                <w:lang w:val="en-GB"/>
              </w:rPr>
              <w:t xml:space="preserve"> Independent evaluation </w:t>
            </w:r>
          </w:p>
          <w:p w14:paraId="2F74746C" w14:textId="77777777" w:rsidR="005D7CA0" w:rsidRPr="00052AFA" w:rsidRDefault="005D7CA0" w:rsidP="00CA4FED">
            <w:pPr>
              <w:rPr>
                <w:color w:val="000000" w:themeColor="text1"/>
                <w:sz w:val="18"/>
                <w:szCs w:val="18"/>
                <w:lang w:val="en-GB"/>
              </w:rPr>
            </w:pPr>
          </w:p>
          <w:p w14:paraId="21A33013" w14:textId="45CE9C19" w:rsidR="005D7CA0" w:rsidRPr="00715998" w:rsidRDefault="4435C01B" w:rsidP="00715998">
            <w:pPr>
              <w:pStyle w:val="ListParagraph"/>
              <w:numPr>
                <w:ilvl w:val="1"/>
                <w:numId w:val="28"/>
              </w:numPr>
              <w:pBdr>
                <w:top w:val="nil"/>
                <w:left w:val="nil"/>
                <w:bottom w:val="nil"/>
                <w:right w:val="nil"/>
                <w:between w:val="nil"/>
              </w:pBdr>
              <w:rPr>
                <w:b/>
                <w:bCs/>
                <w:color w:val="000000" w:themeColor="text1"/>
                <w:sz w:val="18"/>
                <w:szCs w:val="18"/>
                <w:lang w:val="en-GB"/>
              </w:rPr>
            </w:pPr>
            <w:r w:rsidRPr="00715998">
              <w:rPr>
                <w:b/>
                <w:bCs/>
                <w:color w:val="000000" w:themeColor="text1"/>
                <w:sz w:val="18"/>
                <w:szCs w:val="18"/>
                <w:lang w:val="en-GB"/>
              </w:rPr>
              <w:t>UNDP-assisted combatants and conflict-affected communities provided with incentives and capabilities to become productive members of society in times of peace</w:t>
            </w:r>
            <w:r w:rsidR="0073578E" w:rsidRPr="00715998">
              <w:rPr>
                <w:b/>
                <w:bCs/>
                <w:color w:val="000000" w:themeColor="text1"/>
                <w:sz w:val="18"/>
                <w:szCs w:val="18"/>
                <w:lang w:val="en-GB"/>
              </w:rPr>
              <w:t>.</w:t>
            </w:r>
          </w:p>
          <w:p w14:paraId="0C77FE68" w14:textId="77777777" w:rsidR="005D7CA0" w:rsidRPr="00052AFA" w:rsidRDefault="005D7CA0" w:rsidP="00CA4FED">
            <w:pPr>
              <w:rPr>
                <w:color w:val="000000" w:themeColor="text1"/>
                <w:sz w:val="18"/>
                <w:szCs w:val="18"/>
                <w:lang w:val="en-GB"/>
              </w:rPr>
            </w:pPr>
          </w:p>
          <w:p w14:paraId="7267836A" w14:textId="65126FAB" w:rsidR="005D7CA0" w:rsidRPr="00052AFA" w:rsidRDefault="4435C01B" w:rsidP="00CA4FED">
            <w:pPr>
              <w:ind w:left="360"/>
              <w:rPr>
                <w:color w:val="000000" w:themeColor="text1"/>
                <w:sz w:val="18"/>
                <w:szCs w:val="18"/>
                <w:lang w:val="en-GB"/>
              </w:rPr>
            </w:pPr>
            <w:r w:rsidRPr="00052AFA">
              <w:rPr>
                <w:color w:val="000000" w:themeColor="text1"/>
                <w:sz w:val="18"/>
                <w:szCs w:val="18"/>
                <w:lang w:val="en-GB"/>
              </w:rPr>
              <w:t>3.3.1</w:t>
            </w:r>
            <w:r w:rsidR="0073578E">
              <w:rPr>
                <w:color w:val="000000" w:themeColor="text1"/>
                <w:sz w:val="18"/>
                <w:szCs w:val="18"/>
                <w:lang w:val="en-GB"/>
              </w:rPr>
              <w:t>.</w:t>
            </w:r>
            <w:r w:rsidRPr="00052AFA">
              <w:rPr>
                <w:color w:val="000000" w:themeColor="text1"/>
                <w:sz w:val="18"/>
                <w:szCs w:val="18"/>
                <w:lang w:val="en-GB"/>
              </w:rPr>
              <w:t xml:space="preserve"> Proportion of households in conflict-affected areas accessing financial </w:t>
            </w:r>
            <w:r w:rsidR="001E1850" w:rsidRPr="00052AFA">
              <w:rPr>
                <w:color w:val="000000" w:themeColor="text1"/>
                <w:sz w:val="18"/>
                <w:szCs w:val="18"/>
                <w:lang w:val="en-GB"/>
              </w:rPr>
              <w:t>or</w:t>
            </w:r>
            <w:r w:rsidRPr="00052AFA">
              <w:rPr>
                <w:color w:val="000000" w:themeColor="text1"/>
                <w:sz w:val="18"/>
                <w:szCs w:val="18"/>
                <w:lang w:val="en-GB"/>
              </w:rPr>
              <w:t xml:space="preserve"> non-financial assets</w:t>
            </w:r>
            <w:r w:rsidR="0073578E">
              <w:rPr>
                <w:color w:val="000000" w:themeColor="text1"/>
                <w:sz w:val="18"/>
                <w:szCs w:val="18"/>
                <w:lang w:val="en-GB"/>
              </w:rPr>
              <w:t>.</w:t>
            </w:r>
            <w:r w:rsidR="003375BF" w:rsidRPr="00052AFA">
              <w:rPr>
                <w:color w:val="000000" w:themeColor="text1"/>
                <w:sz w:val="18"/>
                <w:szCs w:val="18"/>
                <w:lang w:val="en-GB"/>
              </w:rPr>
              <w:t xml:space="preserve"> [IRRF 1.1.2.2]</w:t>
            </w:r>
          </w:p>
          <w:p w14:paraId="08297D16" w14:textId="51F12DEA" w:rsidR="005D7CA0" w:rsidRPr="00052AFA" w:rsidRDefault="004038C1" w:rsidP="00CA4FED">
            <w:pPr>
              <w:ind w:left="360"/>
              <w:rPr>
                <w:iCs/>
                <w:color w:val="000000" w:themeColor="text1"/>
                <w:sz w:val="18"/>
                <w:szCs w:val="18"/>
                <w:lang w:val="en-GB"/>
              </w:rPr>
            </w:pPr>
            <w:r w:rsidRPr="00052AFA">
              <w:rPr>
                <w:iCs/>
                <w:color w:val="000000" w:themeColor="text1"/>
                <w:sz w:val="18"/>
                <w:szCs w:val="18"/>
                <w:lang w:val="en-GB"/>
              </w:rPr>
              <w:t>Baseline</w:t>
            </w:r>
            <w:r w:rsidR="00996D42" w:rsidRPr="00052AFA">
              <w:rPr>
                <w:iCs/>
                <w:color w:val="000000" w:themeColor="text1"/>
                <w:sz w:val="18"/>
                <w:szCs w:val="18"/>
                <w:lang w:val="en-GB"/>
              </w:rPr>
              <w:t xml:space="preserve"> </w:t>
            </w:r>
            <w:r w:rsidR="4435C01B" w:rsidRPr="00052AFA">
              <w:rPr>
                <w:iCs/>
                <w:color w:val="000000" w:themeColor="text1"/>
                <w:sz w:val="18"/>
                <w:szCs w:val="18"/>
                <w:lang w:val="en-GB"/>
              </w:rPr>
              <w:t>(2017): 0%</w:t>
            </w:r>
          </w:p>
          <w:p w14:paraId="3AB066F8" w14:textId="77777777" w:rsidR="005D7CA0" w:rsidRPr="00052AFA" w:rsidRDefault="4435C01B" w:rsidP="00CA4FED">
            <w:pPr>
              <w:ind w:left="360"/>
              <w:rPr>
                <w:iCs/>
                <w:color w:val="000000" w:themeColor="text1"/>
                <w:sz w:val="18"/>
                <w:szCs w:val="18"/>
                <w:lang w:val="en-GB"/>
              </w:rPr>
            </w:pPr>
            <w:r w:rsidRPr="00052AFA">
              <w:rPr>
                <w:iCs/>
                <w:color w:val="000000" w:themeColor="text1"/>
                <w:sz w:val="18"/>
                <w:szCs w:val="18"/>
                <w:lang w:val="en-GB"/>
              </w:rPr>
              <w:t>Target: 20%</w:t>
            </w:r>
          </w:p>
          <w:p w14:paraId="7CEE3A3E" w14:textId="77777777" w:rsidR="006706BD" w:rsidRPr="00052AFA" w:rsidRDefault="006739E4" w:rsidP="00CA4FED">
            <w:pPr>
              <w:ind w:left="360"/>
              <w:rPr>
                <w:iCs/>
                <w:color w:val="000000" w:themeColor="text1"/>
                <w:sz w:val="18"/>
                <w:szCs w:val="18"/>
                <w:lang w:val="en-GB"/>
              </w:rPr>
            </w:pPr>
            <w:r w:rsidRPr="00052AFA">
              <w:rPr>
                <w:iCs/>
                <w:color w:val="000000" w:themeColor="text1"/>
                <w:sz w:val="18"/>
                <w:szCs w:val="18"/>
                <w:lang w:val="en-GB"/>
              </w:rPr>
              <w:t>Source:</w:t>
            </w:r>
            <w:r w:rsidR="006706BD" w:rsidRPr="00052AFA">
              <w:rPr>
                <w:iCs/>
                <w:color w:val="000000" w:themeColor="text1"/>
                <w:sz w:val="18"/>
                <w:szCs w:val="18"/>
                <w:lang w:val="en-GB"/>
              </w:rPr>
              <w:t xml:space="preserve"> Independent evaluation and project reports</w:t>
            </w:r>
          </w:p>
          <w:p w14:paraId="1C6B17DB" w14:textId="77777777" w:rsidR="005D7CA0" w:rsidRPr="00052AFA" w:rsidRDefault="005D7CA0" w:rsidP="00CA4FED">
            <w:pPr>
              <w:rPr>
                <w:color w:val="000000" w:themeColor="text1"/>
                <w:sz w:val="18"/>
                <w:szCs w:val="18"/>
                <w:lang w:val="en-GB"/>
              </w:rPr>
            </w:pPr>
          </w:p>
          <w:p w14:paraId="537EE547" w14:textId="0F52F25A" w:rsidR="005D7CA0" w:rsidRPr="00052AFA" w:rsidRDefault="4435C01B" w:rsidP="00CA4FED">
            <w:pPr>
              <w:ind w:left="360"/>
              <w:rPr>
                <w:color w:val="000000" w:themeColor="text1"/>
                <w:sz w:val="18"/>
                <w:szCs w:val="18"/>
                <w:lang w:val="en-GB"/>
              </w:rPr>
            </w:pPr>
            <w:r w:rsidRPr="00052AFA">
              <w:rPr>
                <w:color w:val="000000" w:themeColor="text1"/>
                <w:sz w:val="18"/>
                <w:szCs w:val="18"/>
                <w:lang w:val="en-GB"/>
              </w:rPr>
              <w:t>3.3.2</w:t>
            </w:r>
            <w:r w:rsidR="0073578E">
              <w:rPr>
                <w:color w:val="000000" w:themeColor="text1"/>
                <w:sz w:val="18"/>
                <w:szCs w:val="18"/>
                <w:lang w:val="en-GB"/>
              </w:rPr>
              <w:t>.</w:t>
            </w:r>
            <w:r w:rsidRPr="00052AFA">
              <w:rPr>
                <w:color w:val="000000" w:themeColor="text1"/>
                <w:sz w:val="18"/>
                <w:szCs w:val="18"/>
                <w:lang w:val="en-GB"/>
              </w:rPr>
              <w:t xml:space="preserve"> Number of people benefitting from jobs a</w:t>
            </w:r>
            <w:r w:rsidR="00530AB9" w:rsidRPr="00052AFA">
              <w:rPr>
                <w:color w:val="000000" w:themeColor="text1"/>
                <w:sz w:val="18"/>
                <w:szCs w:val="18"/>
                <w:lang w:val="en-GB"/>
              </w:rPr>
              <w:t xml:space="preserve">nd </w:t>
            </w:r>
            <w:r w:rsidRPr="00052AFA">
              <w:rPr>
                <w:color w:val="000000" w:themeColor="text1"/>
                <w:sz w:val="18"/>
                <w:szCs w:val="18"/>
                <w:lang w:val="en-GB"/>
              </w:rPr>
              <w:t>livelihoods in crisis or post-crisis settings</w:t>
            </w:r>
            <w:r w:rsidR="0073578E">
              <w:rPr>
                <w:color w:val="000000" w:themeColor="text1"/>
                <w:sz w:val="18"/>
                <w:szCs w:val="18"/>
                <w:lang w:val="en-GB"/>
              </w:rPr>
              <w:t>.</w:t>
            </w:r>
            <w:r w:rsidR="003375BF" w:rsidRPr="00052AFA">
              <w:rPr>
                <w:color w:val="000000" w:themeColor="text1"/>
                <w:sz w:val="18"/>
                <w:szCs w:val="18"/>
                <w:lang w:val="en-GB"/>
              </w:rPr>
              <w:t xml:space="preserve"> [IRRF 3.1.1.3]</w:t>
            </w:r>
          </w:p>
          <w:p w14:paraId="462EC1E3" w14:textId="7207EB84" w:rsidR="005D7CA0" w:rsidRPr="00052AFA" w:rsidRDefault="004038C1" w:rsidP="00CA4FED">
            <w:pPr>
              <w:ind w:left="360"/>
              <w:rPr>
                <w:iCs/>
                <w:color w:val="000000" w:themeColor="text1"/>
                <w:sz w:val="18"/>
                <w:szCs w:val="18"/>
                <w:lang w:val="en-GB"/>
              </w:rPr>
            </w:pPr>
            <w:r w:rsidRPr="00052AFA">
              <w:rPr>
                <w:iCs/>
                <w:color w:val="000000" w:themeColor="text1"/>
                <w:sz w:val="18"/>
                <w:szCs w:val="18"/>
                <w:lang w:val="en-GB"/>
              </w:rPr>
              <w:t>Baseline</w:t>
            </w:r>
            <w:r w:rsidR="00996D42" w:rsidRPr="00052AFA">
              <w:rPr>
                <w:iCs/>
                <w:color w:val="000000" w:themeColor="text1"/>
                <w:sz w:val="18"/>
                <w:szCs w:val="18"/>
                <w:lang w:val="en-GB"/>
              </w:rPr>
              <w:t xml:space="preserve"> (</w:t>
            </w:r>
            <w:r w:rsidR="4435C01B" w:rsidRPr="00052AFA">
              <w:rPr>
                <w:iCs/>
                <w:color w:val="000000" w:themeColor="text1"/>
                <w:sz w:val="18"/>
                <w:szCs w:val="18"/>
                <w:lang w:val="en-GB"/>
              </w:rPr>
              <w:t xml:space="preserve">2017): </w:t>
            </w:r>
            <w:r w:rsidR="0073578E">
              <w:rPr>
                <w:iCs/>
                <w:color w:val="000000" w:themeColor="text1"/>
                <w:sz w:val="18"/>
                <w:szCs w:val="18"/>
                <w:lang w:val="en-GB"/>
              </w:rPr>
              <w:t>w</w:t>
            </w:r>
            <w:r w:rsidR="4435C01B" w:rsidRPr="00052AFA">
              <w:rPr>
                <w:iCs/>
                <w:color w:val="000000" w:themeColor="text1"/>
                <w:sz w:val="18"/>
                <w:szCs w:val="18"/>
                <w:lang w:val="en-GB"/>
              </w:rPr>
              <w:t>omen</w:t>
            </w:r>
            <w:r w:rsidR="0073578E">
              <w:rPr>
                <w:iCs/>
                <w:color w:val="000000" w:themeColor="text1"/>
                <w:sz w:val="18"/>
                <w:szCs w:val="18"/>
                <w:lang w:val="en-GB"/>
              </w:rPr>
              <w:t xml:space="preserve"> (</w:t>
            </w:r>
            <w:r w:rsidR="00592540" w:rsidRPr="00052AFA">
              <w:rPr>
                <w:iCs/>
                <w:color w:val="000000" w:themeColor="text1"/>
                <w:sz w:val="18"/>
                <w:szCs w:val="18"/>
                <w:lang w:val="en-GB"/>
              </w:rPr>
              <w:t>0</w:t>
            </w:r>
            <w:r w:rsidR="0073578E">
              <w:rPr>
                <w:iCs/>
                <w:color w:val="000000" w:themeColor="text1"/>
                <w:sz w:val="18"/>
                <w:szCs w:val="18"/>
                <w:lang w:val="en-GB"/>
              </w:rPr>
              <w:t>); m</w:t>
            </w:r>
            <w:r w:rsidR="4435C01B" w:rsidRPr="00052AFA">
              <w:rPr>
                <w:iCs/>
                <w:color w:val="000000" w:themeColor="text1"/>
                <w:sz w:val="18"/>
                <w:szCs w:val="18"/>
                <w:lang w:val="en-GB"/>
              </w:rPr>
              <w:t>en</w:t>
            </w:r>
            <w:r w:rsidR="0073578E">
              <w:rPr>
                <w:iCs/>
                <w:color w:val="000000" w:themeColor="text1"/>
                <w:sz w:val="18"/>
                <w:szCs w:val="18"/>
                <w:lang w:val="en-GB"/>
              </w:rPr>
              <w:t xml:space="preserve"> (</w:t>
            </w:r>
            <w:r w:rsidR="00592540" w:rsidRPr="00052AFA">
              <w:rPr>
                <w:iCs/>
                <w:color w:val="000000" w:themeColor="text1"/>
                <w:sz w:val="18"/>
                <w:szCs w:val="18"/>
                <w:lang w:val="en-GB"/>
              </w:rPr>
              <w:t>148</w:t>
            </w:r>
            <w:r w:rsidR="0073578E">
              <w:rPr>
                <w:iCs/>
                <w:color w:val="000000" w:themeColor="text1"/>
                <w:sz w:val="18"/>
                <w:szCs w:val="18"/>
                <w:lang w:val="en-GB"/>
              </w:rPr>
              <w:t>)</w:t>
            </w:r>
          </w:p>
          <w:p w14:paraId="0AD10D4A" w14:textId="34E31F24" w:rsidR="005D7CA0" w:rsidRPr="00052AFA" w:rsidRDefault="4435C01B" w:rsidP="00CA4FED">
            <w:pPr>
              <w:ind w:left="360"/>
              <w:rPr>
                <w:iCs/>
                <w:color w:val="000000" w:themeColor="text1"/>
                <w:sz w:val="18"/>
                <w:szCs w:val="18"/>
                <w:lang w:val="en-GB"/>
              </w:rPr>
            </w:pPr>
            <w:r w:rsidRPr="00052AFA">
              <w:rPr>
                <w:iCs/>
                <w:color w:val="000000" w:themeColor="text1"/>
                <w:sz w:val="18"/>
                <w:szCs w:val="18"/>
                <w:lang w:val="en-GB"/>
              </w:rPr>
              <w:t xml:space="preserve">Target: </w:t>
            </w:r>
            <w:r w:rsidR="00DE28F7" w:rsidRPr="00052AFA">
              <w:rPr>
                <w:iCs/>
                <w:color w:val="000000" w:themeColor="text1"/>
                <w:sz w:val="18"/>
                <w:szCs w:val="18"/>
                <w:lang w:val="en-GB"/>
              </w:rPr>
              <w:t>6,000</w:t>
            </w:r>
            <w:r w:rsidR="0073578E">
              <w:rPr>
                <w:iCs/>
                <w:color w:val="000000" w:themeColor="text1"/>
                <w:sz w:val="18"/>
                <w:szCs w:val="18"/>
                <w:lang w:val="en-GB"/>
              </w:rPr>
              <w:t xml:space="preserve">; </w:t>
            </w:r>
            <w:r w:rsidR="00DE28F7" w:rsidRPr="00052AFA">
              <w:rPr>
                <w:iCs/>
                <w:color w:val="000000" w:themeColor="text1"/>
                <w:sz w:val="18"/>
                <w:szCs w:val="18"/>
                <w:lang w:val="en-GB"/>
              </w:rPr>
              <w:t>4,0</w:t>
            </w:r>
            <w:r w:rsidR="001423A1" w:rsidRPr="00052AFA">
              <w:rPr>
                <w:iCs/>
                <w:color w:val="000000" w:themeColor="text1"/>
                <w:sz w:val="18"/>
                <w:szCs w:val="18"/>
                <w:lang w:val="en-GB"/>
              </w:rPr>
              <w:t>00</w:t>
            </w:r>
          </w:p>
          <w:p w14:paraId="04A7B8E1" w14:textId="514C337C" w:rsidR="002D68F8" w:rsidRPr="00052AFA" w:rsidRDefault="006739E4" w:rsidP="007204A1">
            <w:pPr>
              <w:ind w:left="360"/>
              <w:rPr>
                <w:iCs/>
                <w:color w:val="000000" w:themeColor="text1"/>
                <w:sz w:val="18"/>
                <w:szCs w:val="18"/>
                <w:lang w:val="en-GB"/>
              </w:rPr>
            </w:pPr>
            <w:r w:rsidRPr="00052AFA">
              <w:rPr>
                <w:iCs/>
                <w:color w:val="000000" w:themeColor="text1"/>
                <w:sz w:val="18"/>
                <w:szCs w:val="18"/>
                <w:lang w:val="en-GB"/>
              </w:rPr>
              <w:t>Source:</w:t>
            </w:r>
            <w:r w:rsidR="00871B51" w:rsidRPr="00052AFA">
              <w:rPr>
                <w:iCs/>
                <w:color w:val="000000" w:themeColor="text1"/>
                <w:sz w:val="18"/>
                <w:szCs w:val="18"/>
                <w:lang w:val="en-GB"/>
              </w:rPr>
              <w:t xml:space="preserve"> Project</w:t>
            </w:r>
            <w:r w:rsidR="0073578E">
              <w:rPr>
                <w:iCs/>
                <w:color w:val="000000" w:themeColor="text1"/>
                <w:sz w:val="18"/>
                <w:szCs w:val="18"/>
                <w:lang w:val="en-GB"/>
              </w:rPr>
              <w:t xml:space="preserve"> monitoring and evaluation </w:t>
            </w:r>
            <w:r w:rsidR="00871B51" w:rsidRPr="00052AFA">
              <w:rPr>
                <w:iCs/>
                <w:color w:val="000000" w:themeColor="text1"/>
                <w:sz w:val="18"/>
                <w:szCs w:val="18"/>
                <w:lang w:val="en-GB"/>
              </w:rPr>
              <w:t>data</w:t>
            </w:r>
          </w:p>
        </w:tc>
        <w:tc>
          <w:tcPr>
            <w:tcW w:w="1985" w:type="dxa"/>
            <w:gridSpan w:val="2"/>
            <w:vMerge w:val="restart"/>
          </w:tcPr>
          <w:p w14:paraId="316C44CA" w14:textId="77777777" w:rsidR="005D7CA0" w:rsidRPr="00052AFA" w:rsidRDefault="4435C01B" w:rsidP="00CA4FED">
            <w:pPr>
              <w:rPr>
                <w:b/>
                <w:bCs/>
                <w:color w:val="000000" w:themeColor="text1"/>
                <w:sz w:val="18"/>
                <w:szCs w:val="18"/>
                <w:lang w:val="en-GB"/>
              </w:rPr>
            </w:pPr>
            <w:r w:rsidRPr="00052AFA">
              <w:rPr>
                <w:b/>
                <w:bCs/>
                <w:color w:val="000000" w:themeColor="text1"/>
                <w:sz w:val="18"/>
                <w:szCs w:val="18"/>
                <w:lang w:val="en-GB"/>
              </w:rPr>
              <w:lastRenderedPageBreak/>
              <w:t>Government</w:t>
            </w:r>
          </w:p>
          <w:p w14:paraId="2197C3F0" w14:textId="5FBFA55B" w:rsidR="005D7CA0" w:rsidRPr="00052AFA" w:rsidRDefault="00910623" w:rsidP="00CA4FED">
            <w:pPr>
              <w:rPr>
                <w:color w:val="000000" w:themeColor="text1"/>
                <w:sz w:val="18"/>
                <w:szCs w:val="18"/>
                <w:lang w:val="en-GB"/>
              </w:rPr>
            </w:pPr>
            <w:r w:rsidRPr="00052AFA">
              <w:rPr>
                <w:color w:val="000000" w:themeColor="text1"/>
                <w:sz w:val="18"/>
                <w:szCs w:val="18"/>
                <w:lang w:val="en-GB"/>
              </w:rPr>
              <w:t>OPAPP</w:t>
            </w:r>
            <w:r w:rsidR="4435C01B" w:rsidRPr="00052AFA">
              <w:rPr>
                <w:color w:val="000000" w:themeColor="text1"/>
                <w:sz w:val="18"/>
                <w:szCs w:val="18"/>
                <w:lang w:val="en-GB"/>
              </w:rPr>
              <w:t xml:space="preserve">• Mindanao Development Authority • NEDA • OCD-NDRRMC • Autonomous Region of Muslim Mindanao • Task Force Bangon Marawi • Housing and Urban Development Coordinating Council • Selected LGUs </w:t>
            </w:r>
          </w:p>
          <w:p w14:paraId="56449DC3" w14:textId="77777777" w:rsidR="005D7CA0" w:rsidRPr="00052AFA" w:rsidRDefault="005D7CA0" w:rsidP="00CA4FED">
            <w:pPr>
              <w:rPr>
                <w:color w:val="000000" w:themeColor="text1"/>
                <w:sz w:val="18"/>
                <w:szCs w:val="18"/>
                <w:lang w:val="en-GB"/>
              </w:rPr>
            </w:pPr>
          </w:p>
          <w:p w14:paraId="216517EF" w14:textId="77777777" w:rsidR="005D7CA0" w:rsidRPr="00052AFA" w:rsidRDefault="4435C01B" w:rsidP="00CA4FED">
            <w:pPr>
              <w:rPr>
                <w:b/>
                <w:bCs/>
                <w:color w:val="000000" w:themeColor="text1"/>
                <w:sz w:val="18"/>
                <w:szCs w:val="18"/>
                <w:lang w:val="en-GB"/>
              </w:rPr>
            </w:pPr>
            <w:r w:rsidRPr="00052AFA">
              <w:rPr>
                <w:b/>
                <w:bCs/>
                <w:color w:val="000000" w:themeColor="text1"/>
                <w:sz w:val="18"/>
                <w:szCs w:val="18"/>
                <w:lang w:val="en-GB"/>
              </w:rPr>
              <w:t xml:space="preserve">Donors </w:t>
            </w:r>
            <w:r w:rsidRPr="00052AFA">
              <w:rPr>
                <w:color w:val="000000" w:themeColor="text1"/>
                <w:sz w:val="18"/>
                <w:szCs w:val="18"/>
                <w:lang w:val="en-GB"/>
              </w:rPr>
              <w:t>[preliminary]</w:t>
            </w:r>
          </w:p>
          <w:p w14:paraId="3E53FA59" w14:textId="77777777" w:rsidR="005D7CA0" w:rsidRPr="00052AFA" w:rsidRDefault="4435C01B" w:rsidP="00CA4FED">
            <w:pPr>
              <w:rPr>
                <w:color w:val="000000" w:themeColor="text1"/>
                <w:sz w:val="18"/>
                <w:szCs w:val="18"/>
                <w:lang w:val="en-GB"/>
              </w:rPr>
            </w:pPr>
            <w:r w:rsidRPr="00052AFA">
              <w:rPr>
                <w:color w:val="000000" w:themeColor="text1"/>
                <w:sz w:val="18"/>
                <w:szCs w:val="18"/>
                <w:lang w:val="en-GB"/>
              </w:rPr>
              <w:t>Government of Australia • European Commission • Government of Spain • Government of Japan</w:t>
            </w:r>
          </w:p>
          <w:p w14:paraId="36B80FF5" w14:textId="77777777" w:rsidR="005D7CA0" w:rsidRPr="00052AFA" w:rsidRDefault="005D7CA0" w:rsidP="00CA4FED">
            <w:pPr>
              <w:rPr>
                <w:color w:val="000000" w:themeColor="text1"/>
                <w:sz w:val="18"/>
                <w:szCs w:val="18"/>
                <w:lang w:val="en-GB"/>
              </w:rPr>
            </w:pPr>
          </w:p>
          <w:p w14:paraId="4E490BDC" w14:textId="2C6529D8" w:rsidR="005D7CA0" w:rsidRPr="00052AFA" w:rsidRDefault="4435C01B" w:rsidP="00CA4FED">
            <w:pPr>
              <w:rPr>
                <w:color w:val="000000" w:themeColor="text1"/>
                <w:sz w:val="18"/>
                <w:szCs w:val="18"/>
                <w:lang w:val="en-GB"/>
              </w:rPr>
            </w:pPr>
            <w:r w:rsidRPr="00052AFA">
              <w:rPr>
                <w:b/>
                <w:bCs/>
                <w:color w:val="000000" w:themeColor="text1"/>
                <w:sz w:val="18"/>
                <w:szCs w:val="18"/>
                <w:lang w:val="en-GB"/>
              </w:rPr>
              <w:t xml:space="preserve">Other partners </w:t>
            </w:r>
          </w:p>
          <w:p w14:paraId="2D551AF7" w14:textId="1A347485" w:rsidR="005D7CA0" w:rsidRPr="00052AFA" w:rsidRDefault="009E347C">
            <w:pPr>
              <w:rPr>
                <w:color w:val="000000" w:themeColor="text1"/>
                <w:sz w:val="18"/>
                <w:szCs w:val="18"/>
                <w:lang w:val="en-GB"/>
              </w:rPr>
            </w:pPr>
            <w:r w:rsidRPr="00715998">
              <w:rPr>
                <w:color w:val="000000" w:themeColor="text1"/>
                <w:sz w:val="18"/>
                <w:szCs w:val="18"/>
                <w:lang w:val="en-GB"/>
              </w:rPr>
              <w:t>Philippine Disaster Resilience Foundation</w:t>
            </w:r>
            <w:r w:rsidR="4435C01B" w:rsidRPr="00052AFA">
              <w:rPr>
                <w:color w:val="000000" w:themeColor="text1"/>
                <w:sz w:val="18"/>
                <w:szCs w:val="18"/>
                <w:lang w:val="en-GB"/>
              </w:rPr>
              <w:t xml:space="preserve"> • Bangsamoro Transition Commission • Moro </w:t>
            </w:r>
            <w:r w:rsidR="4435C01B" w:rsidRPr="00052AFA">
              <w:rPr>
                <w:color w:val="000000" w:themeColor="text1"/>
                <w:sz w:val="18"/>
                <w:szCs w:val="18"/>
                <w:lang w:val="en-GB"/>
              </w:rPr>
              <w:lastRenderedPageBreak/>
              <w:t xml:space="preserve">Islamic Liberation Front • Moro National Liberation Front • Oxfam • </w:t>
            </w:r>
            <w:r w:rsidR="002D68F8">
              <w:rPr>
                <w:color w:val="000000" w:themeColor="text1"/>
                <w:sz w:val="18"/>
                <w:szCs w:val="18"/>
                <w:lang w:val="en-GB"/>
              </w:rPr>
              <w:t>y</w:t>
            </w:r>
            <w:r w:rsidR="4435C01B" w:rsidRPr="00052AFA">
              <w:rPr>
                <w:color w:val="000000" w:themeColor="text1"/>
                <w:sz w:val="18"/>
                <w:szCs w:val="18"/>
                <w:lang w:val="en-GB"/>
              </w:rPr>
              <w:t xml:space="preserve">outh groups • </w:t>
            </w:r>
            <w:r w:rsidR="002D68F8">
              <w:rPr>
                <w:color w:val="000000" w:themeColor="text1"/>
                <w:sz w:val="18"/>
                <w:szCs w:val="18"/>
                <w:lang w:val="en-GB"/>
              </w:rPr>
              <w:t>p</w:t>
            </w:r>
            <w:r w:rsidR="4435C01B" w:rsidRPr="00052AFA">
              <w:rPr>
                <w:color w:val="000000" w:themeColor="text1"/>
                <w:sz w:val="18"/>
                <w:szCs w:val="18"/>
                <w:lang w:val="en-GB"/>
              </w:rPr>
              <w:t>rivate sector associations • U</w:t>
            </w:r>
            <w:r w:rsidR="002D68F8">
              <w:rPr>
                <w:color w:val="000000" w:themeColor="text1"/>
                <w:sz w:val="18"/>
                <w:szCs w:val="18"/>
                <w:lang w:val="en-GB"/>
              </w:rPr>
              <w:t xml:space="preserve">nited </w:t>
            </w:r>
            <w:r w:rsidR="4435C01B" w:rsidRPr="00052AFA">
              <w:rPr>
                <w:color w:val="000000" w:themeColor="text1"/>
                <w:sz w:val="18"/>
                <w:szCs w:val="18"/>
                <w:lang w:val="en-GB"/>
              </w:rPr>
              <w:t>N</w:t>
            </w:r>
            <w:r w:rsidR="002D68F8">
              <w:rPr>
                <w:color w:val="000000" w:themeColor="text1"/>
                <w:sz w:val="18"/>
                <w:szCs w:val="18"/>
                <w:lang w:val="en-GB"/>
              </w:rPr>
              <w:t>ations</w:t>
            </w:r>
            <w:r w:rsidR="4435C01B" w:rsidRPr="00052AFA">
              <w:rPr>
                <w:color w:val="000000" w:themeColor="text1"/>
                <w:sz w:val="18"/>
                <w:szCs w:val="18"/>
                <w:lang w:val="en-GB"/>
              </w:rPr>
              <w:t xml:space="preserve"> </w:t>
            </w:r>
            <w:r w:rsidR="002D68F8">
              <w:rPr>
                <w:color w:val="000000" w:themeColor="text1"/>
                <w:sz w:val="18"/>
                <w:szCs w:val="18"/>
                <w:lang w:val="en-GB"/>
              </w:rPr>
              <w:t>organizations</w:t>
            </w:r>
          </w:p>
        </w:tc>
        <w:tc>
          <w:tcPr>
            <w:tcW w:w="1563" w:type="dxa"/>
            <w:tcMar>
              <w:top w:w="15" w:type="dxa"/>
              <w:left w:w="108" w:type="dxa"/>
              <w:bottom w:w="0" w:type="dxa"/>
              <w:right w:w="108" w:type="dxa"/>
            </w:tcMar>
          </w:tcPr>
          <w:p w14:paraId="34F838DE" w14:textId="77777777" w:rsidR="005D7CA0" w:rsidRPr="00052AFA" w:rsidRDefault="4435C01B" w:rsidP="00CA4FED">
            <w:pPr>
              <w:rPr>
                <w:b/>
                <w:bCs/>
                <w:color w:val="000000" w:themeColor="text1"/>
                <w:sz w:val="18"/>
                <w:szCs w:val="18"/>
                <w:lang w:val="en-GB"/>
              </w:rPr>
            </w:pPr>
            <w:r w:rsidRPr="00052AFA">
              <w:rPr>
                <w:b/>
                <w:bCs/>
                <w:color w:val="000000" w:themeColor="text1"/>
                <w:sz w:val="18"/>
                <w:szCs w:val="18"/>
                <w:lang w:val="en-GB"/>
              </w:rPr>
              <w:lastRenderedPageBreak/>
              <w:t xml:space="preserve">Regular </w:t>
            </w:r>
          </w:p>
          <w:p w14:paraId="31AA6CE6" w14:textId="77777777" w:rsidR="005D7CA0" w:rsidRPr="00052AFA" w:rsidRDefault="005D7CA0" w:rsidP="00CA4FED">
            <w:pPr>
              <w:rPr>
                <w:b/>
                <w:color w:val="000000" w:themeColor="text1"/>
                <w:sz w:val="18"/>
                <w:szCs w:val="18"/>
                <w:lang w:val="en-GB"/>
              </w:rPr>
            </w:pPr>
          </w:p>
          <w:p w14:paraId="72207BA2" w14:textId="6966C51E" w:rsidR="005D7CA0" w:rsidRPr="00052AFA" w:rsidRDefault="000522EF" w:rsidP="00CA4FED">
            <w:pPr>
              <w:rPr>
                <w:b/>
                <w:bCs/>
                <w:color w:val="000000" w:themeColor="text1"/>
                <w:sz w:val="18"/>
                <w:szCs w:val="18"/>
                <w:lang w:val="en-GB"/>
              </w:rPr>
            </w:pPr>
            <w:r>
              <w:rPr>
                <w:b/>
                <w:bCs/>
                <w:color w:val="000000" w:themeColor="text1"/>
                <w:sz w:val="18"/>
                <w:szCs w:val="18"/>
                <w:lang w:val="en-GB"/>
              </w:rPr>
              <w:t>687,000</w:t>
            </w:r>
          </w:p>
        </w:tc>
      </w:tr>
      <w:tr w:rsidR="005D7CA0" w:rsidRPr="00052AFA" w14:paraId="70A1B751" w14:textId="77777777" w:rsidTr="003718B3">
        <w:tc>
          <w:tcPr>
            <w:tcW w:w="2835" w:type="dxa"/>
            <w:vMerge/>
            <w:tcMar>
              <w:top w:w="72" w:type="dxa"/>
              <w:left w:w="144" w:type="dxa"/>
              <w:bottom w:w="72" w:type="dxa"/>
              <w:right w:w="144" w:type="dxa"/>
            </w:tcMar>
          </w:tcPr>
          <w:p w14:paraId="59F21A29" w14:textId="2A445EF7" w:rsidR="005D7CA0" w:rsidRPr="00052AFA" w:rsidRDefault="005D7CA0" w:rsidP="00CA4FED">
            <w:pPr>
              <w:widowControl w:val="0"/>
              <w:rPr>
                <w:b/>
                <w:color w:val="000000" w:themeColor="text1"/>
                <w:sz w:val="18"/>
                <w:szCs w:val="18"/>
                <w:lang w:val="en-GB"/>
              </w:rPr>
            </w:pPr>
          </w:p>
        </w:tc>
        <w:tc>
          <w:tcPr>
            <w:tcW w:w="1985" w:type="dxa"/>
            <w:vMerge/>
          </w:tcPr>
          <w:p w14:paraId="37E28663" w14:textId="77777777" w:rsidR="005D7CA0" w:rsidRPr="00052AFA" w:rsidRDefault="005D7CA0" w:rsidP="00CA4FED">
            <w:pPr>
              <w:widowControl w:val="0"/>
              <w:rPr>
                <w:b/>
                <w:color w:val="000000" w:themeColor="text1"/>
                <w:sz w:val="18"/>
                <w:szCs w:val="18"/>
                <w:lang w:val="en-GB"/>
              </w:rPr>
            </w:pPr>
          </w:p>
        </w:tc>
        <w:tc>
          <w:tcPr>
            <w:tcW w:w="6095" w:type="dxa"/>
            <w:gridSpan w:val="3"/>
            <w:vMerge/>
            <w:tcMar>
              <w:top w:w="72" w:type="dxa"/>
              <w:left w:w="144" w:type="dxa"/>
              <w:bottom w:w="72" w:type="dxa"/>
              <w:right w:w="144" w:type="dxa"/>
            </w:tcMar>
          </w:tcPr>
          <w:p w14:paraId="084A6899" w14:textId="77777777" w:rsidR="005D7CA0" w:rsidRPr="00052AFA" w:rsidRDefault="005D7CA0" w:rsidP="00CA4FED">
            <w:pPr>
              <w:widowControl w:val="0"/>
              <w:rPr>
                <w:b/>
                <w:color w:val="000000" w:themeColor="text1"/>
                <w:sz w:val="18"/>
                <w:szCs w:val="18"/>
                <w:lang w:val="en-GB"/>
              </w:rPr>
            </w:pPr>
          </w:p>
        </w:tc>
        <w:tc>
          <w:tcPr>
            <w:tcW w:w="1985" w:type="dxa"/>
            <w:gridSpan w:val="2"/>
            <w:vMerge/>
          </w:tcPr>
          <w:p w14:paraId="299B66E3" w14:textId="77777777" w:rsidR="005D7CA0" w:rsidRPr="00052AFA" w:rsidRDefault="005D7CA0" w:rsidP="00CA4FED">
            <w:pPr>
              <w:rPr>
                <w:color w:val="000000" w:themeColor="text1"/>
                <w:sz w:val="18"/>
                <w:szCs w:val="18"/>
                <w:lang w:val="en-GB"/>
              </w:rPr>
            </w:pPr>
          </w:p>
        </w:tc>
        <w:tc>
          <w:tcPr>
            <w:tcW w:w="1563" w:type="dxa"/>
            <w:tcMar>
              <w:top w:w="15" w:type="dxa"/>
              <w:left w:w="108" w:type="dxa"/>
              <w:bottom w:w="0" w:type="dxa"/>
              <w:right w:w="108" w:type="dxa"/>
            </w:tcMar>
          </w:tcPr>
          <w:p w14:paraId="49C6D9DF" w14:textId="77777777" w:rsidR="005D7CA0" w:rsidRPr="00052AFA" w:rsidRDefault="4435C01B" w:rsidP="00CA4FED">
            <w:pPr>
              <w:rPr>
                <w:b/>
                <w:bCs/>
                <w:color w:val="000000" w:themeColor="text1"/>
                <w:sz w:val="18"/>
                <w:szCs w:val="18"/>
                <w:lang w:val="en-GB"/>
              </w:rPr>
            </w:pPr>
            <w:r w:rsidRPr="00052AFA">
              <w:rPr>
                <w:b/>
                <w:bCs/>
                <w:color w:val="000000" w:themeColor="text1"/>
                <w:sz w:val="18"/>
                <w:szCs w:val="18"/>
                <w:lang w:val="en-GB"/>
              </w:rPr>
              <w:t>Other</w:t>
            </w:r>
          </w:p>
          <w:p w14:paraId="6CA11DD2" w14:textId="77777777" w:rsidR="005D7CA0" w:rsidRPr="00052AFA" w:rsidRDefault="005D7CA0" w:rsidP="00CA4FED">
            <w:pPr>
              <w:rPr>
                <w:b/>
                <w:color w:val="000000" w:themeColor="text1"/>
                <w:sz w:val="18"/>
                <w:szCs w:val="18"/>
                <w:lang w:val="en-GB"/>
              </w:rPr>
            </w:pPr>
          </w:p>
          <w:p w14:paraId="7C01EB02" w14:textId="7959F2C4" w:rsidR="005D7CA0" w:rsidRPr="00052AFA" w:rsidRDefault="00167B7B" w:rsidP="00CA4FED">
            <w:pPr>
              <w:rPr>
                <w:b/>
                <w:bCs/>
                <w:color w:val="000000" w:themeColor="text1"/>
                <w:sz w:val="18"/>
                <w:szCs w:val="18"/>
                <w:lang w:val="en-GB"/>
              </w:rPr>
            </w:pPr>
            <w:r w:rsidRPr="00052AFA">
              <w:rPr>
                <w:b/>
                <w:bCs/>
                <w:color w:val="000000" w:themeColor="text1"/>
                <w:sz w:val="18"/>
                <w:szCs w:val="18"/>
                <w:lang w:val="en-GB"/>
              </w:rPr>
              <w:t>36</w:t>
            </w:r>
            <w:r w:rsidR="4435C01B" w:rsidRPr="00052AFA">
              <w:rPr>
                <w:b/>
                <w:bCs/>
                <w:color w:val="000000" w:themeColor="text1"/>
                <w:sz w:val="18"/>
                <w:szCs w:val="18"/>
                <w:lang w:val="en-GB"/>
              </w:rPr>
              <w:t>,</w:t>
            </w:r>
            <w:r w:rsidRPr="00052AFA">
              <w:rPr>
                <w:b/>
                <w:bCs/>
                <w:color w:val="000000" w:themeColor="text1"/>
                <w:sz w:val="18"/>
                <w:szCs w:val="18"/>
                <w:lang w:val="en-GB"/>
              </w:rPr>
              <w:t>113</w:t>
            </w:r>
            <w:r w:rsidR="4435C01B" w:rsidRPr="00052AFA">
              <w:rPr>
                <w:b/>
                <w:bCs/>
                <w:color w:val="000000" w:themeColor="text1"/>
                <w:sz w:val="18"/>
                <w:szCs w:val="18"/>
                <w:lang w:val="en-GB"/>
              </w:rPr>
              <w:t>,000</w:t>
            </w:r>
          </w:p>
        </w:tc>
      </w:tr>
    </w:tbl>
    <w:p w14:paraId="0702878E" w14:textId="220030CE" w:rsidR="005D7CA0" w:rsidRPr="00052AFA" w:rsidRDefault="003718B3" w:rsidP="003718B3">
      <w:pPr>
        <w:jc w:val="center"/>
        <w:rPr>
          <w:color w:val="000000" w:themeColor="text1"/>
          <w:sz w:val="18"/>
          <w:szCs w:val="18"/>
          <w:lang w:val="en-GB"/>
        </w:rPr>
      </w:pPr>
      <w:r w:rsidRPr="00052AFA">
        <w:rPr>
          <w:noProof/>
          <w:color w:val="000000"/>
        </w:rPr>
        <w:drawing>
          <wp:inline distT="0" distB="0" distL="0" distR="0" wp14:anchorId="7C5D0754" wp14:editId="17EF2013">
            <wp:extent cx="942975" cy="28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42975" cy="28575"/>
                    </a:xfrm>
                    <a:prstGeom prst="rect">
                      <a:avLst/>
                    </a:prstGeom>
                    <a:noFill/>
                  </pic:spPr>
                </pic:pic>
              </a:graphicData>
            </a:graphic>
          </wp:inline>
        </w:drawing>
      </w:r>
    </w:p>
    <w:sectPr w:rsidR="005D7CA0" w:rsidRPr="00052AFA" w:rsidSect="00814A78">
      <w:headerReference w:type="even" r:id="rId24"/>
      <w:headerReference w:type="default" r:id="rId25"/>
      <w:footerReference w:type="even" r:id="rId26"/>
      <w:footerReference w:type="default" r:id="rId27"/>
      <w:footerReference w:type="first" r:id="rId28"/>
      <w:pgSz w:w="15840" w:h="12240" w:orient="landscape"/>
      <w:pgMar w:top="1440" w:right="1152" w:bottom="1440"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80767" w14:textId="77777777" w:rsidR="009945E2" w:rsidRDefault="009945E2" w:rsidP="00441061">
      <w:r>
        <w:separator/>
      </w:r>
    </w:p>
  </w:endnote>
  <w:endnote w:type="continuationSeparator" w:id="0">
    <w:p w14:paraId="5C3E427F" w14:textId="77777777" w:rsidR="009945E2" w:rsidRDefault="009945E2" w:rsidP="00441061">
      <w:r>
        <w:continuationSeparator/>
      </w:r>
    </w:p>
  </w:endnote>
  <w:endnote w:type="continuationNotice" w:id="1">
    <w:p w14:paraId="5727052F" w14:textId="77777777" w:rsidR="009945E2" w:rsidRDefault="009945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4D"/>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C3D64" w14:textId="77777777" w:rsidR="00061EA9" w:rsidRPr="005841A3" w:rsidRDefault="00061EA9">
    <w:pPr>
      <w:pStyle w:val="Footer"/>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Pr>
        <w:b/>
        <w:noProof/>
        <w:sz w:val="17"/>
        <w:szCs w:val="17"/>
      </w:rPr>
      <w:t>8</w:t>
    </w:r>
    <w:r w:rsidRPr="005841A3">
      <w:rPr>
        <w:b/>
        <w:sz w:val="17"/>
        <w:szCs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4786A" w14:textId="097C89FB" w:rsidR="00061EA9" w:rsidRPr="007F4F4D" w:rsidRDefault="00061EA9" w:rsidP="00014D32">
    <w:pPr>
      <w:pStyle w:val="Footer"/>
      <w:ind w:right="-432"/>
      <w:jc w:val="right"/>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sidR="00671805">
      <w:rPr>
        <w:b/>
        <w:noProof/>
        <w:sz w:val="17"/>
        <w:szCs w:val="17"/>
      </w:rPr>
      <w:t>9</w:t>
    </w:r>
    <w:r w:rsidRPr="005841A3">
      <w:rPr>
        <w:b/>
        <w:sz w:val="17"/>
        <w:szCs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2055691"/>
      <w:docPartObj>
        <w:docPartGallery w:val="Page Numbers (Bottom of Page)"/>
        <w:docPartUnique/>
      </w:docPartObj>
    </w:sdtPr>
    <w:sdtEndPr>
      <w:rPr>
        <w:noProof/>
      </w:rPr>
    </w:sdtEndPr>
    <w:sdtContent>
      <w:p w14:paraId="7428C016" w14:textId="4DC19679" w:rsidR="00061EA9" w:rsidRDefault="00061EA9" w:rsidP="00014D32">
        <w:pPr>
          <w:pStyle w:val="Footer"/>
          <w:ind w:left="630"/>
        </w:pPr>
        <w:r w:rsidRPr="007F4F4D">
          <w:rPr>
            <w:b/>
            <w:sz w:val="17"/>
            <w:szCs w:val="17"/>
          </w:rPr>
          <w:fldChar w:fldCharType="begin"/>
        </w:r>
        <w:r w:rsidRPr="007F4F4D">
          <w:rPr>
            <w:b/>
            <w:sz w:val="17"/>
            <w:szCs w:val="17"/>
          </w:rPr>
          <w:instrText xml:space="preserve"> PAGE   \* MERGEFORMAT </w:instrText>
        </w:r>
        <w:r w:rsidRPr="007F4F4D">
          <w:rPr>
            <w:b/>
            <w:sz w:val="17"/>
            <w:szCs w:val="17"/>
          </w:rPr>
          <w:fldChar w:fldCharType="separate"/>
        </w:r>
        <w:r w:rsidR="00671805">
          <w:rPr>
            <w:b/>
            <w:noProof/>
            <w:sz w:val="17"/>
            <w:szCs w:val="17"/>
          </w:rPr>
          <w:t>8</w:t>
        </w:r>
        <w:r w:rsidRPr="007F4F4D">
          <w:rPr>
            <w:b/>
            <w:noProof/>
            <w:sz w:val="17"/>
            <w:szCs w:val="17"/>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312"/>
      <w:gridCol w:w="3312"/>
      <w:gridCol w:w="3312"/>
    </w:tblGrid>
    <w:tr w:rsidR="00061EA9" w14:paraId="097965D3" w14:textId="77777777" w:rsidTr="071CB5C0">
      <w:tc>
        <w:tcPr>
          <w:tcW w:w="3312" w:type="dxa"/>
        </w:tcPr>
        <w:p w14:paraId="0937DF58" w14:textId="28AD4285" w:rsidR="00061EA9" w:rsidRDefault="00061EA9" w:rsidP="00CA4FED">
          <w:pPr>
            <w:pStyle w:val="Header"/>
            <w:ind w:left="-115"/>
          </w:pPr>
        </w:p>
      </w:tc>
      <w:tc>
        <w:tcPr>
          <w:tcW w:w="3312" w:type="dxa"/>
        </w:tcPr>
        <w:p w14:paraId="5E8D275C" w14:textId="25DC2CFA" w:rsidR="00061EA9" w:rsidRDefault="00061EA9" w:rsidP="00CA4FED">
          <w:pPr>
            <w:pStyle w:val="Header"/>
            <w:jc w:val="center"/>
          </w:pPr>
        </w:p>
      </w:tc>
      <w:tc>
        <w:tcPr>
          <w:tcW w:w="3312" w:type="dxa"/>
        </w:tcPr>
        <w:p w14:paraId="6F66AAD0" w14:textId="5A872944" w:rsidR="00061EA9" w:rsidRDefault="00061EA9" w:rsidP="00CA4FED">
          <w:pPr>
            <w:pStyle w:val="Header"/>
            <w:ind w:right="-115"/>
            <w:jc w:val="right"/>
          </w:pPr>
        </w:p>
      </w:tc>
    </w:tr>
  </w:tbl>
  <w:p w14:paraId="2AF8030D" w14:textId="7EA12E7F" w:rsidR="00061EA9" w:rsidRDefault="00061EA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2616311"/>
      <w:docPartObj>
        <w:docPartGallery w:val="Page Numbers (Bottom of Page)"/>
        <w:docPartUnique/>
      </w:docPartObj>
    </w:sdtPr>
    <w:sdtEndPr>
      <w:rPr>
        <w:noProof/>
      </w:rPr>
    </w:sdtEndPr>
    <w:sdtContent>
      <w:p w14:paraId="19CD9478" w14:textId="77777777" w:rsidR="007204A1" w:rsidRDefault="007204A1" w:rsidP="007204A1">
        <w:pPr>
          <w:pStyle w:val="Footer"/>
          <w:ind w:left="630" w:hanging="1170"/>
        </w:pPr>
        <w:r w:rsidRPr="007F4F4D">
          <w:rPr>
            <w:b/>
            <w:sz w:val="17"/>
            <w:szCs w:val="17"/>
          </w:rPr>
          <w:fldChar w:fldCharType="begin"/>
        </w:r>
        <w:r w:rsidRPr="007F4F4D">
          <w:rPr>
            <w:b/>
            <w:sz w:val="17"/>
            <w:szCs w:val="17"/>
          </w:rPr>
          <w:instrText xml:space="preserve"> PAGE   \* MERGEFORMAT </w:instrText>
        </w:r>
        <w:r w:rsidRPr="007F4F4D">
          <w:rPr>
            <w:b/>
            <w:sz w:val="17"/>
            <w:szCs w:val="17"/>
          </w:rPr>
          <w:fldChar w:fldCharType="separate"/>
        </w:r>
        <w:r>
          <w:rPr>
            <w:b/>
            <w:noProof/>
            <w:sz w:val="17"/>
            <w:szCs w:val="17"/>
          </w:rPr>
          <w:t>8</w:t>
        </w:r>
        <w:r w:rsidRPr="007F4F4D">
          <w:rPr>
            <w:b/>
            <w:noProof/>
            <w:sz w:val="17"/>
            <w:szCs w:val="17"/>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D6A74" w14:textId="77777777" w:rsidR="007204A1" w:rsidRPr="007F4F4D" w:rsidRDefault="007204A1" w:rsidP="007204A1">
    <w:pPr>
      <w:pStyle w:val="Footer"/>
      <w:ind w:right="-144"/>
      <w:jc w:val="right"/>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Pr>
        <w:b/>
        <w:noProof/>
        <w:sz w:val="17"/>
        <w:szCs w:val="17"/>
      </w:rPr>
      <w:t>9</w:t>
    </w:r>
    <w:r w:rsidRPr="005841A3">
      <w:rPr>
        <w:b/>
        <w:sz w:val="17"/>
        <w:szCs w:val="17"/>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4512"/>
      <w:gridCol w:w="4512"/>
      <w:gridCol w:w="4512"/>
    </w:tblGrid>
    <w:tr w:rsidR="00061EA9" w14:paraId="01217B71" w14:textId="77777777" w:rsidTr="071CB5C0">
      <w:tc>
        <w:tcPr>
          <w:tcW w:w="4512" w:type="dxa"/>
        </w:tcPr>
        <w:p w14:paraId="5B0843BD" w14:textId="107C9A43" w:rsidR="00061EA9" w:rsidRDefault="00061EA9" w:rsidP="00CA4FED">
          <w:pPr>
            <w:pStyle w:val="Header"/>
            <w:ind w:left="-115"/>
          </w:pPr>
        </w:p>
      </w:tc>
      <w:tc>
        <w:tcPr>
          <w:tcW w:w="4512" w:type="dxa"/>
        </w:tcPr>
        <w:p w14:paraId="72BA190C" w14:textId="067F3C6A" w:rsidR="00061EA9" w:rsidRDefault="00061EA9" w:rsidP="00CA4FED">
          <w:pPr>
            <w:pStyle w:val="Header"/>
            <w:jc w:val="center"/>
          </w:pPr>
        </w:p>
      </w:tc>
      <w:tc>
        <w:tcPr>
          <w:tcW w:w="4512" w:type="dxa"/>
        </w:tcPr>
        <w:p w14:paraId="2007E725" w14:textId="15C93B9E" w:rsidR="00061EA9" w:rsidRDefault="00061EA9" w:rsidP="00CA4FED">
          <w:pPr>
            <w:pStyle w:val="Header"/>
            <w:ind w:right="-115"/>
            <w:jc w:val="right"/>
          </w:pPr>
        </w:p>
      </w:tc>
    </w:tr>
  </w:tbl>
  <w:p w14:paraId="33612978" w14:textId="361D2495" w:rsidR="00061EA9" w:rsidRDefault="00061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CB4F6" w14:textId="77777777" w:rsidR="009945E2" w:rsidRDefault="009945E2" w:rsidP="00441061">
      <w:r>
        <w:separator/>
      </w:r>
    </w:p>
  </w:footnote>
  <w:footnote w:type="continuationSeparator" w:id="0">
    <w:p w14:paraId="7D91B93D" w14:textId="77777777" w:rsidR="009945E2" w:rsidRDefault="009945E2" w:rsidP="00441061">
      <w:r>
        <w:continuationSeparator/>
      </w:r>
    </w:p>
  </w:footnote>
  <w:footnote w:type="continuationNotice" w:id="1">
    <w:p w14:paraId="6D71EE11" w14:textId="77777777" w:rsidR="009945E2" w:rsidRDefault="009945E2"/>
  </w:footnote>
  <w:footnote w:id="2">
    <w:p w14:paraId="1CE49E7D" w14:textId="764890CB" w:rsidR="00061EA9" w:rsidRPr="00715998" w:rsidRDefault="00061EA9" w:rsidP="4435C01B">
      <w:pPr>
        <w:rPr>
          <w:color w:val="000000" w:themeColor="text1"/>
          <w:sz w:val="17"/>
          <w:szCs w:val="17"/>
          <w:u w:val="single"/>
          <w:lang w:val="en-GB"/>
        </w:rPr>
      </w:pPr>
      <w:r w:rsidRPr="00715998">
        <w:rPr>
          <w:rStyle w:val="FootnoteReference"/>
          <w:sz w:val="17"/>
          <w:szCs w:val="17"/>
          <w:lang w:val="en-GB"/>
        </w:rPr>
        <w:footnoteRef/>
      </w:r>
      <w:r w:rsidRPr="00715998">
        <w:rPr>
          <w:sz w:val="17"/>
          <w:szCs w:val="17"/>
          <w:lang w:val="en-GB"/>
        </w:rPr>
        <w:t xml:space="preserve"> </w:t>
      </w:r>
      <w:r w:rsidRPr="00715998">
        <w:rPr>
          <w:color w:val="000000" w:themeColor="text1"/>
          <w:sz w:val="17"/>
          <w:szCs w:val="17"/>
          <w:lang w:val="en-GB"/>
        </w:rPr>
        <w:t>N</w:t>
      </w:r>
      <w:r>
        <w:rPr>
          <w:color w:val="000000" w:themeColor="text1"/>
          <w:sz w:val="17"/>
          <w:szCs w:val="17"/>
          <w:lang w:val="en-GB"/>
        </w:rPr>
        <w:t xml:space="preserve">ational </w:t>
      </w:r>
      <w:r w:rsidRPr="00715998">
        <w:rPr>
          <w:color w:val="000000" w:themeColor="text1"/>
          <w:sz w:val="17"/>
          <w:szCs w:val="17"/>
          <w:lang w:val="en-GB"/>
        </w:rPr>
        <w:t>E</w:t>
      </w:r>
      <w:r>
        <w:rPr>
          <w:color w:val="000000" w:themeColor="text1"/>
          <w:sz w:val="17"/>
          <w:szCs w:val="17"/>
          <w:lang w:val="en-GB"/>
        </w:rPr>
        <w:t xml:space="preserve">conomic </w:t>
      </w:r>
      <w:r w:rsidRPr="00715998">
        <w:rPr>
          <w:color w:val="000000" w:themeColor="text1"/>
          <w:sz w:val="17"/>
          <w:szCs w:val="17"/>
          <w:lang w:val="en-GB"/>
        </w:rPr>
        <w:t>D</w:t>
      </w:r>
      <w:r>
        <w:rPr>
          <w:color w:val="000000" w:themeColor="text1"/>
          <w:sz w:val="17"/>
          <w:szCs w:val="17"/>
          <w:lang w:val="en-GB"/>
        </w:rPr>
        <w:t xml:space="preserve">evelopment </w:t>
      </w:r>
      <w:r w:rsidRPr="00715998">
        <w:rPr>
          <w:color w:val="000000" w:themeColor="text1"/>
          <w:sz w:val="17"/>
          <w:szCs w:val="17"/>
          <w:lang w:val="en-GB"/>
        </w:rPr>
        <w:t>A</w:t>
      </w:r>
      <w:r>
        <w:rPr>
          <w:color w:val="000000" w:themeColor="text1"/>
          <w:sz w:val="17"/>
          <w:szCs w:val="17"/>
          <w:lang w:val="en-GB"/>
        </w:rPr>
        <w:t>uthority</w:t>
      </w:r>
      <w:r w:rsidRPr="00715998">
        <w:rPr>
          <w:color w:val="000000" w:themeColor="text1"/>
          <w:sz w:val="17"/>
          <w:szCs w:val="17"/>
          <w:lang w:val="en-GB"/>
        </w:rPr>
        <w:t xml:space="preserve">, 2016, </w:t>
      </w:r>
      <w:hyperlink r:id="rId1" w:history="1">
        <w:r w:rsidRPr="00715998">
          <w:rPr>
            <w:rStyle w:val="Hyperlink"/>
            <w:iCs/>
            <w:color w:val="000000" w:themeColor="text1"/>
            <w:sz w:val="17"/>
            <w:szCs w:val="17"/>
            <w:lang w:val="en-GB"/>
          </w:rPr>
          <w:t xml:space="preserve">Statement on the 2016 Q3 </w:t>
        </w:r>
        <w:r w:rsidRPr="001B19DE">
          <w:rPr>
            <w:rStyle w:val="Hyperlink"/>
            <w:iCs/>
            <w:color w:val="000000" w:themeColor="text1"/>
            <w:sz w:val="17"/>
            <w:szCs w:val="17"/>
            <w:lang w:val="en-GB"/>
          </w:rPr>
          <w:t>p</w:t>
        </w:r>
        <w:r w:rsidRPr="00715998">
          <w:rPr>
            <w:rStyle w:val="Hyperlink"/>
            <w:iCs/>
            <w:color w:val="000000" w:themeColor="text1"/>
            <w:sz w:val="17"/>
            <w:szCs w:val="17"/>
            <w:lang w:val="en-GB"/>
          </w:rPr>
          <w:t xml:space="preserve">erformance of the Philippine </w:t>
        </w:r>
        <w:r w:rsidRPr="001B19DE">
          <w:rPr>
            <w:rStyle w:val="Hyperlink"/>
            <w:iCs/>
            <w:color w:val="000000" w:themeColor="text1"/>
            <w:sz w:val="17"/>
            <w:szCs w:val="17"/>
            <w:lang w:val="en-GB"/>
          </w:rPr>
          <w:t>e</w:t>
        </w:r>
        <w:r w:rsidRPr="00715998">
          <w:rPr>
            <w:rStyle w:val="Hyperlink"/>
            <w:iCs/>
            <w:color w:val="000000" w:themeColor="text1"/>
            <w:sz w:val="17"/>
            <w:szCs w:val="17"/>
            <w:lang w:val="en-GB"/>
          </w:rPr>
          <w:t>conomy</w:t>
        </w:r>
      </w:hyperlink>
      <w:r w:rsidRPr="00715998">
        <w:rPr>
          <w:rStyle w:val="Hyperlink"/>
          <w:iCs/>
          <w:color w:val="000000" w:themeColor="text1"/>
          <w:sz w:val="17"/>
          <w:szCs w:val="17"/>
          <w:lang w:val="en-GB"/>
        </w:rPr>
        <w:t>.</w:t>
      </w:r>
    </w:p>
  </w:footnote>
  <w:footnote w:id="3">
    <w:p w14:paraId="61BA3D80" w14:textId="1A7E258D" w:rsidR="00061EA9" w:rsidRPr="00715998" w:rsidRDefault="00061EA9" w:rsidP="3D434F4F">
      <w:pPr>
        <w:pStyle w:val="FootnoteText"/>
        <w:rPr>
          <w:color w:val="000000" w:themeColor="text1"/>
          <w:sz w:val="17"/>
          <w:szCs w:val="17"/>
          <w:lang w:val="en-GB"/>
        </w:rPr>
      </w:pPr>
      <w:r w:rsidRPr="00715998">
        <w:rPr>
          <w:rStyle w:val="FootnoteReference"/>
          <w:color w:val="000000" w:themeColor="text1"/>
          <w:sz w:val="17"/>
          <w:szCs w:val="17"/>
          <w:lang w:val="en-GB"/>
        </w:rPr>
        <w:footnoteRef/>
      </w:r>
      <w:r w:rsidRPr="00715998">
        <w:rPr>
          <w:color w:val="000000" w:themeColor="text1"/>
          <w:sz w:val="17"/>
          <w:szCs w:val="17"/>
          <w:lang w:val="en-GB"/>
        </w:rPr>
        <w:t xml:space="preserve"> P</w:t>
      </w:r>
      <w:r>
        <w:rPr>
          <w:color w:val="000000" w:themeColor="text1"/>
          <w:sz w:val="17"/>
          <w:szCs w:val="17"/>
          <w:lang w:val="en-GB"/>
        </w:rPr>
        <w:t xml:space="preserve">hilippines </w:t>
      </w:r>
      <w:r w:rsidRPr="00715998">
        <w:rPr>
          <w:color w:val="000000" w:themeColor="text1"/>
          <w:sz w:val="17"/>
          <w:szCs w:val="17"/>
          <w:lang w:val="en-GB"/>
        </w:rPr>
        <w:t>S</w:t>
      </w:r>
      <w:r>
        <w:rPr>
          <w:color w:val="000000" w:themeColor="text1"/>
          <w:sz w:val="17"/>
          <w:szCs w:val="17"/>
          <w:lang w:val="en-GB"/>
        </w:rPr>
        <w:t xml:space="preserve">tatistics </w:t>
      </w:r>
      <w:r w:rsidRPr="00715998">
        <w:rPr>
          <w:color w:val="000000" w:themeColor="text1"/>
          <w:sz w:val="17"/>
          <w:szCs w:val="17"/>
          <w:lang w:val="en-GB"/>
        </w:rPr>
        <w:t>A</w:t>
      </w:r>
      <w:r>
        <w:rPr>
          <w:color w:val="000000" w:themeColor="text1"/>
          <w:sz w:val="17"/>
          <w:szCs w:val="17"/>
          <w:lang w:val="en-GB"/>
        </w:rPr>
        <w:t>uthority</w:t>
      </w:r>
      <w:r w:rsidRPr="00715998">
        <w:rPr>
          <w:color w:val="000000" w:themeColor="text1"/>
          <w:sz w:val="17"/>
          <w:szCs w:val="17"/>
          <w:lang w:val="en-GB"/>
        </w:rPr>
        <w:t xml:space="preserve">, 2016, </w:t>
      </w:r>
      <w:hyperlink r:id="rId2" w:history="1">
        <w:r w:rsidRPr="00715998">
          <w:rPr>
            <w:rStyle w:val="Hyperlink"/>
            <w:iCs/>
            <w:color w:val="000000" w:themeColor="text1"/>
            <w:sz w:val="17"/>
            <w:szCs w:val="17"/>
            <w:lang w:val="en-GB"/>
          </w:rPr>
          <w:t>Labour Force Survey</w:t>
        </w:r>
      </w:hyperlink>
      <w:r w:rsidRPr="00715998">
        <w:rPr>
          <w:rStyle w:val="Hyperlink"/>
          <w:iCs/>
          <w:color w:val="000000" w:themeColor="text1"/>
          <w:sz w:val="17"/>
          <w:szCs w:val="17"/>
          <w:lang w:val="en-GB"/>
        </w:rPr>
        <w:t>.</w:t>
      </w:r>
    </w:p>
  </w:footnote>
  <w:footnote w:id="4">
    <w:p w14:paraId="33A74529" w14:textId="58E7B248" w:rsidR="00061EA9" w:rsidRPr="00715998" w:rsidRDefault="00061EA9" w:rsidP="3D434F4F">
      <w:pPr>
        <w:pStyle w:val="FootnoteText"/>
        <w:rPr>
          <w:color w:val="000000" w:themeColor="text1"/>
          <w:sz w:val="17"/>
          <w:szCs w:val="17"/>
          <w:lang w:val="en-GB"/>
        </w:rPr>
      </w:pPr>
      <w:r w:rsidRPr="00715998">
        <w:rPr>
          <w:rStyle w:val="FootnoteReference"/>
          <w:color w:val="000000" w:themeColor="text1"/>
          <w:sz w:val="17"/>
          <w:szCs w:val="17"/>
          <w:lang w:val="en-GB"/>
        </w:rPr>
        <w:footnoteRef/>
      </w:r>
      <w:r w:rsidRPr="00715998">
        <w:rPr>
          <w:color w:val="000000" w:themeColor="text1"/>
          <w:sz w:val="17"/>
          <w:szCs w:val="17"/>
          <w:lang w:val="en-GB"/>
        </w:rPr>
        <w:t xml:space="preserve"> PSA, 2015, </w:t>
      </w:r>
      <w:hyperlink r:id="rId3" w:history="1">
        <w:r w:rsidRPr="00715998">
          <w:rPr>
            <w:rStyle w:val="Hyperlink"/>
            <w:iCs/>
            <w:color w:val="000000" w:themeColor="text1"/>
            <w:sz w:val="17"/>
            <w:szCs w:val="17"/>
            <w:lang w:val="en-GB"/>
          </w:rPr>
          <w:t>Poverty incidence among Filipinos registered at 21.6</w:t>
        </w:r>
        <w:r w:rsidRPr="001B19DE">
          <w:rPr>
            <w:rStyle w:val="Hyperlink"/>
            <w:iCs/>
            <w:color w:val="000000" w:themeColor="text1"/>
            <w:sz w:val="17"/>
            <w:szCs w:val="17"/>
            <w:lang w:val="en-GB"/>
          </w:rPr>
          <w:t xml:space="preserve"> per cent</w:t>
        </w:r>
        <w:r w:rsidRPr="00715998">
          <w:rPr>
            <w:rStyle w:val="Hyperlink"/>
            <w:iCs/>
            <w:color w:val="000000" w:themeColor="text1"/>
            <w:sz w:val="17"/>
            <w:szCs w:val="17"/>
            <w:lang w:val="en-GB"/>
          </w:rPr>
          <w:t xml:space="preserve"> in 2015</w:t>
        </w:r>
      </w:hyperlink>
      <w:r w:rsidRPr="001B19DE">
        <w:rPr>
          <w:rStyle w:val="Hyperlink"/>
          <w:iCs/>
          <w:color w:val="000000" w:themeColor="text1"/>
          <w:sz w:val="17"/>
          <w:szCs w:val="17"/>
          <w:lang w:val="en-GB"/>
        </w:rPr>
        <w:t>.</w:t>
      </w:r>
      <w:r w:rsidRPr="00715998" w:rsidDel="00DE5505">
        <w:rPr>
          <w:color w:val="000000" w:themeColor="text1"/>
          <w:sz w:val="17"/>
          <w:szCs w:val="17"/>
          <w:lang w:val="en-GB"/>
        </w:rPr>
        <w:t xml:space="preserve"> </w:t>
      </w:r>
    </w:p>
  </w:footnote>
  <w:footnote w:id="5">
    <w:p w14:paraId="535201CD" w14:textId="618F9EE3" w:rsidR="00061EA9" w:rsidRPr="00715998" w:rsidRDefault="00061EA9" w:rsidP="4435C01B">
      <w:pPr>
        <w:rPr>
          <w:color w:val="000000" w:themeColor="text1"/>
          <w:sz w:val="17"/>
          <w:szCs w:val="17"/>
          <w:lang w:val="en-GB"/>
        </w:rPr>
      </w:pPr>
      <w:r w:rsidRPr="00715998">
        <w:rPr>
          <w:rStyle w:val="FootnoteReference"/>
          <w:color w:val="000000" w:themeColor="text1"/>
          <w:sz w:val="17"/>
          <w:szCs w:val="17"/>
          <w:lang w:val="en-GB"/>
        </w:rPr>
        <w:footnoteRef/>
      </w:r>
      <w:r w:rsidRPr="00715998">
        <w:rPr>
          <w:color w:val="000000" w:themeColor="text1"/>
          <w:sz w:val="17"/>
          <w:szCs w:val="17"/>
          <w:lang w:val="en-GB"/>
        </w:rPr>
        <w:t xml:space="preserve"> </w:t>
      </w:r>
      <w:r w:rsidRPr="00715998">
        <w:rPr>
          <w:color w:val="000000" w:themeColor="text1"/>
          <w:sz w:val="17"/>
          <w:szCs w:val="17"/>
          <w:shd w:val="clear" w:color="auto" w:fill="FFFFFF"/>
          <w:lang w:val="en-GB"/>
        </w:rPr>
        <w:t>D</w:t>
      </w:r>
      <w:r>
        <w:rPr>
          <w:color w:val="000000" w:themeColor="text1"/>
          <w:sz w:val="17"/>
          <w:szCs w:val="17"/>
          <w:shd w:val="clear" w:color="auto" w:fill="FFFFFF"/>
          <w:lang w:val="en-GB"/>
        </w:rPr>
        <w:t xml:space="preserve">epartment of </w:t>
      </w:r>
      <w:r w:rsidRPr="00715998">
        <w:rPr>
          <w:color w:val="000000" w:themeColor="text1"/>
          <w:sz w:val="17"/>
          <w:szCs w:val="17"/>
          <w:shd w:val="clear" w:color="auto" w:fill="FFFFFF"/>
          <w:lang w:val="en-GB"/>
        </w:rPr>
        <w:t>B</w:t>
      </w:r>
      <w:r>
        <w:rPr>
          <w:color w:val="000000" w:themeColor="text1"/>
          <w:sz w:val="17"/>
          <w:szCs w:val="17"/>
          <w:shd w:val="clear" w:color="auto" w:fill="FFFFFF"/>
          <w:lang w:val="en-GB"/>
        </w:rPr>
        <w:t xml:space="preserve">udget </w:t>
      </w:r>
      <w:r w:rsidRPr="00715998">
        <w:rPr>
          <w:color w:val="000000" w:themeColor="text1"/>
          <w:sz w:val="17"/>
          <w:szCs w:val="17"/>
          <w:shd w:val="clear" w:color="auto" w:fill="FFFFFF"/>
          <w:lang w:val="en-GB"/>
        </w:rPr>
        <w:t>M</w:t>
      </w:r>
      <w:r>
        <w:rPr>
          <w:color w:val="000000" w:themeColor="text1"/>
          <w:sz w:val="17"/>
          <w:szCs w:val="17"/>
          <w:shd w:val="clear" w:color="auto" w:fill="FFFFFF"/>
          <w:lang w:val="en-GB"/>
        </w:rPr>
        <w:t>anagement</w:t>
      </w:r>
      <w:r w:rsidRPr="00715998">
        <w:rPr>
          <w:color w:val="000000" w:themeColor="text1"/>
          <w:sz w:val="17"/>
          <w:szCs w:val="17"/>
          <w:shd w:val="clear" w:color="auto" w:fill="FFFFFF"/>
          <w:lang w:val="en-GB"/>
        </w:rPr>
        <w:t xml:space="preserve">, </w:t>
      </w:r>
      <w:hyperlink r:id="rId4" w:history="1">
        <w:r w:rsidRPr="00715998">
          <w:rPr>
            <w:rStyle w:val="Hyperlink"/>
            <w:iCs/>
            <w:color w:val="000000" w:themeColor="text1"/>
            <w:sz w:val="17"/>
            <w:szCs w:val="17"/>
            <w:shd w:val="clear" w:color="auto" w:fill="FFFFFF"/>
            <w:lang w:val="en-GB"/>
          </w:rPr>
          <w:t xml:space="preserve">Technical </w:t>
        </w:r>
        <w:r w:rsidRPr="001B19DE">
          <w:rPr>
            <w:rStyle w:val="Hyperlink"/>
            <w:iCs/>
            <w:color w:val="000000" w:themeColor="text1"/>
            <w:sz w:val="17"/>
            <w:szCs w:val="17"/>
            <w:shd w:val="clear" w:color="auto" w:fill="FFFFFF"/>
            <w:lang w:val="en-GB"/>
          </w:rPr>
          <w:t>n</w:t>
        </w:r>
        <w:r w:rsidRPr="00715998">
          <w:rPr>
            <w:rStyle w:val="Hyperlink"/>
            <w:iCs/>
            <w:color w:val="000000" w:themeColor="text1"/>
            <w:sz w:val="17"/>
            <w:szCs w:val="17"/>
            <w:shd w:val="clear" w:color="auto" w:fill="FFFFFF"/>
            <w:lang w:val="en-GB"/>
          </w:rPr>
          <w:t xml:space="preserve">otes on the 2017 </w:t>
        </w:r>
        <w:r w:rsidRPr="001B19DE">
          <w:rPr>
            <w:rStyle w:val="Hyperlink"/>
            <w:iCs/>
            <w:color w:val="000000" w:themeColor="text1"/>
            <w:sz w:val="17"/>
            <w:szCs w:val="17"/>
            <w:shd w:val="clear" w:color="auto" w:fill="FFFFFF"/>
            <w:lang w:val="en-GB"/>
          </w:rPr>
          <w:t>p</w:t>
        </w:r>
        <w:r w:rsidRPr="00715998">
          <w:rPr>
            <w:rStyle w:val="Hyperlink"/>
            <w:iCs/>
            <w:color w:val="000000" w:themeColor="text1"/>
            <w:sz w:val="17"/>
            <w:szCs w:val="17"/>
            <w:shd w:val="clear" w:color="auto" w:fill="FFFFFF"/>
            <w:lang w:val="en-GB"/>
          </w:rPr>
          <w:t xml:space="preserve">roposed </w:t>
        </w:r>
        <w:r w:rsidRPr="001B19DE">
          <w:rPr>
            <w:rStyle w:val="Hyperlink"/>
            <w:iCs/>
            <w:color w:val="000000" w:themeColor="text1"/>
            <w:sz w:val="17"/>
            <w:szCs w:val="17"/>
            <w:shd w:val="clear" w:color="auto" w:fill="FFFFFF"/>
            <w:lang w:val="en-GB"/>
          </w:rPr>
          <w:t>n</w:t>
        </w:r>
        <w:r w:rsidRPr="00715998">
          <w:rPr>
            <w:rStyle w:val="Hyperlink"/>
            <w:iCs/>
            <w:color w:val="000000" w:themeColor="text1"/>
            <w:sz w:val="17"/>
            <w:szCs w:val="17"/>
            <w:shd w:val="clear" w:color="auto" w:fill="FFFFFF"/>
            <w:lang w:val="en-GB"/>
          </w:rPr>
          <w:t xml:space="preserve">ational </w:t>
        </w:r>
        <w:r w:rsidRPr="001B19DE">
          <w:rPr>
            <w:rStyle w:val="Hyperlink"/>
            <w:iCs/>
            <w:color w:val="000000" w:themeColor="text1"/>
            <w:sz w:val="17"/>
            <w:szCs w:val="17"/>
            <w:shd w:val="clear" w:color="auto" w:fill="FFFFFF"/>
            <w:lang w:val="en-GB"/>
          </w:rPr>
          <w:t>b</w:t>
        </w:r>
        <w:r w:rsidRPr="00715998">
          <w:rPr>
            <w:rStyle w:val="Hyperlink"/>
            <w:iCs/>
            <w:color w:val="000000" w:themeColor="text1"/>
            <w:sz w:val="17"/>
            <w:szCs w:val="17"/>
            <w:shd w:val="clear" w:color="auto" w:fill="FFFFFF"/>
            <w:lang w:val="en-GB"/>
          </w:rPr>
          <w:t>udget</w:t>
        </w:r>
      </w:hyperlink>
      <w:r w:rsidRPr="001B19DE">
        <w:rPr>
          <w:rStyle w:val="Hyperlink"/>
          <w:iCs/>
          <w:color w:val="000000" w:themeColor="text1"/>
          <w:sz w:val="17"/>
          <w:szCs w:val="17"/>
          <w:shd w:val="clear" w:color="auto" w:fill="FFFFFF"/>
          <w:lang w:val="en-GB"/>
        </w:rPr>
        <w:t>.</w:t>
      </w:r>
    </w:p>
  </w:footnote>
  <w:footnote w:id="6">
    <w:p w14:paraId="67AFA104" w14:textId="5DCF60C6" w:rsidR="00061EA9" w:rsidRPr="00715998" w:rsidRDefault="00061EA9" w:rsidP="3D434F4F">
      <w:pPr>
        <w:pStyle w:val="FootnoteText"/>
        <w:rPr>
          <w:color w:val="000000" w:themeColor="text1"/>
          <w:sz w:val="17"/>
          <w:szCs w:val="17"/>
          <w:lang w:val="en-GB"/>
        </w:rPr>
      </w:pPr>
      <w:r w:rsidRPr="00715998">
        <w:rPr>
          <w:rStyle w:val="FootnoteReference"/>
          <w:color w:val="000000" w:themeColor="text1"/>
          <w:sz w:val="17"/>
          <w:szCs w:val="17"/>
          <w:lang w:val="en-GB"/>
        </w:rPr>
        <w:footnoteRef/>
      </w:r>
      <w:r w:rsidRPr="00715998">
        <w:rPr>
          <w:color w:val="000000" w:themeColor="text1"/>
          <w:sz w:val="17"/>
          <w:szCs w:val="17"/>
          <w:lang w:val="en-GB"/>
        </w:rPr>
        <w:t xml:space="preserve"> </w:t>
      </w:r>
      <w:r w:rsidRPr="00715998">
        <w:rPr>
          <w:iCs/>
          <w:color w:val="000000" w:themeColor="text1"/>
          <w:sz w:val="17"/>
          <w:szCs w:val="17"/>
          <w:lang w:val="en-GB"/>
        </w:rPr>
        <w:t>Philippine Development Plan</w:t>
      </w:r>
      <w:r w:rsidRPr="001B19DE">
        <w:rPr>
          <w:iCs/>
          <w:color w:val="000000" w:themeColor="text1"/>
          <w:sz w:val="17"/>
          <w:szCs w:val="17"/>
          <w:lang w:val="en-GB"/>
        </w:rPr>
        <w:t xml:space="preserve">, </w:t>
      </w:r>
      <w:r w:rsidRPr="00715998">
        <w:rPr>
          <w:iCs/>
          <w:color w:val="000000" w:themeColor="text1"/>
          <w:sz w:val="17"/>
          <w:szCs w:val="17"/>
          <w:lang w:val="en-GB"/>
        </w:rPr>
        <w:t>2017-2022.</w:t>
      </w:r>
      <w:r w:rsidRPr="00715998">
        <w:rPr>
          <w:color w:val="000000" w:themeColor="text1"/>
          <w:sz w:val="17"/>
          <w:szCs w:val="17"/>
          <w:lang w:val="en-GB"/>
        </w:rPr>
        <w:t xml:space="preserve"> </w:t>
      </w:r>
    </w:p>
  </w:footnote>
  <w:footnote w:id="7">
    <w:p w14:paraId="228633DA" w14:textId="60B65173" w:rsidR="00061EA9" w:rsidRPr="00715998" w:rsidRDefault="00061EA9" w:rsidP="3D434F4F">
      <w:pPr>
        <w:pStyle w:val="FootnoteText"/>
        <w:rPr>
          <w:color w:val="000000" w:themeColor="text1"/>
          <w:sz w:val="17"/>
          <w:szCs w:val="17"/>
          <w:lang w:val="en-GB"/>
        </w:rPr>
      </w:pPr>
      <w:r w:rsidRPr="00715998">
        <w:rPr>
          <w:rStyle w:val="FootnoteReference"/>
          <w:color w:val="000000" w:themeColor="text1"/>
          <w:sz w:val="17"/>
          <w:szCs w:val="17"/>
          <w:lang w:val="en-GB"/>
        </w:rPr>
        <w:footnoteRef/>
      </w:r>
      <w:r w:rsidRPr="00715998">
        <w:rPr>
          <w:color w:val="000000" w:themeColor="text1"/>
          <w:sz w:val="17"/>
          <w:szCs w:val="17"/>
          <w:lang w:val="en-GB"/>
        </w:rPr>
        <w:t xml:space="preserve"> </w:t>
      </w:r>
      <w:r w:rsidRPr="001B19DE">
        <w:rPr>
          <w:color w:val="000000" w:themeColor="text1"/>
          <w:sz w:val="17"/>
          <w:szCs w:val="17"/>
          <w:lang w:val="en-GB"/>
        </w:rPr>
        <w:t>Asian Development Bank and UNDP,</w:t>
      </w:r>
      <w:r w:rsidRPr="001B19DE">
        <w:rPr>
          <w:i/>
          <w:iCs/>
          <w:color w:val="000000" w:themeColor="text1"/>
          <w:sz w:val="17"/>
          <w:szCs w:val="17"/>
          <w:lang w:val="en-GB"/>
        </w:rPr>
        <w:t xml:space="preserve"> </w:t>
      </w:r>
      <w:r w:rsidRPr="00715998">
        <w:rPr>
          <w:i/>
          <w:iCs/>
          <w:color w:val="000000" w:themeColor="text1"/>
          <w:sz w:val="17"/>
          <w:szCs w:val="17"/>
          <w:lang w:val="en-GB"/>
        </w:rPr>
        <w:t xml:space="preserve">Eradicating </w:t>
      </w:r>
      <w:r w:rsidRPr="001B19DE">
        <w:rPr>
          <w:i/>
          <w:iCs/>
          <w:color w:val="000000" w:themeColor="text1"/>
          <w:sz w:val="17"/>
          <w:szCs w:val="17"/>
          <w:lang w:val="en-GB"/>
        </w:rPr>
        <w:t>p</w:t>
      </w:r>
      <w:r w:rsidRPr="00715998">
        <w:rPr>
          <w:i/>
          <w:iCs/>
          <w:color w:val="000000" w:themeColor="text1"/>
          <w:sz w:val="17"/>
          <w:szCs w:val="17"/>
          <w:lang w:val="en-GB"/>
        </w:rPr>
        <w:t xml:space="preserve">overty and </w:t>
      </w:r>
      <w:r w:rsidRPr="001B19DE">
        <w:rPr>
          <w:i/>
          <w:iCs/>
          <w:color w:val="000000" w:themeColor="text1"/>
          <w:sz w:val="17"/>
          <w:szCs w:val="17"/>
          <w:lang w:val="en-GB"/>
        </w:rPr>
        <w:t>p</w:t>
      </w:r>
      <w:r w:rsidRPr="00715998">
        <w:rPr>
          <w:i/>
          <w:iCs/>
          <w:color w:val="000000" w:themeColor="text1"/>
          <w:sz w:val="17"/>
          <w:szCs w:val="17"/>
          <w:lang w:val="en-GB"/>
        </w:rPr>
        <w:t xml:space="preserve">romoting </w:t>
      </w:r>
      <w:r w:rsidRPr="001B19DE">
        <w:rPr>
          <w:i/>
          <w:iCs/>
          <w:color w:val="000000" w:themeColor="text1"/>
          <w:sz w:val="17"/>
          <w:szCs w:val="17"/>
          <w:lang w:val="en-GB"/>
        </w:rPr>
        <w:t>p</w:t>
      </w:r>
      <w:r w:rsidRPr="00715998">
        <w:rPr>
          <w:i/>
          <w:iCs/>
          <w:color w:val="000000" w:themeColor="text1"/>
          <w:sz w:val="17"/>
          <w:szCs w:val="17"/>
          <w:lang w:val="en-GB"/>
        </w:rPr>
        <w:t xml:space="preserve">rosperity in a </w:t>
      </w:r>
      <w:r w:rsidRPr="001B19DE">
        <w:rPr>
          <w:i/>
          <w:iCs/>
          <w:color w:val="000000" w:themeColor="text1"/>
          <w:sz w:val="17"/>
          <w:szCs w:val="17"/>
          <w:lang w:val="en-GB"/>
        </w:rPr>
        <w:t>c</w:t>
      </w:r>
      <w:r w:rsidRPr="00715998">
        <w:rPr>
          <w:i/>
          <w:iCs/>
          <w:color w:val="000000" w:themeColor="text1"/>
          <w:sz w:val="17"/>
          <w:szCs w:val="17"/>
          <w:lang w:val="en-GB"/>
        </w:rPr>
        <w:t>hanging Asia-Pacific</w:t>
      </w:r>
      <w:r w:rsidRPr="00715998">
        <w:rPr>
          <w:color w:val="000000" w:themeColor="text1"/>
          <w:sz w:val="17"/>
          <w:szCs w:val="17"/>
          <w:lang w:val="en-GB"/>
        </w:rPr>
        <w:t>, 2017</w:t>
      </w:r>
      <w:r w:rsidRPr="001B19DE">
        <w:rPr>
          <w:color w:val="000000" w:themeColor="text1"/>
          <w:sz w:val="17"/>
          <w:szCs w:val="17"/>
          <w:lang w:val="en-GB"/>
        </w:rPr>
        <w:t xml:space="preserve">. </w:t>
      </w:r>
    </w:p>
  </w:footnote>
  <w:footnote w:id="8">
    <w:p w14:paraId="04B228A6" w14:textId="66B4FB74" w:rsidR="00061EA9" w:rsidRPr="00715998" w:rsidRDefault="00061EA9" w:rsidP="3D434F4F">
      <w:pPr>
        <w:pStyle w:val="FootnoteText"/>
        <w:rPr>
          <w:color w:val="000000" w:themeColor="text1"/>
          <w:sz w:val="17"/>
          <w:szCs w:val="17"/>
          <w:lang w:val="en-GB"/>
        </w:rPr>
      </w:pPr>
      <w:r w:rsidRPr="00715998">
        <w:rPr>
          <w:rStyle w:val="FootnoteReference"/>
          <w:color w:val="000000" w:themeColor="text1"/>
          <w:sz w:val="17"/>
          <w:szCs w:val="17"/>
          <w:lang w:val="en-GB"/>
        </w:rPr>
        <w:footnoteRef/>
      </w:r>
      <w:r w:rsidRPr="001B19DE">
        <w:rPr>
          <w:color w:val="000000" w:themeColor="text1"/>
          <w:sz w:val="17"/>
          <w:szCs w:val="17"/>
          <w:lang w:val="en-GB"/>
        </w:rPr>
        <w:t xml:space="preserve"> </w:t>
      </w:r>
      <w:r w:rsidRPr="00715998">
        <w:rPr>
          <w:color w:val="000000" w:themeColor="text1"/>
          <w:sz w:val="17"/>
          <w:szCs w:val="17"/>
          <w:lang w:val="en-GB"/>
        </w:rPr>
        <w:t xml:space="preserve">DBM, </w:t>
      </w:r>
      <w:hyperlink r:id="rId5" w:history="1">
        <w:r w:rsidRPr="00715998">
          <w:rPr>
            <w:rStyle w:val="Hyperlink"/>
            <w:i/>
            <w:iCs/>
            <w:color w:val="000000" w:themeColor="text1"/>
            <w:sz w:val="17"/>
            <w:szCs w:val="17"/>
            <w:lang w:val="en-GB"/>
          </w:rPr>
          <w:t xml:space="preserve"> A story of budget and management reforms 2010-2016</w:t>
        </w:r>
        <w:r w:rsidRPr="001B19DE">
          <w:rPr>
            <w:rStyle w:val="Hyperlink"/>
            <w:i/>
            <w:iCs/>
            <w:color w:val="000000" w:themeColor="text1"/>
            <w:sz w:val="17"/>
            <w:szCs w:val="17"/>
            <w:lang w:val="en-GB"/>
          </w:rPr>
          <w:t>,</w:t>
        </w:r>
        <w:r w:rsidRPr="00715998">
          <w:rPr>
            <w:rStyle w:val="Hyperlink"/>
            <w:i/>
            <w:iCs/>
            <w:color w:val="000000" w:themeColor="text1"/>
            <w:sz w:val="17"/>
            <w:szCs w:val="17"/>
            <w:lang w:val="en-GB"/>
          </w:rPr>
          <w:t xml:space="preserve"> </w:t>
        </w:r>
        <w:r w:rsidRPr="00715998">
          <w:rPr>
            <w:rStyle w:val="Hyperlink"/>
            <w:iCs/>
            <w:color w:val="000000" w:themeColor="text1"/>
            <w:sz w:val="17"/>
            <w:szCs w:val="17"/>
            <w:lang w:val="en-GB"/>
          </w:rPr>
          <w:t>June 2016</w:t>
        </w:r>
      </w:hyperlink>
      <w:r w:rsidRPr="001B19DE">
        <w:rPr>
          <w:rStyle w:val="Hyperlink"/>
          <w:i/>
          <w:iCs/>
          <w:color w:val="000000" w:themeColor="text1"/>
          <w:sz w:val="17"/>
          <w:szCs w:val="17"/>
          <w:lang w:val="en-GB"/>
        </w:rPr>
        <w:t>.</w:t>
      </w:r>
      <w:r w:rsidRPr="00715998">
        <w:rPr>
          <w:color w:val="000000" w:themeColor="text1"/>
          <w:sz w:val="17"/>
          <w:szCs w:val="17"/>
          <w:lang w:val="en-GB"/>
        </w:rPr>
        <w:t xml:space="preserve"> </w:t>
      </w:r>
    </w:p>
  </w:footnote>
  <w:footnote w:id="9">
    <w:p w14:paraId="54268AB3" w14:textId="4B6AD65A" w:rsidR="00061EA9" w:rsidRPr="00715998" w:rsidRDefault="00061EA9" w:rsidP="3D434F4F">
      <w:pPr>
        <w:pStyle w:val="FootnoteText"/>
        <w:rPr>
          <w:color w:val="000000" w:themeColor="text1"/>
          <w:sz w:val="17"/>
          <w:szCs w:val="17"/>
          <w:lang w:val="en-GB"/>
        </w:rPr>
      </w:pPr>
      <w:r w:rsidRPr="00715998">
        <w:rPr>
          <w:rStyle w:val="FootnoteReference"/>
          <w:color w:val="000000" w:themeColor="text1"/>
          <w:sz w:val="17"/>
          <w:szCs w:val="17"/>
          <w:lang w:val="en-GB"/>
        </w:rPr>
        <w:footnoteRef/>
      </w:r>
      <w:bookmarkStart w:id="1" w:name="_Hlk505329271"/>
      <w:r w:rsidRPr="001B19DE">
        <w:rPr>
          <w:i/>
          <w:iCs/>
          <w:color w:val="000000" w:themeColor="text1"/>
          <w:sz w:val="17"/>
          <w:szCs w:val="17"/>
          <w:lang w:val="en-GB"/>
        </w:rPr>
        <w:t xml:space="preserve"> </w:t>
      </w:r>
      <w:r w:rsidRPr="00715998">
        <w:rPr>
          <w:i/>
          <w:iCs/>
          <w:color w:val="000000" w:themeColor="text1"/>
          <w:sz w:val="17"/>
          <w:szCs w:val="17"/>
          <w:lang w:val="en-GB"/>
        </w:rPr>
        <w:t>World Risk Report</w:t>
      </w:r>
      <w:r w:rsidRPr="001B19DE">
        <w:rPr>
          <w:iCs/>
          <w:color w:val="000000" w:themeColor="text1"/>
          <w:sz w:val="17"/>
          <w:szCs w:val="17"/>
          <w:lang w:val="en-GB"/>
        </w:rPr>
        <w:t>,</w:t>
      </w:r>
      <w:r w:rsidRPr="00715998">
        <w:rPr>
          <w:iCs/>
          <w:color w:val="000000" w:themeColor="text1"/>
          <w:sz w:val="17"/>
          <w:szCs w:val="17"/>
          <w:lang w:val="en-GB"/>
        </w:rPr>
        <w:t xml:space="preserve"> 2011 to 201</w:t>
      </w:r>
      <w:bookmarkEnd w:id="1"/>
      <w:r w:rsidRPr="00715998">
        <w:rPr>
          <w:iCs/>
          <w:color w:val="000000" w:themeColor="text1"/>
          <w:sz w:val="17"/>
          <w:szCs w:val="17"/>
          <w:lang w:val="en-GB"/>
        </w:rPr>
        <w:t>7</w:t>
      </w:r>
      <w:r w:rsidR="00195D9B">
        <w:rPr>
          <w:color w:val="000000" w:themeColor="text1"/>
          <w:sz w:val="17"/>
          <w:szCs w:val="17"/>
          <w:lang w:val="en-GB"/>
        </w:rPr>
        <w:t>.</w:t>
      </w:r>
    </w:p>
  </w:footnote>
  <w:footnote w:id="10">
    <w:p w14:paraId="46BABFEE" w14:textId="5660C667" w:rsidR="00061EA9" w:rsidRPr="00715998" w:rsidRDefault="00061EA9" w:rsidP="3D434F4F">
      <w:pPr>
        <w:pStyle w:val="FootnoteText"/>
        <w:rPr>
          <w:color w:val="000000" w:themeColor="text1"/>
          <w:sz w:val="17"/>
          <w:szCs w:val="17"/>
          <w:lang w:val="en-GB"/>
        </w:rPr>
      </w:pPr>
      <w:r w:rsidRPr="00715998">
        <w:rPr>
          <w:rStyle w:val="FootnoteReference"/>
          <w:color w:val="000000" w:themeColor="text1"/>
          <w:sz w:val="17"/>
          <w:szCs w:val="17"/>
          <w:lang w:val="en-GB"/>
        </w:rPr>
        <w:footnoteRef/>
      </w:r>
      <w:r w:rsidRPr="00715998">
        <w:rPr>
          <w:color w:val="000000" w:themeColor="text1"/>
          <w:sz w:val="17"/>
          <w:szCs w:val="17"/>
          <w:lang w:val="en-GB"/>
        </w:rPr>
        <w:t xml:space="preserve"> United </w:t>
      </w:r>
      <w:r w:rsidR="001735F7" w:rsidRPr="00715998">
        <w:rPr>
          <w:color w:val="000000" w:themeColor="text1"/>
          <w:sz w:val="17"/>
          <w:szCs w:val="17"/>
          <w:lang w:val="en-GB"/>
        </w:rPr>
        <w:t>N</w:t>
      </w:r>
      <w:r w:rsidRPr="00715998">
        <w:rPr>
          <w:color w:val="000000" w:themeColor="text1"/>
          <w:sz w:val="17"/>
          <w:szCs w:val="17"/>
          <w:lang w:val="en-GB"/>
        </w:rPr>
        <w:t>ations,</w:t>
      </w:r>
      <w:r>
        <w:rPr>
          <w:b/>
          <w:color w:val="000000" w:themeColor="text1"/>
          <w:sz w:val="17"/>
          <w:szCs w:val="17"/>
          <w:lang w:val="en-GB"/>
        </w:rPr>
        <w:t xml:space="preserve"> </w:t>
      </w:r>
      <w:r w:rsidRPr="00715998">
        <w:rPr>
          <w:i/>
          <w:iCs/>
          <w:color w:val="000000" w:themeColor="text1"/>
          <w:sz w:val="17"/>
          <w:szCs w:val="17"/>
          <w:lang w:val="en-GB"/>
        </w:rPr>
        <w:t xml:space="preserve">Global </w:t>
      </w:r>
      <w:r w:rsidRPr="001B19DE">
        <w:rPr>
          <w:i/>
          <w:iCs/>
          <w:color w:val="000000" w:themeColor="text1"/>
          <w:sz w:val="17"/>
          <w:szCs w:val="17"/>
          <w:lang w:val="en-GB"/>
        </w:rPr>
        <w:t>a</w:t>
      </w:r>
      <w:r w:rsidRPr="00715998">
        <w:rPr>
          <w:i/>
          <w:iCs/>
          <w:color w:val="000000" w:themeColor="text1"/>
          <w:sz w:val="17"/>
          <w:szCs w:val="17"/>
          <w:lang w:val="en-GB"/>
        </w:rPr>
        <w:t xml:space="preserve">ssessment </w:t>
      </w:r>
      <w:r w:rsidRPr="001B19DE">
        <w:rPr>
          <w:i/>
          <w:iCs/>
          <w:color w:val="000000" w:themeColor="text1"/>
          <w:sz w:val="17"/>
          <w:szCs w:val="17"/>
          <w:lang w:val="en-GB"/>
        </w:rPr>
        <w:t>r</w:t>
      </w:r>
      <w:r w:rsidRPr="00715998">
        <w:rPr>
          <w:i/>
          <w:iCs/>
          <w:color w:val="000000" w:themeColor="text1"/>
          <w:sz w:val="17"/>
          <w:szCs w:val="17"/>
          <w:lang w:val="en-GB"/>
        </w:rPr>
        <w:t xml:space="preserve">eport on </w:t>
      </w:r>
      <w:r w:rsidRPr="001B19DE">
        <w:rPr>
          <w:i/>
          <w:iCs/>
          <w:color w:val="000000" w:themeColor="text1"/>
          <w:sz w:val="17"/>
          <w:szCs w:val="17"/>
          <w:lang w:val="en-GB"/>
        </w:rPr>
        <w:t>d</w:t>
      </w:r>
      <w:r w:rsidRPr="00715998">
        <w:rPr>
          <w:i/>
          <w:iCs/>
          <w:color w:val="000000" w:themeColor="text1"/>
          <w:sz w:val="17"/>
          <w:szCs w:val="17"/>
          <w:lang w:val="en-GB"/>
        </w:rPr>
        <w:t xml:space="preserve">isaster </w:t>
      </w:r>
      <w:r w:rsidRPr="001B19DE">
        <w:rPr>
          <w:i/>
          <w:iCs/>
          <w:color w:val="000000" w:themeColor="text1"/>
          <w:sz w:val="17"/>
          <w:szCs w:val="17"/>
          <w:lang w:val="en-GB"/>
        </w:rPr>
        <w:t>r</w:t>
      </w:r>
      <w:r w:rsidRPr="00715998">
        <w:rPr>
          <w:i/>
          <w:iCs/>
          <w:color w:val="000000" w:themeColor="text1"/>
          <w:sz w:val="17"/>
          <w:szCs w:val="17"/>
          <w:lang w:val="en-GB"/>
        </w:rPr>
        <w:t xml:space="preserve">isk </w:t>
      </w:r>
      <w:r w:rsidRPr="001B19DE">
        <w:rPr>
          <w:i/>
          <w:iCs/>
          <w:color w:val="000000" w:themeColor="text1"/>
          <w:sz w:val="17"/>
          <w:szCs w:val="17"/>
          <w:lang w:val="en-GB"/>
        </w:rPr>
        <w:t>r</w:t>
      </w:r>
      <w:r w:rsidRPr="00715998">
        <w:rPr>
          <w:i/>
          <w:iCs/>
          <w:color w:val="000000" w:themeColor="text1"/>
          <w:sz w:val="17"/>
          <w:szCs w:val="17"/>
          <w:lang w:val="en-GB"/>
        </w:rPr>
        <w:t>eduction 2015: Making development sustainable</w:t>
      </w:r>
      <w:r w:rsidRPr="001B19DE">
        <w:rPr>
          <w:i/>
          <w:iCs/>
          <w:color w:val="000000" w:themeColor="text1"/>
          <w:sz w:val="17"/>
          <w:szCs w:val="17"/>
          <w:lang w:val="en-GB"/>
        </w:rPr>
        <w:t>.</w:t>
      </w:r>
      <w:r w:rsidRPr="00715998">
        <w:rPr>
          <w:i/>
          <w:iCs/>
          <w:color w:val="000000" w:themeColor="text1"/>
          <w:sz w:val="17"/>
          <w:szCs w:val="17"/>
          <w:lang w:val="en-GB"/>
        </w:rPr>
        <w:t xml:space="preserve"> The future of disaster risk management</w:t>
      </w:r>
      <w:r w:rsidRPr="001B19DE">
        <w:rPr>
          <w:color w:val="000000" w:themeColor="text1"/>
          <w:sz w:val="17"/>
          <w:szCs w:val="17"/>
          <w:lang w:val="en-GB"/>
        </w:rPr>
        <w:t xml:space="preserve">, </w:t>
      </w:r>
      <w:r w:rsidRPr="00715998">
        <w:rPr>
          <w:color w:val="000000" w:themeColor="text1"/>
          <w:sz w:val="17"/>
          <w:szCs w:val="17"/>
          <w:lang w:val="en-GB"/>
        </w:rPr>
        <w:t>2015</w:t>
      </w:r>
      <w:r w:rsidRPr="001B19DE">
        <w:rPr>
          <w:color w:val="000000" w:themeColor="text1"/>
          <w:sz w:val="17"/>
          <w:szCs w:val="17"/>
          <w:lang w:val="en-GB"/>
        </w:rPr>
        <w:t>.</w:t>
      </w:r>
    </w:p>
  </w:footnote>
  <w:footnote w:id="11">
    <w:p w14:paraId="11A39E38" w14:textId="2470FB41" w:rsidR="00061EA9" w:rsidRPr="00715998" w:rsidRDefault="00061EA9" w:rsidP="3D434F4F">
      <w:pPr>
        <w:pStyle w:val="FootnoteText"/>
        <w:rPr>
          <w:color w:val="000000" w:themeColor="text1"/>
          <w:sz w:val="17"/>
          <w:szCs w:val="17"/>
          <w:lang w:val="en-GB"/>
        </w:rPr>
      </w:pPr>
      <w:r w:rsidRPr="00715998">
        <w:rPr>
          <w:rStyle w:val="FootnoteReference"/>
          <w:sz w:val="17"/>
          <w:szCs w:val="17"/>
          <w:lang w:val="en-GB"/>
        </w:rPr>
        <w:footnoteRef/>
      </w:r>
      <w:r w:rsidRPr="00715998">
        <w:rPr>
          <w:sz w:val="17"/>
          <w:szCs w:val="17"/>
          <w:lang w:val="en-GB"/>
        </w:rPr>
        <w:t xml:space="preserve"> </w:t>
      </w:r>
      <w:r w:rsidRPr="00715998">
        <w:rPr>
          <w:iCs/>
          <w:sz w:val="17"/>
          <w:szCs w:val="17"/>
          <w:lang w:val="en-GB"/>
        </w:rPr>
        <w:t xml:space="preserve">Common </w:t>
      </w:r>
      <w:r w:rsidRPr="00715998">
        <w:rPr>
          <w:iCs/>
          <w:color w:val="000000" w:themeColor="text1"/>
          <w:sz w:val="17"/>
          <w:szCs w:val="17"/>
          <w:lang w:val="en-GB"/>
        </w:rPr>
        <w:t>country assessment: Philippines</w:t>
      </w:r>
      <w:r w:rsidRPr="001B19DE">
        <w:rPr>
          <w:iCs/>
          <w:color w:val="000000" w:themeColor="text1"/>
          <w:sz w:val="17"/>
          <w:szCs w:val="17"/>
          <w:lang w:val="en-GB"/>
        </w:rPr>
        <w:t>,</w:t>
      </w:r>
      <w:r w:rsidRPr="00715998">
        <w:rPr>
          <w:color w:val="000000" w:themeColor="text1"/>
          <w:sz w:val="17"/>
          <w:szCs w:val="17"/>
          <w:lang w:val="en-GB"/>
        </w:rPr>
        <w:t xml:space="preserve"> </w:t>
      </w:r>
      <w:r w:rsidRPr="00715998">
        <w:rPr>
          <w:iCs/>
          <w:color w:val="000000" w:themeColor="text1"/>
          <w:sz w:val="17"/>
          <w:szCs w:val="17"/>
          <w:lang w:val="en-GB"/>
        </w:rPr>
        <w:t>2017</w:t>
      </w:r>
      <w:r w:rsidRPr="001B19DE">
        <w:rPr>
          <w:iCs/>
          <w:color w:val="000000" w:themeColor="text1"/>
          <w:sz w:val="17"/>
          <w:szCs w:val="17"/>
          <w:lang w:val="en-GB"/>
        </w:rPr>
        <w:t>.</w:t>
      </w:r>
    </w:p>
  </w:footnote>
  <w:footnote w:id="12">
    <w:p w14:paraId="667506DD" w14:textId="1D63BEAA" w:rsidR="00061EA9" w:rsidRPr="00715998" w:rsidRDefault="00061EA9" w:rsidP="3D434F4F">
      <w:pPr>
        <w:pStyle w:val="FootnoteText"/>
        <w:rPr>
          <w:color w:val="000000" w:themeColor="text1"/>
          <w:sz w:val="17"/>
          <w:szCs w:val="17"/>
          <w:lang w:val="en-GB"/>
        </w:rPr>
      </w:pPr>
      <w:r w:rsidRPr="00715998">
        <w:rPr>
          <w:rStyle w:val="FootnoteReference"/>
          <w:color w:val="000000" w:themeColor="text1"/>
          <w:sz w:val="17"/>
          <w:szCs w:val="17"/>
          <w:lang w:val="en-GB"/>
        </w:rPr>
        <w:footnoteRef/>
      </w:r>
      <w:r w:rsidRPr="00715998">
        <w:rPr>
          <w:color w:val="000000" w:themeColor="text1"/>
          <w:sz w:val="17"/>
          <w:szCs w:val="17"/>
          <w:lang w:val="en-GB"/>
        </w:rPr>
        <w:t xml:space="preserve"> Studies carried out by </w:t>
      </w:r>
      <w:r w:rsidRPr="001B19DE">
        <w:rPr>
          <w:color w:val="000000" w:themeColor="text1"/>
          <w:sz w:val="17"/>
          <w:szCs w:val="17"/>
          <w:lang w:val="en-GB"/>
        </w:rPr>
        <w:t>t</w:t>
      </w:r>
      <w:r w:rsidRPr="00715998">
        <w:rPr>
          <w:color w:val="000000" w:themeColor="text1"/>
          <w:sz w:val="17"/>
          <w:szCs w:val="17"/>
          <w:lang w:val="en-GB"/>
        </w:rPr>
        <w:t xml:space="preserve">he Mindanao Trust Fund-Joint Needs Assessment, the National Unification Commission and the Office of the Presidential Adviser on the Peace Process </w:t>
      </w:r>
      <w:r>
        <w:rPr>
          <w:color w:val="000000" w:themeColor="text1"/>
          <w:sz w:val="17"/>
          <w:szCs w:val="17"/>
          <w:lang w:val="en-GB"/>
        </w:rPr>
        <w:t xml:space="preserve">(OPAPP) </w:t>
      </w:r>
      <w:r w:rsidRPr="00715998">
        <w:rPr>
          <w:color w:val="000000" w:themeColor="text1"/>
          <w:sz w:val="17"/>
          <w:szCs w:val="17"/>
          <w:lang w:val="en-GB"/>
        </w:rPr>
        <w:t xml:space="preserve">have all arrived at this conclusion. </w:t>
      </w:r>
    </w:p>
  </w:footnote>
  <w:footnote w:id="13">
    <w:p w14:paraId="665589BB" w14:textId="25A599A9" w:rsidR="00061EA9" w:rsidRPr="00715998" w:rsidRDefault="00061EA9" w:rsidP="3D434F4F">
      <w:pPr>
        <w:pStyle w:val="FootnoteText"/>
        <w:rPr>
          <w:color w:val="000000" w:themeColor="text1"/>
          <w:sz w:val="17"/>
          <w:szCs w:val="17"/>
          <w:lang w:val="en-GB"/>
        </w:rPr>
      </w:pPr>
      <w:r w:rsidRPr="00715998">
        <w:rPr>
          <w:rStyle w:val="FootnoteReference"/>
          <w:color w:val="000000" w:themeColor="text1"/>
          <w:sz w:val="17"/>
          <w:szCs w:val="17"/>
          <w:lang w:val="en-GB"/>
        </w:rPr>
        <w:footnoteRef/>
      </w:r>
      <w:r w:rsidRPr="00715998">
        <w:rPr>
          <w:color w:val="000000" w:themeColor="text1"/>
          <w:sz w:val="17"/>
          <w:szCs w:val="17"/>
          <w:lang w:val="en-GB"/>
        </w:rPr>
        <w:t xml:space="preserve"> </w:t>
      </w:r>
      <w:r w:rsidRPr="00715998">
        <w:rPr>
          <w:iCs/>
          <w:color w:val="000000" w:themeColor="text1"/>
          <w:sz w:val="17"/>
          <w:szCs w:val="17"/>
          <w:lang w:val="en-GB"/>
        </w:rPr>
        <w:t>I</w:t>
      </w:r>
      <w:r>
        <w:rPr>
          <w:iCs/>
          <w:color w:val="000000" w:themeColor="text1"/>
          <w:sz w:val="17"/>
          <w:szCs w:val="17"/>
          <w:lang w:val="en-GB"/>
        </w:rPr>
        <w:t xml:space="preserve">ndependent </w:t>
      </w:r>
      <w:r w:rsidRPr="00715998">
        <w:rPr>
          <w:iCs/>
          <w:color w:val="000000" w:themeColor="text1"/>
          <w:sz w:val="17"/>
          <w:szCs w:val="17"/>
          <w:lang w:val="en-GB"/>
        </w:rPr>
        <w:t>C</w:t>
      </w:r>
      <w:r>
        <w:rPr>
          <w:iCs/>
          <w:color w:val="000000" w:themeColor="text1"/>
          <w:sz w:val="17"/>
          <w:szCs w:val="17"/>
          <w:lang w:val="en-GB"/>
        </w:rPr>
        <w:t xml:space="preserve">ountry </w:t>
      </w:r>
      <w:r w:rsidRPr="00715998">
        <w:rPr>
          <w:iCs/>
          <w:color w:val="000000" w:themeColor="text1"/>
          <w:sz w:val="17"/>
          <w:szCs w:val="17"/>
          <w:lang w:val="en-GB"/>
        </w:rPr>
        <w:t>P</w:t>
      </w:r>
      <w:r>
        <w:rPr>
          <w:iCs/>
          <w:color w:val="000000" w:themeColor="text1"/>
          <w:sz w:val="17"/>
          <w:szCs w:val="17"/>
          <w:lang w:val="en-GB"/>
        </w:rPr>
        <w:t xml:space="preserve">rogramme </w:t>
      </w:r>
      <w:r w:rsidRPr="00715998">
        <w:rPr>
          <w:iCs/>
          <w:color w:val="000000" w:themeColor="text1"/>
          <w:sz w:val="17"/>
          <w:szCs w:val="17"/>
          <w:lang w:val="en-GB"/>
        </w:rPr>
        <w:t>E</w:t>
      </w:r>
      <w:r>
        <w:rPr>
          <w:iCs/>
          <w:color w:val="000000" w:themeColor="text1"/>
          <w:sz w:val="17"/>
          <w:szCs w:val="17"/>
          <w:lang w:val="en-GB"/>
        </w:rPr>
        <w:t>valuation</w:t>
      </w:r>
      <w:r w:rsidRPr="00715998">
        <w:rPr>
          <w:b/>
          <w:iCs/>
          <w:color w:val="000000" w:themeColor="text1"/>
          <w:sz w:val="17"/>
          <w:szCs w:val="17"/>
          <w:lang w:val="en-GB"/>
        </w:rPr>
        <w:t>]</w:t>
      </w:r>
      <w:r w:rsidRPr="001B19DE">
        <w:rPr>
          <w:iCs/>
          <w:color w:val="000000" w:themeColor="text1"/>
          <w:sz w:val="17"/>
          <w:szCs w:val="17"/>
          <w:lang w:val="en-GB"/>
        </w:rPr>
        <w:t xml:space="preserve"> </w:t>
      </w:r>
      <w:r w:rsidRPr="00715998">
        <w:rPr>
          <w:iCs/>
          <w:color w:val="000000" w:themeColor="text1"/>
          <w:sz w:val="17"/>
          <w:szCs w:val="17"/>
          <w:lang w:val="en-GB"/>
        </w:rPr>
        <w:t>Philippines</w:t>
      </w:r>
      <w:r w:rsidRPr="001B19DE">
        <w:rPr>
          <w:color w:val="000000" w:themeColor="text1"/>
          <w:sz w:val="17"/>
          <w:szCs w:val="17"/>
          <w:lang w:val="en-GB"/>
        </w:rPr>
        <w:t xml:space="preserve">, </w:t>
      </w:r>
      <w:r w:rsidRPr="00715998">
        <w:rPr>
          <w:color w:val="000000" w:themeColor="text1"/>
          <w:sz w:val="17"/>
          <w:szCs w:val="17"/>
          <w:lang w:val="en-GB"/>
        </w:rPr>
        <w:t>draft: January 2018</w:t>
      </w:r>
      <w:r w:rsidRPr="001B19DE">
        <w:rPr>
          <w:color w:val="000000" w:themeColor="text1"/>
          <w:sz w:val="17"/>
          <w:szCs w:val="17"/>
          <w:lang w:val="en-GB"/>
        </w:rPr>
        <w:t>.</w:t>
      </w:r>
    </w:p>
  </w:footnote>
  <w:footnote w:id="14">
    <w:p w14:paraId="47550543" w14:textId="2DD9724B" w:rsidR="00061EA9" w:rsidRPr="00715998" w:rsidRDefault="00061EA9" w:rsidP="4435C01B">
      <w:pPr>
        <w:spacing w:line="259" w:lineRule="auto"/>
        <w:rPr>
          <w:color w:val="000000" w:themeColor="text1"/>
          <w:sz w:val="17"/>
          <w:szCs w:val="17"/>
          <w:lang w:val="en-GB"/>
        </w:rPr>
      </w:pPr>
      <w:r w:rsidRPr="00715998">
        <w:rPr>
          <w:rStyle w:val="FootnoteReference"/>
          <w:color w:val="000000" w:themeColor="text1"/>
          <w:sz w:val="17"/>
          <w:szCs w:val="17"/>
          <w:lang w:val="en-GB"/>
        </w:rPr>
        <w:footnoteRef/>
      </w:r>
      <w:r w:rsidRPr="00715998">
        <w:rPr>
          <w:color w:val="000000" w:themeColor="text1"/>
          <w:sz w:val="17"/>
          <w:szCs w:val="17"/>
          <w:lang w:val="en-GB"/>
        </w:rPr>
        <w:t xml:space="preserve"> Anti-</w:t>
      </w:r>
      <w:r w:rsidRPr="001B19DE">
        <w:rPr>
          <w:color w:val="000000" w:themeColor="text1"/>
          <w:sz w:val="17"/>
          <w:szCs w:val="17"/>
          <w:lang w:val="en-GB"/>
        </w:rPr>
        <w:t>t</w:t>
      </w:r>
      <w:r w:rsidRPr="00715998">
        <w:rPr>
          <w:color w:val="000000" w:themeColor="text1"/>
          <w:sz w:val="17"/>
          <w:szCs w:val="17"/>
          <w:lang w:val="en-GB"/>
        </w:rPr>
        <w:t xml:space="preserve">orture </w:t>
      </w:r>
      <w:r w:rsidRPr="001B19DE">
        <w:rPr>
          <w:color w:val="000000" w:themeColor="text1"/>
          <w:sz w:val="17"/>
          <w:szCs w:val="17"/>
          <w:lang w:val="en-GB"/>
        </w:rPr>
        <w:t>l</w:t>
      </w:r>
      <w:r w:rsidRPr="00715998">
        <w:rPr>
          <w:color w:val="000000" w:themeColor="text1"/>
          <w:sz w:val="17"/>
          <w:szCs w:val="17"/>
          <w:lang w:val="en-GB"/>
        </w:rPr>
        <w:t xml:space="preserve">aw, </w:t>
      </w:r>
      <w:r w:rsidRPr="001B19DE">
        <w:rPr>
          <w:color w:val="000000" w:themeColor="text1"/>
          <w:sz w:val="17"/>
          <w:szCs w:val="17"/>
          <w:lang w:val="en-GB"/>
        </w:rPr>
        <w:t>i</w:t>
      </w:r>
      <w:r w:rsidRPr="00715998">
        <w:rPr>
          <w:color w:val="000000" w:themeColor="text1"/>
          <w:sz w:val="17"/>
          <w:szCs w:val="17"/>
          <w:lang w:val="en-GB"/>
        </w:rPr>
        <w:t xml:space="preserve">nternational </w:t>
      </w:r>
      <w:r w:rsidRPr="001B19DE">
        <w:rPr>
          <w:color w:val="000000" w:themeColor="text1"/>
          <w:sz w:val="17"/>
          <w:szCs w:val="17"/>
          <w:lang w:val="en-GB"/>
        </w:rPr>
        <w:t>h</w:t>
      </w:r>
      <w:r w:rsidRPr="00715998">
        <w:rPr>
          <w:color w:val="000000" w:themeColor="text1"/>
          <w:sz w:val="17"/>
          <w:szCs w:val="17"/>
          <w:lang w:val="en-GB"/>
        </w:rPr>
        <w:t xml:space="preserve">umanitarian </w:t>
      </w:r>
      <w:r w:rsidRPr="001B19DE">
        <w:rPr>
          <w:color w:val="000000" w:themeColor="text1"/>
          <w:sz w:val="17"/>
          <w:szCs w:val="17"/>
          <w:lang w:val="en-GB"/>
        </w:rPr>
        <w:t>l</w:t>
      </w:r>
      <w:r w:rsidRPr="00715998">
        <w:rPr>
          <w:color w:val="000000" w:themeColor="text1"/>
          <w:sz w:val="17"/>
          <w:szCs w:val="17"/>
          <w:lang w:val="en-GB"/>
        </w:rPr>
        <w:t xml:space="preserve">aw with </w:t>
      </w:r>
      <w:r w:rsidRPr="001B19DE">
        <w:rPr>
          <w:color w:val="000000" w:themeColor="text1"/>
          <w:sz w:val="17"/>
          <w:szCs w:val="17"/>
          <w:lang w:val="en-GB"/>
        </w:rPr>
        <w:t>e</w:t>
      </w:r>
      <w:r w:rsidRPr="00715998">
        <w:rPr>
          <w:color w:val="000000" w:themeColor="text1"/>
          <w:sz w:val="17"/>
          <w:szCs w:val="17"/>
          <w:lang w:val="en-GB"/>
        </w:rPr>
        <w:t xml:space="preserve">nforced </w:t>
      </w:r>
      <w:r w:rsidRPr="001B19DE">
        <w:rPr>
          <w:color w:val="000000" w:themeColor="text1"/>
          <w:sz w:val="17"/>
          <w:szCs w:val="17"/>
          <w:lang w:val="en-GB"/>
        </w:rPr>
        <w:t>d</w:t>
      </w:r>
      <w:r w:rsidRPr="00715998">
        <w:rPr>
          <w:color w:val="000000" w:themeColor="text1"/>
          <w:sz w:val="17"/>
          <w:szCs w:val="17"/>
          <w:lang w:val="en-GB"/>
        </w:rPr>
        <w:t>isappearances</w:t>
      </w:r>
      <w:r w:rsidRPr="00715998">
        <w:rPr>
          <w:rStyle w:val="st"/>
          <w:color w:val="000000" w:themeColor="text1"/>
          <w:sz w:val="17"/>
          <w:szCs w:val="17"/>
          <w:lang w:val="en-GB"/>
        </w:rPr>
        <w:t>,</w:t>
      </w:r>
      <w:r w:rsidRPr="00715998">
        <w:rPr>
          <w:color w:val="000000" w:themeColor="text1"/>
          <w:sz w:val="17"/>
          <w:szCs w:val="17"/>
          <w:lang w:val="en-GB"/>
        </w:rPr>
        <w:t xml:space="preserve"> Migrant Law and the Human Rights Victims Reparation and Recognition Act</w:t>
      </w:r>
      <w:r w:rsidRPr="001B19DE">
        <w:rPr>
          <w:color w:val="000000" w:themeColor="text1"/>
          <w:sz w:val="17"/>
          <w:szCs w:val="17"/>
          <w:lang w:val="en-GB"/>
        </w:rPr>
        <w:t>.</w:t>
      </w:r>
    </w:p>
  </w:footnote>
  <w:footnote w:id="15">
    <w:p w14:paraId="0D164F21" w14:textId="1A253CF0" w:rsidR="00061EA9" w:rsidRPr="00715998" w:rsidRDefault="00061EA9" w:rsidP="3D434F4F">
      <w:pPr>
        <w:pStyle w:val="FootnoteText"/>
        <w:rPr>
          <w:color w:val="000000" w:themeColor="text1"/>
          <w:sz w:val="17"/>
          <w:szCs w:val="17"/>
          <w:lang w:val="en-GB"/>
        </w:rPr>
      </w:pPr>
      <w:r w:rsidRPr="00715998">
        <w:rPr>
          <w:rStyle w:val="FootnoteReference"/>
          <w:color w:val="000000" w:themeColor="text1"/>
          <w:sz w:val="17"/>
          <w:szCs w:val="17"/>
          <w:lang w:val="en-GB"/>
        </w:rPr>
        <w:footnoteRef/>
      </w:r>
      <w:r w:rsidRPr="00715998">
        <w:rPr>
          <w:color w:val="000000" w:themeColor="text1"/>
          <w:sz w:val="17"/>
          <w:szCs w:val="17"/>
          <w:lang w:val="en-GB"/>
        </w:rPr>
        <w:t xml:space="preserve"> </w:t>
      </w:r>
      <w:r w:rsidRPr="00715998">
        <w:rPr>
          <w:iCs/>
          <w:color w:val="000000" w:themeColor="text1"/>
          <w:sz w:val="17"/>
          <w:szCs w:val="17"/>
          <w:lang w:val="en-GB"/>
        </w:rPr>
        <w:t>ICPE Philippines</w:t>
      </w:r>
      <w:r w:rsidRPr="001B19DE">
        <w:rPr>
          <w:iCs/>
          <w:color w:val="000000" w:themeColor="text1"/>
          <w:sz w:val="17"/>
          <w:szCs w:val="17"/>
          <w:lang w:val="en-GB"/>
        </w:rPr>
        <w:t>,</w:t>
      </w:r>
      <w:r w:rsidRPr="00715998">
        <w:rPr>
          <w:iCs/>
          <w:color w:val="000000" w:themeColor="text1"/>
          <w:sz w:val="17"/>
          <w:szCs w:val="17"/>
          <w:lang w:val="en-GB"/>
        </w:rPr>
        <w:t xml:space="preserve"> </w:t>
      </w:r>
      <w:r w:rsidRPr="00715998">
        <w:rPr>
          <w:color w:val="000000" w:themeColor="text1"/>
          <w:sz w:val="17"/>
          <w:szCs w:val="17"/>
          <w:lang w:val="en-GB"/>
        </w:rPr>
        <w:t>2018</w:t>
      </w:r>
      <w:r w:rsidRPr="001B19DE">
        <w:rPr>
          <w:color w:val="000000" w:themeColor="text1"/>
          <w:sz w:val="17"/>
          <w:szCs w:val="17"/>
          <w:lang w:val="en-GB"/>
        </w:rPr>
        <w:t>.</w:t>
      </w:r>
    </w:p>
  </w:footnote>
  <w:footnote w:id="16">
    <w:p w14:paraId="26D16C84" w14:textId="5EE6A8D9" w:rsidR="00061EA9" w:rsidRPr="00715998" w:rsidRDefault="00061EA9" w:rsidP="3D434F4F">
      <w:pPr>
        <w:pStyle w:val="FootnoteText"/>
        <w:rPr>
          <w:color w:val="000000" w:themeColor="text1"/>
          <w:sz w:val="17"/>
          <w:szCs w:val="17"/>
          <w:lang w:val="en-GB"/>
        </w:rPr>
      </w:pPr>
      <w:r w:rsidRPr="00715998">
        <w:rPr>
          <w:rStyle w:val="FootnoteReference"/>
          <w:color w:val="000000" w:themeColor="text1"/>
          <w:sz w:val="17"/>
          <w:szCs w:val="17"/>
          <w:lang w:val="en-GB"/>
        </w:rPr>
        <w:footnoteRef/>
      </w:r>
      <w:r w:rsidRPr="00715998">
        <w:rPr>
          <w:color w:val="000000" w:themeColor="text1"/>
          <w:sz w:val="17"/>
          <w:szCs w:val="17"/>
          <w:lang w:val="en-GB"/>
        </w:rPr>
        <w:t xml:space="preserve"> </w:t>
      </w:r>
      <w:r w:rsidRPr="00715998">
        <w:rPr>
          <w:iCs/>
          <w:color w:val="000000" w:themeColor="text1"/>
          <w:sz w:val="17"/>
          <w:szCs w:val="17"/>
          <w:lang w:val="en-GB"/>
        </w:rPr>
        <w:t>UNFCCC</w:t>
      </w:r>
      <w:r w:rsidRPr="00715998">
        <w:rPr>
          <w:color w:val="000000" w:themeColor="text1"/>
          <w:sz w:val="17"/>
          <w:szCs w:val="17"/>
          <w:lang w:val="en-GB"/>
        </w:rPr>
        <w:t xml:space="preserve">, </w:t>
      </w:r>
      <w:hyperlink r:id="rId6" w:history="1">
        <w:r w:rsidRPr="001B19DE">
          <w:rPr>
            <w:rStyle w:val="Hyperlink"/>
            <w:iCs/>
            <w:color w:val="000000" w:themeColor="text1"/>
            <w:sz w:val="17"/>
            <w:szCs w:val="17"/>
            <w:lang w:val="en-GB"/>
          </w:rPr>
          <w:t>i</w:t>
        </w:r>
        <w:r w:rsidRPr="00715998">
          <w:rPr>
            <w:rStyle w:val="Hyperlink"/>
            <w:iCs/>
            <w:color w:val="000000" w:themeColor="text1"/>
            <w:sz w:val="17"/>
            <w:szCs w:val="17"/>
            <w:lang w:val="en-GB"/>
          </w:rPr>
          <w:t xml:space="preserve">ntended </w:t>
        </w:r>
        <w:r w:rsidRPr="001B19DE">
          <w:rPr>
            <w:rStyle w:val="Hyperlink"/>
            <w:iCs/>
            <w:color w:val="000000" w:themeColor="text1"/>
            <w:sz w:val="17"/>
            <w:szCs w:val="17"/>
            <w:lang w:val="en-GB"/>
          </w:rPr>
          <w:t>n</w:t>
        </w:r>
        <w:r w:rsidRPr="00715998">
          <w:rPr>
            <w:rStyle w:val="Hyperlink"/>
            <w:iCs/>
            <w:color w:val="000000" w:themeColor="text1"/>
            <w:sz w:val="17"/>
            <w:szCs w:val="17"/>
            <w:lang w:val="en-GB"/>
          </w:rPr>
          <w:t xml:space="preserve">ationally </w:t>
        </w:r>
        <w:r w:rsidRPr="001B19DE">
          <w:rPr>
            <w:rStyle w:val="Hyperlink"/>
            <w:iCs/>
            <w:color w:val="000000" w:themeColor="text1"/>
            <w:sz w:val="17"/>
            <w:szCs w:val="17"/>
            <w:lang w:val="en-GB"/>
          </w:rPr>
          <w:t>d</w:t>
        </w:r>
        <w:r w:rsidRPr="00715998">
          <w:rPr>
            <w:rStyle w:val="Hyperlink"/>
            <w:iCs/>
            <w:color w:val="000000" w:themeColor="text1"/>
            <w:sz w:val="17"/>
            <w:szCs w:val="17"/>
            <w:lang w:val="en-GB"/>
          </w:rPr>
          <w:t xml:space="preserve">etermined </w:t>
        </w:r>
        <w:r w:rsidRPr="001B19DE">
          <w:rPr>
            <w:rStyle w:val="Hyperlink"/>
            <w:iCs/>
            <w:color w:val="000000" w:themeColor="text1"/>
            <w:sz w:val="17"/>
            <w:szCs w:val="17"/>
            <w:lang w:val="en-GB"/>
          </w:rPr>
          <w:t>c</w:t>
        </w:r>
        <w:r w:rsidRPr="00715998">
          <w:rPr>
            <w:rStyle w:val="Hyperlink"/>
            <w:iCs/>
            <w:color w:val="000000" w:themeColor="text1"/>
            <w:sz w:val="17"/>
            <w:szCs w:val="17"/>
            <w:lang w:val="en-GB"/>
          </w:rPr>
          <w:t>ontributions</w:t>
        </w:r>
      </w:hyperlink>
      <w:r w:rsidRPr="001B19DE">
        <w:rPr>
          <w:rStyle w:val="Hyperlink"/>
          <w:iCs/>
          <w:color w:val="000000" w:themeColor="text1"/>
          <w:sz w:val="17"/>
          <w:szCs w:val="17"/>
          <w:lang w:val="en-GB"/>
        </w:rPr>
        <w:t>, 2015</w:t>
      </w:r>
      <w:r w:rsidRPr="00715998">
        <w:rPr>
          <w:color w:val="000000" w:themeColor="text1"/>
          <w:sz w:val="17"/>
          <w:szCs w:val="17"/>
          <w:lang w:val="en-GB"/>
        </w:rPr>
        <w:t>.</w:t>
      </w:r>
    </w:p>
  </w:footnote>
  <w:footnote w:id="17">
    <w:p w14:paraId="584AEA24" w14:textId="2B23E95E" w:rsidR="00061EA9" w:rsidRPr="00715998" w:rsidRDefault="00061EA9" w:rsidP="3D434F4F">
      <w:pPr>
        <w:pStyle w:val="FootnoteText"/>
        <w:rPr>
          <w:color w:val="000000" w:themeColor="text1"/>
          <w:sz w:val="17"/>
          <w:szCs w:val="17"/>
          <w:lang w:val="en-GB"/>
        </w:rPr>
      </w:pPr>
      <w:r w:rsidRPr="00715998">
        <w:rPr>
          <w:rStyle w:val="FootnoteReference"/>
          <w:color w:val="000000" w:themeColor="text1"/>
          <w:sz w:val="17"/>
          <w:szCs w:val="17"/>
          <w:lang w:val="en-GB"/>
        </w:rPr>
        <w:footnoteRef/>
      </w:r>
      <w:r w:rsidRPr="00715998">
        <w:rPr>
          <w:color w:val="000000" w:themeColor="text1"/>
          <w:sz w:val="17"/>
          <w:szCs w:val="17"/>
          <w:lang w:val="en-GB"/>
        </w:rPr>
        <w:t xml:space="preserve"> </w:t>
      </w:r>
      <w:r w:rsidRPr="00715998">
        <w:rPr>
          <w:iCs/>
          <w:color w:val="000000" w:themeColor="text1"/>
          <w:sz w:val="17"/>
          <w:szCs w:val="17"/>
          <w:lang w:val="en-GB"/>
        </w:rPr>
        <w:t>ICPE Philippines</w:t>
      </w:r>
      <w:r>
        <w:rPr>
          <w:color w:val="000000" w:themeColor="text1"/>
          <w:sz w:val="17"/>
          <w:szCs w:val="17"/>
          <w:lang w:val="en-GB"/>
        </w:rPr>
        <w:t xml:space="preserve">, </w:t>
      </w:r>
      <w:r w:rsidRPr="00715998">
        <w:rPr>
          <w:color w:val="000000" w:themeColor="text1"/>
          <w:sz w:val="17"/>
          <w:szCs w:val="17"/>
          <w:lang w:val="en-GB"/>
        </w:rPr>
        <w:t>2018</w:t>
      </w:r>
      <w:r w:rsidRPr="001B19DE">
        <w:rPr>
          <w:color w:val="000000" w:themeColor="text1"/>
          <w:sz w:val="17"/>
          <w:szCs w:val="17"/>
          <w:lang w:val="en-GB"/>
        </w:rPr>
        <w:t>.</w:t>
      </w:r>
    </w:p>
  </w:footnote>
  <w:footnote w:id="18">
    <w:p w14:paraId="760C6E10" w14:textId="1BBC8315" w:rsidR="00061EA9" w:rsidRPr="00715998" w:rsidRDefault="00061EA9" w:rsidP="3D434F4F">
      <w:pPr>
        <w:pStyle w:val="FootnoteText"/>
        <w:rPr>
          <w:color w:val="000000" w:themeColor="text1"/>
          <w:sz w:val="17"/>
          <w:szCs w:val="17"/>
          <w:lang w:val="en-GB"/>
        </w:rPr>
      </w:pPr>
      <w:r w:rsidRPr="00715998">
        <w:rPr>
          <w:rStyle w:val="FootnoteReference"/>
          <w:color w:val="000000" w:themeColor="text1"/>
          <w:sz w:val="17"/>
          <w:szCs w:val="17"/>
          <w:lang w:val="en-GB"/>
        </w:rPr>
        <w:footnoteRef/>
      </w:r>
      <w:r w:rsidRPr="00715998">
        <w:rPr>
          <w:color w:val="000000" w:themeColor="text1"/>
          <w:sz w:val="17"/>
          <w:szCs w:val="17"/>
          <w:lang w:val="en-GB"/>
        </w:rPr>
        <w:t xml:space="preserve"> The </w:t>
      </w:r>
      <w:r w:rsidRPr="001B19DE">
        <w:rPr>
          <w:color w:val="000000" w:themeColor="text1"/>
          <w:sz w:val="17"/>
          <w:szCs w:val="17"/>
          <w:lang w:val="en-GB"/>
        </w:rPr>
        <w:t>l</w:t>
      </w:r>
      <w:r w:rsidRPr="00715998">
        <w:rPr>
          <w:color w:val="000000" w:themeColor="text1"/>
          <w:sz w:val="17"/>
          <w:szCs w:val="17"/>
          <w:lang w:val="en-GB"/>
        </w:rPr>
        <w:t>aw is now under deliberation in Congress.</w:t>
      </w:r>
    </w:p>
  </w:footnote>
  <w:footnote w:id="19">
    <w:p w14:paraId="3625C199" w14:textId="5789DFC4" w:rsidR="00061EA9" w:rsidRPr="00715998" w:rsidRDefault="00061EA9">
      <w:pPr>
        <w:pStyle w:val="FootnoteText"/>
        <w:rPr>
          <w:sz w:val="17"/>
          <w:szCs w:val="17"/>
          <w:lang w:val="en-GB"/>
        </w:rPr>
      </w:pPr>
      <w:r w:rsidRPr="00715998">
        <w:rPr>
          <w:rStyle w:val="FootnoteReference"/>
          <w:color w:val="000000" w:themeColor="text1"/>
          <w:sz w:val="17"/>
          <w:szCs w:val="17"/>
          <w:lang w:val="en-GB"/>
        </w:rPr>
        <w:footnoteRef/>
      </w:r>
      <w:r w:rsidRPr="00715998">
        <w:rPr>
          <w:color w:val="000000" w:themeColor="text1"/>
          <w:sz w:val="17"/>
          <w:szCs w:val="17"/>
          <w:lang w:val="en-GB"/>
        </w:rPr>
        <w:t xml:space="preserve"> </w:t>
      </w:r>
      <w:r>
        <w:rPr>
          <w:sz w:val="17"/>
          <w:szCs w:val="17"/>
          <w:lang w:val="en-GB"/>
        </w:rPr>
        <w:t>PSA,</w:t>
      </w:r>
      <w:r w:rsidRPr="00715998">
        <w:rPr>
          <w:sz w:val="17"/>
          <w:szCs w:val="17"/>
          <w:lang w:val="en-GB"/>
        </w:rPr>
        <w:t xml:space="preserve"> 2015 </w:t>
      </w:r>
      <w:r>
        <w:rPr>
          <w:sz w:val="17"/>
          <w:szCs w:val="17"/>
          <w:lang w:val="en-GB"/>
        </w:rPr>
        <w:t>p</w:t>
      </w:r>
      <w:r w:rsidRPr="00715998">
        <w:rPr>
          <w:sz w:val="17"/>
          <w:szCs w:val="17"/>
          <w:lang w:val="en-GB"/>
        </w:rPr>
        <w:t xml:space="preserve">overty </w:t>
      </w:r>
      <w:r>
        <w:rPr>
          <w:sz w:val="17"/>
          <w:szCs w:val="17"/>
          <w:lang w:val="en-GB"/>
        </w:rPr>
        <w:t>s</w:t>
      </w:r>
      <w:r w:rsidRPr="00715998">
        <w:rPr>
          <w:sz w:val="17"/>
          <w:szCs w:val="17"/>
          <w:lang w:val="en-GB"/>
        </w:rPr>
        <w:t xml:space="preserve">tatistics for the </w:t>
      </w:r>
      <w:r>
        <w:rPr>
          <w:sz w:val="17"/>
          <w:szCs w:val="17"/>
          <w:lang w:val="en-GB"/>
        </w:rPr>
        <w:t>b</w:t>
      </w:r>
      <w:r w:rsidRPr="00715998">
        <w:rPr>
          <w:sz w:val="17"/>
          <w:szCs w:val="17"/>
          <w:lang w:val="en-GB"/>
        </w:rPr>
        <w:t xml:space="preserve">asic </w:t>
      </w:r>
      <w:r>
        <w:rPr>
          <w:sz w:val="17"/>
          <w:szCs w:val="17"/>
          <w:lang w:val="en-GB"/>
        </w:rPr>
        <w:t>s</w:t>
      </w:r>
      <w:r w:rsidRPr="00715998">
        <w:rPr>
          <w:sz w:val="17"/>
          <w:szCs w:val="17"/>
          <w:lang w:val="en-GB"/>
        </w:rPr>
        <w:t>ectors</w:t>
      </w:r>
      <w:r>
        <w:rPr>
          <w:sz w:val="17"/>
          <w:szCs w:val="17"/>
          <w:lang w:val="en-GB"/>
        </w:rPr>
        <w:t>,</w:t>
      </w:r>
      <w:r w:rsidRPr="00715998">
        <w:rPr>
          <w:sz w:val="17"/>
          <w:szCs w:val="17"/>
          <w:lang w:val="en-GB"/>
        </w:rPr>
        <w:t xml:space="preserve"> 30 June 2017.</w:t>
      </w:r>
    </w:p>
  </w:footnote>
  <w:footnote w:id="20">
    <w:p w14:paraId="17826C3D" w14:textId="3C3B2C62" w:rsidR="00061EA9" w:rsidRPr="00715998" w:rsidRDefault="00061EA9" w:rsidP="3D434F4F">
      <w:pPr>
        <w:pStyle w:val="FootnoteText"/>
        <w:rPr>
          <w:sz w:val="17"/>
          <w:szCs w:val="17"/>
          <w:lang w:val="en-GB"/>
        </w:rPr>
      </w:pPr>
      <w:r w:rsidRPr="00715998">
        <w:rPr>
          <w:rStyle w:val="FootnoteReference"/>
          <w:sz w:val="17"/>
          <w:szCs w:val="17"/>
          <w:lang w:val="en-GB"/>
        </w:rPr>
        <w:footnoteRef/>
      </w:r>
      <w:r w:rsidRPr="00715998">
        <w:rPr>
          <w:sz w:val="17"/>
          <w:szCs w:val="17"/>
          <w:lang w:val="en-GB"/>
        </w:rPr>
        <w:t xml:space="preserve"> </w:t>
      </w:r>
      <w:r w:rsidRPr="00715998">
        <w:rPr>
          <w:iCs/>
          <w:sz w:val="17"/>
          <w:szCs w:val="17"/>
          <w:lang w:val="en-GB"/>
        </w:rPr>
        <w:t>ICPE Philippines</w:t>
      </w:r>
      <w:r>
        <w:rPr>
          <w:sz w:val="17"/>
          <w:szCs w:val="17"/>
          <w:lang w:val="en-GB"/>
        </w:rPr>
        <w:t xml:space="preserve">, </w:t>
      </w:r>
      <w:r w:rsidRPr="00715998">
        <w:rPr>
          <w:sz w:val="17"/>
          <w:szCs w:val="17"/>
          <w:lang w:val="en-GB"/>
        </w:rPr>
        <w:t>2018</w:t>
      </w:r>
      <w:r w:rsidRPr="001B19DE">
        <w:rPr>
          <w:sz w:val="17"/>
          <w:szCs w:val="17"/>
          <w:lang w:val="en-GB"/>
        </w:rPr>
        <w:t>.</w:t>
      </w:r>
    </w:p>
  </w:footnote>
  <w:footnote w:id="21">
    <w:p w14:paraId="2DFCCCBF" w14:textId="579F8A8A" w:rsidR="00061EA9" w:rsidRPr="00715998" w:rsidRDefault="00061EA9" w:rsidP="00CA4FED">
      <w:pPr>
        <w:rPr>
          <w:sz w:val="17"/>
          <w:szCs w:val="17"/>
          <w:lang w:val="en-GB"/>
        </w:rPr>
      </w:pPr>
      <w:r w:rsidRPr="00715998">
        <w:rPr>
          <w:rStyle w:val="FootnoteReference"/>
          <w:sz w:val="17"/>
          <w:szCs w:val="17"/>
          <w:lang w:val="en-GB"/>
        </w:rPr>
        <w:footnoteRef/>
      </w:r>
      <w:r w:rsidRPr="00715998">
        <w:rPr>
          <w:sz w:val="17"/>
          <w:szCs w:val="17"/>
          <w:lang w:val="en-GB"/>
        </w:rPr>
        <w:t xml:space="preserve"> Despite being the best performer in gender outcomes in </w:t>
      </w:r>
      <w:r w:rsidRPr="001B19DE">
        <w:rPr>
          <w:sz w:val="17"/>
          <w:szCs w:val="17"/>
          <w:lang w:val="en-GB"/>
        </w:rPr>
        <w:t>the Association of Southeast Asian Nations</w:t>
      </w:r>
      <w:r w:rsidR="00195D9B">
        <w:rPr>
          <w:sz w:val="17"/>
          <w:szCs w:val="17"/>
          <w:lang w:val="en-GB"/>
        </w:rPr>
        <w:t>, it</w:t>
      </w:r>
      <w:r w:rsidRPr="001B19DE">
        <w:rPr>
          <w:sz w:val="17"/>
          <w:szCs w:val="17"/>
          <w:lang w:val="en-GB"/>
        </w:rPr>
        <w:t>’</w:t>
      </w:r>
      <w:r w:rsidR="00195D9B">
        <w:rPr>
          <w:sz w:val="17"/>
          <w:szCs w:val="17"/>
          <w:lang w:val="en-GB"/>
        </w:rPr>
        <w:t>s</w:t>
      </w:r>
      <w:r w:rsidRPr="00715998">
        <w:rPr>
          <w:sz w:val="17"/>
          <w:szCs w:val="17"/>
          <w:lang w:val="en-GB"/>
        </w:rPr>
        <w:t xml:space="preserve"> ranking in the </w:t>
      </w:r>
      <w:r w:rsidRPr="001B19DE">
        <w:rPr>
          <w:sz w:val="17"/>
          <w:szCs w:val="17"/>
          <w:lang w:val="en-GB"/>
        </w:rPr>
        <w:t>g</w:t>
      </w:r>
      <w:r w:rsidRPr="00715998">
        <w:rPr>
          <w:sz w:val="17"/>
          <w:szCs w:val="17"/>
          <w:lang w:val="en-GB"/>
        </w:rPr>
        <w:t xml:space="preserve">lobal </w:t>
      </w:r>
      <w:r w:rsidRPr="001B19DE">
        <w:rPr>
          <w:sz w:val="17"/>
          <w:szCs w:val="17"/>
          <w:lang w:val="en-GB"/>
        </w:rPr>
        <w:t>g</w:t>
      </w:r>
      <w:r w:rsidRPr="00715998">
        <w:rPr>
          <w:sz w:val="17"/>
          <w:szCs w:val="17"/>
          <w:lang w:val="en-GB"/>
        </w:rPr>
        <w:t xml:space="preserve">ender </w:t>
      </w:r>
      <w:r w:rsidRPr="001B19DE">
        <w:rPr>
          <w:sz w:val="17"/>
          <w:szCs w:val="17"/>
          <w:lang w:val="en-GB"/>
        </w:rPr>
        <w:t>g</w:t>
      </w:r>
      <w:r w:rsidRPr="00715998">
        <w:rPr>
          <w:sz w:val="17"/>
          <w:szCs w:val="17"/>
          <w:lang w:val="en-GB"/>
        </w:rPr>
        <w:t xml:space="preserve">ap </w:t>
      </w:r>
      <w:r w:rsidRPr="001B19DE">
        <w:rPr>
          <w:sz w:val="17"/>
          <w:szCs w:val="17"/>
          <w:lang w:val="en-GB"/>
        </w:rPr>
        <w:t>i</w:t>
      </w:r>
      <w:r w:rsidRPr="00715998">
        <w:rPr>
          <w:sz w:val="17"/>
          <w:szCs w:val="17"/>
          <w:lang w:val="en-GB"/>
        </w:rPr>
        <w:t>ndex (World</w:t>
      </w:r>
      <w:r w:rsidR="00195D9B">
        <w:rPr>
          <w:sz w:val="17"/>
          <w:szCs w:val="17"/>
          <w:lang w:val="en-GB"/>
        </w:rPr>
        <w:t xml:space="preserve"> Economic Forum) declined from seven</w:t>
      </w:r>
      <w:r w:rsidRPr="00715998">
        <w:rPr>
          <w:sz w:val="17"/>
          <w:szCs w:val="17"/>
          <w:lang w:val="en-GB"/>
        </w:rPr>
        <w:t> (2016) to 10 (2017). While scoring high in political empowerment and educational attainment, rankings on health and survival and economic participation and opportunity dropped.</w:t>
      </w:r>
    </w:p>
  </w:footnote>
  <w:footnote w:id="22">
    <w:p w14:paraId="6BD08CC9" w14:textId="53AADB11" w:rsidR="00061EA9" w:rsidRPr="00715998" w:rsidRDefault="00061EA9" w:rsidP="00014D32">
      <w:pPr>
        <w:rPr>
          <w:sz w:val="17"/>
          <w:szCs w:val="17"/>
          <w:lang w:val="en-GB"/>
        </w:rPr>
      </w:pPr>
      <w:r w:rsidRPr="00715998">
        <w:rPr>
          <w:rStyle w:val="FootnoteReference"/>
          <w:sz w:val="17"/>
          <w:szCs w:val="17"/>
          <w:lang w:val="en-GB"/>
        </w:rPr>
        <w:footnoteRef/>
      </w:r>
      <w:r w:rsidRPr="00715998">
        <w:rPr>
          <w:sz w:val="17"/>
          <w:szCs w:val="17"/>
          <w:lang w:val="en-GB"/>
        </w:rPr>
        <w:t xml:space="preserve"> Selected on basis of confluence of high </w:t>
      </w:r>
      <w:r w:rsidRPr="00715998">
        <w:rPr>
          <w:color w:val="000000"/>
          <w:sz w:val="17"/>
          <w:szCs w:val="17"/>
          <w:lang w:val="en-GB"/>
        </w:rPr>
        <w:t>multidimensional poverty, climate vulnerability and conflict.</w:t>
      </w:r>
    </w:p>
  </w:footnote>
  <w:footnote w:id="23">
    <w:p w14:paraId="6DAE9402" w14:textId="77777777" w:rsidR="00061EA9" w:rsidRPr="00715998" w:rsidRDefault="00061EA9" w:rsidP="00F369E1">
      <w:pPr>
        <w:pStyle w:val="FootnoteText"/>
        <w:rPr>
          <w:sz w:val="17"/>
          <w:szCs w:val="17"/>
          <w:lang w:val="en-GB"/>
        </w:rPr>
      </w:pPr>
      <w:r w:rsidRPr="00715998">
        <w:rPr>
          <w:rStyle w:val="FootnoteReference"/>
          <w:sz w:val="17"/>
          <w:szCs w:val="17"/>
          <w:lang w:val="en-GB"/>
        </w:rPr>
        <w:footnoteRef/>
      </w:r>
      <w:r w:rsidRPr="00715998">
        <w:rPr>
          <w:sz w:val="17"/>
          <w:szCs w:val="17"/>
          <w:lang w:val="en-GB"/>
        </w:rPr>
        <w:t xml:space="preserve"> Full implementation will require finalization of the peace process.</w:t>
      </w:r>
    </w:p>
  </w:footnote>
  <w:footnote w:id="24">
    <w:p w14:paraId="30B56DA6" w14:textId="62272AFE" w:rsidR="00061EA9" w:rsidRPr="00715998" w:rsidRDefault="00061EA9" w:rsidP="00CA691C">
      <w:pPr>
        <w:rPr>
          <w:sz w:val="17"/>
          <w:szCs w:val="17"/>
          <w:lang w:val="en-GB"/>
        </w:rPr>
      </w:pPr>
      <w:r w:rsidRPr="00715998">
        <w:rPr>
          <w:rStyle w:val="FootnoteReference"/>
          <w:sz w:val="17"/>
          <w:szCs w:val="17"/>
          <w:lang w:val="en-GB"/>
        </w:rPr>
        <w:footnoteRef/>
      </w:r>
      <w:r w:rsidRPr="001B19DE">
        <w:rPr>
          <w:sz w:val="17"/>
          <w:szCs w:val="17"/>
          <w:lang w:val="en-GB"/>
        </w:rPr>
        <w:t xml:space="preserve"> UNDP </w:t>
      </w:r>
      <w:r w:rsidRPr="00715998">
        <w:rPr>
          <w:sz w:val="17"/>
          <w:szCs w:val="17"/>
          <w:lang w:val="en-GB"/>
        </w:rPr>
        <w:t>will work with the private sector to increase women’s labo</w:t>
      </w:r>
      <w:r w:rsidRPr="001B19DE">
        <w:rPr>
          <w:sz w:val="17"/>
          <w:szCs w:val="17"/>
          <w:lang w:val="en-GB"/>
        </w:rPr>
        <w:t>u</w:t>
      </w:r>
      <w:r w:rsidRPr="00715998">
        <w:rPr>
          <w:sz w:val="17"/>
          <w:szCs w:val="17"/>
          <w:lang w:val="en-GB"/>
        </w:rPr>
        <w:t>r force participation (52.6 per</w:t>
      </w:r>
      <w:r w:rsidRPr="001B19DE">
        <w:rPr>
          <w:sz w:val="17"/>
          <w:szCs w:val="17"/>
          <w:lang w:val="en-GB"/>
        </w:rPr>
        <w:t xml:space="preserve"> </w:t>
      </w:r>
      <w:r w:rsidRPr="00715998">
        <w:rPr>
          <w:sz w:val="17"/>
          <w:szCs w:val="17"/>
          <w:lang w:val="en-GB"/>
        </w:rPr>
        <w:t>cent; males 80.9 per</w:t>
      </w:r>
      <w:r w:rsidRPr="001B19DE">
        <w:rPr>
          <w:sz w:val="17"/>
          <w:szCs w:val="17"/>
          <w:lang w:val="en-GB"/>
        </w:rPr>
        <w:t xml:space="preserve"> </w:t>
      </w:r>
      <w:r w:rsidR="00671805">
        <w:rPr>
          <w:sz w:val="17"/>
          <w:szCs w:val="17"/>
          <w:lang w:val="en-GB"/>
        </w:rPr>
        <w:t>cent) and the quality of work.</w:t>
      </w:r>
      <w:r w:rsidRPr="00715998">
        <w:rPr>
          <w:sz w:val="17"/>
          <w:szCs w:val="17"/>
          <w:lang w:val="en-GB"/>
        </w:rPr>
        <w:t xml:space="preserve"> Women earn 68 per</w:t>
      </w:r>
      <w:r w:rsidRPr="001B19DE">
        <w:rPr>
          <w:sz w:val="17"/>
          <w:szCs w:val="17"/>
          <w:lang w:val="en-GB"/>
        </w:rPr>
        <w:t xml:space="preserve"> </w:t>
      </w:r>
      <w:r w:rsidRPr="00715998">
        <w:rPr>
          <w:sz w:val="17"/>
          <w:szCs w:val="17"/>
          <w:lang w:val="en-GB"/>
        </w:rPr>
        <w:t>cent of what men earn and are more present in jobs</w:t>
      </w:r>
      <w:r w:rsidR="00195D9B">
        <w:rPr>
          <w:sz w:val="17"/>
          <w:szCs w:val="17"/>
          <w:lang w:val="en-GB"/>
        </w:rPr>
        <w:t xml:space="preserve"> lacking decent work conditions</w:t>
      </w:r>
      <w:r w:rsidRPr="00715998">
        <w:rPr>
          <w:sz w:val="17"/>
          <w:szCs w:val="17"/>
          <w:lang w:val="en-GB"/>
        </w:rPr>
        <w:t xml:space="preserve"> (</w:t>
      </w:r>
      <w:r>
        <w:rPr>
          <w:sz w:val="17"/>
          <w:szCs w:val="17"/>
          <w:lang w:val="en-GB"/>
        </w:rPr>
        <w:t xml:space="preserve">World Economic Forum, </w:t>
      </w:r>
      <w:r w:rsidRPr="00715998">
        <w:rPr>
          <w:sz w:val="17"/>
          <w:szCs w:val="17"/>
          <w:lang w:val="en-GB"/>
        </w:rPr>
        <w:t xml:space="preserve">The Global Gender Gap Report 2017).  </w:t>
      </w:r>
    </w:p>
    <w:p w14:paraId="14489170" w14:textId="0457A083" w:rsidR="00061EA9" w:rsidRPr="00715998" w:rsidRDefault="00061EA9">
      <w:pPr>
        <w:pStyle w:val="FootnoteText"/>
        <w:rPr>
          <w:sz w:val="17"/>
          <w:szCs w:val="17"/>
          <w:lang w:val="en-GB"/>
        </w:rPr>
      </w:pPr>
    </w:p>
  </w:footnote>
  <w:footnote w:id="25">
    <w:p w14:paraId="20D1BDCA" w14:textId="6061EEAE" w:rsidR="00061EA9" w:rsidRPr="00715998" w:rsidRDefault="00061EA9" w:rsidP="00C360F8">
      <w:pPr>
        <w:pStyle w:val="FootnoteText"/>
        <w:rPr>
          <w:sz w:val="17"/>
          <w:szCs w:val="17"/>
          <w:lang w:val="en-GB"/>
        </w:rPr>
      </w:pPr>
      <w:r w:rsidRPr="00715998">
        <w:rPr>
          <w:rStyle w:val="FootnoteReference"/>
          <w:sz w:val="17"/>
          <w:szCs w:val="17"/>
          <w:lang w:val="en-GB"/>
        </w:rPr>
        <w:footnoteRef/>
      </w:r>
      <w:r w:rsidRPr="00715998">
        <w:rPr>
          <w:sz w:val="17"/>
          <w:szCs w:val="17"/>
          <w:lang w:val="en-GB"/>
        </w:rPr>
        <w:t xml:space="preserve"> </w:t>
      </w:r>
      <w:r w:rsidRPr="00195D9B">
        <w:rPr>
          <w:iCs/>
          <w:sz w:val="17"/>
          <w:szCs w:val="17"/>
          <w:lang w:val="en-GB"/>
        </w:rPr>
        <w:t>ICPE Philippines</w:t>
      </w:r>
      <w:r w:rsidRPr="00715998">
        <w:rPr>
          <w:i/>
          <w:iCs/>
          <w:sz w:val="17"/>
          <w:szCs w:val="17"/>
          <w:lang w:val="en-GB"/>
        </w:rPr>
        <w:t xml:space="preserve"> </w:t>
      </w:r>
      <w:r w:rsidRPr="00715998">
        <w:rPr>
          <w:sz w:val="17"/>
          <w:szCs w:val="17"/>
          <w:lang w:val="en-GB"/>
        </w:rPr>
        <w:t>2018</w:t>
      </w:r>
      <w:r w:rsidR="00195D9B">
        <w:rPr>
          <w:sz w:val="17"/>
          <w:szCs w:val="17"/>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061EA9" w:rsidRPr="00A257F7" w14:paraId="79FF2109" w14:textId="77777777" w:rsidTr="00052AFA">
      <w:trPr>
        <w:trHeight w:hRule="exact" w:val="864"/>
      </w:trPr>
      <w:tc>
        <w:tcPr>
          <w:tcW w:w="4838" w:type="dxa"/>
          <w:tcBorders>
            <w:bottom w:val="single" w:sz="4" w:space="0" w:color="auto"/>
          </w:tcBorders>
          <w:vAlign w:val="bottom"/>
        </w:tcPr>
        <w:p w14:paraId="4CECF0A7" w14:textId="77777777" w:rsidR="00061EA9" w:rsidRPr="00A257F7" w:rsidRDefault="00061EA9" w:rsidP="00052AFA">
          <w:pPr>
            <w:widowControl w:val="0"/>
            <w:tabs>
              <w:tab w:val="center" w:pos="4320"/>
              <w:tab w:val="right" w:pos="8640"/>
            </w:tabs>
            <w:spacing w:after="80"/>
            <w:rPr>
              <w:b/>
              <w:sz w:val="17"/>
              <w:szCs w:val="17"/>
            </w:rPr>
          </w:pPr>
          <w:r w:rsidRPr="00A257F7">
            <w:rPr>
              <w:b/>
              <w:sz w:val="17"/>
              <w:szCs w:val="17"/>
            </w:rPr>
            <w:t>DP/DCP/</w:t>
          </w:r>
          <w:r>
            <w:rPr>
              <w:b/>
              <w:sz w:val="17"/>
              <w:szCs w:val="17"/>
            </w:rPr>
            <w:t>G</w:t>
          </w:r>
          <w:r w:rsidRPr="00A257F7">
            <w:rPr>
              <w:b/>
              <w:sz w:val="17"/>
              <w:szCs w:val="17"/>
            </w:rPr>
            <w:t>N</w:t>
          </w:r>
          <w:r>
            <w:rPr>
              <w:b/>
              <w:sz w:val="17"/>
              <w:szCs w:val="17"/>
            </w:rPr>
            <w:t>Q</w:t>
          </w:r>
          <w:r w:rsidRPr="00A257F7">
            <w:rPr>
              <w:b/>
              <w:sz w:val="17"/>
              <w:szCs w:val="17"/>
            </w:rPr>
            <w:t>/3</w:t>
          </w:r>
        </w:p>
      </w:tc>
      <w:tc>
        <w:tcPr>
          <w:tcW w:w="5047" w:type="dxa"/>
          <w:tcBorders>
            <w:bottom w:val="single" w:sz="4" w:space="0" w:color="auto"/>
          </w:tcBorders>
          <w:vAlign w:val="bottom"/>
        </w:tcPr>
        <w:p w14:paraId="38D90E1C" w14:textId="77777777" w:rsidR="00061EA9" w:rsidRPr="00A257F7" w:rsidRDefault="00061EA9" w:rsidP="00052AFA">
          <w:pPr>
            <w:widowControl w:val="0"/>
            <w:tabs>
              <w:tab w:val="center" w:pos="4320"/>
              <w:tab w:val="right" w:pos="8640"/>
            </w:tabs>
            <w:rPr>
              <w:sz w:val="17"/>
              <w:szCs w:val="17"/>
            </w:rPr>
          </w:pPr>
        </w:p>
      </w:tc>
    </w:tr>
  </w:tbl>
  <w:p w14:paraId="4BA34071" w14:textId="77777777" w:rsidR="00061EA9" w:rsidRDefault="00061E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5" w:type="dxa"/>
      <w:tblInd w:w="-255"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061EA9" w:rsidRPr="00F926D5" w14:paraId="62AD9033" w14:textId="77777777" w:rsidTr="00052AFA">
      <w:trPr>
        <w:trHeight w:hRule="exact" w:val="864"/>
      </w:trPr>
      <w:tc>
        <w:tcPr>
          <w:tcW w:w="4838" w:type="dxa"/>
          <w:tcBorders>
            <w:bottom w:val="single" w:sz="4" w:space="0" w:color="auto"/>
          </w:tcBorders>
          <w:vAlign w:val="bottom"/>
        </w:tcPr>
        <w:p w14:paraId="0C570AE6" w14:textId="77777777" w:rsidR="00061EA9" w:rsidRPr="00F926D5" w:rsidRDefault="00061EA9" w:rsidP="00052AFA">
          <w:pPr>
            <w:widowControl w:val="0"/>
            <w:tabs>
              <w:tab w:val="center" w:pos="4320"/>
              <w:tab w:val="right" w:pos="8640"/>
            </w:tabs>
            <w:spacing w:after="80"/>
            <w:rPr>
              <w:b/>
              <w:sz w:val="17"/>
              <w:szCs w:val="17"/>
            </w:rPr>
          </w:pPr>
        </w:p>
      </w:tc>
      <w:tc>
        <w:tcPr>
          <w:tcW w:w="5047" w:type="dxa"/>
          <w:tcBorders>
            <w:bottom w:val="single" w:sz="4" w:space="0" w:color="auto"/>
          </w:tcBorders>
          <w:vAlign w:val="bottom"/>
        </w:tcPr>
        <w:p w14:paraId="0249C23F" w14:textId="77777777" w:rsidR="00061EA9" w:rsidRPr="00F926D5" w:rsidRDefault="00061EA9" w:rsidP="00052AFA">
          <w:pPr>
            <w:widowControl w:val="0"/>
            <w:tabs>
              <w:tab w:val="center" w:pos="4320"/>
              <w:tab w:val="right" w:pos="8640"/>
            </w:tabs>
            <w:jc w:val="right"/>
            <w:rPr>
              <w:sz w:val="17"/>
              <w:szCs w:val="17"/>
            </w:rPr>
          </w:pPr>
          <w:r w:rsidRPr="00F926D5">
            <w:rPr>
              <w:b/>
              <w:sz w:val="17"/>
              <w:szCs w:val="17"/>
            </w:rPr>
            <w:t>DP/DCP/</w:t>
          </w:r>
          <w:r>
            <w:rPr>
              <w:b/>
              <w:sz w:val="17"/>
              <w:szCs w:val="17"/>
            </w:rPr>
            <w:t>GNQ</w:t>
          </w:r>
          <w:r w:rsidRPr="00F926D5">
            <w:rPr>
              <w:b/>
              <w:sz w:val="17"/>
              <w:szCs w:val="17"/>
            </w:rPr>
            <w:t>/3</w:t>
          </w:r>
        </w:p>
      </w:tc>
    </w:tr>
  </w:tbl>
  <w:p w14:paraId="3781DFE7" w14:textId="77777777" w:rsidR="00061EA9" w:rsidRPr="00916E69" w:rsidRDefault="00061EA9">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061EA9" w:rsidRPr="00537B86" w14:paraId="119ADE3E" w14:textId="77777777" w:rsidTr="00052AFA">
      <w:trPr>
        <w:trHeight w:hRule="exact" w:val="864"/>
      </w:trPr>
      <w:tc>
        <w:tcPr>
          <w:tcW w:w="1267" w:type="dxa"/>
          <w:tcBorders>
            <w:bottom w:val="single" w:sz="4" w:space="0" w:color="auto"/>
          </w:tcBorders>
          <w:shd w:val="clear" w:color="auto" w:fill="auto"/>
          <w:vAlign w:val="bottom"/>
        </w:tcPr>
        <w:p w14:paraId="697E7C69" w14:textId="77777777" w:rsidR="00061EA9" w:rsidRPr="00537B86" w:rsidRDefault="00061EA9" w:rsidP="00052AFA">
          <w:pPr>
            <w:tabs>
              <w:tab w:val="center" w:pos="4320"/>
              <w:tab w:val="right" w:pos="8640"/>
            </w:tabs>
            <w:spacing w:after="120"/>
            <w:rPr>
              <w:noProof/>
              <w:sz w:val="17"/>
            </w:rPr>
          </w:pPr>
        </w:p>
      </w:tc>
      <w:tc>
        <w:tcPr>
          <w:tcW w:w="1872" w:type="dxa"/>
          <w:tcBorders>
            <w:bottom w:val="single" w:sz="4" w:space="0" w:color="auto"/>
          </w:tcBorders>
          <w:shd w:val="clear" w:color="auto" w:fill="auto"/>
          <w:vAlign w:val="bottom"/>
        </w:tcPr>
        <w:p w14:paraId="3477B385" w14:textId="77777777" w:rsidR="00061EA9" w:rsidRPr="00537B86" w:rsidRDefault="00061EA9" w:rsidP="00052AF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80" w:line="300" w:lineRule="exact"/>
            <w:outlineLvl w:val="0"/>
            <w:rPr>
              <w:spacing w:val="2"/>
              <w:w w:val="96"/>
              <w:kern w:val="14"/>
              <w:sz w:val="28"/>
              <w:lang w:val="en-GB"/>
            </w:rPr>
          </w:pPr>
          <w:r w:rsidRPr="00537B86">
            <w:rPr>
              <w:spacing w:val="2"/>
              <w:w w:val="96"/>
              <w:kern w:val="14"/>
              <w:sz w:val="28"/>
              <w:lang w:val="en-GB"/>
            </w:rPr>
            <w:t>United Nations</w:t>
          </w:r>
        </w:p>
      </w:tc>
      <w:tc>
        <w:tcPr>
          <w:tcW w:w="245" w:type="dxa"/>
          <w:tcBorders>
            <w:bottom w:val="single" w:sz="4" w:space="0" w:color="auto"/>
          </w:tcBorders>
          <w:shd w:val="clear" w:color="auto" w:fill="auto"/>
          <w:vAlign w:val="bottom"/>
        </w:tcPr>
        <w:p w14:paraId="6F2EBF6B" w14:textId="77777777" w:rsidR="00061EA9" w:rsidRPr="00537B86" w:rsidRDefault="00061EA9" w:rsidP="00052AFA">
          <w:pPr>
            <w:tabs>
              <w:tab w:val="center" w:pos="4320"/>
              <w:tab w:val="right" w:pos="8640"/>
            </w:tabs>
            <w:spacing w:after="120"/>
            <w:rPr>
              <w:noProof/>
              <w:sz w:val="17"/>
            </w:rPr>
          </w:pPr>
        </w:p>
      </w:tc>
      <w:tc>
        <w:tcPr>
          <w:tcW w:w="6523" w:type="dxa"/>
          <w:gridSpan w:val="4"/>
          <w:tcBorders>
            <w:bottom w:val="single" w:sz="4" w:space="0" w:color="auto"/>
          </w:tcBorders>
          <w:shd w:val="clear" w:color="auto" w:fill="auto"/>
          <w:vAlign w:val="bottom"/>
        </w:tcPr>
        <w:p w14:paraId="6F725E5C" w14:textId="43CA7F61" w:rsidR="00061EA9" w:rsidRPr="00537B86" w:rsidRDefault="00061EA9" w:rsidP="00052AFA">
          <w:pPr>
            <w:suppressAutoHyphens/>
            <w:spacing w:after="80"/>
            <w:jc w:val="right"/>
            <w:rPr>
              <w:spacing w:val="4"/>
              <w:w w:val="103"/>
              <w:kern w:val="14"/>
              <w:position w:val="-4"/>
              <w:lang w:val="en-GB"/>
            </w:rPr>
          </w:pPr>
          <w:r w:rsidRPr="00537B86">
            <w:rPr>
              <w:spacing w:val="4"/>
              <w:w w:val="103"/>
              <w:kern w:val="14"/>
              <w:position w:val="-4"/>
              <w:sz w:val="40"/>
              <w:lang w:val="en-GB"/>
            </w:rPr>
            <w:t>DP</w:t>
          </w:r>
          <w:r w:rsidRPr="00537B86">
            <w:rPr>
              <w:spacing w:val="4"/>
              <w:w w:val="103"/>
              <w:kern w:val="14"/>
              <w:position w:val="-4"/>
              <w:lang w:val="en-GB"/>
            </w:rPr>
            <w:t>/DCP/</w:t>
          </w:r>
          <w:r>
            <w:rPr>
              <w:spacing w:val="4"/>
              <w:w w:val="103"/>
              <w:kern w:val="14"/>
              <w:position w:val="-4"/>
              <w:lang w:val="en-GB"/>
            </w:rPr>
            <w:t>PHL</w:t>
          </w:r>
          <w:r w:rsidRPr="00537B86">
            <w:rPr>
              <w:spacing w:val="4"/>
              <w:w w:val="103"/>
              <w:kern w:val="14"/>
              <w:position w:val="-4"/>
              <w:lang w:val="en-GB"/>
            </w:rPr>
            <w:t>/</w:t>
          </w:r>
          <w:r>
            <w:rPr>
              <w:spacing w:val="4"/>
              <w:w w:val="103"/>
              <w:kern w:val="14"/>
              <w:position w:val="-4"/>
              <w:lang w:val="en-GB"/>
            </w:rPr>
            <w:t>3</w:t>
          </w:r>
        </w:p>
      </w:tc>
    </w:tr>
    <w:tr w:rsidR="00061EA9" w:rsidRPr="00537B86" w14:paraId="78416D9C" w14:textId="77777777" w:rsidTr="00052AFA">
      <w:trPr>
        <w:gridAfter w:val="1"/>
        <w:wAfter w:w="28" w:type="dxa"/>
        <w:trHeight w:hRule="exact" w:val="2880"/>
      </w:trPr>
      <w:tc>
        <w:tcPr>
          <w:tcW w:w="1267" w:type="dxa"/>
          <w:tcBorders>
            <w:top w:val="single" w:sz="4" w:space="0" w:color="auto"/>
            <w:bottom w:val="single" w:sz="12" w:space="0" w:color="auto"/>
          </w:tcBorders>
          <w:shd w:val="clear" w:color="auto" w:fill="auto"/>
        </w:tcPr>
        <w:p w14:paraId="7D4CBCDF" w14:textId="77777777" w:rsidR="00061EA9" w:rsidRPr="00537B86" w:rsidRDefault="00061EA9" w:rsidP="00052AFA">
          <w:pPr>
            <w:tabs>
              <w:tab w:val="center" w:pos="4320"/>
              <w:tab w:val="right" w:pos="8640"/>
            </w:tabs>
            <w:spacing w:before="109"/>
            <w:rPr>
              <w:noProof/>
              <w:sz w:val="17"/>
            </w:rPr>
          </w:pPr>
          <w:r w:rsidRPr="00537B86">
            <w:rPr>
              <w:noProof/>
              <w:sz w:val="17"/>
            </w:rPr>
            <w:t xml:space="preserve"> </w:t>
          </w:r>
          <w:r w:rsidRPr="00F02CF4">
            <w:rPr>
              <w:noProof/>
              <w:sz w:val="17"/>
            </w:rPr>
            <w:drawing>
              <wp:inline distT="0" distB="0" distL="0" distR="0" wp14:anchorId="408A95A3" wp14:editId="1F9B5EB1">
                <wp:extent cx="714375" cy="590550"/>
                <wp:effectExtent l="0" t="0" r="9525" b="0"/>
                <wp:docPr id="30" name="Picture 30"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p w14:paraId="03F6BABD" w14:textId="77777777" w:rsidR="00061EA9" w:rsidRPr="00537B86" w:rsidRDefault="00061EA9" w:rsidP="00052AFA">
          <w:pPr>
            <w:tabs>
              <w:tab w:val="center" w:pos="4320"/>
              <w:tab w:val="right" w:pos="8640"/>
            </w:tabs>
            <w:spacing w:before="109"/>
            <w:rPr>
              <w:noProof/>
              <w:sz w:val="17"/>
            </w:rPr>
          </w:pPr>
        </w:p>
      </w:tc>
      <w:tc>
        <w:tcPr>
          <w:tcW w:w="5227" w:type="dxa"/>
          <w:gridSpan w:val="3"/>
          <w:tcBorders>
            <w:top w:val="single" w:sz="4" w:space="0" w:color="auto"/>
            <w:bottom w:val="single" w:sz="12" w:space="0" w:color="auto"/>
          </w:tcBorders>
          <w:shd w:val="clear" w:color="auto" w:fill="auto"/>
        </w:tcPr>
        <w:p w14:paraId="3F9A2634" w14:textId="77777777" w:rsidR="00061EA9" w:rsidRPr="008E0FAB" w:rsidRDefault="00061EA9" w:rsidP="00052AF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09"/>
            <w:outlineLvl w:val="0"/>
            <w:rPr>
              <w:b/>
              <w:spacing w:val="-4"/>
              <w:w w:val="98"/>
              <w:kern w:val="14"/>
              <w:sz w:val="34"/>
            </w:rPr>
          </w:pPr>
          <w:r w:rsidRPr="00135684">
            <w:rPr>
              <w:b/>
              <w:sz w:val="34"/>
            </w:rPr>
            <w:t>Executive Board of the</w:t>
          </w:r>
          <w:r w:rsidRPr="00135684">
            <w:rPr>
              <w:b/>
              <w:sz w:val="34"/>
            </w:rPr>
            <w:br/>
            <w:t>United Nations Development</w:t>
          </w:r>
          <w:r w:rsidRPr="00135684">
            <w:rPr>
              <w:b/>
              <w:sz w:val="34"/>
            </w:rPr>
            <w:br/>
            <w:t>Programme, the United Nations Population Fund and the United Nations Office for Project Services</w:t>
          </w:r>
        </w:p>
        <w:p w14:paraId="2B66A4BA" w14:textId="26A4EF95" w:rsidR="00061EA9" w:rsidRPr="00537B86" w:rsidRDefault="00061EA9" w:rsidP="00052AF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09" w:line="330" w:lineRule="exact"/>
            <w:outlineLvl w:val="0"/>
            <w:rPr>
              <w:b/>
              <w:spacing w:val="-4"/>
              <w:w w:val="98"/>
              <w:kern w:val="14"/>
              <w:sz w:val="34"/>
              <w:lang w:val="en-GB"/>
            </w:rPr>
          </w:pPr>
        </w:p>
      </w:tc>
      <w:tc>
        <w:tcPr>
          <w:tcW w:w="245" w:type="dxa"/>
          <w:tcBorders>
            <w:top w:val="single" w:sz="4" w:space="0" w:color="auto"/>
            <w:bottom w:val="single" w:sz="12" w:space="0" w:color="auto"/>
          </w:tcBorders>
          <w:shd w:val="clear" w:color="auto" w:fill="auto"/>
        </w:tcPr>
        <w:p w14:paraId="1BCA32AA" w14:textId="77777777" w:rsidR="00061EA9" w:rsidRPr="00537B86" w:rsidRDefault="00061EA9" w:rsidP="00052AFA">
          <w:pPr>
            <w:tabs>
              <w:tab w:val="center" w:pos="4320"/>
              <w:tab w:val="right" w:pos="8640"/>
            </w:tabs>
            <w:spacing w:before="109"/>
            <w:rPr>
              <w:noProof/>
              <w:sz w:val="17"/>
            </w:rPr>
          </w:pPr>
        </w:p>
      </w:tc>
      <w:tc>
        <w:tcPr>
          <w:tcW w:w="3140" w:type="dxa"/>
          <w:tcBorders>
            <w:top w:val="single" w:sz="4" w:space="0" w:color="auto"/>
            <w:bottom w:val="single" w:sz="12" w:space="0" w:color="auto"/>
          </w:tcBorders>
          <w:shd w:val="clear" w:color="auto" w:fill="auto"/>
        </w:tcPr>
        <w:p w14:paraId="370654FD" w14:textId="77777777" w:rsidR="00061EA9" w:rsidRPr="00537B86" w:rsidRDefault="00061EA9" w:rsidP="00052AFA">
          <w:pPr>
            <w:suppressAutoHyphens/>
            <w:spacing w:before="240" w:line="240" w:lineRule="exact"/>
            <w:rPr>
              <w:spacing w:val="4"/>
              <w:w w:val="103"/>
              <w:kern w:val="14"/>
              <w:lang w:val="en-GB"/>
            </w:rPr>
          </w:pPr>
          <w:r w:rsidRPr="00537B86">
            <w:rPr>
              <w:spacing w:val="4"/>
              <w:w w:val="103"/>
              <w:kern w:val="14"/>
              <w:lang w:val="en-GB"/>
            </w:rPr>
            <w:t>Distr.: General</w:t>
          </w:r>
        </w:p>
        <w:p w14:paraId="08F72E5A" w14:textId="1A3CF913" w:rsidR="00061EA9" w:rsidRPr="00537B86" w:rsidRDefault="008A35C3" w:rsidP="00052AFA">
          <w:pPr>
            <w:suppressAutoHyphens/>
            <w:spacing w:line="240" w:lineRule="exact"/>
            <w:rPr>
              <w:spacing w:val="4"/>
              <w:w w:val="103"/>
              <w:kern w:val="14"/>
              <w:lang w:val="en-GB"/>
            </w:rPr>
          </w:pPr>
          <w:r>
            <w:rPr>
              <w:spacing w:val="4"/>
              <w:w w:val="103"/>
              <w:kern w:val="14"/>
              <w:lang w:val="en-GB"/>
            </w:rPr>
            <w:t>12</w:t>
          </w:r>
          <w:r w:rsidR="00061EA9" w:rsidRPr="00537B86">
            <w:rPr>
              <w:spacing w:val="4"/>
              <w:w w:val="103"/>
              <w:kern w:val="14"/>
              <w:lang w:val="en-GB"/>
            </w:rPr>
            <w:t xml:space="preserve"> </w:t>
          </w:r>
          <w:r w:rsidR="00E319E0">
            <w:rPr>
              <w:spacing w:val="4"/>
              <w:w w:val="103"/>
              <w:kern w:val="14"/>
              <w:lang w:val="en-GB"/>
            </w:rPr>
            <w:t>June</w:t>
          </w:r>
          <w:r w:rsidR="00061EA9">
            <w:rPr>
              <w:spacing w:val="4"/>
              <w:w w:val="103"/>
              <w:kern w:val="14"/>
              <w:lang w:val="en-GB"/>
            </w:rPr>
            <w:t xml:space="preserve"> </w:t>
          </w:r>
          <w:r w:rsidR="00061EA9" w:rsidRPr="00537B86">
            <w:rPr>
              <w:spacing w:val="4"/>
              <w:w w:val="103"/>
              <w:kern w:val="14"/>
              <w:lang w:val="en-GB"/>
            </w:rPr>
            <w:t>201</w:t>
          </w:r>
          <w:r w:rsidR="00061EA9">
            <w:rPr>
              <w:spacing w:val="4"/>
              <w:w w:val="103"/>
              <w:kern w:val="14"/>
              <w:lang w:val="en-GB"/>
            </w:rPr>
            <w:t>8</w:t>
          </w:r>
        </w:p>
        <w:p w14:paraId="0DB9EE44" w14:textId="77777777" w:rsidR="00061EA9" w:rsidRPr="00537B86" w:rsidRDefault="00061EA9" w:rsidP="00052AFA">
          <w:pPr>
            <w:suppressAutoHyphens/>
            <w:spacing w:line="240" w:lineRule="exact"/>
            <w:rPr>
              <w:spacing w:val="4"/>
              <w:w w:val="103"/>
              <w:kern w:val="14"/>
              <w:lang w:val="en-GB"/>
            </w:rPr>
          </w:pPr>
        </w:p>
        <w:p w14:paraId="30F669B1" w14:textId="77777777" w:rsidR="00061EA9" w:rsidRPr="00537B86" w:rsidRDefault="00061EA9" w:rsidP="00052AFA">
          <w:pPr>
            <w:suppressAutoHyphens/>
            <w:spacing w:line="240" w:lineRule="exact"/>
            <w:rPr>
              <w:spacing w:val="4"/>
              <w:w w:val="103"/>
              <w:kern w:val="14"/>
              <w:lang w:val="en-GB"/>
            </w:rPr>
          </w:pPr>
          <w:r w:rsidRPr="00537B86">
            <w:rPr>
              <w:spacing w:val="4"/>
              <w:w w:val="103"/>
              <w:kern w:val="14"/>
              <w:lang w:val="en-GB"/>
            </w:rPr>
            <w:t>Original: English</w:t>
          </w:r>
        </w:p>
      </w:tc>
    </w:tr>
  </w:tbl>
  <w:p w14:paraId="0116F05D" w14:textId="77777777" w:rsidR="00061EA9" w:rsidRPr="00ED5757" w:rsidRDefault="00061EA9">
    <w:pPr>
      <w:pStyle w:val="Header"/>
      <w:rPr>
        <w:sz w:val="2"/>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061EA9" w:rsidRPr="004E1C45" w14:paraId="15F00231" w14:textId="77777777" w:rsidTr="00052AFA">
      <w:trPr>
        <w:trHeight w:hRule="exact" w:val="864"/>
      </w:trPr>
      <w:tc>
        <w:tcPr>
          <w:tcW w:w="4838" w:type="dxa"/>
          <w:tcBorders>
            <w:bottom w:val="single" w:sz="4" w:space="0" w:color="auto"/>
          </w:tcBorders>
          <w:vAlign w:val="bottom"/>
        </w:tcPr>
        <w:p w14:paraId="71943B1B" w14:textId="1190B243" w:rsidR="00061EA9" w:rsidRPr="004E1C45" w:rsidRDefault="00061EA9" w:rsidP="004E1C45">
          <w:pPr>
            <w:widowControl w:val="0"/>
            <w:tabs>
              <w:tab w:val="center" w:pos="4320"/>
              <w:tab w:val="right" w:pos="8640"/>
            </w:tabs>
            <w:spacing w:after="80"/>
            <w:rPr>
              <w:b/>
              <w:sz w:val="17"/>
              <w:szCs w:val="17"/>
            </w:rPr>
          </w:pPr>
          <w:r w:rsidRPr="004E1C45">
            <w:rPr>
              <w:b/>
              <w:sz w:val="17"/>
              <w:szCs w:val="17"/>
            </w:rPr>
            <w:t>DP/DCP/</w:t>
          </w:r>
          <w:r>
            <w:rPr>
              <w:b/>
              <w:sz w:val="17"/>
              <w:szCs w:val="17"/>
            </w:rPr>
            <w:t>PHL</w:t>
          </w:r>
          <w:r w:rsidRPr="004E1C45">
            <w:rPr>
              <w:b/>
              <w:sz w:val="17"/>
              <w:szCs w:val="17"/>
            </w:rPr>
            <w:t>/3</w:t>
          </w:r>
        </w:p>
      </w:tc>
      <w:tc>
        <w:tcPr>
          <w:tcW w:w="5047" w:type="dxa"/>
          <w:tcBorders>
            <w:bottom w:val="single" w:sz="4" w:space="0" w:color="auto"/>
          </w:tcBorders>
          <w:vAlign w:val="bottom"/>
        </w:tcPr>
        <w:p w14:paraId="5EAC601C" w14:textId="77777777" w:rsidR="00061EA9" w:rsidRPr="004E1C45" w:rsidRDefault="00061EA9" w:rsidP="004E1C45">
          <w:pPr>
            <w:widowControl w:val="0"/>
            <w:tabs>
              <w:tab w:val="center" w:pos="4320"/>
              <w:tab w:val="right" w:pos="8640"/>
            </w:tabs>
            <w:rPr>
              <w:sz w:val="17"/>
              <w:szCs w:val="17"/>
            </w:rPr>
          </w:pPr>
        </w:p>
      </w:tc>
    </w:tr>
  </w:tbl>
  <w:p w14:paraId="0C347F83" w14:textId="44E10444" w:rsidR="00061EA9" w:rsidRPr="00014D32" w:rsidRDefault="00061EA9">
    <w:pPr>
      <w:pStyle w:val="Head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5" w:type="dxa"/>
      <w:tblInd w:w="-255"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061EA9" w:rsidRPr="007F4F4D" w14:paraId="7BE5CBE8" w14:textId="77777777" w:rsidTr="00052AFA">
      <w:trPr>
        <w:trHeight w:hRule="exact" w:val="864"/>
      </w:trPr>
      <w:tc>
        <w:tcPr>
          <w:tcW w:w="4838" w:type="dxa"/>
          <w:tcBorders>
            <w:bottom w:val="single" w:sz="4" w:space="0" w:color="auto"/>
          </w:tcBorders>
          <w:vAlign w:val="bottom"/>
        </w:tcPr>
        <w:p w14:paraId="7BCA77FC" w14:textId="77777777" w:rsidR="00061EA9" w:rsidRPr="007F4F4D" w:rsidRDefault="00061EA9" w:rsidP="007F4F4D">
          <w:pPr>
            <w:widowControl w:val="0"/>
            <w:tabs>
              <w:tab w:val="center" w:pos="4320"/>
              <w:tab w:val="right" w:pos="8640"/>
            </w:tabs>
            <w:spacing w:after="80"/>
            <w:rPr>
              <w:b/>
              <w:sz w:val="17"/>
              <w:szCs w:val="17"/>
            </w:rPr>
          </w:pPr>
        </w:p>
      </w:tc>
      <w:tc>
        <w:tcPr>
          <w:tcW w:w="5047" w:type="dxa"/>
          <w:tcBorders>
            <w:bottom w:val="single" w:sz="4" w:space="0" w:color="auto"/>
          </w:tcBorders>
          <w:vAlign w:val="bottom"/>
        </w:tcPr>
        <w:p w14:paraId="216A08F1" w14:textId="3276735F" w:rsidR="00061EA9" w:rsidRPr="007F4F4D" w:rsidRDefault="00061EA9" w:rsidP="007F4F4D">
          <w:pPr>
            <w:widowControl w:val="0"/>
            <w:tabs>
              <w:tab w:val="center" w:pos="4320"/>
              <w:tab w:val="right" w:pos="8640"/>
            </w:tabs>
            <w:jc w:val="right"/>
            <w:rPr>
              <w:sz w:val="17"/>
              <w:szCs w:val="17"/>
            </w:rPr>
          </w:pPr>
          <w:r w:rsidRPr="007F4F4D">
            <w:rPr>
              <w:b/>
              <w:sz w:val="17"/>
              <w:szCs w:val="17"/>
            </w:rPr>
            <w:t>DP/DCP/</w:t>
          </w:r>
          <w:r>
            <w:rPr>
              <w:b/>
              <w:sz w:val="17"/>
              <w:szCs w:val="17"/>
            </w:rPr>
            <w:t>PHL</w:t>
          </w:r>
          <w:r w:rsidRPr="007F4F4D">
            <w:rPr>
              <w:b/>
              <w:sz w:val="17"/>
              <w:szCs w:val="17"/>
            </w:rPr>
            <w:t>/3</w:t>
          </w:r>
        </w:p>
      </w:tc>
    </w:tr>
  </w:tbl>
  <w:p w14:paraId="3AC37CB8" w14:textId="77777777" w:rsidR="00061EA9" w:rsidRPr="00014D32" w:rsidRDefault="00061EA9">
    <w:pPr>
      <w:pStyle w:val="Header"/>
      <w:rPr>
        <w:sz w:val="16"/>
        <w:szCs w:val="16"/>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400" w:type="dxa"/>
      <w:tblInd w:w="-540" w:type="dxa"/>
      <w:tblBorders>
        <w:bottom w:val="single" w:sz="4" w:space="0" w:color="auto"/>
      </w:tblBorders>
      <w:tblLayout w:type="fixed"/>
      <w:tblCellMar>
        <w:left w:w="0" w:type="dxa"/>
        <w:right w:w="0" w:type="dxa"/>
      </w:tblCellMar>
      <w:tblLook w:val="0000" w:firstRow="0" w:lastRow="0" w:firstColumn="0" w:lastColumn="0" w:noHBand="0" w:noVBand="0"/>
    </w:tblPr>
    <w:tblGrid>
      <w:gridCol w:w="5378"/>
      <w:gridCol w:w="9022"/>
    </w:tblGrid>
    <w:tr w:rsidR="00061EA9" w:rsidRPr="004E1C45" w14:paraId="784C01A6" w14:textId="77777777" w:rsidTr="009E0D57">
      <w:trPr>
        <w:trHeight w:hRule="exact" w:val="864"/>
      </w:trPr>
      <w:tc>
        <w:tcPr>
          <w:tcW w:w="5378" w:type="dxa"/>
          <w:tcBorders>
            <w:bottom w:val="single" w:sz="4" w:space="0" w:color="auto"/>
          </w:tcBorders>
          <w:vAlign w:val="bottom"/>
        </w:tcPr>
        <w:p w14:paraId="28455BAF" w14:textId="77777777" w:rsidR="00061EA9" w:rsidRPr="004E1C45" w:rsidRDefault="00061EA9" w:rsidP="00A426D9">
          <w:pPr>
            <w:widowControl w:val="0"/>
            <w:tabs>
              <w:tab w:val="center" w:pos="4320"/>
              <w:tab w:val="right" w:pos="8640"/>
            </w:tabs>
            <w:spacing w:after="80"/>
            <w:ind w:left="-630" w:firstLine="630"/>
            <w:rPr>
              <w:b/>
              <w:sz w:val="17"/>
              <w:szCs w:val="17"/>
            </w:rPr>
          </w:pPr>
          <w:r w:rsidRPr="004E1C45">
            <w:rPr>
              <w:b/>
              <w:sz w:val="17"/>
              <w:szCs w:val="17"/>
            </w:rPr>
            <w:t>DP/DCP/</w:t>
          </w:r>
          <w:r>
            <w:rPr>
              <w:b/>
              <w:sz w:val="17"/>
              <w:szCs w:val="17"/>
            </w:rPr>
            <w:t>PHL</w:t>
          </w:r>
          <w:r w:rsidRPr="004E1C45">
            <w:rPr>
              <w:b/>
              <w:sz w:val="17"/>
              <w:szCs w:val="17"/>
            </w:rPr>
            <w:t>/3</w:t>
          </w:r>
        </w:p>
      </w:tc>
      <w:tc>
        <w:tcPr>
          <w:tcW w:w="9022" w:type="dxa"/>
          <w:tcBorders>
            <w:bottom w:val="single" w:sz="4" w:space="0" w:color="auto"/>
          </w:tcBorders>
          <w:vAlign w:val="bottom"/>
        </w:tcPr>
        <w:p w14:paraId="07DB0498" w14:textId="77777777" w:rsidR="00061EA9" w:rsidRPr="004E1C45" w:rsidRDefault="00061EA9" w:rsidP="004E1C45">
          <w:pPr>
            <w:widowControl w:val="0"/>
            <w:tabs>
              <w:tab w:val="center" w:pos="4320"/>
              <w:tab w:val="right" w:pos="8640"/>
            </w:tabs>
            <w:rPr>
              <w:sz w:val="17"/>
              <w:szCs w:val="17"/>
            </w:rPr>
          </w:pPr>
        </w:p>
      </w:tc>
    </w:tr>
  </w:tbl>
  <w:p w14:paraId="16E8339F" w14:textId="77777777" w:rsidR="00061EA9" w:rsidRPr="007204A1" w:rsidRDefault="00061EA9">
    <w:pPr>
      <w:pStyle w:val="Head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025" w:type="dxa"/>
      <w:tblInd w:w="-255"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9187"/>
    </w:tblGrid>
    <w:tr w:rsidR="00061EA9" w:rsidRPr="007F4F4D" w14:paraId="2EAFCF96" w14:textId="77777777" w:rsidTr="007F4F4D">
      <w:trPr>
        <w:trHeight w:hRule="exact" w:val="864"/>
      </w:trPr>
      <w:tc>
        <w:tcPr>
          <w:tcW w:w="4838" w:type="dxa"/>
          <w:tcBorders>
            <w:bottom w:val="single" w:sz="4" w:space="0" w:color="auto"/>
          </w:tcBorders>
          <w:vAlign w:val="bottom"/>
        </w:tcPr>
        <w:p w14:paraId="75C986CC" w14:textId="77777777" w:rsidR="00061EA9" w:rsidRPr="007F4F4D" w:rsidRDefault="00061EA9" w:rsidP="007F4F4D">
          <w:pPr>
            <w:widowControl w:val="0"/>
            <w:tabs>
              <w:tab w:val="center" w:pos="4320"/>
              <w:tab w:val="right" w:pos="8640"/>
            </w:tabs>
            <w:spacing w:after="80"/>
            <w:rPr>
              <w:b/>
              <w:sz w:val="17"/>
              <w:szCs w:val="17"/>
            </w:rPr>
          </w:pPr>
        </w:p>
      </w:tc>
      <w:tc>
        <w:tcPr>
          <w:tcW w:w="9187" w:type="dxa"/>
          <w:tcBorders>
            <w:bottom w:val="single" w:sz="4" w:space="0" w:color="auto"/>
          </w:tcBorders>
          <w:vAlign w:val="bottom"/>
        </w:tcPr>
        <w:p w14:paraId="4F453FDD" w14:textId="77777777" w:rsidR="00061EA9" w:rsidRPr="007F4F4D" w:rsidRDefault="00061EA9" w:rsidP="007F4F4D">
          <w:pPr>
            <w:widowControl w:val="0"/>
            <w:tabs>
              <w:tab w:val="center" w:pos="4320"/>
              <w:tab w:val="right" w:pos="8640"/>
            </w:tabs>
            <w:jc w:val="right"/>
            <w:rPr>
              <w:sz w:val="17"/>
              <w:szCs w:val="17"/>
            </w:rPr>
          </w:pPr>
          <w:r w:rsidRPr="007F4F4D">
            <w:rPr>
              <w:b/>
              <w:sz w:val="17"/>
              <w:szCs w:val="17"/>
            </w:rPr>
            <w:t>DP/DCP/</w:t>
          </w:r>
          <w:r>
            <w:rPr>
              <w:b/>
              <w:sz w:val="17"/>
              <w:szCs w:val="17"/>
            </w:rPr>
            <w:t>PHL</w:t>
          </w:r>
          <w:r w:rsidRPr="007F4F4D">
            <w:rPr>
              <w:b/>
              <w:sz w:val="17"/>
              <w:szCs w:val="17"/>
            </w:rPr>
            <w:t>/3</w:t>
          </w:r>
        </w:p>
      </w:tc>
    </w:tr>
  </w:tbl>
  <w:p w14:paraId="29BB8037" w14:textId="77777777" w:rsidR="00061EA9" w:rsidRPr="007204A1" w:rsidRDefault="00061EA9">
    <w:pPr>
      <w:pStyle w:val="Header"/>
      <w:rPr>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6583"/>
    <w:multiLevelType w:val="multilevel"/>
    <w:tmpl w:val="192C3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3F1D9F"/>
    <w:multiLevelType w:val="multilevel"/>
    <w:tmpl w:val="1A709BD8"/>
    <w:lvl w:ilvl="0">
      <w:start w:val="1"/>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360" w:hanging="36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720" w:hanging="720"/>
      </w:pPr>
      <w:rPr>
        <w:b w:val="0"/>
      </w:rPr>
    </w:lvl>
    <w:lvl w:ilvl="6">
      <w:start w:val="1"/>
      <w:numFmt w:val="decimal"/>
      <w:lvlText w:val="%1.%2.%3.%4.%5.%6.%7"/>
      <w:lvlJc w:val="left"/>
      <w:pPr>
        <w:ind w:left="1080" w:hanging="1080"/>
      </w:pPr>
      <w:rPr>
        <w:b w:val="0"/>
      </w:rPr>
    </w:lvl>
    <w:lvl w:ilvl="7">
      <w:start w:val="1"/>
      <w:numFmt w:val="decimal"/>
      <w:lvlText w:val="%1.%2.%3.%4.%5.%6.%7.%8"/>
      <w:lvlJc w:val="left"/>
      <w:pPr>
        <w:ind w:left="1080" w:hanging="1080"/>
      </w:pPr>
      <w:rPr>
        <w:b w:val="0"/>
      </w:rPr>
    </w:lvl>
    <w:lvl w:ilvl="8">
      <w:start w:val="1"/>
      <w:numFmt w:val="decimal"/>
      <w:lvlText w:val="%1.%2.%3.%4.%5.%6.%7.%8.%9"/>
      <w:lvlJc w:val="left"/>
      <w:pPr>
        <w:ind w:left="1080" w:hanging="1080"/>
      </w:pPr>
      <w:rPr>
        <w:b w:val="0"/>
      </w:rPr>
    </w:lvl>
  </w:abstractNum>
  <w:abstractNum w:abstractNumId="2" w15:restartNumberingAfterBreak="0">
    <w:nsid w:val="0D496E85"/>
    <w:multiLevelType w:val="multilevel"/>
    <w:tmpl w:val="63703000"/>
    <w:lvl w:ilvl="0">
      <w:start w:val="1"/>
      <w:numFmt w:val="lowerLetter"/>
      <w:lvlText w:val="%1)"/>
      <w:lvlJc w:val="left"/>
      <w:pPr>
        <w:ind w:left="927" w:hanging="360"/>
      </w:pPr>
      <w:rPr>
        <w:rFonts w:ascii="Times New Roman" w:eastAsia="Times New Roman" w:hAnsi="Times New Roman" w:cs="Times New Roman"/>
        <w:sz w:val="16"/>
        <w:szCs w:val="16"/>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FF84D9A"/>
    <w:multiLevelType w:val="multilevel"/>
    <w:tmpl w:val="AFA0286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4" w15:restartNumberingAfterBreak="0">
    <w:nsid w:val="19D11D28"/>
    <w:multiLevelType w:val="hybridMultilevel"/>
    <w:tmpl w:val="7F52EFF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343E7"/>
    <w:multiLevelType w:val="hybridMultilevel"/>
    <w:tmpl w:val="3DCE9BB8"/>
    <w:lvl w:ilvl="0" w:tplc="51021992">
      <w:start w:val="1"/>
      <w:numFmt w:val="lowerLetter"/>
      <w:lvlText w:val="%1)"/>
      <w:lvlJc w:val="left"/>
      <w:pPr>
        <w:ind w:left="1620" w:hanging="360"/>
      </w:pPr>
      <w:rPr>
        <w:rFonts w:hint="default"/>
        <w:b/>
        <w:i/>
      </w:rPr>
    </w:lvl>
    <w:lvl w:ilvl="1" w:tplc="34090019" w:tentative="1">
      <w:start w:val="1"/>
      <w:numFmt w:val="lowerLetter"/>
      <w:lvlText w:val="%2."/>
      <w:lvlJc w:val="left"/>
      <w:pPr>
        <w:ind w:left="2340" w:hanging="360"/>
      </w:pPr>
    </w:lvl>
    <w:lvl w:ilvl="2" w:tplc="3409001B" w:tentative="1">
      <w:start w:val="1"/>
      <w:numFmt w:val="lowerRoman"/>
      <w:lvlText w:val="%3."/>
      <w:lvlJc w:val="right"/>
      <w:pPr>
        <w:ind w:left="3060" w:hanging="180"/>
      </w:pPr>
    </w:lvl>
    <w:lvl w:ilvl="3" w:tplc="3409000F" w:tentative="1">
      <w:start w:val="1"/>
      <w:numFmt w:val="decimal"/>
      <w:lvlText w:val="%4."/>
      <w:lvlJc w:val="left"/>
      <w:pPr>
        <w:ind w:left="3780" w:hanging="360"/>
      </w:pPr>
    </w:lvl>
    <w:lvl w:ilvl="4" w:tplc="34090019" w:tentative="1">
      <w:start w:val="1"/>
      <w:numFmt w:val="lowerLetter"/>
      <w:lvlText w:val="%5."/>
      <w:lvlJc w:val="left"/>
      <w:pPr>
        <w:ind w:left="4500" w:hanging="360"/>
      </w:pPr>
    </w:lvl>
    <w:lvl w:ilvl="5" w:tplc="3409001B" w:tentative="1">
      <w:start w:val="1"/>
      <w:numFmt w:val="lowerRoman"/>
      <w:lvlText w:val="%6."/>
      <w:lvlJc w:val="right"/>
      <w:pPr>
        <w:ind w:left="5220" w:hanging="180"/>
      </w:pPr>
    </w:lvl>
    <w:lvl w:ilvl="6" w:tplc="3409000F" w:tentative="1">
      <w:start w:val="1"/>
      <w:numFmt w:val="decimal"/>
      <w:lvlText w:val="%7."/>
      <w:lvlJc w:val="left"/>
      <w:pPr>
        <w:ind w:left="5940" w:hanging="360"/>
      </w:pPr>
    </w:lvl>
    <w:lvl w:ilvl="7" w:tplc="34090019" w:tentative="1">
      <w:start w:val="1"/>
      <w:numFmt w:val="lowerLetter"/>
      <w:lvlText w:val="%8."/>
      <w:lvlJc w:val="left"/>
      <w:pPr>
        <w:ind w:left="6660" w:hanging="360"/>
      </w:pPr>
    </w:lvl>
    <w:lvl w:ilvl="8" w:tplc="3409001B" w:tentative="1">
      <w:start w:val="1"/>
      <w:numFmt w:val="lowerRoman"/>
      <w:lvlText w:val="%9."/>
      <w:lvlJc w:val="right"/>
      <w:pPr>
        <w:ind w:left="7380" w:hanging="180"/>
      </w:pPr>
    </w:lvl>
  </w:abstractNum>
  <w:abstractNum w:abstractNumId="6" w15:restartNumberingAfterBreak="0">
    <w:nsid w:val="2DD030F3"/>
    <w:multiLevelType w:val="multilevel"/>
    <w:tmpl w:val="17C09A7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Letter"/>
      <w:lvlText w:val="%3."/>
      <w:lvlJc w:val="left"/>
      <w:pPr>
        <w:ind w:left="1800" w:hanging="360"/>
      </w:pPr>
    </w:lvl>
    <w:lvl w:ilvl="3">
      <w:start w:val="1"/>
      <w:numFmt w:val="lowerLetter"/>
      <w:lvlText w:val="%4."/>
      <w:lvlJc w:val="left"/>
      <w:pPr>
        <w:ind w:left="2520" w:hanging="360"/>
      </w:pPr>
    </w:lvl>
    <w:lvl w:ilvl="4">
      <w:start w:val="1"/>
      <w:numFmt w:val="lowerLetter"/>
      <w:lvlText w:val="%5."/>
      <w:lvlJc w:val="left"/>
      <w:pPr>
        <w:ind w:left="3240" w:hanging="360"/>
      </w:pPr>
    </w:lvl>
    <w:lvl w:ilvl="5">
      <w:start w:val="1"/>
      <w:numFmt w:val="lowerLetter"/>
      <w:lvlText w:val="%6."/>
      <w:lvlJc w:val="left"/>
      <w:pPr>
        <w:ind w:left="3960" w:hanging="360"/>
      </w:pPr>
    </w:lvl>
    <w:lvl w:ilvl="6">
      <w:start w:val="1"/>
      <w:numFmt w:val="lowerLetter"/>
      <w:lvlText w:val="%7."/>
      <w:lvlJc w:val="left"/>
      <w:pPr>
        <w:ind w:left="4680" w:hanging="360"/>
      </w:pPr>
    </w:lvl>
    <w:lvl w:ilvl="7">
      <w:start w:val="1"/>
      <w:numFmt w:val="lowerLetter"/>
      <w:lvlText w:val="%8."/>
      <w:lvlJc w:val="left"/>
      <w:pPr>
        <w:ind w:left="5400" w:hanging="360"/>
      </w:pPr>
    </w:lvl>
    <w:lvl w:ilvl="8">
      <w:start w:val="1"/>
      <w:numFmt w:val="lowerLetter"/>
      <w:lvlText w:val="%9."/>
      <w:lvlJc w:val="left"/>
      <w:pPr>
        <w:ind w:left="6120" w:hanging="360"/>
      </w:pPr>
    </w:lvl>
  </w:abstractNum>
  <w:abstractNum w:abstractNumId="7" w15:restartNumberingAfterBreak="0">
    <w:nsid w:val="3BD0630D"/>
    <w:multiLevelType w:val="multilevel"/>
    <w:tmpl w:val="4ACA8C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CA65EB6"/>
    <w:multiLevelType w:val="hybridMultilevel"/>
    <w:tmpl w:val="55C60F24"/>
    <w:lvl w:ilvl="0" w:tplc="FFFFFFF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BB2BF9"/>
    <w:multiLevelType w:val="multilevel"/>
    <w:tmpl w:val="7A20926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10" w15:restartNumberingAfterBreak="0">
    <w:nsid w:val="46375E0F"/>
    <w:multiLevelType w:val="multilevel"/>
    <w:tmpl w:val="8620EF4A"/>
    <w:name w:val="TOC3"/>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4891244D"/>
    <w:multiLevelType w:val="hybridMultilevel"/>
    <w:tmpl w:val="3DCE9BB8"/>
    <w:lvl w:ilvl="0" w:tplc="51021992">
      <w:start w:val="1"/>
      <w:numFmt w:val="lowerLetter"/>
      <w:lvlText w:val="%1)"/>
      <w:lvlJc w:val="left"/>
      <w:pPr>
        <w:ind w:left="1620" w:hanging="360"/>
      </w:pPr>
      <w:rPr>
        <w:rFonts w:hint="default"/>
        <w:b/>
        <w:i/>
      </w:rPr>
    </w:lvl>
    <w:lvl w:ilvl="1" w:tplc="34090019" w:tentative="1">
      <w:start w:val="1"/>
      <w:numFmt w:val="lowerLetter"/>
      <w:lvlText w:val="%2."/>
      <w:lvlJc w:val="left"/>
      <w:pPr>
        <w:ind w:left="2340" w:hanging="360"/>
      </w:pPr>
    </w:lvl>
    <w:lvl w:ilvl="2" w:tplc="3409001B" w:tentative="1">
      <w:start w:val="1"/>
      <w:numFmt w:val="lowerRoman"/>
      <w:lvlText w:val="%3."/>
      <w:lvlJc w:val="right"/>
      <w:pPr>
        <w:ind w:left="3060" w:hanging="180"/>
      </w:pPr>
    </w:lvl>
    <w:lvl w:ilvl="3" w:tplc="3409000F" w:tentative="1">
      <w:start w:val="1"/>
      <w:numFmt w:val="decimal"/>
      <w:lvlText w:val="%4."/>
      <w:lvlJc w:val="left"/>
      <w:pPr>
        <w:ind w:left="3780" w:hanging="360"/>
      </w:pPr>
    </w:lvl>
    <w:lvl w:ilvl="4" w:tplc="34090019" w:tentative="1">
      <w:start w:val="1"/>
      <w:numFmt w:val="lowerLetter"/>
      <w:lvlText w:val="%5."/>
      <w:lvlJc w:val="left"/>
      <w:pPr>
        <w:ind w:left="4500" w:hanging="360"/>
      </w:pPr>
    </w:lvl>
    <w:lvl w:ilvl="5" w:tplc="3409001B" w:tentative="1">
      <w:start w:val="1"/>
      <w:numFmt w:val="lowerRoman"/>
      <w:lvlText w:val="%6."/>
      <w:lvlJc w:val="right"/>
      <w:pPr>
        <w:ind w:left="5220" w:hanging="180"/>
      </w:pPr>
    </w:lvl>
    <w:lvl w:ilvl="6" w:tplc="3409000F" w:tentative="1">
      <w:start w:val="1"/>
      <w:numFmt w:val="decimal"/>
      <w:lvlText w:val="%7."/>
      <w:lvlJc w:val="left"/>
      <w:pPr>
        <w:ind w:left="5940" w:hanging="360"/>
      </w:pPr>
    </w:lvl>
    <w:lvl w:ilvl="7" w:tplc="34090019" w:tentative="1">
      <w:start w:val="1"/>
      <w:numFmt w:val="lowerLetter"/>
      <w:lvlText w:val="%8."/>
      <w:lvlJc w:val="left"/>
      <w:pPr>
        <w:ind w:left="6660" w:hanging="360"/>
      </w:pPr>
    </w:lvl>
    <w:lvl w:ilvl="8" w:tplc="3409001B" w:tentative="1">
      <w:start w:val="1"/>
      <w:numFmt w:val="lowerRoman"/>
      <w:lvlText w:val="%9."/>
      <w:lvlJc w:val="right"/>
      <w:pPr>
        <w:ind w:left="7380" w:hanging="180"/>
      </w:pPr>
    </w:lvl>
  </w:abstractNum>
  <w:abstractNum w:abstractNumId="12" w15:restartNumberingAfterBreak="0">
    <w:nsid w:val="4D4932D5"/>
    <w:multiLevelType w:val="multilevel"/>
    <w:tmpl w:val="B178B54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D934BE7"/>
    <w:multiLevelType w:val="multilevel"/>
    <w:tmpl w:val="4D52B1D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F1A6BE9"/>
    <w:multiLevelType w:val="multilevel"/>
    <w:tmpl w:val="2EF269D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F582A32"/>
    <w:multiLevelType w:val="hybridMultilevel"/>
    <w:tmpl w:val="FA342DA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253BB8"/>
    <w:multiLevelType w:val="multilevel"/>
    <w:tmpl w:val="7E8AF70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5BA470D8"/>
    <w:multiLevelType w:val="multilevel"/>
    <w:tmpl w:val="9D72877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24F3715"/>
    <w:multiLevelType w:val="multilevel"/>
    <w:tmpl w:val="63703000"/>
    <w:lvl w:ilvl="0">
      <w:start w:val="1"/>
      <w:numFmt w:val="lowerLetter"/>
      <w:lvlText w:val="%1)"/>
      <w:lvlJc w:val="left"/>
      <w:pPr>
        <w:ind w:left="927" w:hanging="360"/>
      </w:pPr>
      <w:rPr>
        <w:rFonts w:ascii="Times New Roman" w:eastAsia="Times New Roman" w:hAnsi="Times New Roman" w:cs="Times New Roman"/>
        <w:sz w:val="16"/>
        <w:szCs w:val="16"/>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65083AB7"/>
    <w:multiLevelType w:val="multilevel"/>
    <w:tmpl w:val="AFE6B060"/>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70732E8"/>
    <w:multiLevelType w:val="hybridMultilevel"/>
    <w:tmpl w:val="A060000A"/>
    <w:lvl w:ilvl="0" w:tplc="FFFFFFFF">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C60599"/>
    <w:multiLevelType w:val="hybridMultilevel"/>
    <w:tmpl w:val="03204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25456C"/>
    <w:multiLevelType w:val="multilevel"/>
    <w:tmpl w:val="02E2DB0C"/>
    <w:lvl w:ilvl="0">
      <w:start w:val="1"/>
      <w:numFmt w:val="lowerLetter"/>
      <w:lvlText w:val="%1)"/>
      <w:lvlJc w:val="left"/>
      <w:pPr>
        <w:ind w:left="1069" w:hanging="360"/>
      </w:pPr>
      <w:rPr>
        <w:sz w:val="16"/>
        <w:szCs w:val="16"/>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 w15:restartNumberingAfterBreak="0">
    <w:nsid w:val="6E4B74E8"/>
    <w:multiLevelType w:val="hybridMultilevel"/>
    <w:tmpl w:val="DC22AC0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D73FD3"/>
    <w:multiLevelType w:val="hybridMultilevel"/>
    <w:tmpl w:val="894A85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E95747"/>
    <w:multiLevelType w:val="multilevel"/>
    <w:tmpl w:val="182A63CA"/>
    <w:lvl w:ilvl="0">
      <w:start w:val="1"/>
      <w:numFmt w:val="lowerLetter"/>
      <w:lvlText w:val="%1)"/>
      <w:lvlJc w:val="left"/>
      <w:pPr>
        <w:ind w:left="1069" w:hanging="360"/>
      </w:pPr>
      <w:rPr>
        <w:rFonts w:ascii="Times New Roman" w:eastAsia="Times New Roman" w:hAnsi="Times New Roman" w:cs="Times New Roman"/>
        <w:sz w:val="16"/>
        <w:szCs w:val="16"/>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15:restartNumberingAfterBreak="0">
    <w:nsid w:val="71F342BE"/>
    <w:multiLevelType w:val="multilevel"/>
    <w:tmpl w:val="4F08410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75B57D65"/>
    <w:multiLevelType w:val="multilevel"/>
    <w:tmpl w:val="DF3A422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E1C4B76"/>
    <w:multiLevelType w:val="multilevel"/>
    <w:tmpl w:val="5EEA9B1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24"/>
  </w:num>
  <w:num w:numId="2">
    <w:abstractNumId w:val="11"/>
  </w:num>
  <w:num w:numId="3">
    <w:abstractNumId w:val="25"/>
  </w:num>
  <w:num w:numId="4">
    <w:abstractNumId w:val="2"/>
  </w:num>
  <w:num w:numId="5">
    <w:abstractNumId w:val="17"/>
  </w:num>
  <w:num w:numId="6">
    <w:abstractNumId w:val="3"/>
  </w:num>
  <w:num w:numId="7">
    <w:abstractNumId w:val="7"/>
  </w:num>
  <w:num w:numId="8">
    <w:abstractNumId w:val="9"/>
  </w:num>
  <w:num w:numId="9">
    <w:abstractNumId w:val="22"/>
  </w:num>
  <w:num w:numId="10">
    <w:abstractNumId w:val="1"/>
  </w:num>
  <w:num w:numId="11">
    <w:abstractNumId w:val="6"/>
  </w:num>
  <w:num w:numId="12">
    <w:abstractNumId w:val="16"/>
  </w:num>
  <w:num w:numId="13">
    <w:abstractNumId w:val="26"/>
  </w:num>
  <w:num w:numId="14">
    <w:abstractNumId w:val="28"/>
  </w:num>
  <w:num w:numId="15">
    <w:abstractNumId w:val="18"/>
  </w:num>
  <w:num w:numId="16">
    <w:abstractNumId w:val="5"/>
  </w:num>
  <w:num w:numId="17">
    <w:abstractNumId w:val="15"/>
  </w:num>
  <w:num w:numId="18">
    <w:abstractNumId w:val="8"/>
  </w:num>
  <w:num w:numId="19">
    <w:abstractNumId w:val="20"/>
  </w:num>
  <w:num w:numId="20">
    <w:abstractNumId w:val="23"/>
  </w:num>
  <w:num w:numId="21">
    <w:abstractNumId w:val="4"/>
  </w:num>
  <w:num w:numId="22">
    <w:abstractNumId w:val="21"/>
  </w:num>
  <w:num w:numId="23">
    <w:abstractNumId w:val="10"/>
  </w:num>
  <w:num w:numId="24">
    <w:abstractNumId w:val="13"/>
  </w:num>
  <w:num w:numId="25">
    <w:abstractNumId w:val="12"/>
  </w:num>
  <w:num w:numId="26">
    <w:abstractNumId w:val="27"/>
  </w:num>
  <w:num w:numId="27">
    <w:abstractNumId w:val="19"/>
  </w:num>
  <w:num w:numId="28">
    <w:abstractNumId w:val="0"/>
  </w:num>
  <w:num w:numId="29">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720"/>
  <w:doNotHyphenateCaps/>
  <w:evenAndOddHeaders/>
  <w:drawingGridHorizontalSpacing w:val="100"/>
  <w:drawingGridVerticalSpacing w:val="136"/>
  <w:displayHorizontalDrawingGridEvery w:val="2"/>
  <w:displayVerticalDrawingGridEvery w:val="2"/>
  <w:characterSpacingControl w:val="doNotCompress"/>
  <w:doNotValidateAgainstSchema/>
  <w:doNotDemarcateInvalidXml/>
  <w:hdrShapeDefaults>
    <o:shapedefaults v:ext="edit" spidmax="2049"/>
  </w:hdrShapeDefaults>
  <w:footnotePr>
    <w:numRestart w:val="eachSect"/>
    <w:footnote w:id="-1"/>
    <w:footnote w:id="0"/>
    <w:footnote w:id="1"/>
  </w:footnotePr>
  <w:endnotePr>
    <w:numFmt w:val="decimal"/>
    <w:numStart w:val="7"/>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53B"/>
    <w:rsid w:val="00000BC4"/>
    <w:rsid w:val="000010B5"/>
    <w:rsid w:val="000027D2"/>
    <w:rsid w:val="00004D27"/>
    <w:rsid w:val="00004D51"/>
    <w:rsid w:val="00005260"/>
    <w:rsid w:val="00005E26"/>
    <w:rsid w:val="0000712F"/>
    <w:rsid w:val="00010262"/>
    <w:rsid w:val="00010599"/>
    <w:rsid w:val="000106BA"/>
    <w:rsid w:val="000122BB"/>
    <w:rsid w:val="00012AA2"/>
    <w:rsid w:val="0001309E"/>
    <w:rsid w:val="000138D0"/>
    <w:rsid w:val="00013DD7"/>
    <w:rsid w:val="00014D32"/>
    <w:rsid w:val="00015D3C"/>
    <w:rsid w:val="00015FDE"/>
    <w:rsid w:val="00016217"/>
    <w:rsid w:val="00016861"/>
    <w:rsid w:val="00016893"/>
    <w:rsid w:val="000168A9"/>
    <w:rsid w:val="00016E5E"/>
    <w:rsid w:val="00017257"/>
    <w:rsid w:val="00017E6C"/>
    <w:rsid w:val="000200CF"/>
    <w:rsid w:val="00020301"/>
    <w:rsid w:val="000205F1"/>
    <w:rsid w:val="00020F56"/>
    <w:rsid w:val="00021EF2"/>
    <w:rsid w:val="00022047"/>
    <w:rsid w:val="00022CE6"/>
    <w:rsid w:val="000233AE"/>
    <w:rsid w:val="00025FBE"/>
    <w:rsid w:val="000274B9"/>
    <w:rsid w:val="0002758B"/>
    <w:rsid w:val="000276A0"/>
    <w:rsid w:val="000301E8"/>
    <w:rsid w:val="00030A0F"/>
    <w:rsid w:val="000330DB"/>
    <w:rsid w:val="000338AE"/>
    <w:rsid w:val="0003429F"/>
    <w:rsid w:val="0003562A"/>
    <w:rsid w:val="00036095"/>
    <w:rsid w:val="00036AF4"/>
    <w:rsid w:val="00037396"/>
    <w:rsid w:val="0003758E"/>
    <w:rsid w:val="00041C10"/>
    <w:rsid w:val="00041D36"/>
    <w:rsid w:val="00043804"/>
    <w:rsid w:val="000441A1"/>
    <w:rsid w:val="000446B8"/>
    <w:rsid w:val="00047DA2"/>
    <w:rsid w:val="00050869"/>
    <w:rsid w:val="00050D8E"/>
    <w:rsid w:val="000522EF"/>
    <w:rsid w:val="00052AFA"/>
    <w:rsid w:val="00053123"/>
    <w:rsid w:val="00053618"/>
    <w:rsid w:val="0005579F"/>
    <w:rsid w:val="00056143"/>
    <w:rsid w:val="000561C1"/>
    <w:rsid w:val="00056204"/>
    <w:rsid w:val="000570D1"/>
    <w:rsid w:val="000571A9"/>
    <w:rsid w:val="00060290"/>
    <w:rsid w:val="00061EA9"/>
    <w:rsid w:val="00063E24"/>
    <w:rsid w:val="000706E2"/>
    <w:rsid w:val="00071404"/>
    <w:rsid w:val="00072229"/>
    <w:rsid w:val="00073CF1"/>
    <w:rsid w:val="00074BD0"/>
    <w:rsid w:val="00074D9A"/>
    <w:rsid w:val="00074DB9"/>
    <w:rsid w:val="000753C4"/>
    <w:rsid w:val="00075604"/>
    <w:rsid w:val="00075DF0"/>
    <w:rsid w:val="00075EE9"/>
    <w:rsid w:val="000762AE"/>
    <w:rsid w:val="000762CA"/>
    <w:rsid w:val="000767A1"/>
    <w:rsid w:val="00076B88"/>
    <w:rsid w:val="0007759D"/>
    <w:rsid w:val="00077A59"/>
    <w:rsid w:val="000803A4"/>
    <w:rsid w:val="000806E3"/>
    <w:rsid w:val="00081C01"/>
    <w:rsid w:val="0008339E"/>
    <w:rsid w:val="00084D49"/>
    <w:rsid w:val="00086747"/>
    <w:rsid w:val="00090AD1"/>
    <w:rsid w:val="00090F4F"/>
    <w:rsid w:val="00091381"/>
    <w:rsid w:val="00091476"/>
    <w:rsid w:val="00092879"/>
    <w:rsid w:val="0009389D"/>
    <w:rsid w:val="00094E87"/>
    <w:rsid w:val="0009781C"/>
    <w:rsid w:val="00097FB2"/>
    <w:rsid w:val="000A0581"/>
    <w:rsid w:val="000A151D"/>
    <w:rsid w:val="000A24C5"/>
    <w:rsid w:val="000A3335"/>
    <w:rsid w:val="000A3F7F"/>
    <w:rsid w:val="000A40FB"/>
    <w:rsid w:val="000A4E36"/>
    <w:rsid w:val="000A4E64"/>
    <w:rsid w:val="000A7E34"/>
    <w:rsid w:val="000B15E9"/>
    <w:rsid w:val="000B1F8E"/>
    <w:rsid w:val="000B1FF9"/>
    <w:rsid w:val="000B3A13"/>
    <w:rsid w:val="000B4BB2"/>
    <w:rsid w:val="000B4E83"/>
    <w:rsid w:val="000B6379"/>
    <w:rsid w:val="000C1AFB"/>
    <w:rsid w:val="000C3896"/>
    <w:rsid w:val="000C5ABB"/>
    <w:rsid w:val="000C5D99"/>
    <w:rsid w:val="000C69F4"/>
    <w:rsid w:val="000C6B9C"/>
    <w:rsid w:val="000C7575"/>
    <w:rsid w:val="000C76B0"/>
    <w:rsid w:val="000C7BBE"/>
    <w:rsid w:val="000C7C0C"/>
    <w:rsid w:val="000C7F71"/>
    <w:rsid w:val="000D2475"/>
    <w:rsid w:val="000D442C"/>
    <w:rsid w:val="000D4449"/>
    <w:rsid w:val="000D4DC4"/>
    <w:rsid w:val="000D5A7D"/>
    <w:rsid w:val="000D73A3"/>
    <w:rsid w:val="000E085E"/>
    <w:rsid w:val="000E08E5"/>
    <w:rsid w:val="000E1412"/>
    <w:rsid w:val="000E612D"/>
    <w:rsid w:val="000E6AB1"/>
    <w:rsid w:val="000E745A"/>
    <w:rsid w:val="000E7E9E"/>
    <w:rsid w:val="000F0044"/>
    <w:rsid w:val="000F17FD"/>
    <w:rsid w:val="000F1EDD"/>
    <w:rsid w:val="000F4541"/>
    <w:rsid w:val="000F5541"/>
    <w:rsid w:val="000F703B"/>
    <w:rsid w:val="000F72ED"/>
    <w:rsid w:val="000F7A4C"/>
    <w:rsid w:val="001003E8"/>
    <w:rsid w:val="00105397"/>
    <w:rsid w:val="00106EF8"/>
    <w:rsid w:val="001072A6"/>
    <w:rsid w:val="001101A2"/>
    <w:rsid w:val="00111253"/>
    <w:rsid w:val="00111489"/>
    <w:rsid w:val="00111792"/>
    <w:rsid w:val="00111797"/>
    <w:rsid w:val="00111B19"/>
    <w:rsid w:val="00112193"/>
    <w:rsid w:val="00112A93"/>
    <w:rsid w:val="00114A64"/>
    <w:rsid w:val="00115F59"/>
    <w:rsid w:val="00116C1A"/>
    <w:rsid w:val="00116F8B"/>
    <w:rsid w:val="00117A07"/>
    <w:rsid w:val="00121F3E"/>
    <w:rsid w:val="0012229E"/>
    <w:rsid w:val="00123400"/>
    <w:rsid w:val="00123849"/>
    <w:rsid w:val="00123A5E"/>
    <w:rsid w:val="00125010"/>
    <w:rsid w:val="00125266"/>
    <w:rsid w:val="0012571C"/>
    <w:rsid w:val="00125B82"/>
    <w:rsid w:val="001273DC"/>
    <w:rsid w:val="00127C18"/>
    <w:rsid w:val="001302E6"/>
    <w:rsid w:val="001305E6"/>
    <w:rsid w:val="0013239A"/>
    <w:rsid w:val="00132D93"/>
    <w:rsid w:val="00134174"/>
    <w:rsid w:val="00134652"/>
    <w:rsid w:val="001351CC"/>
    <w:rsid w:val="00135D55"/>
    <w:rsid w:val="0013761A"/>
    <w:rsid w:val="001423A1"/>
    <w:rsid w:val="00142F02"/>
    <w:rsid w:val="0014423A"/>
    <w:rsid w:val="00144695"/>
    <w:rsid w:val="00147042"/>
    <w:rsid w:val="001471A7"/>
    <w:rsid w:val="001506F6"/>
    <w:rsid w:val="00152A13"/>
    <w:rsid w:val="00153D33"/>
    <w:rsid w:val="00154032"/>
    <w:rsid w:val="001547D3"/>
    <w:rsid w:val="001559BD"/>
    <w:rsid w:val="0015728C"/>
    <w:rsid w:val="00157579"/>
    <w:rsid w:val="00157F09"/>
    <w:rsid w:val="00157F79"/>
    <w:rsid w:val="0016089A"/>
    <w:rsid w:val="00160B29"/>
    <w:rsid w:val="0016203A"/>
    <w:rsid w:val="00162270"/>
    <w:rsid w:val="00163E84"/>
    <w:rsid w:val="00164516"/>
    <w:rsid w:val="00165311"/>
    <w:rsid w:val="001668AA"/>
    <w:rsid w:val="001674FB"/>
    <w:rsid w:val="001675B1"/>
    <w:rsid w:val="0016789D"/>
    <w:rsid w:val="00167B7B"/>
    <w:rsid w:val="00167C87"/>
    <w:rsid w:val="001700C0"/>
    <w:rsid w:val="001710ED"/>
    <w:rsid w:val="001725BB"/>
    <w:rsid w:val="001726B9"/>
    <w:rsid w:val="00172EE3"/>
    <w:rsid w:val="001735F7"/>
    <w:rsid w:val="0017421C"/>
    <w:rsid w:val="001751AC"/>
    <w:rsid w:val="00175E80"/>
    <w:rsid w:val="001764A8"/>
    <w:rsid w:val="001774B7"/>
    <w:rsid w:val="00177CAC"/>
    <w:rsid w:val="00177E7E"/>
    <w:rsid w:val="001801DA"/>
    <w:rsid w:val="00180C2D"/>
    <w:rsid w:val="00181925"/>
    <w:rsid w:val="00181C84"/>
    <w:rsid w:val="00181DD1"/>
    <w:rsid w:val="001821A6"/>
    <w:rsid w:val="0018356F"/>
    <w:rsid w:val="001835F9"/>
    <w:rsid w:val="00184FF0"/>
    <w:rsid w:val="0018647F"/>
    <w:rsid w:val="00186A69"/>
    <w:rsid w:val="001876C5"/>
    <w:rsid w:val="00187D68"/>
    <w:rsid w:val="00190155"/>
    <w:rsid w:val="001906B5"/>
    <w:rsid w:val="00191D52"/>
    <w:rsid w:val="00194163"/>
    <w:rsid w:val="00194FEB"/>
    <w:rsid w:val="001955B0"/>
    <w:rsid w:val="00195A5D"/>
    <w:rsid w:val="00195D9B"/>
    <w:rsid w:val="00196327"/>
    <w:rsid w:val="001970A4"/>
    <w:rsid w:val="00197AD1"/>
    <w:rsid w:val="001A04AB"/>
    <w:rsid w:val="001A0B35"/>
    <w:rsid w:val="001A165C"/>
    <w:rsid w:val="001A2004"/>
    <w:rsid w:val="001A26A4"/>
    <w:rsid w:val="001A3CC8"/>
    <w:rsid w:val="001A48A1"/>
    <w:rsid w:val="001A4F86"/>
    <w:rsid w:val="001A6BFA"/>
    <w:rsid w:val="001B0020"/>
    <w:rsid w:val="001B082D"/>
    <w:rsid w:val="001B13D5"/>
    <w:rsid w:val="001B13F6"/>
    <w:rsid w:val="001B19DE"/>
    <w:rsid w:val="001B37B8"/>
    <w:rsid w:val="001B3F87"/>
    <w:rsid w:val="001B4026"/>
    <w:rsid w:val="001B598C"/>
    <w:rsid w:val="001B6829"/>
    <w:rsid w:val="001B7122"/>
    <w:rsid w:val="001B76A6"/>
    <w:rsid w:val="001B7DD5"/>
    <w:rsid w:val="001C07F8"/>
    <w:rsid w:val="001C1147"/>
    <w:rsid w:val="001C1622"/>
    <w:rsid w:val="001C2F59"/>
    <w:rsid w:val="001C3B6F"/>
    <w:rsid w:val="001C3CB2"/>
    <w:rsid w:val="001C451F"/>
    <w:rsid w:val="001C4752"/>
    <w:rsid w:val="001C4EDA"/>
    <w:rsid w:val="001C6C08"/>
    <w:rsid w:val="001C6F84"/>
    <w:rsid w:val="001D07DB"/>
    <w:rsid w:val="001D2056"/>
    <w:rsid w:val="001D42D1"/>
    <w:rsid w:val="001D4B45"/>
    <w:rsid w:val="001D5F80"/>
    <w:rsid w:val="001D61E5"/>
    <w:rsid w:val="001D64E5"/>
    <w:rsid w:val="001D66AD"/>
    <w:rsid w:val="001D6EB8"/>
    <w:rsid w:val="001D7117"/>
    <w:rsid w:val="001D72E6"/>
    <w:rsid w:val="001D7552"/>
    <w:rsid w:val="001D7AB8"/>
    <w:rsid w:val="001E05EC"/>
    <w:rsid w:val="001E0A61"/>
    <w:rsid w:val="001E0D66"/>
    <w:rsid w:val="001E1850"/>
    <w:rsid w:val="001E4809"/>
    <w:rsid w:val="001E4F4F"/>
    <w:rsid w:val="001E5954"/>
    <w:rsid w:val="001E5D2C"/>
    <w:rsid w:val="001E60AD"/>
    <w:rsid w:val="001E7C76"/>
    <w:rsid w:val="001F1966"/>
    <w:rsid w:val="001F1E40"/>
    <w:rsid w:val="001F27F4"/>
    <w:rsid w:val="001F3DC0"/>
    <w:rsid w:val="001F452F"/>
    <w:rsid w:val="001F4C5A"/>
    <w:rsid w:val="001F4EA9"/>
    <w:rsid w:val="001F4F36"/>
    <w:rsid w:val="001F4F73"/>
    <w:rsid w:val="001F4FF7"/>
    <w:rsid w:val="001F6384"/>
    <w:rsid w:val="001F6425"/>
    <w:rsid w:val="001F6772"/>
    <w:rsid w:val="001F7421"/>
    <w:rsid w:val="00200195"/>
    <w:rsid w:val="00200B5F"/>
    <w:rsid w:val="00201EEF"/>
    <w:rsid w:val="00204745"/>
    <w:rsid w:val="002047C8"/>
    <w:rsid w:val="002052B3"/>
    <w:rsid w:val="00205453"/>
    <w:rsid w:val="002058F9"/>
    <w:rsid w:val="00207F32"/>
    <w:rsid w:val="00210EF9"/>
    <w:rsid w:val="00212670"/>
    <w:rsid w:val="00212B1F"/>
    <w:rsid w:val="00213340"/>
    <w:rsid w:val="0021380A"/>
    <w:rsid w:val="00213D7C"/>
    <w:rsid w:val="00214185"/>
    <w:rsid w:val="002141FE"/>
    <w:rsid w:val="00214513"/>
    <w:rsid w:val="0021523B"/>
    <w:rsid w:val="002155B7"/>
    <w:rsid w:val="002159A9"/>
    <w:rsid w:val="0021766A"/>
    <w:rsid w:val="00220349"/>
    <w:rsid w:val="00220E71"/>
    <w:rsid w:val="00221B13"/>
    <w:rsid w:val="002225D3"/>
    <w:rsid w:val="00222A35"/>
    <w:rsid w:val="0022301D"/>
    <w:rsid w:val="00223E2C"/>
    <w:rsid w:val="0022441F"/>
    <w:rsid w:val="00224B2C"/>
    <w:rsid w:val="00225047"/>
    <w:rsid w:val="002253B6"/>
    <w:rsid w:val="00225C5E"/>
    <w:rsid w:val="0022673D"/>
    <w:rsid w:val="00227E55"/>
    <w:rsid w:val="00232AA0"/>
    <w:rsid w:val="00232E8C"/>
    <w:rsid w:val="002342F1"/>
    <w:rsid w:val="00234CDF"/>
    <w:rsid w:val="00234E27"/>
    <w:rsid w:val="0023696F"/>
    <w:rsid w:val="00236AA8"/>
    <w:rsid w:val="00236B91"/>
    <w:rsid w:val="0024037C"/>
    <w:rsid w:val="0024040D"/>
    <w:rsid w:val="002406F7"/>
    <w:rsid w:val="00242046"/>
    <w:rsid w:val="002424C0"/>
    <w:rsid w:val="0024260C"/>
    <w:rsid w:val="00242617"/>
    <w:rsid w:val="00242CAA"/>
    <w:rsid w:val="00242F13"/>
    <w:rsid w:val="002446CB"/>
    <w:rsid w:val="0024503B"/>
    <w:rsid w:val="00245D74"/>
    <w:rsid w:val="00246D03"/>
    <w:rsid w:val="00246DDF"/>
    <w:rsid w:val="00250784"/>
    <w:rsid w:val="0025241B"/>
    <w:rsid w:val="002530D8"/>
    <w:rsid w:val="00253FC9"/>
    <w:rsid w:val="002540FD"/>
    <w:rsid w:val="002554F1"/>
    <w:rsid w:val="002557DD"/>
    <w:rsid w:val="00256EF9"/>
    <w:rsid w:val="002573CC"/>
    <w:rsid w:val="0026028C"/>
    <w:rsid w:val="00260AC0"/>
    <w:rsid w:val="00260FAA"/>
    <w:rsid w:val="00261FB7"/>
    <w:rsid w:val="00262338"/>
    <w:rsid w:val="00263340"/>
    <w:rsid w:val="00263938"/>
    <w:rsid w:val="002640F9"/>
    <w:rsid w:val="002646D7"/>
    <w:rsid w:val="00266AC8"/>
    <w:rsid w:val="002671D7"/>
    <w:rsid w:val="00270420"/>
    <w:rsid w:val="002708A0"/>
    <w:rsid w:val="00270B59"/>
    <w:rsid w:val="002716CE"/>
    <w:rsid w:val="00271851"/>
    <w:rsid w:val="0027259C"/>
    <w:rsid w:val="002726E9"/>
    <w:rsid w:val="00273543"/>
    <w:rsid w:val="00274A1B"/>
    <w:rsid w:val="00274C82"/>
    <w:rsid w:val="00275BD6"/>
    <w:rsid w:val="0027630C"/>
    <w:rsid w:val="0027654D"/>
    <w:rsid w:val="002805CB"/>
    <w:rsid w:val="00280D9A"/>
    <w:rsid w:val="002810DF"/>
    <w:rsid w:val="0028127A"/>
    <w:rsid w:val="002812AB"/>
    <w:rsid w:val="00281472"/>
    <w:rsid w:val="002816CF"/>
    <w:rsid w:val="002816D8"/>
    <w:rsid w:val="00282765"/>
    <w:rsid w:val="00282A8C"/>
    <w:rsid w:val="00282CAE"/>
    <w:rsid w:val="00282CF5"/>
    <w:rsid w:val="002836EE"/>
    <w:rsid w:val="00285188"/>
    <w:rsid w:val="002854EE"/>
    <w:rsid w:val="0028565C"/>
    <w:rsid w:val="00286A42"/>
    <w:rsid w:val="002875DE"/>
    <w:rsid w:val="00287E07"/>
    <w:rsid w:val="00290168"/>
    <w:rsid w:val="00290EB3"/>
    <w:rsid w:val="00290FDE"/>
    <w:rsid w:val="002924B1"/>
    <w:rsid w:val="00292846"/>
    <w:rsid w:val="00292953"/>
    <w:rsid w:val="00292A90"/>
    <w:rsid w:val="00292CD8"/>
    <w:rsid w:val="00293272"/>
    <w:rsid w:val="00293A86"/>
    <w:rsid w:val="00295F54"/>
    <w:rsid w:val="002971D6"/>
    <w:rsid w:val="00297445"/>
    <w:rsid w:val="002A05AC"/>
    <w:rsid w:val="002A0D12"/>
    <w:rsid w:val="002A15A6"/>
    <w:rsid w:val="002A2A01"/>
    <w:rsid w:val="002A2F08"/>
    <w:rsid w:val="002A3641"/>
    <w:rsid w:val="002A4739"/>
    <w:rsid w:val="002A495F"/>
    <w:rsid w:val="002A5D29"/>
    <w:rsid w:val="002A706F"/>
    <w:rsid w:val="002A70EA"/>
    <w:rsid w:val="002A7363"/>
    <w:rsid w:val="002A7F43"/>
    <w:rsid w:val="002B23FF"/>
    <w:rsid w:val="002B2B3A"/>
    <w:rsid w:val="002B34E7"/>
    <w:rsid w:val="002B365E"/>
    <w:rsid w:val="002B386C"/>
    <w:rsid w:val="002B3E6C"/>
    <w:rsid w:val="002B432C"/>
    <w:rsid w:val="002B46AB"/>
    <w:rsid w:val="002B484D"/>
    <w:rsid w:val="002B489A"/>
    <w:rsid w:val="002B6341"/>
    <w:rsid w:val="002B6C3B"/>
    <w:rsid w:val="002B7440"/>
    <w:rsid w:val="002B7523"/>
    <w:rsid w:val="002B7B43"/>
    <w:rsid w:val="002C031A"/>
    <w:rsid w:val="002C0526"/>
    <w:rsid w:val="002C05DF"/>
    <w:rsid w:val="002C257C"/>
    <w:rsid w:val="002C27A8"/>
    <w:rsid w:val="002C333E"/>
    <w:rsid w:val="002C3528"/>
    <w:rsid w:val="002C36C8"/>
    <w:rsid w:val="002C51A0"/>
    <w:rsid w:val="002C561B"/>
    <w:rsid w:val="002C57E0"/>
    <w:rsid w:val="002C6011"/>
    <w:rsid w:val="002C7971"/>
    <w:rsid w:val="002C7FEE"/>
    <w:rsid w:val="002D0584"/>
    <w:rsid w:val="002D2007"/>
    <w:rsid w:val="002D2986"/>
    <w:rsid w:val="002D2E2A"/>
    <w:rsid w:val="002D38A1"/>
    <w:rsid w:val="002D4274"/>
    <w:rsid w:val="002D5295"/>
    <w:rsid w:val="002D52BF"/>
    <w:rsid w:val="002D68F8"/>
    <w:rsid w:val="002D68FA"/>
    <w:rsid w:val="002D7ECA"/>
    <w:rsid w:val="002E0141"/>
    <w:rsid w:val="002E0B5D"/>
    <w:rsid w:val="002E0B76"/>
    <w:rsid w:val="002E1495"/>
    <w:rsid w:val="002E2466"/>
    <w:rsid w:val="002E2900"/>
    <w:rsid w:val="002E2A3E"/>
    <w:rsid w:val="002E3585"/>
    <w:rsid w:val="002E3710"/>
    <w:rsid w:val="002E3A66"/>
    <w:rsid w:val="002E3C0D"/>
    <w:rsid w:val="002E3CF1"/>
    <w:rsid w:val="002E43EC"/>
    <w:rsid w:val="002E4883"/>
    <w:rsid w:val="002E5129"/>
    <w:rsid w:val="002E521A"/>
    <w:rsid w:val="002E53A1"/>
    <w:rsid w:val="002E5B3C"/>
    <w:rsid w:val="002E6202"/>
    <w:rsid w:val="002E758B"/>
    <w:rsid w:val="002E788C"/>
    <w:rsid w:val="002E7A79"/>
    <w:rsid w:val="002F1D9E"/>
    <w:rsid w:val="002F1E24"/>
    <w:rsid w:val="002F2C6E"/>
    <w:rsid w:val="002F3C88"/>
    <w:rsid w:val="002F4067"/>
    <w:rsid w:val="002F47EB"/>
    <w:rsid w:val="002F4ECE"/>
    <w:rsid w:val="002F5883"/>
    <w:rsid w:val="002F671E"/>
    <w:rsid w:val="002F7339"/>
    <w:rsid w:val="002F7461"/>
    <w:rsid w:val="002F7866"/>
    <w:rsid w:val="0030096D"/>
    <w:rsid w:val="003025E2"/>
    <w:rsid w:val="003059AA"/>
    <w:rsid w:val="00306D24"/>
    <w:rsid w:val="00307208"/>
    <w:rsid w:val="003074EE"/>
    <w:rsid w:val="00307712"/>
    <w:rsid w:val="0031197C"/>
    <w:rsid w:val="00312AEF"/>
    <w:rsid w:val="0031404A"/>
    <w:rsid w:val="00314B7C"/>
    <w:rsid w:val="00314E49"/>
    <w:rsid w:val="00315445"/>
    <w:rsid w:val="00315A58"/>
    <w:rsid w:val="00316141"/>
    <w:rsid w:val="00316700"/>
    <w:rsid w:val="00317183"/>
    <w:rsid w:val="003204AE"/>
    <w:rsid w:val="003204E8"/>
    <w:rsid w:val="003208EF"/>
    <w:rsid w:val="00322C4A"/>
    <w:rsid w:val="00324846"/>
    <w:rsid w:val="00324ABD"/>
    <w:rsid w:val="00324D9B"/>
    <w:rsid w:val="0032512D"/>
    <w:rsid w:val="00325E66"/>
    <w:rsid w:val="00326BD9"/>
    <w:rsid w:val="003272A6"/>
    <w:rsid w:val="003273CB"/>
    <w:rsid w:val="00327747"/>
    <w:rsid w:val="00330E8B"/>
    <w:rsid w:val="0033125E"/>
    <w:rsid w:val="00331D96"/>
    <w:rsid w:val="00332945"/>
    <w:rsid w:val="0033325E"/>
    <w:rsid w:val="00336019"/>
    <w:rsid w:val="00336913"/>
    <w:rsid w:val="00337178"/>
    <w:rsid w:val="0033718C"/>
    <w:rsid w:val="00337407"/>
    <w:rsid w:val="003375BF"/>
    <w:rsid w:val="00337BB8"/>
    <w:rsid w:val="00340E02"/>
    <w:rsid w:val="00340E51"/>
    <w:rsid w:val="00341C6A"/>
    <w:rsid w:val="00341CEE"/>
    <w:rsid w:val="0034285F"/>
    <w:rsid w:val="00343E6E"/>
    <w:rsid w:val="00343E9A"/>
    <w:rsid w:val="00343F37"/>
    <w:rsid w:val="003450C8"/>
    <w:rsid w:val="0034768B"/>
    <w:rsid w:val="0034782B"/>
    <w:rsid w:val="0035030C"/>
    <w:rsid w:val="00350A1B"/>
    <w:rsid w:val="00350CCC"/>
    <w:rsid w:val="00351082"/>
    <w:rsid w:val="003515DB"/>
    <w:rsid w:val="00351E5C"/>
    <w:rsid w:val="00355491"/>
    <w:rsid w:val="00355680"/>
    <w:rsid w:val="0035580F"/>
    <w:rsid w:val="00355B02"/>
    <w:rsid w:val="00355B46"/>
    <w:rsid w:val="00355B81"/>
    <w:rsid w:val="003562F1"/>
    <w:rsid w:val="00357CB4"/>
    <w:rsid w:val="00357CC2"/>
    <w:rsid w:val="003604EE"/>
    <w:rsid w:val="0036286B"/>
    <w:rsid w:val="00363371"/>
    <w:rsid w:val="00363A3B"/>
    <w:rsid w:val="00364989"/>
    <w:rsid w:val="00365576"/>
    <w:rsid w:val="00365F7E"/>
    <w:rsid w:val="003664C0"/>
    <w:rsid w:val="00366639"/>
    <w:rsid w:val="00366769"/>
    <w:rsid w:val="00367A28"/>
    <w:rsid w:val="00367CC2"/>
    <w:rsid w:val="00367E04"/>
    <w:rsid w:val="00370313"/>
    <w:rsid w:val="003718B3"/>
    <w:rsid w:val="00373C76"/>
    <w:rsid w:val="0037472B"/>
    <w:rsid w:val="00375071"/>
    <w:rsid w:val="003761F2"/>
    <w:rsid w:val="00376A05"/>
    <w:rsid w:val="00376F60"/>
    <w:rsid w:val="003774FE"/>
    <w:rsid w:val="00377DA7"/>
    <w:rsid w:val="00377DD3"/>
    <w:rsid w:val="0038113D"/>
    <w:rsid w:val="00382D93"/>
    <w:rsid w:val="00383214"/>
    <w:rsid w:val="00383EDF"/>
    <w:rsid w:val="0038429E"/>
    <w:rsid w:val="0038450E"/>
    <w:rsid w:val="0038455E"/>
    <w:rsid w:val="0038654A"/>
    <w:rsid w:val="00390B37"/>
    <w:rsid w:val="00390E30"/>
    <w:rsid w:val="00391CA8"/>
    <w:rsid w:val="00393ABE"/>
    <w:rsid w:val="00393E4D"/>
    <w:rsid w:val="0039458D"/>
    <w:rsid w:val="00394D61"/>
    <w:rsid w:val="00396DD5"/>
    <w:rsid w:val="003A1F5A"/>
    <w:rsid w:val="003A20C4"/>
    <w:rsid w:val="003A2640"/>
    <w:rsid w:val="003A2ECE"/>
    <w:rsid w:val="003A372D"/>
    <w:rsid w:val="003A4252"/>
    <w:rsid w:val="003A427C"/>
    <w:rsid w:val="003A439A"/>
    <w:rsid w:val="003A535F"/>
    <w:rsid w:val="003A539A"/>
    <w:rsid w:val="003A62A4"/>
    <w:rsid w:val="003A6458"/>
    <w:rsid w:val="003A677E"/>
    <w:rsid w:val="003A7476"/>
    <w:rsid w:val="003A7D86"/>
    <w:rsid w:val="003B0AA1"/>
    <w:rsid w:val="003B0CBE"/>
    <w:rsid w:val="003B243D"/>
    <w:rsid w:val="003B2470"/>
    <w:rsid w:val="003B304F"/>
    <w:rsid w:val="003B4C07"/>
    <w:rsid w:val="003B593A"/>
    <w:rsid w:val="003B5D18"/>
    <w:rsid w:val="003B63E9"/>
    <w:rsid w:val="003B795D"/>
    <w:rsid w:val="003C0133"/>
    <w:rsid w:val="003C26A6"/>
    <w:rsid w:val="003C26C1"/>
    <w:rsid w:val="003C40E9"/>
    <w:rsid w:val="003C48B6"/>
    <w:rsid w:val="003C5C11"/>
    <w:rsid w:val="003C6A5A"/>
    <w:rsid w:val="003C6AAD"/>
    <w:rsid w:val="003C76E4"/>
    <w:rsid w:val="003D0DF5"/>
    <w:rsid w:val="003D13F4"/>
    <w:rsid w:val="003D1D4D"/>
    <w:rsid w:val="003D1D6C"/>
    <w:rsid w:val="003D22F6"/>
    <w:rsid w:val="003D3682"/>
    <w:rsid w:val="003D37DD"/>
    <w:rsid w:val="003D45DF"/>
    <w:rsid w:val="003D47C6"/>
    <w:rsid w:val="003D5C3E"/>
    <w:rsid w:val="003D7E38"/>
    <w:rsid w:val="003D7EAC"/>
    <w:rsid w:val="003E1AFA"/>
    <w:rsid w:val="003E274E"/>
    <w:rsid w:val="003E379A"/>
    <w:rsid w:val="003E52B0"/>
    <w:rsid w:val="003E57A5"/>
    <w:rsid w:val="003E64DC"/>
    <w:rsid w:val="003E6BAF"/>
    <w:rsid w:val="003E7A43"/>
    <w:rsid w:val="003F0B58"/>
    <w:rsid w:val="003F0D40"/>
    <w:rsid w:val="003F2236"/>
    <w:rsid w:val="003F228D"/>
    <w:rsid w:val="003F27B7"/>
    <w:rsid w:val="003F2983"/>
    <w:rsid w:val="003F328D"/>
    <w:rsid w:val="003F4051"/>
    <w:rsid w:val="003F437A"/>
    <w:rsid w:val="003F5812"/>
    <w:rsid w:val="003F625A"/>
    <w:rsid w:val="003F6AA4"/>
    <w:rsid w:val="003F6EA1"/>
    <w:rsid w:val="003F7DA6"/>
    <w:rsid w:val="00400E4A"/>
    <w:rsid w:val="00401E67"/>
    <w:rsid w:val="004022A8"/>
    <w:rsid w:val="00402508"/>
    <w:rsid w:val="00402E9A"/>
    <w:rsid w:val="004038C1"/>
    <w:rsid w:val="00403FA8"/>
    <w:rsid w:val="00404040"/>
    <w:rsid w:val="00404213"/>
    <w:rsid w:val="004048AC"/>
    <w:rsid w:val="00404B14"/>
    <w:rsid w:val="00404B8E"/>
    <w:rsid w:val="004068C2"/>
    <w:rsid w:val="0040796E"/>
    <w:rsid w:val="00410C7C"/>
    <w:rsid w:val="00412559"/>
    <w:rsid w:val="004130BE"/>
    <w:rsid w:val="00414C20"/>
    <w:rsid w:val="00415E7F"/>
    <w:rsid w:val="0041632B"/>
    <w:rsid w:val="00416469"/>
    <w:rsid w:val="00420288"/>
    <w:rsid w:val="0042186A"/>
    <w:rsid w:val="00421C78"/>
    <w:rsid w:val="004224CE"/>
    <w:rsid w:val="004224E1"/>
    <w:rsid w:val="00422999"/>
    <w:rsid w:val="00424A78"/>
    <w:rsid w:val="004254DB"/>
    <w:rsid w:val="0042586F"/>
    <w:rsid w:val="00427964"/>
    <w:rsid w:val="00427EEA"/>
    <w:rsid w:val="0043035D"/>
    <w:rsid w:val="004304F3"/>
    <w:rsid w:val="00430568"/>
    <w:rsid w:val="00431836"/>
    <w:rsid w:val="00431ECF"/>
    <w:rsid w:val="004321E6"/>
    <w:rsid w:val="0043278E"/>
    <w:rsid w:val="00434B92"/>
    <w:rsid w:val="004360AC"/>
    <w:rsid w:val="00436B83"/>
    <w:rsid w:val="00441061"/>
    <w:rsid w:val="004441A9"/>
    <w:rsid w:val="0044495A"/>
    <w:rsid w:val="0044560C"/>
    <w:rsid w:val="00450059"/>
    <w:rsid w:val="004501C9"/>
    <w:rsid w:val="0045079E"/>
    <w:rsid w:val="00450C70"/>
    <w:rsid w:val="004523CA"/>
    <w:rsid w:val="00453344"/>
    <w:rsid w:val="0045341F"/>
    <w:rsid w:val="00454E76"/>
    <w:rsid w:val="00457080"/>
    <w:rsid w:val="004573FA"/>
    <w:rsid w:val="004602C8"/>
    <w:rsid w:val="00460891"/>
    <w:rsid w:val="00461036"/>
    <w:rsid w:val="004614D8"/>
    <w:rsid w:val="00462DEB"/>
    <w:rsid w:val="00463846"/>
    <w:rsid w:val="00464DB8"/>
    <w:rsid w:val="00464FB2"/>
    <w:rsid w:val="00466121"/>
    <w:rsid w:val="004662A8"/>
    <w:rsid w:val="00466C8F"/>
    <w:rsid w:val="00466CDC"/>
    <w:rsid w:val="00467445"/>
    <w:rsid w:val="0046745E"/>
    <w:rsid w:val="00471796"/>
    <w:rsid w:val="0047327A"/>
    <w:rsid w:val="004736BE"/>
    <w:rsid w:val="004738A5"/>
    <w:rsid w:val="004743BE"/>
    <w:rsid w:val="0047556D"/>
    <w:rsid w:val="00475789"/>
    <w:rsid w:val="004759D4"/>
    <w:rsid w:val="00475DE8"/>
    <w:rsid w:val="00476170"/>
    <w:rsid w:val="00476D40"/>
    <w:rsid w:val="0048053E"/>
    <w:rsid w:val="004820B0"/>
    <w:rsid w:val="00482117"/>
    <w:rsid w:val="00482348"/>
    <w:rsid w:val="00482E2F"/>
    <w:rsid w:val="004830FB"/>
    <w:rsid w:val="004839DE"/>
    <w:rsid w:val="00483F5F"/>
    <w:rsid w:val="0048467F"/>
    <w:rsid w:val="00484841"/>
    <w:rsid w:val="004857E9"/>
    <w:rsid w:val="004859B4"/>
    <w:rsid w:val="004861F3"/>
    <w:rsid w:val="00486887"/>
    <w:rsid w:val="00486ACD"/>
    <w:rsid w:val="004874BE"/>
    <w:rsid w:val="00490B8D"/>
    <w:rsid w:val="00492C65"/>
    <w:rsid w:val="00492F80"/>
    <w:rsid w:val="0049403F"/>
    <w:rsid w:val="00494323"/>
    <w:rsid w:val="00494349"/>
    <w:rsid w:val="00494485"/>
    <w:rsid w:val="004947B0"/>
    <w:rsid w:val="00495432"/>
    <w:rsid w:val="00496580"/>
    <w:rsid w:val="00496B59"/>
    <w:rsid w:val="00496E98"/>
    <w:rsid w:val="00497128"/>
    <w:rsid w:val="0049762B"/>
    <w:rsid w:val="004A0AA1"/>
    <w:rsid w:val="004A0F27"/>
    <w:rsid w:val="004A0F37"/>
    <w:rsid w:val="004A0F68"/>
    <w:rsid w:val="004A1483"/>
    <w:rsid w:val="004A1A50"/>
    <w:rsid w:val="004A3608"/>
    <w:rsid w:val="004A37BF"/>
    <w:rsid w:val="004A3E4E"/>
    <w:rsid w:val="004A42F2"/>
    <w:rsid w:val="004A4403"/>
    <w:rsid w:val="004A4FBD"/>
    <w:rsid w:val="004A5C85"/>
    <w:rsid w:val="004A7810"/>
    <w:rsid w:val="004A7E93"/>
    <w:rsid w:val="004B07DA"/>
    <w:rsid w:val="004B1ABD"/>
    <w:rsid w:val="004B2357"/>
    <w:rsid w:val="004B273B"/>
    <w:rsid w:val="004B28B3"/>
    <w:rsid w:val="004B3CFB"/>
    <w:rsid w:val="004B4BA8"/>
    <w:rsid w:val="004B5D6B"/>
    <w:rsid w:val="004B76F8"/>
    <w:rsid w:val="004C051A"/>
    <w:rsid w:val="004C1FA6"/>
    <w:rsid w:val="004C3AC4"/>
    <w:rsid w:val="004C3B07"/>
    <w:rsid w:val="004C4097"/>
    <w:rsid w:val="004C4322"/>
    <w:rsid w:val="004C52C2"/>
    <w:rsid w:val="004C5CFD"/>
    <w:rsid w:val="004C6263"/>
    <w:rsid w:val="004C6518"/>
    <w:rsid w:val="004C67B5"/>
    <w:rsid w:val="004C7917"/>
    <w:rsid w:val="004C7DC9"/>
    <w:rsid w:val="004D02BB"/>
    <w:rsid w:val="004D09D8"/>
    <w:rsid w:val="004D12C0"/>
    <w:rsid w:val="004D18EA"/>
    <w:rsid w:val="004D2959"/>
    <w:rsid w:val="004D3530"/>
    <w:rsid w:val="004D3713"/>
    <w:rsid w:val="004D430E"/>
    <w:rsid w:val="004D44C1"/>
    <w:rsid w:val="004D6254"/>
    <w:rsid w:val="004D70FD"/>
    <w:rsid w:val="004D7628"/>
    <w:rsid w:val="004D7E99"/>
    <w:rsid w:val="004E00CE"/>
    <w:rsid w:val="004E04D0"/>
    <w:rsid w:val="004E1C45"/>
    <w:rsid w:val="004E222A"/>
    <w:rsid w:val="004E27AB"/>
    <w:rsid w:val="004E2BDB"/>
    <w:rsid w:val="004E5A16"/>
    <w:rsid w:val="004E7D17"/>
    <w:rsid w:val="004F008D"/>
    <w:rsid w:val="004F2F01"/>
    <w:rsid w:val="004F35EC"/>
    <w:rsid w:val="004F4EF4"/>
    <w:rsid w:val="004F50AF"/>
    <w:rsid w:val="004F5119"/>
    <w:rsid w:val="004F681D"/>
    <w:rsid w:val="004F6E14"/>
    <w:rsid w:val="004F7073"/>
    <w:rsid w:val="0050099F"/>
    <w:rsid w:val="00501589"/>
    <w:rsid w:val="0050228C"/>
    <w:rsid w:val="00502857"/>
    <w:rsid w:val="005030CA"/>
    <w:rsid w:val="0050347C"/>
    <w:rsid w:val="005044A9"/>
    <w:rsid w:val="00505994"/>
    <w:rsid w:val="00505FD4"/>
    <w:rsid w:val="00506695"/>
    <w:rsid w:val="00506E25"/>
    <w:rsid w:val="005070DF"/>
    <w:rsid w:val="005074D7"/>
    <w:rsid w:val="00507F9C"/>
    <w:rsid w:val="005112AF"/>
    <w:rsid w:val="0051132C"/>
    <w:rsid w:val="00511E36"/>
    <w:rsid w:val="00513483"/>
    <w:rsid w:val="00513A1B"/>
    <w:rsid w:val="00514A55"/>
    <w:rsid w:val="00514EF5"/>
    <w:rsid w:val="00515A26"/>
    <w:rsid w:val="0051782D"/>
    <w:rsid w:val="0052087E"/>
    <w:rsid w:val="005210FF"/>
    <w:rsid w:val="005222F5"/>
    <w:rsid w:val="0052315E"/>
    <w:rsid w:val="00523A40"/>
    <w:rsid w:val="00523F00"/>
    <w:rsid w:val="005242AD"/>
    <w:rsid w:val="00526AC8"/>
    <w:rsid w:val="00526D3F"/>
    <w:rsid w:val="00526DD1"/>
    <w:rsid w:val="00527A5F"/>
    <w:rsid w:val="00530AB9"/>
    <w:rsid w:val="00530D2C"/>
    <w:rsid w:val="00530ED3"/>
    <w:rsid w:val="005327DD"/>
    <w:rsid w:val="00533436"/>
    <w:rsid w:val="00533B37"/>
    <w:rsid w:val="00533F57"/>
    <w:rsid w:val="0053438E"/>
    <w:rsid w:val="005346B7"/>
    <w:rsid w:val="005355EE"/>
    <w:rsid w:val="00535B16"/>
    <w:rsid w:val="005366D0"/>
    <w:rsid w:val="005377E0"/>
    <w:rsid w:val="00537DD4"/>
    <w:rsid w:val="00537E27"/>
    <w:rsid w:val="00540A6D"/>
    <w:rsid w:val="00540B4D"/>
    <w:rsid w:val="00540FFA"/>
    <w:rsid w:val="005427C2"/>
    <w:rsid w:val="00542930"/>
    <w:rsid w:val="00542968"/>
    <w:rsid w:val="005435B3"/>
    <w:rsid w:val="0054544C"/>
    <w:rsid w:val="0054593F"/>
    <w:rsid w:val="005477D2"/>
    <w:rsid w:val="00547F6A"/>
    <w:rsid w:val="00550849"/>
    <w:rsid w:val="00550866"/>
    <w:rsid w:val="0055113D"/>
    <w:rsid w:val="00552FD7"/>
    <w:rsid w:val="00554BF3"/>
    <w:rsid w:val="0055655F"/>
    <w:rsid w:val="0055657D"/>
    <w:rsid w:val="00556973"/>
    <w:rsid w:val="00560D0D"/>
    <w:rsid w:val="00562F38"/>
    <w:rsid w:val="00564B2A"/>
    <w:rsid w:val="00564DEC"/>
    <w:rsid w:val="00565FB1"/>
    <w:rsid w:val="005662FB"/>
    <w:rsid w:val="00566416"/>
    <w:rsid w:val="00567781"/>
    <w:rsid w:val="00567D27"/>
    <w:rsid w:val="00567ECC"/>
    <w:rsid w:val="00570915"/>
    <w:rsid w:val="005713B1"/>
    <w:rsid w:val="00572BAC"/>
    <w:rsid w:val="0057774B"/>
    <w:rsid w:val="00577D63"/>
    <w:rsid w:val="00581DBE"/>
    <w:rsid w:val="00583090"/>
    <w:rsid w:val="005835F4"/>
    <w:rsid w:val="00583EFE"/>
    <w:rsid w:val="00584076"/>
    <w:rsid w:val="005841A3"/>
    <w:rsid w:val="00585393"/>
    <w:rsid w:val="00585621"/>
    <w:rsid w:val="00585689"/>
    <w:rsid w:val="00585C9A"/>
    <w:rsid w:val="00585DEF"/>
    <w:rsid w:val="00586D9A"/>
    <w:rsid w:val="00590C0F"/>
    <w:rsid w:val="00590EAE"/>
    <w:rsid w:val="0059112A"/>
    <w:rsid w:val="00591884"/>
    <w:rsid w:val="00592540"/>
    <w:rsid w:val="00592562"/>
    <w:rsid w:val="005926F0"/>
    <w:rsid w:val="00593216"/>
    <w:rsid w:val="005934A8"/>
    <w:rsid w:val="005946C4"/>
    <w:rsid w:val="00594BC3"/>
    <w:rsid w:val="00596A8B"/>
    <w:rsid w:val="00596CA7"/>
    <w:rsid w:val="00596DC8"/>
    <w:rsid w:val="00596E16"/>
    <w:rsid w:val="00597BB8"/>
    <w:rsid w:val="005A16A3"/>
    <w:rsid w:val="005A19E2"/>
    <w:rsid w:val="005A1C48"/>
    <w:rsid w:val="005A253A"/>
    <w:rsid w:val="005A40AF"/>
    <w:rsid w:val="005A64BF"/>
    <w:rsid w:val="005B10A7"/>
    <w:rsid w:val="005B1606"/>
    <w:rsid w:val="005B1FAB"/>
    <w:rsid w:val="005B4421"/>
    <w:rsid w:val="005B5015"/>
    <w:rsid w:val="005B5F53"/>
    <w:rsid w:val="005B62C4"/>
    <w:rsid w:val="005B658A"/>
    <w:rsid w:val="005B687E"/>
    <w:rsid w:val="005B7929"/>
    <w:rsid w:val="005C1128"/>
    <w:rsid w:val="005C23AF"/>
    <w:rsid w:val="005C25D1"/>
    <w:rsid w:val="005C2BB5"/>
    <w:rsid w:val="005C2CD8"/>
    <w:rsid w:val="005C2DC7"/>
    <w:rsid w:val="005C35A9"/>
    <w:rsid w:val="005C3AF6"/>
    <w:rsid w:val="005C464B"/>
    <w:rsid w:val="005C4E5F"/>
    <w:rsid w:val="005C54B7"/>
    <w:rsid w:val="005C74A0"/>
    <w:rsid w:val="005C7A31"/>
    <w:rsid w:val="005D052C"/>
    <w:rsid w:val="005D16FE"/>
    <w:rsid w:val="005D1760"/>
    <w:rsid w:val="005D4084"/>
    <w:rsid w:val="005D4777"/>
    <w:rsid w:val="005D4C2B"/>
    <w:rsid w:val="005D4F0C"/>
    <w:rsid w:val="005D5C33"/>
    <w:rsid w:val="005D7589"/>
    <w:rsid w:val="005D7621"/>
    <w:rsid w:val="005D788B"/>
    <w:rsid w:val="005D7CA0"/>
    <w:rsid w:val="005D7E48"/>
    <w:rsid w:val="005E0F39"/>
    <w:rsid w:val="005E2B6F"/>
    <w:rsid w:val="005E2CB6"/>
    <w:rsid w:val="005E3292"/>
    <w:rsid w:val="005E39D7"/>
    <w:rsid w:val="005E5486"/>
    <w:rsid w:val="005E5F95"/>
    <w:rsid w:val="005E6B93"/>
    <w:rsid w:val="005E6EFE"/>
    <w:rsid w:val="005E791E"/>
    <w:rsid w:val="005E7953"/>
    <w:rsid w:val="005E7ACF"/>
    <w:rsid w:val="005E7E82"/>
    <w:rsid w:val="005F10BE"/>
    <w:rsid w:val="005F277F"/>
    <w:rsid w:val="005F2C42"/>
    <w:rsid w:val="005F3086"/>
    <w:rsid w:val="005F5E13"/>
    <w:rsid w:val="005F6C28"/>
    <w:rsid w:val="005F6E35"/>
    <w:rsid w:val="005F768B"/>
    <w:rsid w:val="005F7AB6"/>
    <w:rsid w:val="005F7B99"/>
    <w:rsid w:val="005F7E3C"/>
    <w:rsid w:val="00600D90"/>
    <w:rsid w:val="00600FA8"/>
    <w:rsid w:val="006050AA"/>
    <w:rsid w:val="006063DA"/>
    <w:rsid w:val="00606910"/>
    <w:rsid w:val="00606BC0"/>
    <w:rsid w:val="00606CD0"/>
    <w:rsid w:val="00606CE3"/>
    <w:rsid w:val="00606FF0"/>
    <w:rsid w:val="00611A28"/>
    <w:rsid w:val="00611AD0"/>
    <w:rsid w:val="00611DD3"/>
    <w:rsid w:val="00611E5F"/>
    <w:rsid w:val="00611EF0"/>
    <w:rsid w:val="00612219"/>
    <w:rsid w:val="00612B6E"/>
    <w:rsid w:val="00612E04"/>
    <w:rsid w:val="006154A5"/>
    <w:rsid w:val="0061734F"/>
    <w:rsid w:val="006173A4"/>
    <w:rsid w:val="00617C44"/>
    <w:rsid w:val="00620086"/>
    <w:rsid w:val="00620E57"/>
    <w:rsid w:val="00622CE4"/>
    <w:rsid w:val="006234A7"/>
    <w:rsid w:val="00623F8E"/>
    <w:rsid w:val="00624361"/>
    <w:rsid w:val="00624855"/>
    <w:rsid w:val="00625917"/>
    <w:rsid w:val="0062789F"/>
    <w:rsid w:val="006301BE"/>
    <w:rsid w:val="006308D3"/>
    <w:rsid w:val="0063096E"/>
    <w:rsid w:val="0063221F"/>
    <w:rsid w:val="006327C7"/>
    <w:rsid w:val="0063320C"/>
    <w:rsid w:val="00633349"/>
    <w:rsid w:val="00633D61"/>
    <w:rsid w:val="0063402B"/>
    <w:rsid w:val="00636570"/>
    <w:rsid w:val="00636DEF"/>
    <w:rsid w:val="00637859"/>
    <w:rsid w:val="00637901"/>
    <w:rsid w:val="00637E1B"/>
    <w:rsid w:val="006402DF"/>
    <w:rsid w:val="0064164B"/>
    <w:rsid w:val="00641933"/>
    <w:rsid w:val="00644468"/>
    <w:rsid w:val="00644696"/>
    <w:rsid w:val="00645F5E"/>
    <w:rsid w:val="00646223"/>
    <w:rsid w:val="006465BC"/>
    <w:rsid w:val="00647651"/>
    <w:rsid w:val="00647B1E"/>
    <w:rsid w:val="00647C55"/>
    <w:rsid w:val="0065008B"/>
    <w:rsid w:val="00650CB6"/>
    <w:rsid w:val="00653A3B"/>
    <w:rsid w:val="00653FD9"/>
    <w:rsid w:val="00654863"/>
    <w:rsid w:val="00654D42"/>
    <w:rsid w:val="00655FCA"/>
    <w:rsid w:val="00656328"/>
    <w:rsid w:val="00657FDA"/>
    <w:rsid w:val="00660279"/>
    <w:rsid w:val="00660A94"/>
    <w:rsid w:val="0066145D"/>
    <w:rsid w:val="006622B9"/>
    <w:rsid w:val="00662E1E"/>
    <w:rsid w:val="00663231"/>
    <w:rsid w:val="0066371E"/>
    <w:rsid w:val="00664F8C"/>
    <w:rsid w:val="006675A0"/>
    <w:rsid w:val="00670408"/>
    <w:rsid w:val="006706BD"/>
    <w:rsid w:val="00670B3E"/>
    <w:rsid w:val="00671805"/>
    <w:rsid w:val="006724AD"/>
    <w:rsid w:val="0067261D"/>
    <w:rsid w:val="00672BAB"/>
    <w:rsid w:val="0067314A"/>
    <w:rsid w:val="006739E4"/>
    <w:rsid w:val="00673D1E"/>
    <w:rsid w:val="0067485B"/>
    <w:rsid w:val="006754E4"/>
    <w:rsid w:val="00677974"/>
    <w:rsid w:val="006779CF"/>
    <w:rsid w:val="00677A8F"/>
    <w:rsid w:val="00677D5F"/>
    <w:rsid w:val="00677D63"/>
    <w:rsid w:val="00677F8A"/>
    <w:rsid w:val="00681122"/>
    <w:rsid w:val="00681E7A"/>
    <w:rsid w:val="006821E3"/>
    <w:rsid w:val="00683172"/>
    <w:rsid w:val="00683AD6"/>
    <w:rsid w:val="006842AE"/>
    <w:rsid w:val="006855A1"/>
    <w:rsid w:val="006875BA"/>
    <w:rsid w:val="0069097D"/>
    <w:rsid w:val="00690FE1"/>
    <w:rsid w:val="00691F9D"/>
    <w:rsid w:val="00692058"/>
    <w:rsid w:val="00693FEA"/>
    <w:rsid w:val="006942F7"/>
    <w:rsid w:val="00694C01"/>
    <w:rsid w:val="00694C68"/>
    <w:rsid w:val="00695467"/>
    <w:rsid w:val="006A0970"/>
    <w:rsid w:val="006A1665"/>
    <w:rsid w:val="006A1D09"/>
    <w:rsid w:val="006A3063"/>
    <w:rsid w:val="006A3EA7"/>
    <w:rsid w:val="006A5773"/>
    <w:rsid w:val="006A5804"/>
    <w:rsid w:val="006A58F0"/>
    <w:rsid w:val="006A5EFD"/>
    <w:rsid w:val="006A6262"/>
    <w:rsid w:val="006A66C5"/>
    <w:rsid w:val="006A7E50"/>
    <w:rsid w:val="006B0372"/>
    <w:rsid w:val="006B0764"/>
    <w:rsid w:val="006B081C"/>
    <w:rsid w:val="006B1DB2"/>
    <w:rsid w:val="006B2C27"/>
    <w:rsid w:val="006B4467"/>
    <w:rsid w:val="006B4A6A"/>
    <w:rsid w:val="006B4FE6"/>
    <w:rsid w:val="006B5E9B"/>
    <w:rsid w:val="006B6C46"/>
    <w:rsid w:val="006B6E78"/>
    <w:rsid w:val="006B719C"/>
    <w:rsid w:val="006B7440"/>
    <w:rsid w:val="006C0039"/>
    <w:rsid w:val="006C037D"/>
    <w:rsid w:val="006C082F"/>
    <w:rsid w:val="006C1154"/>
    <w:rsid w:val="006C1927"/>
    <w:rsid w:val="006C1F42"/>
    <w:rsid w:val="006C2585"/>
    <w:rsid w:val="006C32AD"/>
    <w:rsid w:val="006C4008"/>
    <w:rsid w:val="006C4E2C"/>
    <w:rsid w:val="006C5931"/>
    <w:rsid w:val="006C6760"/>
    <w:rsid w:val="006C73EF"/>
    <w:rsid w:val="006C7C42"/>
    <w:rsid w:val="006D0982"/>
    <w:rsid w:val="006D0F09"/>
    <w:rsid w:val="006D1723"/>
    <w:rsid w:val="006D19CF"/>
    <w:rsid w:val="006D45D0"/>
    <w:rsid w:val="006D4A25"/>
    <w:rsid w:val="006D4CF9"/>
    <w:rsid w:val="006D5073"/>
    <w:rsid w:val="006D5D3F"/>
    <w:rsid w:val="006D5D75"/>
    <w:rsid w:val="006D60ED"/>
    <w:rsid w:val="006D6342"/>
    <w:rsid w:val="006D798B"/>
    <w:rsid w:val="006D7BF5"/>
    <w:rsid w:val="006E042D"/>
    <w:rsid w:val="006E0770"/>
    <w:rsid w:val="006E1166"/>
    <w:rsid w:val="006E24D9"/>
    <w:rsid w:val="006E4428"/>
    <w:rsid w:val="006E5777"/>
    <w:rsid w:val="006E596E"/>
    <w:rsid w:val="006E65E0"/>
    <w:rsid w:val="006F033F"/>
    <w:rsid w:val="006F0522"/>
    <w:rsid w:val="006F24D8"/>
    <w:rsid w:val="006F33B8"/>
    <w:rsid w:val="006F370E"/>
    <w:rsid w:val="006F3C6B"/>
    <w:rsid w:val="006F4555"/>
    <w:rsid w:val="006F4C9C"/>
    <w:rsid w:val="006F640F"/>
    <w:rsid w:val="006F762A"/>
    <w:rsid w:val="007009A8"/>
    <w:rsid w:val="007014AC"/>
    <w:rsid w:val="00701583"/>
    <w:rsid w:val="00701662"/>
    <w:rsid w:val="00701B6B"/>
    <w:rsid w:val="0070384F"/>
    <w:rsid w:val="00703A9E"/>
    <w:rsid w:val="00703D6D"/>
    <w:rsid w:val="00704095"/>
    <w:rsid w:val="00704152"/>
    <w:rsid w:val="00704458"/>
    <w:rsid w:val="00704FB5"/>
    <w:rsid w:val="00706590"/>
    <w:rsid w:val="00706B71"/>
    <w:rsid w:val="00707F26"/>
    <w:rsid w:val="0071022A"/>
    <w:rsid w:val="00711C46"/>
    <w:rsid w:val="0071277A"/>
    <w:rsid w:val="00712EE5"/>
    <w:rsid w:val="00713244"/>
    <w:rsid w:val="00713493"/>
    <w:rsid w:val="00713494"/>
    <w:rsid w:val="00713F10"/>
    <w:rsid w:val="00714031"/>
    <w:rsid w:val="0071466E"/>
    <w:rsid w:val="00714A6C"/>
    <w:rsid w:val="00714A7F"/>
    <w:rsid w:val="00714CD3"/>
    <w:rsid w:val="00715998"/>
    <w:rsid w:val="00715C2A"/>
    <w:rsid w:val="00716732"/>
    <w:rsid w:val="00716EC4"/>
    <w:rsid w:val="007204A1"/>
    <w:rsid w:val="007206A8"/>
    <w:rsid w:val="007208B9"/>
    <w:rsid w:val="00720B37"/>
    <w:rsid w:val="0072116D"/>
    <w:rsid w:val="0072226F"/>
    <w:rsid w:val="007234CB"/>
    <w:rsid w:val="007238DF"/>
    <w:rsid w:val="00723E82"/>
    <w:rsid w:val="0072586C"/>
    <w:rsid w:val="00725B78"/>
    <w:rsid w:val="00727082"/>
    <w:rsid w:val="007313A4"/>
    <w:rsid w:val="007320F5"/>
    <w:rsid w:val="0073233C"/>
    <w:rsid w:val="007326BE"/>
    <w:rsid w:val="00732D0C"/>
    <w:rsid w:val="00733EAD"/>
    <w:rsid w:val="00734F54"/>
    <w:rsid w:val="0073569B"/>
    <w:rsid w:val="0073578E"/>
    <w:rsid w:val="00735F06"/>
    <w:rsid w:val="00736D93"/>
    <w:rsid w:val="00737580"/>
    <w:rsid w:val="00737C04"/>
    <w:rsid w:val="00737F64"/>
    <w:rsid w:val="0074019A"/>
    <w:rsid w:val="00741184"/>
    <w:rsid w:val="00742AD8"/>
    <w:rsid w:val="00744110"/>
    <w:rsid w:val="00744595"/>
    <w:rsid w:val="00744BC3"/>
    <w:rsid w:val="00744CF6"/>
    <w:rsid w:val="007454D1"/>
    <w:rsid w:val="00746B94"/>
    <w:rsid w:val="00747A52"/>
    <w:rsid w:val="00750F1E"/>
    <w:rsid w:val="007516D4"/>
    <w:rsid w:val="00751AE2"/>
    <w:rsid w:val="00751B7E"/>
    <w:rsid w:val="00751C12"/>
    <w:rsid w:val="00752691"/>
    <w:rsid w:val="007528F2"/>
    <w:rsid w:val="00753734"/>
    <w:rsid w:val="0075490C"/>
    <w:rsid w:val="00756ACB"/>
    <w:rsid w:val="007575C4"/>
    <w:rsid w:val="00757D63"/>
    <w:rsid w:val="00761D9E"/>
    <w:rsid w:val="00762A1B"/>
    <w:rsid w:val="00762D6D"/>
    <w:rsid w:val="00763039"/>
    <w:rsid w:val="007636CD"/>
    <w:rsid w:val="00763700"/>
    <w:rsid w:val="0076427C"/>
    <w:rsid w:val="00765217"/>
    <w:rsid w:val="00765793"/>
    <w:rsid w:val="007659AA"/>
    <w:rsid w:val="00766334"/>
    <w:rsid w:val="00767104"/>
    <w:rsid w:val="0077161A"/>
    <w:rsid w:val="0077179B"/>
    <w:rsid w:val="0077266C"/>
    <w:rsid w:val="00772802"/>
    <w:rsid w:val="00773BC8"/>
    <w:rsid w:val="00775066"/>
    <w:rsid w:val="00776406"/>
    <w:rsid w:val="007776F3"/>
    <w:rsid w:val="0078005A"/>
    <w:rsid w:val="00781B6F"/>
    <w:rsid w:val="00781F9C"/>
    <w:rsid w:val="00782DFD"/>
    <w:rsid w:val="00783DEF"/>
    <w:rsid w:val="00784424"/>
    <w:rsid w:val="00785474"/>
    <w:rsid w:val="00786832"/>
    <w:rsid w:val="00786A9D"/>
    <w:rsid w:val="00787B99"/>
    <w:rsid w:val="007925B6"/>
    <w:rsid w:val="00793CBC"/>
    <w:rsid w:val="0079421C"/>
    <w:rsid w:val="00794D52"/>
    <w:rsid w:val="0079526D"/>
    <w:rsid w:val="00795A2C"/>
    <w:rsid w:val="00796FC3"/>
    <w:rsid w:val="00797390"/>
    <w:rsid w:val="007A02E6"/>
    <w:rsid w:val="007A05B6"/>
    <w:rsid w:val="007A1C0A"/>
    <w:rsid w:val="007A1C59"/>
    <w:rsid w:val="007A27E3"/>
    <w:rsid w:val="007A45B2"/>
    <w:rsid w:val="007A56B2"/>
    <w:rsid w:val="007A59B8"/>
    <w:rsid w:val="007A5A50"/>
    <w:rsid w:val="007A5B41"/>
    <w:rsid w:val="007A7D9D"/>
    <w:rsid w:val="007B07E4"/>
    <w:rsid w:val="007B242B"/>
    <w:rsid w:val="007B289B"/>
    <w:rsid w:val="007B355C"/>
    <w:rsid w:val="007B3A76"/>
    <w:rsid w:val="007B3BD7"/>
    <w:rsid w:val="007B3FAE"/>
    <w:rsid w:val="007B42BD"/>
    <w:rsid w:val="007B52DA"/>
    <w:rsid w:val="007B565F"/>
    <w:rsid w:val="007B5792"/>
    <w:rsid w:val="007B5BD6"/>
    <w:rsid w:val="007B5DFF"/>
    <w:rsid w:val="007B781C"/>
    <w:rsid w:val="007B7CD7"/>
    <w:rsid w:val="007C0854"/>
    <w:rsid w:val="007C31E2"/>
    <w:rsid w:val="007C4613"/>
    <w:rsid w:val="007C4D38"/>
    <w:rsid w:val="007C5CE1"/>
    <w:rsid w:val="007C5ECA"/>
    <w:rsid w:val="007C6888"/>
    <w:rsid w:val="007C6A12"/>
    <w:rsid w:val="007C6F85"/>
    <w:rsid w:val="007C725B"/>
    <w:rsid w:val="007D0569"/>
    <w:rsid w:val="007D13CE"/>
    <w:rsid w:val="007D16B1"/>
    <w:rsid w:val="007D19E4"/>
    <w:rsid w:val="007D4DB0"/>
    <w:rsid w:val="007D7400"/>
    <w:rsid w:val="007D7761"/>
    <w:rsid w:val="007D79FF"/>
    <w:rsid w:val="007E002E"/>
    <w:rsid w:val="007E02A7"/>
    <w:rsid w:val="007E0B4C"/>
    <w:rsid w:val="007E2706"/>
    <w:rsid w:val="007E2CB0"/>
    <w:rsid w:val="007E327F"/>
    <w:rsid w:val="007E3BBE"/>
    <w:rsid w:val="007E468A"/>
    <w:rsid w:val="007E51A5"/>
    <w:rsid w:val="007E65B8"/>
    <w:rsid w:val="007E7F4C"/>
    <w:rsid w:val="007F058C"/>
    <w:rsid w:val="007F134D"/>
    <w:rsid w:val="007F22A7"/>
    <w:rsid w:val="007F2EC6"/>
    <w:rsid w:val="007F3018"/>
    <w:rsid w:val="007F364B"/>
    <w:rsid w:val="007F4F4D"/>
    <w:rsid w:val="007F5215"/>
    <w:rsid w:val="007F5EAC"/>
    <w:rsid w:val="007F5FCE"/>
    <w:rsid w:val="007F6862"/>
    <w:rsid w:val="007F7219"/>
    <w:rsid w:val="007F76C7"/>
    <w:rsid w:val="008013FC"/>
    <w:rsid w:val="008015EC"/>
    <w:rsid w:val="008023F7"/>
    <w:rsid w:val="008044C9"/>
    <w:rsid w:val="00805BD1"/>
    <w:rsid w:val="008060C3"/>
    <w:rsid w:val="008063A1"/>
    <w:rsid w:val="00806CA9"/>
    <w:rsid w:val="00807806"/>
    <w:rsid w:val="00807890"/>
    <w:rsid w:val="00807BEC"/>
    <w:rsid w:val="00807F00"/>
    <w:rsid w:val="00811021"/>
    <w:rsid w:val="00812095"/>
    <w:rsid w:val="00812DA3"/>
    <w:rsid w:val="008134BD"/>
    <w:rsid w:val="0081424A"/>
    <w:rsid w:val="00814656"/>
    <w:rsid w:val="00814A78"/>
    <w:rsid w:val="0081522F"/>
    <w:rsid w:val="008155F1"/>
    <w:rsid w:val="00816FFA"/>
    <w:rsid w:val="00817F0C"/>
    <w:rsid w:val="00820209"/>
    <w:rsid w:val="008205E6"/>
    <w:rsid w:val="00820E45"/>
    <w:rsid w:val="00821E2C"/>
    <w:rsid w:val="00822835"/>
    <w:rsid w:val="008237AE"/>
    <w:rsid w:val="0082459B"/>
    <w:rsid w:val="00826758"/>
    <w:rsid w:val="00827E0C"/>
    <w:rsid w:val="00832D0B"/>
    <w:rsid w:val="008338A0"/>
    <w:rsid w:val="0083443F"/>
    <w:rsid w:val="00834A95"/>
    <w:rsid w:val="0083535C"/>
    <w:rsid w:val="008353E0"/>
    <w:rsid w:val="008365F0"/>
    <w:rsid w:val="0083739F"/>
    <w:rsid w:val="008374A1"/>
    <w:rsid w:val="00837925"/>
    <w:rsid w:val="0084040A"/>
    <w:rsid w:val="00840A5B"/>
    <w:rsid w:val="00840D22"/>
    <w:rsid w:val="00841534"/>
    <w:rsid w:val="00842083"/>
    <w:rsid w:val="008436DC"/>
    <w:rsid w:val="008462F1"/>
    <w:rsid w:val="00846930"/>
    <w:rsid w:val="008469E3"/>
    <w:rsid w:val="00846EE1"/>
    <w:rsid w:val="00847125"/>
    <w:rsid w:val="0085073E"/>
    <w:rsid w:val="00850A89"/>
    <w:rsid w:val="00850FDE"/>
    <w:rsid w:val="00851188"/>
    <w:rsid w:val="008514EB"/>
    <w:rsid w:val="00852876"/>
    <w:rsid w:val="00853028"/>
    <w:rsid w:val="00853B2B"/>
    <w:rsid w:val="008543F5"/>
    <w:rsid w:val="00855004"/>
    <w:rsid w:val="0085628C"/>
    <w:rsid w:val="008572C4"/>
    <w:rsid w:val="0085733E"/>
    <w:rsid w:val="0085765A"/>
    <w:rsid w:val="00857F87"/>
    <w:rsid w:val="008604A8"/>
    <w:rsid w:val="00860E64"/>
    <w:rsid w:val="008616F7"/>
    <w:rsid w:val="00861A9B"/>
    <w:rsid w:val="00861AFA"/>
    <w:rsid w:val="00861BDD"/>
    <w:rsid w:val="00863C61"/>
    <w:rsid w:val="00865522"/>
    <w:rsid w:val="00865ADF"/>
    <w:rsid w:val="008660B5"/>
    <w:rsid w:val="0086644C"/>
    <w:rsid w:val="008666B5"/>
    <w:rsid w:val="00866856"/>
    <w:rsid w:val="008669C0"/>
    <w:rsid w:val="008703B3"/>
    <w:rsid w:val="00871B51"/>
    <w:rsid w:val="008734BA"/>
    <w:rsid w:val="00876985"/>
    <w:rsid w:val="00876C2C"/>
    <w:rsid w:val="0088088E"/>
    <w:rsid w:val="00882016"/>
    <w:rsid w:val="0088291E"/>
    <w:rsid w:val="0088360C"/>
    <w:rsid w:val="00883718"/>
    <w:rsid w:val="00883780"/>
    <w:rsid w:val="00883B99"/>
    <w:rsid w:val="00884D1A"/>
    <w:rsid w:val="00885066"/>
    <w:rsid w:val="00885F85"/>
    <w:rsid w:val="0088665E"/>
    <w:rsid w:val="00887F48"/>
    <w:rsid w:val="00891DF6"/>
    <w:rsid w:val="008923C8"/>
    <w:rsid w:val="008924B5"/>
    <w:rsid w:val="00893260"/>
    <w:rsid w:val="008932A8"/>
    <w:rsid w:val="00893756"/>
    <w:rsid w:val="00893C6C"/>
    <w:rsid w:val="00893DD0"/>
    <w:rsid w:val="00894422"/>
    <w:rsid w:val="00894A9E"/>
    <w:rsid w:val="00894CE4"/>
    <w:rsid w:val="00894F87"/>
    <w:rsid w:val="008950F6"/>
    <w:rsid w:val="00895471"/>
    <w:rsid w:val="00896815"/>
    <w:rsid w:val="00897D88"/>
    <w:rsid w:val="008A063A"/>
    <w:rsid w:val="008A0744"/>
    <w:rsid w:val="008A0A6E"/>
    <w:rsid w:val="008A0D0F"/>
    <w:rsid w:val="008A1920"/>
    <w:rsid w:val="008A2A0E"/>
    <w:rsid w:val="008A2FB3"/>
    <w:rsid w:val="008A35C3"/>
    <w:rsid w:val="008A398B"/>
    <w:rsid w:val="008A4D59"/>
    <w:rsid w:val="008A4EC3"/>
    <w:rsid w:val="008A5601"/>
    <w:rsid w:val="008A59AD"/>
    <w:rsid w:val="008A5F74"/>
    <w:rsid w:val="008A68C5"/>
    <w:rsid w:val="008B0EEB"/>
    <w:rsid w:val="008B3477"/>
    <w:rsid w:val="008B3AA3"/>
    <w:rsid w:val="008B431D"/>
    <w:rsid w:val="008B51FD"/>
    <w:rsid w:val="008B5D80"/>
    <w:rsid w:val="008B5EF4"/>
    <w:rsid w:val="008B6766"/>
    <w:rsid w:val="008B7186"/>
    <w:rsid w:val="008B7192"/>
    <w:rsid w:val="008C1939"/>
    <w:rsid w:val="008C21AF"/>
    <w:rsid w:val="008C2D45"/>
    <w:rsid w:val="008C3149"/>
    <w:rsid w:val="008C3306"/>
    <w:rsid w:val="008C3396"/>
    <w:rsid w:val="008C621C"/>
    <w:rsid w:val="008C697C"/>
    <w:rsid w:val="008C7448"/>
    <w:rsid w:val="008C75ED"/>
    <w:rsid w:val="008C7649"/>
    <w:rsid w:val="008D0E30"/>
    <w:rsid w:val="008D3114"/>
    <w:rsid w:val="008D32FB"/>
    <w:rsid w:val="008D393D"/>
    <w:rsid w:val="008D6059"/>
    <w:rsid w:val="008D77ED"/>
    <w:rsid w:val="008E013B"/>
    <w:rsid w:val="008E017D"/>
    <w:rsid w:val="008E0991"/>
    <w:rsid w:val="008E10C8"/>
    <w:rsid w:val="008E1AE1"/>
    <w:rsid w:val="008E338E"/>
    <w:rsid w:val="008E4F5F"/>
    <w:rsid w:val="008E57FE"/>
    <w:rsid w:val="008E6090"/>
    <w:rsid w:val="008E6757"/>
    <w:rsid w:val="008F2205"/>
    <w:rsid w:val="008F2665"/>
    <w:rsid w:val="008F372D"/>
    <w:rsid w:val="008F507E"/>
    <w:rsid w:val="008F5251"/>
    <w:rsid w:val="008F5E1F"/>
    <w:rsid w:val="008F6376"/>
    <w:rsid w:val="008F6D61"/>
    <w:rsid w:val="00900CC2"/>
    <w:rsid w:val="009016A1"/>
    <w:rsid w:val="00901770"/>
    <w:rsid w:val="009019FB"/>
    <w:rsid w:val="00902199"/>
    <w:rsid w:val="00902AA5"/>
    <w:rsid w:val="00902BD1"/>
    <w:rsid w:val="009052B7"/>
    <w:rsid w:val="00905368"/>
    <w:rsid w:val="00905B05"/>
    <w:rsid w:val="00905E46"/>
    <w:rsid w:val="0090753C"/>
    <w:rsid w:val="00910623"/>
    <w:rsid w:val="0091135E"/>
    <w:rsid w:val="00911494"/>
    <w:rsid w:val="00911B66"/>
    <w:rsid w:val="00912A7E"/>
    <w:rsid w:val="00913468"/>
    <w:rsid w:val="00913E41"/>
    <w:rsid w:val="00913F6A"/>
    <w:rsid w:val="00914BF9"/>
    <w:rsid w:val="00915330"/>
    <w:rsid w:val="00915AEE"/>
    <w:rsid w:val="00916455"/>
    <w:rsid w:val="00916E69"/>
    <w:rsid w:val="00917143"/>
    <w:rsid w:val="00917525"/>
    <w:rsid w:val="009176BE"/>
    <w:rsid w:val="0091777D"/>
    <w:rsid w:val="00917C39"/>
    <w:rsid w:val="00917C94"/>
    <w:rsid w:val="009201FD"/>
    <w:rsid w:val="0092057D"/>
    <w:rsid w:val="009218C6"/>
    <w:rsid w:val="009218DE"/>
    <w:rsid w:val="00921E99"/>
    <w:rsid w:val="0092206A"/>
    <w:rsid w:val="00922D00"/>
    <w:rsid w:val="00923F17"/>
    <w:rsid w:val="009266DA"/>
    <w:rsid w:val="0093001A"/>
    <w:rsid w:val="00930DE8"/>
    <w:rsid w:val="009318DD"/>
    <w:rsid w:val="0093209A"/>
    <w:rsid w:val="009325CC"/>
    <w:rsid w:val="00932A5A"/>
    <w:rsid w:val="009338FA"/>
    <w:rsid w:val="009352C0"/>
    <w:rsid w:val="00935413"/>
    <w:rsid w:val="00935DB9"/>
    <w:rsid w:val="00935F5D"/>
    <w:rsid w:val="0093669F"/>
    <w:rsid w:val="009368E0"/>
    <w:rsid w:val="009379E1"/>
    <w:rsid w:val="00940E90"/>
    <w:rsid w:val="0094260B"/>
    <w:rsid w:val="00942661"/>
    <w:rsid w:val="00944A4D"/>
    <w:rsid w:val="00945307"/>
    <w:rsid w:val="0094558D"/>
    <w:rsid w:val="00946FCE"/>
    <w:rsid w:val="009515BC"/>
    <w:rsid w:val="009516A8"/>
    <w:rsid w:val="00951A36"/>
    <w:rsid w:val="009520E0"/>
    <w:rsid w:val="0095349A"/>
    <w:rsid w:val="00953B5B"/>
    <w:rsid w:val="00953ED0"/>
    <w:rsid w:val="0095492E"/>
    <w:rsid w:val="00955F7D"/>
    <w:rsid w:val="0096242F"/>
    <w:rsid w:val="00962E3B"/>
    <w:rsid w:val="00962E4A"/>
    <w:rsid w:val="00962FF5"/>
    <w:rsid w:val="00963D5D"/>
    <w:rsid w:val="00964A4E"/>
    <w:rsid w:val="00965B02"/>
    <w:rsid w:val="00965C07"/>
    <w:rsid w:val="00965D2D"/>
    <w:rsid w:val="00965EE9"/>
    <w:rsid w:val="00970A16"/>
    <w:rsid w:val="00970BDE"/>
    <w:rsid w:val="00970CE8"/>
    <w:rsid w:val="00971847"/>
    <w:rsid w:val="00972964"/>
    <w:rsid w:val="00974C8E"/>
    <w:rsid w:val="00976A8B"/>
    <w:rsid w:val="0097762F"/>
    <w:rsid w:val="009816B8"/>
    <w:rsid w:val="009820E5"/>
    <w:rsid w:val="00982C37"/>
    <w:rsid w:val="00983B45"/>
    <w:rsid w:val="00983B5C"/>
    <w:rsid w:val="00986CC8"/>
    <w:rsid w:val="0098766F"/>
    <w:rsid w:val="00993912"/>
    <w:rsid w:val="00993D8B"/>
    <w:rsid w:val="00993FDA"/>
    <w:rsid w:val="00994050"/>
    <w:rsid w:val="00994340"/>
    <w:rsid w:val="009945E2"/>
    <w:rsid w:val="00994915"/>
    <w:rsid w:val="009962CF"/>
    <w:rsid w:val="009969D6"/>
    <w:rsid w:val="00996D42"/>
    <w:rsid w:val="009A0D99"/>
    <w:rsid w:val="009A4543"/>
    <w:rsid w:val="009A4F78"/>
    <w:rsid w:val="009A5807"/>
    <w:rsid w:val="009A5DB1"/>
    <w:rsid w:val="009A6F60"/>
    <w:rsid w:val="009A7C5A"/>
    <w:rsid w:val="009A7E51"/>
    <w:rsid w:val="009B0285"/>
    <w:rsid w:val="009B0B71"/>
    <w:rsid w:val="009B1634"/>
    <w:rsid w:val="009B21B9"/>
    <w:rsid w:val="009B2297"/>
    <w:rsid w:val="009B2FAD"/>
    <w:rsid w:val="009B3B67"/>
    <w:rsid w:val="009B4A2E"/>
    <w:rsid w:val="009B4C75"/>
    <w:rsid w:val="009B4CD0"/>
    <w:rsid w:val="009B4DA7"/>
    <w:rsid w:val="009B7C8B"/>
    <w:rsid w:val="009C14D1"/>
    <w:rsid w:val="009C21C6"/>
    <w:rsid w:val="009C220B"/>
    <w:rsid w:val="009C238E"/>
    <w:rsid w:val="009C383B"/>
    <w:rsid w:val="009C3A80"/>
    <w:rsid w:val="009C41EC"/>
    <w:rsid w:val="009C5238"/>
    <w:rsid w:val="009C6F72"/>
    <w:rsid w:val="009D12B4"/>
    <w:rsid w:val="009D1E70"/>
    <w:rsid w:val="009D2135"/>
    <w:rsid w:val="009D2274"/>
    <w:rsid w:val="009D2FA7"/>
    <w:rsid w:val="009D4CAE"/>
    <w:rsid w:val="009D4E60"/>
    <w:rsid w:val="009D55F9"/>
    <w:rsid w:val="009D5A11"/>
    <w:rsid w:val="009D60FF"/>
    <w:rsid w:val="009D6A7A"/>
    <w:rsid w:val="009D765F"/>
    <w:rsid w:val="009D7760"/>
    <w:rsid w:val="009D78DF"/>
    <w:rsid w:val="009E0D57"/>
    <w:rsid w:val="009E16E6"/>
    <w:rsid w:val="009E1E62"/>
    <w:rsid w:val="009E20FD"/>
    <w:rsid w:val="009E2953"/>
    <w:rsid w:val="009E2DAA"/>
    <w:rsid w:val="009E30CE"/>
    <w:rsid w:val="009E346C"/>
    <w:rsid w:val="009E347C"/>
    <w:rsid w:val="009E450F"/>
    <w:rsid w:val="009E4CDF"/>
    <w:rsid w:val="009F001C"/>
    <w:rsid w:val="009F0038"/>
    <w:rsid w:val="009F04C3"/>
    <w:rsid w:val="009F0760"/>
    <w:rsid w:val="009F08AE"/>
    <w:rsid w:val="009F0FCD"/>
    <w:rsid w:val="009F2325"/>
    <w:rsid w:val="009F3B29"/>
    <w:rsid w:val="009F4860"/>
    <w:rsid w:val="009F6622"/>
    <w:rsid w:val="00A00057"/>
    <w:rsid w:val="00A00485"/>
    <w:rsid w:val="00A01A5F"/>
    <w:rsid w:val="00A025AC"/>
    <w:rsid w:val="00A025E4"/>
    <w:rsid w:val="00A02C96"/>
    <w:rsid w:val="00A02E65"/>
    <w:rsid w:val="00A0340A"/>
    <w:rsid w:val="00A0440C"/>
    <w:rsid w:val="00A047AE"/>
    <w:rsid w:val="00A0585F"/>
    <w:rsid w:val="00A065A5"/>
    <w:rsid w:val="00A0694A"/>
    <w:rsid w:val="00A077AC"/>
    <w:rsid w:val="00A079C6"/>
    <w:rsid w:val="00A07A33"/>
    <w:rsid w:val="00A108D0"/>
    <w:rsid w:val="00A10A30"/>
    <w:rsid w:val="00A1137C"/>
    <w:rsid w:val="00A113D7"/>
    <w:rsid w:val="00A11F0F"/>
    <w:rsid w:val="00A12C2E"/>
    <w:rsid w:val="00A12E08"/>
    <w:rsid w:val="00A140FC"/>
    <w:rsid w:val="00A14E23"/>
    <w:rsid w:val="00A15891"/>
    <w:rsid w:val="00A16126"/>
    <w:rsid w:val="00A176A7"/>
    <w:rsid w:val="00A20920"/>
    <w:rsid w:val="00A21C6C"/>
    <w:rsid w:val="00A2365A"/>
    <w:rsid w:val="00A24133"/>
    <w:rsid w:val="00A262BF"/>
    <w:rsid w:val="00A27809"/>
    <w:rsid w:val="00A27E3D"/>
    <w:rsid w:val="00A30533"/>
    <w:rsid w:val="00A31521"/>
    <w:rsid w:val="00A317B0"/>
    <w:rsid w:val="00A34591"/>
    <w:rsid w:val="00A34E44"/>
    <w:rsid w:val="00A351C9"/>
    <w:rsid w:val="00A3564D"/>
    <w:rsid w:val="00A3640F"/>
    <w:rsid w:val="00A3733B"/>
    <w:rsid w:val="00A37ECF"/>
    <w:rsid w:val="00A40CE2"/>
    <w:rsid w:val="00A417B4"/>
    <w:rsid w:val="00A41B6D"/>
    <w:rsid w:val="00A42167"/>
    <w:rsid w:val="00A4225A"/>
    <w:rsid w:val="00A4243B"/>
    <w:rsid w:val="00A426D9"/>
    <w:rsid w:val="00A42FAE"/>
    <w:rsid w:val="00A43846"/>
    <w:rsid w:val="00A47176"/>
    <w:rsid w:val="00A475C5"/>
    <w:rsid w:val="00A4768C"/>
    <w:rsid w:val="00A50A68"/>
    <w:rsid w:val="00A50D3B"/>
    <w:rsid w:val="00A50E38"/>
    <w:rsid w:val="00A510C6"/>
    <w:rsid w:val="00A518AA"/>
    <w:rsid w:val="00A51B68"/>
    <w:rsid w:val="00A525E7"/>
    <w:rsid w:val="00A52D85"/>
    <w:rsid w:val="00A52F9E"/>
    <w:rsid w:val="00A536B4"/>
    <w:rsid w:val="00A536F9"/>
    <w:rsid w:val="00A54341"/>
    <w:rsid w:val="00A555D6"/>
    <w:rsid w:val="00A55E66"/>
    <w:rsid w:val="00A56348"/>
    <w:rsid w:val="00A5688C"/>
    <w:rsid w:val="00A56E31"/>
    <w:rsid w:val="00A5703F"/>
    <w:rsid w:val="00A57555"/>
    <w:rsid w:val="00A57902"/>
    <w:rsid w:val="00A579F8"/>
    <w:rsid w:val="00A57D39"/>
    <w:rsid w:val="00A62528"/>
    <w:rsid w:val="00A63073"/>
    <w:rsid w:val="00A6316B"/>
    <w:rsid w:val="00A63CB2"/>
    <w:rsid w:val="00A64A3C"/>
    <w:rsid w:val="00A65316"/>
    <w:rsid w:val="00A66BFF"/>
    <w:rsid w:val="00A66C78"/>
    <w:rsid w:val="00A674FF"/>
    <w:rsid w:val="00A70EAF"/>
    <w:rsid w:val="00A70F69"/>
    <w:rsid w:val="00A712CD"/>
    <w:rsid w:val="00A721AB"/>
    <w:rsid w:val="00A72611"/>
    <w:rsid w:val="00A72FE9"/>
    <w:rsid w:val="00A73ABB"/>
    <w:rsid w:val="00A744BB"/>
    <w:rsid w:val="00A751A1"/>
    <w:rsid w:val="00A75788"/>
    <w:rsid w:val="00A7626E"/>
    <w:rsid w:val="00A76D2C"/>
    <w:rsid w:val="00A77225"/>
    <w:rsid w:val="00A7754B"/>
    <w:rsid w:val="00A77746"/>
    <w:rsid w:val="00A806AA"/>
    <w:rsid w:val="00A81015"/>
    <w:rsid w:val="00A827FA"/>
    <w:rsid w:val="00A83BF6"/>
    <w:rsid w:val="00A83D39"/>
    <w:rsid w:val="00A84CB0"/>
    <w:rsid w:val="00A85380"/>
    <w:rsid w:val="00A87B4F"/>
    <w:rsid w:val="00A87F31"/>
    <w:rsid w:val="00A90044"/>
    <w:rsid w:val="00A90D27"/>
    <w:rsid w:val="00A9103B"/>
    <w:rsid w:val="00A91048"/>
    <w:rsid w:val="00A91284"/>
    <w:rsid w:val="00A918A7"/>
    <w:rsid w:val="00A92274"/>
    <w:rsid w:val="00A92871"/>
    <w:rsid w:val="00A9364A"/>
    <w:rsid w:val="00A93864"/>
    <w:rsid w:val="00A94670"/>
    <w:rsid w:val="00A94721"/>
    <w:rsid w:val="00A95266"/>
    <w:rsid w:val="00A955EB"/>
    <w:rsid w:val="00A95F79"/>
    <w:rsid w:val="00A9664D"/>
    <w:rsid w:val="00A967FD"/>
    <w:rsid w:val="00A96935"/>
    <w:rsid w:val="00AA0DCC"/>
    <w:rsid w:val="00AA1AB4"/>
    <w:rsid w:val="00AA1BBE"/>
    <w:rsid w:val="00AA1F49"/>
    <w:rsid w:val="00AA2776"/>
    <w:rsid w:val="00AA326E"/>
    <w:rsid w:val="00AA3A2E"/>
    <w:rsid w:val="00AA4099"/>
    <w:rsid w:val="00AA41CF"/>
    <w:rsid w:val="00AA47DC"/>
    <w:rsid w:val="00AA6913"/>
    <w:rsid w:val="00AA7A2C"/>
    <w:rsid w:val="00AA7C75"/>
    <w:rsid w:val="00AB2190"/>
    <w:rsid w:val="00AB290F"/>
    <w:rsid w:val="00AB31C1"/>
    <w:rsid w:val="00AB3642"/>
    <w:rsid w:val="00AB39EB"/>
    <w:rsid w:val="00AB3F27"/>
    <w:rsid w:val="00AB3FD9"/>
    <w:rsid w:val="00AB49AF"/>
    <w:rsid w:val="00AB64BA"/>
    <w:rsid w:val="00AB7DE7"/>
    <w:rsid w:val="00AC00AB"/>
    <w:rsid w:val="00AC03AB"/>
    <w:rsid w:val="00AC0650"/>
    <w:rsid w:val="00AC13FC"/>
    <w:rsid w:val="00AC1BE7"/>
    <w:rsid w:val="00AC1C57"/>
    <w:rsid w:val="00AC1F17"/>
    <w:rsid w:val="00AC275F"/>
    <w:rsid w:val="00AC3EE4"/>
    <w:rsid w:val="00AC3F1B"/>
    <w:rsid w:val="00AC42DE"/>
    <w:rsid w:val="00AC4E56"/>
    <w:rsid w:val="00AC50A4"/>
    <w:rsid w:val="00AC5A95"/>
    <w:rsid w:val="00AC6074"/>
    <w:rsid w:val="00AC6471"/>
    <w:rsid w:val="00AC67B6"/>
    <w:rsid w:val="00AD1751"/>
    <w:rsid w:val="00AD1B6B"/>
    <w:rsid w:val="00AD1C3B"/>
    <w:rsid w:val="00AD1D0A"/>
    <w:rsid w:val="00AD27A8"/>
    <w:rsid w:val="00AD2B6E"/>
    <w:rsid w:val="00AD316E"/>
    <w:rsid w:val="00AD3443"/>
    <w:rsid w:val="00AD372D"/>
    <w:rsid w:val="00AD4B3C"/>
    <w:rsid w:val="00AD68A5"/>
    <w:rsid w:val="00AD7946"/>
    <w:rsid w:val="00AE09FF"/>
    <w:rsid w:val="00AE10C0"/>
    <w:rsid w:val="00AE179D"/>
    <w:rsid w:val="00AE185D"/>
    <w:rsid w:val="00AE1BFE"/>
    <w:rsid w:val="00AE3842"/>
    <w:rsid w:val="00AE3A43"/>
    <w:rsid w:val="00AE3D83"/>
    <w:rsid w:val="00AE4374"/>
    <w:rsid w:val="00AE466A"/>
    <w:rsid w:val="00AE485C"/>
    <w:rsid w:val="00AE7729"/>
    <w:rsid w:val="00AE79B1"/>
    <w:rsid w:val="00AE7D4F"/>
    <w:rsid w:val="00AE7FE4"/>
    <w:rsid w:val="00AF0117"/>
    <w:rsid w:val="00AF01A8"/>
    <w:rsid w:val="00AF0D96"/>
    <w:rsid w:val="00AF17D3"/>
    <w:rsid w:val="00AF1D77"/>
    <w:rsid w:val="00AF38BA"/>
    <w:rsid w:val="00AF4F67"/>
    <w:rsid w:val="00AF5811"/>
    <w:rsid w:val="00AF599C"/>
    <w:rsid w:val="00AF6509"/>
    <w:rsid w:val="00B00BBE"/>
    <w:rsid w:val="00B0456E"/>
    <w:rsid w:val="00B0597A"/>
    <w:rsid w:val="00B066AB"/>
    <w:rsid w:val="00B06A05"/>
    <w:rsid w:val="00B06BF6"/>
    <w:rsid w:val="00B06F7F"/>
    <w:rsid w:val="00B0776A"/>
    <w:rsid w:val="00B100F0"/>
    <w:rsid w:val="00B1094D"/>
    <w:rsid w:val="00B10DB0"/>
    <w:rsid w:val="00B12B31"/>
    <w:rsid w:val="00B1310B"/>
    <w:rsid w:val="00B13C5D"/>
    <w:rsid w:val="00B1402E"/>
    <w:rsid w:val="00B1444A"/>
    <w:rsid w:val="00B1466C"/>
    <w:rsid w:val="00B14865"/>
    <w:rsid w:val="00B15334"/>
    <w:rsid w:val="00B21590"/>
    <w:rsid w:val="00B21600"/>
    <w:rsid w:val="00B21D50"/>
    <w:rsid w:val="00B22086"/>
    <w:rsid w:val="00B22ADD"/>
    <w:rsid w:val="00B22F9B"/>
    <w:rsid w:val="00B23747"/>
    <w:rsid w:val="00B23E0A"/>
    <w:rsid w:val="00B23FFB"/>
    <w:rsid w:val="00B24090"/>
    <w:rsid w:val="00B249E9"/>
    <w:rsid w:val="00B257E3"/>
    <w:rsid w:val="00B258DD"/>
    <w:rsid w:val="00B260C7"/>
    <w:rsid w:val="00B26CF3"/>
    <w:rsid w:val="00B27494"/>
    <w:rsid w:val="00B279B9"/>
    <w:rsid w:val="00B27BFD"/>
    <w:rsid w:val="00B30A05"/>
    <w:rsid w:val="00B31DC3"/>
    <w:rsid w:val="00B32DD2"/>
    <w:rsid w:val="00B33E6B"/>
    <w:rsid w:val="00B34D2E"/>
    <w:rsid w:val="00B34E02"/>
    <w:rsid w:val="00B34F48"/>
    <w:rsid w:val="00B35C26"/>
    <w:rsid w:val="00B3674E"/>
    <w:rsid w:val="00B40403"/>
    <w:rsid w:val="00B408BB"/>
    <w:rsid w:val="00B41322"/>
    <w:rsid w:val="00B438BC"/>
    <w:rsid w:val="00B51768"/>
    <w:rsid w:val="00B51BA0"/>
    <w:rsid w:val="00B535BD"/>
    <w:rsid w:val="00B53701"/>
    <w:rsid w:val="00B546C8"/>
    <w:rsid w:val="00B55258"/>
    <w:rsid w:val="00B55746"/>
    <w:rsid w:val="00B56A26"/>
    <w:rsid w:val="00B56D18"/>
    <w:rsid w:val="00B57C50"/>
    <w:rsid w:val="00B6021A"/>
    <w:rsid w:val="00B6110A"/>
    <w:rsid w:val="00B6173B"/>
    <w:rsid w:val="00B6176A"/>
    <w:rsid w:val="00B62B82"/>
    <w:rsid w:val="00B6301A"/>
    <w:rsid w:val="00B64A0A"/>
    <w:rsid w:val="00B64CAD"/>
    <w:rsid w:val="00B651FA"/>
    <w:rsid w:val="00B6565C"/>
    <w:rsid w:val="00B65F34"/>
    <w:rsid w:val="00B66751"/>
    <w:rsid w:val="00B67866"/>
    <w:rsid w:val="00B67AA6"/>
    <w:rsid w:val="00B7066C"/>
    <w:rsid w:val="00B717D8"/>
    <w:rsid w:val="00B7298D"/>
    <w:rsid w:val="00B72DF3"/>
    <w:rsid w:val="00B72FF0"/>
    <w:rsid w:val="00B74146"/>
    <w:rsid w:val="00B76F6C"/>
    <w:rsid w:val="00B80153"/>
    <w:rsid w:val="00B80440"/>
    <w:rsid w:val="00B8080B"/>
    <w:rsid w:val="00B811EF"/>
    <w:rsid w:val="00B831B9"/>
    <w:rsid w:val="00B83499"/>
    <w:rsid w:val="00B84DC0"/>
    <w:rsid w:val="00B852AF"/>
    <w:rsid w:val="00B85931"/>
    <w:rsid w:val="00B85F4E"/>
    <w:rsid w:val="00B8620B"/>
    <w:rsid w:val="00B86EF1"/>
    <w:rsid w:val="00B8745D"/>
    <w:rsid w:val="00B876C3"/>
    <w:rsid w:val="00B9029E"/>
    <w:rsid w:val="00B904DF"/>
    <w:rsid w:val="00B90674"/>
    <w:rsid w:val="00B90B2A"/>
    <w:rsid w:val="00B90FCD"/>
    <w:rsid w:val="00B91CD7"/>
    <w:rsid w:val="00B91FFF"/>
    <w:rsid w:val="00B92CAE"/>
    <w:rsid w:val="00B934E3"/>
    <w:rsid w:val="00B93994"/>
    <w:rsid w:val="00B93C80"/>
    <w:rsid w:val="00B94323"/>
    <w:rsid w:val="00B94444"/>
    <w:rsid w:val="00B948E7"/>
    <w:rsid w:val="00B94AB5"/>
    <w:rsid w:val="00B94B1E"/>
    <w:rsid w:val="00B9566B"/>
    <w:rsid w:val="00B957D6"/>
    <w:rsid w:val="00B95F92"/>
    <w:rsid w:val="00B961B7"/>
    <w:rsid w:val="00B963D4"/>
    <w:rsid w:val="00B9772B"/>
    <w:rsid w:val="00BA0D2B"/>
    <w:rsid w:val="00BA2DEF"/>
    <w:rsid w:val="00BA35F2"/>
    <w:rsid w:val="00BA42FB"/>
    <w:rsid w:val="00BA44E7"/>
    <w:rsid w:val="00BA4768"/>
    <w:rsid w:val="00BA4A92"/>
    <w:rsid w:val="00BA516F"/>
    <w:rsid w:val="00BA5AFA"/>
    <w:rsid w:val="00BA628C"/>
    <w:rsid w:val="00BA7059"/>
    <w:rsid w:val="00BB0051"/>
    <w:rsid w:val="00BB02C6"/>
    <w:rsid w:val="00BB05A5"/>
    <w:rsid w:val="00BB0A64"/>
    <w:rsid w:val="00BB1074"/>
    <w:rsid w:val="00BB1082"/>
    <w:rsid w:val="00BB2127"/>
    <w:rsid w:val="00BB2476"/>
    <w:rsid w:val="00BB2645"/>
    <w:rsid w:val="00BB304C"/>
    <w:rsid w:val="00BB36B0"/>
    <w:rsid w:val="00BB3805"/>
    <w:rsid w:val="00BB3B76"/>
    <w:rsid w:val="00BB4589"/>
    <w:rsid w:val="00BB52A5"/>
    <w:rsid w:val="00BB5412"/>
    <w:rsid w:val="00BB5893"/>
    <w:rsid w:val="00BB603E"/>
    <w:rsid w:val="00BB6740"/>
    <w:rsid w:val="00BB7EA1"/>
    <w:rsid w:val="00BB7F81"/>
    <w:rsid w:val="00BC0E4F"/>
    <w:rsid w:val="00BC1097"/>
    <w:rsid w:val="00BC269B"/>
    <w:rsid w:val="00BC27D2"/>
    <w:rsid w:val="00BC2C71"/>
    <w:rsid w:val="00BC2CD2"/>
    <w:rsid w:val="00BC407C"/>
    <w:rsid w:val="00BC6768"/>
    <w:rsid w:val="00BC7E66"/>
    <w:rsid w:val="00BD1503"/>
    <w:rsid w:val="00BD27F7"/>
    <w:rsid w:val="00BD35E1"/>
    <w:rsid w:val="00BD54FC"/>
    <w:rsid w:val="00BD6156"/>
    <w:rsid w:val="00BD63C3"/>
    <w:rsid w:val="00BD67CE"/>
    <w:rsid w:val="00BD76A4"/>
    <w:rsid w:val="00BE008F"/>
    <w:rsid w:val="00BE038C"/>
    <w:rsid w:val="00BE0607"/>
    <w:rsid w:val="00BE10CE"/>
    <w:rsid w:val="00BE1C8A"/>
    <w:rsid w:val="00BE4857"/>
    <w:rsid w:val="00BE5847"/>
    <w:rsid w:val="00BE5BE0"/>
    <w:rsid w:val="00BE60C2"/>
    <w:rsid w:val="00BE62CD"/>
    <w:rsid w:val="00BE697B"/>
    <w:rsid w:val="00BE70E8"/>
    <w:rsid w:val="00BE739B"/>
    <w:rsid w:val="00BF02D5"/>
    <w:rsid w:val="00BF0619"/>
    <w:rsid w:val="00BF07C2"/>
    <w:rsid w:val="00BF087F"/>
    <w:rsid w:val="00BF0E08"/>
    <w:rsid w:val="00BF0E1E"/>
    <w:rsid w:val="00BF0E76"/>
    <w:rsid w:val="00BF19DC"/>
    <w:rsid w:val="00BF2B3E"/>
    <w:rsid w:val="00BF2DAF"/>
    <w:rsid w:val="00BF3959"/>
    <w:rsid w:val="00BF3D40"/>
    <w:rsid w:val="00BF4088"/>
    <w:rsid w:val="00BF4A77"/>
    <w:rsid w:val="00BF4E1B"/>
    <w:rsid w:val="00BF5120"/>
    <w:rsid w:val="00BF5DEB"/>
    <w:rsid w:val="00BF63B2"/>
    <w:rsid w:val="00BF65AD"/>
    <w:rsid w:val="00C01083"/>
    <w:rsid w:val="00C020C8"/>
    <w:rsid w:val="00C02AD7"/>
    <w:rsid w:val="00C0480F"/>
    <w:rsid w:val="00C04DA7"/>
    <w:rsid w:val="00C055E7"/>
    <w:rsid w:val="00C0583A"/>
    <w:rsid w:val="00C06277"/>
    <w:rsid w:val="00C06A53"/>
    <w:rsid w:val="00C1043C"/>
    <w:rsid w:val="00C12883"/>
    <w:rsid w:val="00C12A51"/>
    <w:rsid w:val="00C12CD1"/>
    <w:rsid w:val="00C1591E"/>
    <w:rsid w:val="00C173EE"/>
    <w:rsid w:val="00C17F87"/>
    <w:rsid w:val="00C20D36"/>
    <w:rsid w:val="00C21038"/>
    <w:rsid w:val="00C22684"/>
    <w:rsid w:val="00C2286B"/>
    <w:rsid w:val="00C22C01"/>
    <w:rsid w:val="00C2396B"/>
    <w:rsid w:val="00C26865"/>
    <w:rsid w:val="00C2785F"/>
    <w:rsid w:val="00C30BA6"/>
    <w:rsid w:val="00C31467"/>
    <w:rsid w:val="00C31D42"/>
    <w:rsid w:val="00C338ED"/>
    <w:rsid w:val="00C33F0C"/>
    <w:rsid w:val="00C34CCB"/>
    <w:rsid w:val="00C34D57"/>
    <w:rsid w:val="00C35515"/>
    <w:rsid w:val="00C356C6"/>
    <w:rsid w:val="00C35807"/>
    <w:rsid w:val="00C35A4B"/>
    <w:rsid w:val="00C360F8"/>
    <w:rsid w:val="00C36696"/>
    <w:rsid w:val="00C36720"/>
    <w:rsid w:val="00C36777"/>
    <w:rsid w:val="00C36C1F"/>
    <w:rsid w:val="00C37518"/>
    <w:rsid w:val="00C37C07"/>
    <w:rsid w:val="00C37F00"/>
    <w:rsid w:val="00C40006"/>
    <w:rsid w:val="00C408AE"/>
    <w:rsid w:val="00C40C8F"/>
    <w:rsid w:val="00C4150E"/>
    <w:rsid w:val="00C421BA"/>
    <w:rsid w:val="00C421C9"/>
    <w:rsid w:val="00C42757"/>
    <w:rsid w:val="00C42A3A"/>
    <w:rsid w:val="00C437C6"/>
    <w:rsid w:val="00C44403"/>
    <w:rsid w:val="00C4517F"/>
    <w:rsid w:val="00C45232"/>
    <w:rsid w:val="00C4622B"/>
    <w:rsid w:val="00C46E94"/>
    <w:rsid w:val="00C4713F"/>
    <w:rsid w:val="00C475A2"/>
    <w:rsid w:val="00C47865"/>
    <w:rsid w:val="00C50622"/>
    <w:rsid w:val="00C5130A"/>
    <w:rsid w:val="00C52097"/>
    <w:rsid w:val="00C52BA5"/>
    <w:rsid w:val="00C52F47"/>
    <w:rsid w:val="00C53323"/>
    <w:rsid w:val="00C53AA6"/>
    <w:rsid w:val="00C54D8C"/>
    <w:rsid w:val="00C553FD"/>
    <w:rsid w:val="00C55474"/>
    <w:rsid w:val="00C565FA"/>
    <w:rsid w:val="00C56635"/>
    <w:rsid w:val="00C5690B"/>
    <w:rsid w:val="00C57493"/>
    <w:rsid w:val="00C605E6"/>
    <w:rsid w:val="00C61AD3"/>
    <w:rsid w:val="00C62270"/>
    <w:rsid w:val="00C64D07"/>
    <w:rsid w:val="00C6500A"/>
    <w:rsid w:val="00C6543D"/>
    <w:rsid w:val="00C66CEF"/>
    <w:rsid w:val="00C66EE6"/>
    <w:rsid w:val="00C670FE"/>
    <w:rsid w:val="00C7062D"/>
    <w:rsid w:val="00C70D48"/>
    <w:rsid w:val="00C71087"/>
    <w:rsid w:val="00C715CC"/>
    <w:rsid w:val="00C7161C"/>
    <w:rsid w:val="00C71A13"/>
    <w:rsid w:val="00C71E3C"/>
    <w:rsid w:val="00C725AC"/>
    <w:rsid w:val="00C727EF"/>
    <w:rsid w:val="00C73C17"/>
    <w:rsid w:val="00C75492"/>
    <w:rsid w:val="00C762BF"/>
    <w:rsid w:val="00C763D4"/>
    <w:rsid w:val="00C771C0"/>
    <w:rsid w:val="00C773C0"/>
    <w:rsid w:val="00C77C78"/>
    <w:rsid w:val="00C77FEB"/>
    <w:rsid w:val="00C80399"/>
    <w:rsid w:val="00C80D26"/>
    <w:rsid w:val="00C8146C"/>
    <w:rsid w:val="00C8231E"/>
    <w:rsid w:val="00C82814"/>
    <w:rsid w:val="00C82B0A"/>
    <w:rsid w:val="00C83CB5"/>
    <w:rsid w:val="00C84199"/>
    <w:rsid w:val="00C846DD"/>
    <w:rsid w:val="00C85CA6"/>
    <w:rsid w:val="00C86638"/>
    <w:rsid w:val="00C86A5B"/>
    <w:rsid w:val="00C873DA"/>
    <w:rsid w:val="00C9028E"/>
    <w:rsid w:val="00C90A7F"/>
    <w:rsid w:val="00C9135D"/>
    <w:rsid w:val="00C9141B"/>
    <w:rsid w:val="00C9147E"/>
    <w:rsid w:val="00C9174F"/>
    <w:rsid w:val="00C91896"/>
    <w:rsid w:val="00C925ED"/>
    <w:rsid w:val="00C92B5F"/>
    <w:rsid w:val="00C9339F"/>
    <w:rsid w:val="00C947A9"/>
    <w:rsid w:val="00C94A0A"/>
    <w:rsid w:val="00C94F4C"/>
    <w:rsid w:val="00C96A10"/>
    <w:rsid w:val="00C9753B"/>
    <w:rsid w:val="00C97B6C"/>
    <w:rsid w:val="00CA02B7"/>
    <w:rsid w:val="00CA0C87"/>
    <w:rsid w:val="00CA19CD"/>
    <w:rsid w:val="00CA2BAE"/>
    <w:rsid w:val="00CA3D17"/>
    <w:rsid w:val="00CA4A62"/>
    <w:rsid w:val="00CA4FED"/>
    <w:rsid w:val="00CA561E"/>
    <w:rsid w:val="00CA5AAF"/>
    <w:rsid w:val="00CA5B58"/>
    <w:rsid w:val="00CA659E"/>
    <w:rsid w:val="00CA691C"/>
    <w:rsid w:val="00CA6BA5"/>
    <w:rsid w:val="00CB18A3"/>
    <w:rsid w:val="00CB18E2"/>
    <w:rsid w:val="00CB23DD"/>
    <w:rsid w:val="00CB2757"/>
    <w:rsid w:val="00CB2FE7"/>
    <w:rsid w:val="00CB3B57"/>
    <w:rsid w:val="00CB3C87"/>
    <w:rsid w:val="00CB423C"/>
    <w:rsid w:val="00CB42AE"/>
    <w:rsid w:val="00CB4C10"/>
    <w:rsid w:val="00CB6155"/>
    <w:rsid w:val="00CB6617"/>
    <w:rsid w:val="00CB6768"/>
    <w:rsid w:val="00CB75B0"/>
    <w:rsid w:val="00CB77E6"/>
    <w:rsid w:val="00CB7FAA"/>
    <w:rsid w:val="00CC078E"/>
    <w:rsid w:val="00CC17DB"/>
    <w:rsid w:val="00CC1D5C"/>
    <w:rsid w:val="00CC23A1"/>
    <w:rsid w:val="00CC2507"/>
    <w:rsid w:val="00CC2ED9"/>
    <w:rsid w:val="00CC2F01"/>
    <w:rsid w:val="00CC3341"/>
    <w:rsid w:val="00CC39FE"/>
    <w:rsid w:val="00CC6453"/>
    <w:rsid w:val="00CC6899"/>
    <w:rsid w:val="00CD0CC3"/>
    <w:rsid w:val="00CD1250"/>
    <w:rsid w:val="00CD2D8A"/>
    <w:rsid w:val="00CD3009"/>
    <w:rsid w:val="00CD31EA"/>
    <w:rsid w:val="00CD3703"/>
    <w:rsid w:val="00CD3753"/>
    <w:rsid w:val="00CD4F4A"/>
    <w:rsid w:val="00CD5E26"/>
    <w:rsid w:val="00CD692F"/>
    <w:rsid w:val="00CD7E64"/>
    <w:rsid w:val="00CE0392"/>
    <w:rsid w:val="00CE2303"/>
    <w:rsid w:val="00CE291E"/>
    <w:rsid w:val="00CE3A02"/>
    <w:rsid w:val="00CE4649"/>
    <w:rsid w:val="00CE4F21"/>
    <w:rsid w:val="00CE5481"/>
    <w:rsid w:val="00CE5866"/>
    <w:rsid w:val="00CE78F6"/>
    <w:rsid w:val="00CF003F"/>
    <w:rsid w:val="00CF0045"/>
    <w:rsid w:val="00CF1ACC"/>
    <w:rsid w:val="00CF26DF"/>
    <w:rsid w:val="00CF2B2D"/>
    <w:rsid w:val="00CF3308"/>
    <w:rsid w:val="00CF362F"/>
    <w:rsid w:val="00CF48FA"/>
    <w:rsid w:val="00CF4945"/>
    <w:rsid w:val="00CF56CA"/>
    <w:rsid w:val="00CF7194"/>
    <w:rsid w:val="00CF7C90"/>
    <w:rsid w:val="00CF7EA0"/>
    <w:rsid w:val="00D00600"/>
    <w:rsid w:val="00D00A29"/>
    <w:rsid w:val="00D011A1"/>
    <w:rsid w:val="00D02612"/>
    <w:rsid w:val="00D02839"/>
    <w:rsid w:val="00D0329F"/>
    <w:rsid w:val="00D04C6C"/>
    <w:rsid w:val="00D04F9C"/>
    <w:rsid w:val="00D05D2A"/>
    <w:rsid w:val="00D06299"/>
    <w:rsid w:val="00D1005D"/>
    <w:rsid w:val="00D1045D"/>
    <w:rsid w:val="00D11581"/>
    <w:rsid w:val="00D128DF"/>
    <w:rsid w:val="00D133AA"/>
    <w:rsid w:val="00D13B0B"/>
    <w:rsid w:val="00D13CCF"/>
    <w:rsid w:val="00D14CA0"/>
    <w:rsid w:val="00D14CF7"/>
    <w:rsid w:val="00D1576E"/>
    <w:rsid w:val="00D15E67"/>
    <w:rsid w:val="00D1606C"/>
    <w:rsid w:val="00D160F8"/>
    <w:rsid w:val="00D16637"/>
    <w:rsid w:val="00D16C89"/>
    <w:rsid w:val="00D17D7E"/>
    <w:rsid w:val="00D17D88"/>
    <w:rsid w:val="00D20A26"/>
    <w:rsid w:val="00D20ABB"/>
    <w:rsid w:val="00D20DDE"/>
    <w:rsid w:val="00D216B7"/>
    <w:rsid w:val="00D22280"/>
    <w:rsid w:val="00D24125"/>
    <w:rsid w:val="00D24AEE"/>
    <w:rsid w:val="00D25DF7"/>
    <w:rsid w:val="00D25E3D"/>
    <w:rsid w:val="00D26A33"/>
    <w:rsid w:val="00D26AA9"/>
    <w:rsid w:val="00D304E4"/>
    <w:rsid w:val="00D3073E"/>
    <w:rsid w:val="00D31676"/>
    <w:rsid w:val="00D316C8"/>
    <w:rsid w:val="00D317E4"/>
    <w:rsid w:val="00D3192D"/>
    <w:rsid w:val="00D3207C"/>
    <w:rsid w:val="00D329DC"/>
    <w:rsid w:val="00D337D5"/>
    <w:rsid w:val="00D34817"/>
    <w:rsid w:val="00D34B84"/>
    <w:rsid w:val="00D365BB"/>
    <w:rsid w:val="00D3795A"/>
    <w:rsid w:val="00D37AB5"/>
    <w:rsid w:val="00D37B12"/>
    <w:rsid w:val="00D40C74"/>
    <w:rsid w:val="00D420C6"/>
    <w:rsid w:val="00D43282"/>
    <w:rsid w:val="00D43EA4"/>
    <w:rsid w:val="00D44508"/>
    <w:rsid w:val="00D44D58"/>
    <w:rsid w:val="00D45416"/>
    <w:rsid w:val="00D462CD"/>
    <w:rsid w:val="00D47810"/>
    <w:rsid w:val="00D50201"/>
    <w:rsid w:val="00D50629"/>
    <w:rsid w:val="00D5128E"/>
    <w:rsid w:val="00D52082"/>
    <w:rsid w:val="00D52FD0"/>
    <w:rsid w:val="00D530A4"/>
    <w:rsid w:val="00D53406"/>
    <w:rsid w:val="00D53A68"/>
    <w:rsid w:val="00D53B00"/>
    <w:rsid w:val="00D54385"/>
    <w:rsid w:val="00D544DF"/>
    <w:rsid w:val="00D559EB"/>
    <w:rsid w:val="00D606BF"/>
    <w:rsid w:val="00D61F24"/>
    <w:rsid w:val="00D6259C"/>
    <w:rsid w:val="00D627E3"/>
    <w:rsid w:val="00D62807"/>
    <w:rsid w:val="00D62BFC"/>
    <w:rsid w:val="00D63B91"/>
    <w:rsid w:val="00D64A4A"/>
    <w:rsid w:val="00D65D4A"/>
    <w:rsid w:val="00D6679C"/>
    <w:rsid w:val="00D66E95"/>
    <w:rsid w:val="00D67BBA"/>
    <w:rsid w:val="00D70049"/>
    <w:rsid w:val="00D70667"/>
    <w:rsid w:val="00D70768"/>
    <w:rsid w:val="00D72446"/>
    <w:rsid w:val="00D7285B"/>
    <w:rsid w:val="00D72F5D"/>
    <w:rsid w:val="00D73714"/>
    <w:rsid w:val="00D73EE6"/>
    <w:rsid w:val="00D742D2"/>
    <w:rsid w:val="00D744DC"/>
    <w:rsid w:val="00D748FA"/>
    <w:rsid w:val="00D74ADF"/>
    <w:rsid w:val="00D75CF7"/>
    <w:rsid w:val="00D75F59"/>
    <w:rsid w:val="00D776C3"/>
    <w:rsid w:val="00D80153"/>
    <w:rsid w:val="00D809BA"/>
    <w:rsid w:val="00D81AC7"/>
    <w:rsid w:val="00D82255"/>
    <w:rsid w:val="00D83E11"/>
    <w:rsid w:val="00D83E45"/>
    <w:rsid w:val="00D842CD"/>
    <w:rsid w:val="00D8495A"/>
    <w:rsid w:val="00D8495C"/>
    <w:rsid w:val="00D8561A"/>
    <w:rsid w:val="00D85DFA"/>
    <w:rsid w:val="00D86737"/>
    <w:rsid w:val="00D86819"/>
    <w:rsid w:val="00D8696A"/>
    <w:rsid w:val="00D86E6C"/>
    <w:rsid w:val="00D87A77"/>
    <w:rsid w:val="00D90571"/>
    <w:rsid w:val="00D90B23"/>
    <w:rsid w:val="00D90F5A"/>
    <w:rsid w:val="00D9153B"/>
    <w:rsid w:val="00D93339"/>
    <w:rsid w:val="00D95903"/>
    <w:rsid w:val="00D95D78"/>
    <w:rsid w:val="00DA01CE"/>
    <w:rsid w:val="00DA0810"/>
    <w:rsid w:val="00DA2E3C"/>
    <w:rsid w:val="00DA3FCE"/>
    <w:rsid w:val="00DA4B24"/>
    <w:rsid w:val="00DA54E1"/>
    <w:rsid w:val="00DA68A7"/>
    <w:rsid w:val="00DA7187"/>
    <w:rsid w:val="00DB01FD"/>
    <w:rsid w:val="00DB145A"/>
    <w:rsid w:val="00DB147F"/>
    <w:rsid w:val="00DB2BD9"/>
    <w:rsid w:val="00DB2BE7"/>
    <w:rsid w:val="00DB4203"/>
    <w:rsid w:val="00DB552A"/>
    <w:rsid w:val="00DB76D6"/>
    <w:rsid w:val="00DB7776"/>
    <w:rsid w:val="00DB77D6"/>
    <w:rsid w:val="00DB79E7"/>
    <w:rsid w:val="00DB7CA1"/>
    <w:rsid w:val="00DC094F"/>
    <w:rsid w:val="00DC1129"/>
    <w:rsid w:val="00DC24B5"/>
    <w:rsid w:val="00DC25DA"/>
    <w:rsid w:val="00DC2ACC"/>
    <w:rsid w:val="00DC41E1"/>
    <w:rsid w:val="00DC4C59"/>
    <w:rsid w:val="00DC4FBF"/>
    <w:rsid w:val="00DC5149"/>
    <w:rsid w:val="00DC573D"/>
    <w:rsid w:val="00DC5AAF"/>
    <w:rsid w:val="00DC68E1"/>
    <w:rsid w:val="00DC7948"/>
    <w:rsid w:val="00DC7FCE"/>
    <w:rsid w:val="00DD03C4"/>
    <w:rsid w:val="00DD11A0"/>
    <w:rsid w:val="00DD12A9"/>
    <w:rsid w:val="00DD1B88"/>
    <w:rsid w:val="00DD231D"/>
    <w:rsid w:val="00DD273A"/>
    <w:rsid w:val="00DD2BD4"/>
    <w:rsid w:val="00DD334C"/>
    <w:rsid w:val="00DD3C08"/>
    <w:rsid w:val="00DD52BC"/>
    <w:rsid w:val="00DD67AA"/>
    <w:rsid w:val="00DD75AF"/>
    <w:rsid w:val="00DD780E"/>
    <w:rsid w:val="00DD7B27"/>
    <w:rsid w:val="00DE0108"/>
    <w:rsid w:val="00DE0476"/>
    <w:rsid w:val="00DE198A"/>
    <w:rsid w:val="00DE1B2F"/>
    <w:rsid w:val="00DE1C5A"/>
    <w:rsid w:val="00DE26C4"/>
    <w:rsid w:val="00DE28F7"/>
    <w:rsid w:val="00DE2AAC"/>
    <w:rsid w:val="00DE45A4"/>
    <w:rsid w:val="00DE52A1"/>
    <w:rsid w:val="00DE549B"/>
    <w:rsid w:val="00DE5C00"/>
    <w:rsid w:val="00DE5E04"/>
    <w:rsid w:val="00DE6634"/>
    <w:rsid w:val="00DE75E4"/>
    <w:rsid w:val="00DE7884"/>
    <w:rsid w:val="00DE7B6C"/>
    <w:rsid w:val="00DF0BB2"/>
    <w:rsid w:val="00DF1125"/>
    <w:rsid w:val="00DF2738"/>
    <w:rsid w:val="00DF27AC"/>
    <w:rsid w:val="00DF28E7"/>
    <w:rsid w:val="00DF2AD5"/>
    <w:rsid w:val="00DF2C98"/>
    <w:rsid w:val="00DF2FD1"/>
    <w:rsid w:val="00DF399A"/>
    <w:rsid w:val="00DF447B"/>
    <w:rsid w:val="00DF6280"/>
    <w:rsid w:val="00DF7B14"/>
    <w:rsid w:val="00DF7D65"/>
    <w:rsid w:val="00E00009"/>
    <w:rsid w:val="00E00786"/>
    <w:rsid w:val="00E01EF4"/>
    <w:rsid w:val="00E02CF2"/>
    <w:rsid w:val="00E030D3"/>
    <w:rsid w:val="00E04947"/>
    <w:rsid w:val="00E069F7"/>
    <w:rsid w:val="00E06C35"/>
    <w:rsid w:val="00E0710D"/>
    <w:rsid w:val="00E07F08"/>
    <w:rsid w:val="00E07F71"/>
    <w:rsid w:val="00E114D8"/>
    <w:rsid w:val="00E11F07"/>
    <w:rsid w:val="00E11F6A"/>
    <w:rsid w:val="00E1256E"/>
    <w:rsid w:val="00E13002"/>
    <w:rsid w:val="00E1347F"/>
    <w:rsid w:val="00E1621B"/>
    <w:rsid w:val="00E169C1"/>
    <w:rsid w:val="00E16E5D"/>
    <w:rsid w:val="00E17218"/>
    <w:rsid w:val="00E21114"/>
    <w:rsid w:val="00E22B84"/>
    <w:rsid w:val="00E23741"/>
    <w:rsid w:val="00E257B5"/>
    <w:rsid w:val="00E26045"/>
    <w:rsid w:val="00E26BDB"/>
    <w:rsid w:val="00E27304"/>
    <w:rsid w:val="00E304D5"/>
    <w:rsid w:val="00E30B90"/>
    <w:rsid w:val="00E31677"/>
    <w:rsid w:val="00E319E0"/>
    <w:rsid w:val="00E33084"/>
    <w:rsid w:val="00E337F5"/>
    <w:rsid w:val="00E33824"/>
    <w:rsid w:val="00E339E4"/>
    <w:rsid w:val="00E33B0D"/>
    <w:rsid w:val="00E34593"/>
    <w:rsid w:val="00E34D1F"/>
    <w:rsid w:val="00E34EBC"/>
    <w:rsid w:val="00E35A81"/>
    <w:rsid w:val="00E36F66"/>
    <w:rsid w:val="00E37211"/>
    <w:rsid w:val="00E375B6"/>
    <w:rsid w:val="00E37848"/>
    <w:rsid w:val="00E4034D"/>
    <w:rsid w:val="00E404B3"/>
    <w:rsid w:val="00E40E73"/>
    <w:rsid w:val="00E41EE7"/>
    <w:rsid w:val="00E42084"/>
    <w:rsid w:val="00E42A6F"/>
    <w:rsid w:val="00E43178"/>
    <w:rsid w:val="00E44854"/>
    <w:rsid w:val="00E44CF6"/>
    <w:rsid w:val="00E45FD4"/>
    <w:rsid w:val="00E50301"/>
    <w:rsid w:val="00E51183"/>
    <w:rsid w:val="00E51C28"/>
    <w:rsid w:val="00E541A2"/>
    <w:rsid w:val="00E541CD"/>
    <w:rsid w:val="00E551BB"/>
    <w:rsid w:val="00E55808"/>
    <w:rsid w:val="00E559EA"/>
    <w:rsid w:val="00E561EC"/>
    <w:rsid w:val="00E5696D"/>
    <w:rsid w:val="00E56E45"/>
    <w:rsid w:val="00E570EA"/>
    <w:rsid w:val="00E6044E"/>
    <w:rsid w:val="00E6161C"/>
    <w:rsid w:val="00E6189F"/>
    <w:rsid w:val="00E624EC"/>
    <w:rsid w:val="00E62DEC"/>
    <w:rsid w:val="00E63014"/>
    <w:rsid w:val="00E63233"/>
    <w:rsid w:val="00E632A3"/>
    <w:rsid w:val="00E63636"/>
    <w:rsid w:val="00E63FE6"/>
    <w:rsid w:val="00E64A1F"/>
    <w:rsid w:val="00E65960"/>
    <w:rsid w:val="00E65AF0"/>
    <w:rsid w:val="00E65E52"/>
    <w:rsid w:val="00E65F8A"/>
    <w:rsid w:val="00E66BE4"/>
    <w:rsid w:val="00E66ECB"/>
    <w:rsid w:val="00E67486"/>
    <w:rsid w:val="00E70612"/>
    <w:rsid w:val="00E72027"/>
    <w:rsid w:val="00E727CE"/>
    <w:rsid w:val="00E728A3"/>
    <w:rsid w:val="00E729C6"/>
    <w:rsid w:val="00E7312B"/>
    <w:rsid w:val="00E7357D"/>
    <w:rsid w:val="00E73D84"/>
    <w:rsid w:val="00E73F32"/>
    <w:rsid w:val="00E749E1"/>
    <w:rsid w:val="00E7606E"/>
    <w:rsid w:val="00E76A9C"/>
    <w:rsid w:val="00E76F7C"/>
    <w:rsid w:val="00E8007A"/>
    <w:rsid w:val="00E80578"/>
    <w:rsid w:val="00E80B43"/>
    <w:rsid w:val="00E80C32"/>
    <w:rsid w:val="00E8224C"/>
    <w:rsid w:val="00E833CB"/>
    <w:rsid w:val="00E83995"/>
    <w:rsid w:val="00E83CBA"/>
    <w:rsid w:val="00E83D2E"/>
    <w:rsid w:val="00E83FB2"/>
    <w:rsid w:val="00E844D4"/>
    <w:rsid w:val="00E84F96"/>
    <w:rsid w:val="00E85531"/>
    <w:rsid w:val="00E86C5F"/>
    <w:rsid w:val="00E86F0E"/>
    <w:rsid w:val="00E876C2"/>
    <w:rsid w:val="00E879DC"/>
    <w:rsid w:val="00E87EDB"/>
    <w:rsid w:val="00E9026A"/>
    <w:rsid w:val="00E90615"/>
    <w:rsid w:val="00E90C70"/>
    <w:rsid w:val="00E917CC"/>
    <w:rsid w:val="00E91FE0"/>
    <w:rsid w:val="00E92BC7"/>
    <w:rsid w:val="00E936E3"/>
    <w:rsid w:val="00E93827"/>
    <w:rsid w:val="00E944A1"/>
    <w:rsid w:val="00E94E3B"/>
    <w:rsid w:val="00E9596D"/>
    <w:rsid w:val="00E95AC2"/>
    <w:rsid w:val="00E9669F"/>
    <w:rsid w:val="00E97167"/>
    <w:rsid w:val="00E97DBB"/>
    <w:rsid w:val="00EA0169"/>
    <w:rsid w:val="00EA093A"/>
    <w:rsid w:val="00EA09B5"/>
    <w:rsid w:val="00EA09E4"/>
    <w:rsid w:val="00EA3781"/>
    <w:rsid w:val="00EA38EB"/>
    <w:rsid w:val="00EA3E60"/>
    <w:rsid w:val="00EA4126"/>
    <w:rsid w:val="00EA466E"/>
    <w:rsid w:val="00EA5023"/>
    <w:rsid w:val="00EA5076"/>
    <w:rsid w:val="00EA5CC9"/>
    <w:rsid w:val="00EA642A"/>
    <w:rsid w:val="00EA7061"/>
    <w:rsid w:val="00EA7C5B"/>
    <w:rsid w:val="00EB060D"/>
    <w:rsid w:val="00EB09A3"/>
    <w:rsid w:val="00EB13FE"/>
    <w:rsid w:val="00EB205F"/>
    <w:rsid w:val="00EB254B"/>
    <w:rsid w:val="00EB2F26"/>
    <w:rsid w:val="00EB313F"/>
    <w:rsid w:val="00EB39F1"/>
    <w:rsid w:val="00EB3CB7"/>
    <w:rsid w:val="00EB42E0"/>
    <w:rsid w:val="00EB460F"/>
    <w:rsid w:val="00EB472E"/>
    <w:rsid w:val="00EB5434"/>
    <w:rsid w:val="00EB59AE"/>
    <w:rsid w:val="00EB5D6C"/>
    <w:rsid w:val="00EB6A9B"/>
    <w:rsid w:val="00EB76D6"/>
    <w:rsid w:val="00EC0178"/>
    <w:rsid w:val="00EC049F"/>
    <w:rsid w:val="00EC11E3"/>
    <w:rsid w:val="00EC1300"/>
    <w:rsid w:val="00EC1911"/>
    <w:rsid w:val="00EC2F1D"/>
    <w:rsid w:val="00EC4359"/>
    <w:rsid w:val="00EC4AF4"/>
    <w:rsid w:val="00EC5181"/>
    <w:rsid w:val="00EC5303"/>
    <w:rsid w:val="00EC6F5C"/>
    <w:rsid w:val="00EC7F9B"/>
    <w:rsid w:val="00ED024E"/>
    <w:rsid w:val="00ED0DD3"/>
    <w:rsid w:val="00ED128B"/>
    <w:rsid w:val="00ED194C"/>
    <w:rsid w:val="00ED1A3B"/>
    <w:rsid w:val="00ED2023"/>
    <w:rsid w:val="00ED2C26"/>
    <w:rsid w:val="00ED3898"/>
    <w:rsid w:val="00ED3EFD"/>
    <w:rsid w:val="00ED4574"/>
    <w:rsid w:val="00ED58F5"/>
    <w:rsid w:val="00ED5EC2"/>
    <w:rsid w:val="00ED7F2F"/>
    <w:rsid w:val="00EE0DF2"/>
    <w:rsid w:val="00EE0E70"/>
    <w:rsid w:val="00EE0FBE"/>
    <w:rsid w:val="00EE1124"/>
    <w:rsid w:val="00EE21DD"/>
    <w:rsid w:val="00EE252E"/>
    <w:rsid w:val="00EE3F84"/>
    <w:rsid w:val="00EE4D94"/>
    <w:rsid w:val="00EE4F26"/>
    <w:rsid w:val="00EE56DF"/>
    <w:rsid w:val="00EE5A6A"/>
    <w:rsid w:val="00EE5ED7"/>
    <w:rsid w:val="00EE64CC"/>
    <w:rsid w:val="00EE6D6B"/>
    <w:rsid w:val="00EF1A24"/>
    <w:rsid w:val="00EF1BF1"/>
    <w:rsid w:val="00EF224B"/>
    <w:rsid w:val="00EF33C0"/>
    <w:rsid w:val="00EF375C"/>
    <w:rsid w:val="00EF44F3"/>
    <w:rsid w:val="00EF71E1"/>
    <w:rsid w:val="00EF7A13"/>
    <w:rsid w:val="00F01BD5"/>
    <w:rsid w:val="00F01F57"/>
    <w:rsid w:val="00F024E3"/>
    <w:rsid w:val="00F0264E"/>
    <w:rsid w:val="00F026FB"/>
    <w:rsid w:val="00F02815"/>
    <w:rsid w:val="00F0311C"/>
    <w:rsid w:val="00F03E57"/>
    <w:rsid w:val="00F05180"/>
    <w:rsid w:val="00F05EAF"/>
    <w:rsid w:val="00F0615F"/>
    <w:rsid w:val="00F0627B"/>
    <w:rsid w:val="00F06D7C"/>
    <w:rsid w:val="00F07B11"/>
    <w:rsid w:val="00F07BE9"/>
    <w:rsid w:val="00F1049D"/>
    <w:rsid w:val="00F10530"/>
    <w:rsid w:val="00F11553"/>
    <w:rsid w:val="00F119F0"/>
    <w:rsid w:val="00F132BB"/>
    <w:rsid w:val="00F147FD"/>
    <w:rsid w:val="00F15FC1"/>
    <w:rsid w:val="00F15FF5"/>
    <w:rsid w:val="00F16636"/>
    <w:rsid w:val="00F166CE"/>
    <w:rsid w:val="00F17762"/>
    <w:rsid w:val="00F17C05"/>
    <w:rsid w:val="00F20272"/>
    <w:rsid w:val="00F20C21"/>
    <w:rsid w:val="00F22A08"/>
    <w:rsid w:val="00F23C5A"/>
    <w:rsid w:val="00F23E91"/>
    <w:rsid w:val="00F2402B"/>
    <w:rsid w:val="00F24A4D"/>
    <w:rsid w:val="00F261BC"/>
    <w:rsid w:val="00F26C0B"/>
    <w:rsid w:val="00F277B9"/>
    <w:rsid w:val="00F277D4"/>
    <w:rsid w:val="00F3046D"/>
    <w:rsid w:val="00F304B4"/>
    <w:rsid w:val="00F31104"/>
    <w:rsid w:val="00F3357A"/>
    <w:rsid w:val="00F33A43"/>
    <w:rsid w:val="00F33E65"/>
    <w:rsid w:val="00F34E93"/>
    <w:rsid w:val="00F34F05"/>
    <w:rsid w:val="00F35AD1"/>
    <w:rsid w:val="00F36271"/>
    <w:rsid w:val="00F369E1"/>
    <w:rsid w:val="00F374C8"/>
    <w:rsid w:val="00F408BA"/>
    <w:rsid w:val="00F40DE0"/>
    <w:rsid w:val="00F43F5A"/>
    <w:rsid w:val="00F44511"/>
    <w:rsid w:val="00F4474B"/>
    <w:rsid w:val="00F4526A"/>
    <w:rsid w:val="00F47BB9"/>
    <w:rsid w:val="00F5097D"/>
    <w:rsid w:val="00F513E5"/>
    <w:rsid w:val="00F5219B"/>
    <w:rsid w:val="00F53138"/>
    <w:rsid w:val="00F534C0"/>
    <w:rsid w:val="00F53A49"/>
    <w:rsid w:val="00F5444B"/>
    <w:rsid w:val="00F54930"/>
    <w:rsid w:val="00F55239"/>
    <w:rsid w:val="00F5523B"/>
    <w:rsid w:val="00F56699"/>
    <w:rsid w:val="00F5793C"/>
    <w:rsid w:val="00F57EC8"/>
    <w:rsid w:val="00F623B6"/>
    <w:rsid w:val="00F6280F"/>
    <w:rsid w:val="00F62819"/>
    <w:rsid w:val="00F6297A"/>
    <w:rsid w:val="00F6394B"/>
    <w:rsid w:val="00F65687"/>
    <w:rsid w:val="00F65DD6"/>
    <w:rsid w:val="00F6653B"/>
    <w:rsid w:val="00F6755C"/>
    <w:rsid w:val="00F708D9"/>
    <w:rsid w:val="00F70F78"/>
    <w:rsid w:val="00F7134B"/>
    <w:rsid w:val="00F71AFC"/>
    <w:rsid w:val="00F720FB"/>
    <w:rsid w:val="00F721C2"/>
    <w:rsid w:val="00F7225C"/>
    <w:rsid w:val="00F732D6"/>
    <w:rsid w:val="00F73798"/>
    <w:rsid w:val="00F740CA"/>
    <w:rsid w:val="00F7429D"/>
    <w:rsid w:val="00F756CC"/>
    <w:rsid w:val="00F77584"/>
    <w:rsid w:val="00F805D1"/>
    <w:rsid w:val="00F80602"/>
    <w:rsid w:val="00F81110"/>
    <w:rsid w:val="00F81376"/>
    <w:rsid w:val="00F81B3D"/>
    <w:rsid w:val="00F8340C"/>
    <w:rsid w:val="00F83955"/>
    <w:rsid w:val="00F84060"/>
    <w:rsid w:val="00F84C20"/>
    <w:rsid w:val="00F8736E"/>
    <w:rsid w:val="00F87614"/>
    <w:rsid w:val="00F92065"/>
    <w:rsid w:val="00F92112"/>
    <w:rsid w:val="00F9230A"/>
    <w:rsid w:val="00F92366"/>
    <w:rsid w:val="00F92753"/>
    <w:rsid w:val="00F92EEE"/>
    <w:rsid w:val="00F93611"/>
    <w:rsid w:val="00F93E6B"/>
    <w:rsid w:val="00F9434B"/>
    <w:rsid w:val="00F9598E"/>
    <w:rsid w:val="00F96B32"/>
    <w:rsid w:val="00F9735A"/>
    <w:rsid w:val="00F978D5"/>
    <w:rsid w:val="00FA0DB9"/>
    <w:rsid w:val="00FA2442"/>
    <w:rsid w:val="00FA332C"/>
    <w:rsid w:val="00FA3343"/>
    <w:rsid w:val="00FA3F4F"/>
    <w:rsid w:val="00FA42F4"/>
    <w:rsid w:val="00FA5287"/>
    <w:rsid w:val="00FA6502"/>
    <w:rsid w:val="00FB0730"/>
    <w:rsid w:val="00FB0BC1"/>
    <w:rsid w:val="00FB14A0"/>
    <w:rsid w:val="00FB1B5F"/>
    <w:rsid w:val="00FB1CC7"/>
    <w:rsid w:val="00FB1EB2"/>
    <w:rsid w:val="00FB3115"/>
    <w:rsid w:val="00FB3371"/>
    <w:rsid w:val="00FB4E4A"/>
    <w:rsid w:val="00FB5170"/>
    <w:rsid w:val="00FB5717"/>
    <w:rsid w:val="00FB6D3A"/>
    <w:rsid w:val="00FB7924"/>
    <w:rsid w:val="00FB7F35"/>
    <w:rsid w:val="00FC0C94"/>
    <w:rsid w:val="00FC11D6"/>
    <w:rsid w:val="00FC2175"/>
    <w:rsid w:val="00FC2BCC"/>
    <w:rsid w:val="00FC4022"/>
    <w:rsid w:val="00FC43A3"/>
    <w:rsid w:val="00FC4521"/>
    <w:rsid w:val="00FC48DD"/>
    <w:rsid w:val="00FC4E9B"/>
    <w:rsid w:val="00FC569E"/>
    <w:rsid w:val="00FC6746"/>
    <w:rsid w:val="00FC67E5"/>
    <w:rsid w:val="00FC6B48"/>
    <w:rsid w:val="00FC6BFF"/>
    <w:rsid w:val="00FC7B5F"/>
    <w:rsid w:val="00FD04EB"/>
    <w:rsid w:val="00FD1036"/>
    <w:rsid w:val="00FD131D"/>
    <w:rsid w:val="00FD13D2"/>
    <w:rsid w:val="00FD152B"/>
    <w:rsid w:val="00FD2995"/>
    <w:rsid w:val="00FD5177"/>
    <w:rsid w:val="00FE0552"/>
    <w:rsid w:val="00FE0D99"/>
    <w:rsid w:val="00FE3343"/>
    <w:rsid w:val="00FE35E1"/>
    <w:rsid w:val="00FE3AFC"/>
    <w:rsid w:val="00FE423A"/>
    <w:rsid w:val="00FE5DBD"/>
    <w:rsid w:val="00FE6D86"/>
    <w:rsid w:val="00FF0DA7"/>
    <w:rsid w:val="00FF29E0"/>
    <w:rsid w:val="00FF3276"/>
    <w:rsid w:val="00FF3C71"/>
    <w:rsid w:val="00FF4397"/>
    <w:rsid w:val="00FF468A"/>
    <w:rsid w:val="00FF5B26"/>
    <w:rsid w:val="00FF60F3"/>
    <w:rsid w:val="00FF6973"/>
    <w:rsid w:val="00FF69CB"/>
    <w:rsid w:val="00FF7DE7"/>
    <w:rsid w:val="02CAA2E5"/>
    <w:rsid w:val="042CF5B2"/>
    <w:rsid w:val="044D0B22"/>
    <w:rsid w:val="05CB7011"/>
    <w:rsid w:val="071CB5C0"/>
    <w:rsid w:val="08CBCF8E"/>
    <w:rsid w:val="0AAEB62D"/>
    <w:rsid w:val="0BA0F69C"/>
    <w:rsid w:val="0BE40BA5"/>
    <w:rsid w:val="0CE98831"/>
    <w:rsid w:val="0D66B8C1"/>
    <w:rsid w:val="0D8602F7"/>
    <w:rsid w:val="0EA37F98"/>
    <w:rsid w:val="0F02EDC9"/>
    <w:rsid w:val="0F8D469C"/>
    <w:rsid w:val="0FEAE3A0"/>
    <w:rsid w:val="1039B4C0"/>
    <w:rsid w:val="10E3AFD4"/>
    <w:rsid w:val="11161B03"/>
    <w:rsid w:val="128A6218"/>
    <w:rsid w:val="14974513"/>
    <w:rsid w:val="14C89B11"/>
    <w:rsid w:val="15A1C2D3"/>
    <w:rsid w:val="15E9C44A"/>
    <w:rsid w:val="1621DACA"/>
    <w:rsid w:val="1643E7B4"/>
    <w:rsid w:val="179743D9"/>
    <w:rsid w:val="18398BAE"/>
    <w:rsid w:val="18A35658"/>
    <w:rsid w:val="19380EC6"/>
    <w:rsid w:val="1A24C4A7"/>
    <w:rsid w:val="1BB59E22"/>
    <w:rsid w:val="1D01581B"/>
    <w:rsid w:val="1E928E9A"/>
    <w:rsid w:val="1F390871"/>
    <w:rsid w:val="2046BD0F"/>
    <w:rsid w:val="2136F84A"/>
    <w:rsid w:val="21B89659"/>
    <w:rsid w:val="2217B5E1"/>
    <w:rsid w:val="22430DBE"/>
    <w:rsid w:val="22A12D37"/>
    <w:rsid w:val="22CB6E80"/>
    <w:rsid w:val="230C95B6"/>
    <w:rsid w:val="2567B8D4"/>
    <w:rsid w:val="25C2FF6E"/>
    <w:rsid w:val="27D20EDB"/>
    <w:rsid w:val="282A7DBE"/>
    <w:rsid w:val="28F2436B"/>
    <w:rsid w:val="2A3043F7"/>
    <w:rsid w:val="2AA4FF39"/>
    <w:rsid w:val="2AD68065"/>
    <w:rsid w:val="2AF7E8E1"/>
    <w:rsid w:val="2B5E651F"/>
    <w:rsid w:val="2B5F11C7"/>
    <w:rsid w:val="2CC0AC59"/>
    <w:rsid w:val="2DAFBB02"/>
    <w:rsid w:val="2DB76E14"/>
    <w:rsid w:val="2E37ECE3"/>
    <w:rsid w:val="2EB83A09"/>
    <w:rsid w:val="2ECB33A5"/>
    <w:rsid w:val="2F5E2C18"/>
    <w:rsid w:val="2F5F0CC7"/>
    <w:rsid w:val="2FD9BC29"/>
    <w:rsid w:val="302C8E70"/>
    <w:rsid w:val="3063B59A"/>
    <w:rsid w:val="30B6D145"/>
    <w:rsid w:val="30D54591"/>
    <w:rsid w:val="310DCD81"/>
    <w:rsid w:val="313CDD5C"/>
    <w:rsid w:val="325FCF5B"/>
    <w:rsid w:val="33C2A3A2"/>
    <w:rsid w:val="375F214B"/>
    <w:rsid w:val="397F5A4F"/>
    <w:rsid w:val="3A7168E8"/>
    <w:rsid w:val="3B7E9B3E"/>
    <w:rsid w:val="3C084538"/>
    <w:rsid w:val="3C165F89"/>
    <w:rsid w:val="3C5B6C76"/>
    <w:rsid w:val="3CF441E3"/>
    <w:rsid w:val="3D434F4F"/>
    <w:rsid w:val="3F00BC1A"/>
    <w:rsid w:val="3FA13B29"/>
    <w:rsid w:val="41150CB1"/>
    <w:rsid w:val="42637333"/>
    <w:rsid w:val="427FF5BC"/>
    <w:rsid w:val="42A86E3F"/>
    <w:rsid w:val="4334A3D2"/>
    <w:rsid w:val="433B737B"/>
    <w:rsid w:val="4435C01B"/>
    <w:rsid w:val="44435F27"/>
    <w:rsid w:val="46579EAB"/>
    <w:rsid w:val="46E4B937"/>
    <w:rsid w:val="47682D5E"/>
    <w:rsid w:val="476BDE13"/>
    <w:rsid w:val="47E5DCB0"/>
    <w:rsid w:val="4A87B1BF"/>
    <w:rsid w:val="4A940A66"/>
    <w:rsid w:val="4BA0C448"/>
    <w:rsid w:val="4C412294"/>
    <w:rsid w:val="4E13A10C"/>
    <w:rsid w:val="505759FB"/>
    <w:rsid w:val="51FE432D"/>
    <w:rsid w:val="52F8CA36"/>
    <w:rsid w:val="53ED24A1"/>
    <w:rsid w:val="555F4B31"/>
    <w:rsid w:val="559966B8"/>
    <w:rsid w:val="55F0B950"/>
    <w:rsid w:val="56B8CA84"/>
    <w:rsid w:val="573782BE"/>
    <w:rsid w:val="57703D7F"/>
    <w:rsid w:val="580FCB07"/>
    <w:rsid w:val="581BFCCA"/>
    <w:rsid w:val="594343BF"/>
    <w:rsid w:val="596F3872"/>
    <w:rsid w:val="598F7EAE"/>
    <w:rsid w:val="59DC0FBC"/>
    <w:rsid w:val="5A26B1CF"/>
    <w:rsid w:val="5A291E64"/>
    <w:rsid w:val="5BE93156"/>
    <w:rsid w:val="5C3FA085"/>
    <w:rsid w:val="5C6EA1D8"/>
    <w:rsid w:val="5D3DFC5F"/>
    <w:rsid w:val="5F20C105"/>
    <w:rsid w:val="603A736D"/>
    <w:rsid w:val="6060990C"/>
    <w:rsid w:val="60669176"/>
    <w:rsid w:val="60A4F235"/>
    <w:rsid w:val="62D49510"/>
    <w:rsid w:val="63A0D819"/>
    <w:rsid w:val="64CF3165"/>
    <w:rsid w:val="656282BF"/>
    <w:rsid w:val="661BF9B8"/>
    <w:rsid w:val="664AC1BF"/>
    <w:rsid w:val="67A42C0F"/>
    <w:rsid w:val="67DD6C0D"/>
    <w:rsid w:val="6A8F0F6D"/>
    <w:rsid w:val="6ADEEEBA"/>
    <w:rsid w:val="6BD8A5FA"/>
    <w:rsid w:val="6C960B11"/>
    <w:rsid w:val="6CCC902B"/>
    <w:rsid w:val="6D31E811"/>
    <w:rsid w:val="6D720378"/>
    <w:rsid w:val="6EFAD29A"/>
    <w:rsid w:val="6FAA7DEA"/>
    <w:rsid w:val="6FF2CF05"/>
    <w:rsid w:val="701A9AE0"/>
    <w:rsid w:val="70BAF449"/>
    <w:rsid w:val="70BB0B67"/>
    <w:rsid w:val="71BF54E6"/>
    <w:rsid w:val="71CC02B1"/>
    <w:rsid w:val="73008738"/>
    <w:rsid w:val="73B8203B"/>
    <w:rsid w:val="770ABFDA"/>
    <w:rsid w:val="77D94EB5"/>
    <w:rsid w:val="77E7EF3E"/>
    <w:rsid w:val="785DECB4"/>
    <w:rsid w:val="7902ED3C"/>
    <w:rsid w:val="7B23928A"/>
    <w:rsid w:val="7B69ACD6"/>
    <w:rsid w:val="7BB2E8FD"/>
    <w:rsid w:val="7BC5F3AC"/>
    <w:rsid w:val="7C2809EF"/>
    <w:rsid w:val="7D45AEC9"/>
    <w:rsid w:val="7E865536"/>
    <w:rsid w:val="7F29E548"/>
    <w:rsid w:val="7FB3F4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B16F334"/>
  <w15:docId w15:val="{D6C1CFA9-5507-4473-80BE-C9D7F5ABD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153B"/>
    <w:rPr>
      <w:lang w:val="en-US" w:eastAsia="en-US"/>
    </w:rPr>
  </w:style>
  <w:style w:type="paragraph" w:styleId="Heading1">
    <w:name w:val="heading 1"/>
    <w:basedOn w:val="Normal"/>
    <w:next w:val="Normal"/>
    <w:link w:val="Heading1Char"/>
    <w:qFormat/>
    <w:rsid w:val="00D9153B"/>
    <w:pPr>
      <w:keepNext/>
      <w:widowControl w:val="0"/>
      <w:suppressAutoHyphens/>
      <w:outlineLvl w:val="0"/>
    </w:pPr>
    <w:rPr>
      <w:rFonts w:ascii="Courier" w:hAnsi="Courier"/>
      <w:b/>
      <w:spacing w:val="-3"/>
      <w:sz w:val="28"/>
      <w:lang w:val="x-none" w:eastAsia="x-none"/>
    </w:rPr>
  </w:style>
  <w:style w:type="paragraph" w:styleId="Heading2">
    <w:name w:val="heading 2"/>
    <w:basedOn w:val="Normal"/>
    <w:next w:val="Normal"/>
    <w:qFormat/>
    <w:rsid w:val="00D9153B"/>
    <w:pPr>
      <w:keepNext/>
      <w:jc w:val="center"/>
      <w:outlineLvl w:val="1"/>
    </w:pPr>
    <w:rPr>
      <w:rFonts w:ascii="Arial" w:hAnsi="Arial"/>
      <w:b/>
      <w:sz w:val="28"/>
    </w:rPr>
  </w:style>
  <w:style w:type="paragraph" w:styleId="Heading4">
    <w:name w:val="heading 4"/>
    <w:basedOn w:val="Normal"/>
    <w:next w:val="Normal"/>
    <w:qFormat/>
    <w:rsid w:val="00D9153B"/>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153B"/>
    <w:pPr>
      <w:widowControl w:val="0"/>
      <w:tabs>
        <w:tab w:val="center" w:pos="4320"/>
        <w:tab w:val="right" w:pos="8640"/>
      </w:tabs>
    </w:pPr>
    <w:rPr>
      <w:rFonts w:ascii="Courier" w:hAnsi="Courier"/>
      <w:sz w:val="22"/>
      <w:lang w:val="x-none" w:eastAsia="x-none"/>
    </w:rPr>
  </w:style>
  <w:style w:type="paragraph" w:styleId="FootnoteText">
    <w:name w:val="footnote text"/>
    <w:basedOn w:val="Normal"/>
    <w:link w:val="FootnoteTextChar"/>
    <w:uiPriority w:val="99"/>
    <w:rsid w:val="006D5073"/>
    <w:pPr>
      <w:widowControl w:val="0"/>
    </w:pPr>
    <w:rPr>
      <w:sz w:val="18"/>
    </w:rPr>
  </w:style>
  <w:style w:type="paragraph" w:styleId="Subtitle">
    <w:name w:val="Subtitle"/>
    <w:basedOn w:val="Normal"/>
    <w:link w:val="SubtitleChar"/>
    <w:qFormat/>
    <w:rsid w:val="00D9153B"/>
    <w:pPr>
      <w:spacing w:after="60"/>
      <w:jc w:val="center"/>
      <w:outlineLvl w:val="1"/>
    </w:pPr>
    <w:rPr>
      <w:rFonts w:ascii="Arial" w:hAnsi="Arial" w:cs="Arial"/>
      <w:sz w:val="24"/>
      <w:szCs w:val="24"/>
    </w:rPr>
  </w:style>
  <w:style w:type="character" w:styleId="FootnoteReference">
    <w:name w:val="footnote reference"/>
    <w:rsid w:val="00D9153B"/>
    <w:rPr>
      <w:rFonts w:cs="Times New Roman"/>
      <w:vertAlign w:val="superscript"/>
    </w:rPr>
  </w:style>
  <w:style w:type="paragraph" w:styleId="Footer">
    <w:name w:val="footer"/>
    <w:basedOn w:val="Normal"/>
    <w:link w:val="FooterChar"/>
    <w:uiPriority w:val="99"/>
    <w:rsid w:val="00D9153B"/>
    <w:pPr>
      <w:tabs>
        <w:tab w:val="center" w:pos="4320"/>
        <w:tab w:val="right" w:pos="8640"/>
      </w:tabs>
    </w:pPr>
    <w:rPr>
      <w:lang w:val="x-none" w:eastAsia="x-none"/>
    </w:rPr>
  </w:style>
  <w:style w:type="paragraph" w:customStyle="1" w:styleId="HCh">
    <w:name w:val="_ H _Ch"/>
    <w:basedOn w:val="Normal"/>
    <w:next w:val="Normal"/>
    <w:rsid w:val="00D9153B"/>
    <w:pPr>
      <w:keepNext/>
      <w:keepLines/>
      <w:suppressAutoHyphens/>
      <w:spacing w:line="300" w:lineRule="exact"/>
      <w:outlineLvl w:val="0"/>
    </w:pPr>
    <w:rPr>
      <w:b/>
      <w:spacing w:val="-2"/>
      <w:w w:val="103"/>
      <w:kern w:val="14"/>
      <w:sz w:val="28"/>
      <w:lang w:val="en-GB"/>
    </w:rPr>
  </w:style>
  <w:style w:type="paragraph" w:customStyle="1" w:styleId="SingleTxt">
    <w:name w:val="__Single Txt"/>
    <w:basedOn w:val="Normal"/>
    <w:rsid w:val="00D9153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lang w:val="en-GB"/>
    </w:rPr>
  </w:style>
  <w:style w:type="paragraph" w:customStyle="1" w:styleId="XLarge">
    <w:name w:val="XLarge"/>
    <w:basedOn w:val="Normal"/>
    <w:rsid w:val="00D9153B"/>
    <w:pPr>
      <w:keepNext/>
      <w:keepLines/>
      <w:tabs>
        <w:tab w:val="right" w:leader="dot" w:pos="360"/>
      </w:tabs>
      <w:suppressAutoHyphens/>
      <w:spacing w:line="390" w:lineRule="exact"/>
      <w:outlineLvl w:val="0"/>
    </w:pPr>
    <w:rPr>
      <w:b/>
      <w:spacing w:val="-4"/>
      <w:w w:val="98"/>
      <w:kern w:val="14"/>
      <w:sz w:val="40"/>
      <w:lang w:val="en-GB"/>
    </w:rPr>
  </w:style>
  <w:style w:type="paragraph" w:styleId="BalloonText">
    <w:name w:val="Balloon Text"/>
    <w:basedOn w:val="Normal"/>
    <w:semiHidden/>
    <w:rsid w:val="005D4084"/>
    <w:rPr>
      <w:rFonts w:ascii="Tahoma" w:hAnsi="Tahoma" w:cs="Tahoma"/>
      <w:sz w:val="16"/>
      <w:szCs w:val="16"/>
    </w:rPr>
  </w:style>
  <w:style w:type="character" w:styleId="Hyperlink">
    <w:name w:val="Hyperlink"/>
    <w:rsid w:val="0079421C"/>
    <w:rPr>
      <w:rFonts w:cs="Times New Roman"/>
      <w:color w:val="336699"/>
      <w:u w:val="none"/>
      <w:effect w:val="none"/>
    </w:rPr>
  </w:style>
  <w:style w:type="paragraph" w:styleId="ListParagraph">
    <w:name w:val="List Paragraph"/>
    <w:aliases w:val="List Paragraph (numbered (a)),WB Para,Bullets,List Paragraph1,Akapit z listą BS,Project Profile name,Lapis Bulleted List"/>
    <w:basedOn w:val="Normal"/>
    <w:link w:val="ListParagraphChar"/>
    <w:uiPriority w:val="34"/>
    <w:qFormat/>
    <w:rsid w:val="00896815"/>
    <w:pPr>
      <w:ind w:left="720"/>
    </w:pPr>
  </w:style>
  <w:style w:type="paragraph" w:styleId="DocumentMap">
    <w:name w:val="Document Map"/>
    <w:basedOn w:val="Normal"/>
    <w:link w:val="DocumentMapChar"/>
    <w:semiHidden/>
    <w:rsid w:val="00993912"/>
    <w:rPr>
      <w:rFonts w:ascii="Tahoma" w:hAnsi="Tahoma"/>
      <w:sz w:val="16"/>
      <w:szCs w:val="16"/>
      <w:lang w:val="x-none" w:eastAsia="x-none"/>
    </w:rPr>
  </w:style>
  <w:style w:type="character" w:customStyle="1" w:styleId="DocumentMapChar">
    <w:name w:val="Document Map Char"/>
    <w:link w:val="DocumentMap"/>
    <w:locked/>
    <w:rsid w:val="00993912"/>
    <w:rPr>
      <w:rFonts w:ascii="Tahoma" w:hAnsi="Tahoma" w:cs="Tahoma"/>
      <w:sz w:val="16"/>
      <w:szCs w:val="16"/>
    </w:rPr>
  </w:style>
  <w:style w:type="character" w:styleId="CommentReference">
    <w:name w:val="annotation reference"/>
    <w:uiPriority w:val="99"/>
    <w:semiHidden/>
    <w:rsid w:val="00400E4A"/>
    <w:rPr>
      <w:rFonts w:cs="Times New Roman"/>
      <w:sz w:val="6"/>
      <w:szCs w:val="6"/>
    </w:rPr>
  </w:style>
  <w:style w:type="character" w:customStyle="1" w:styleId="FooterChar">
    <w:name w:val="Footer Char"/>
    <w:link w:val="Footer"/>
    <w:uiPriority w:val="99"/>
    <w:locked/>
    <w:rsid w:val="005841A3"/>
    <w:rPr>
      <w:rFonts w:cs="Times New Roman"/>
    </w:rPr>
  </w:style>
  <w:style w:type="paragraph" w:styleId="CommentText">
    <w:name w:val="annotation text"/>
    <w:basedOn w:val="Normal"/>
    <w:link w:val="CommentTextChar"/>
    <w:uiPriority w:val="99"/>
    <w:rsid w:val="008543F5"/>
  </w:style>
  <w:style w:type="character" w:customStyle="1" w:styleId="CommentTextChar">
    <w:name w:val="Comment Text Char"/>
    <w:basedOn w:val="DefaultParagraphFont"/>
    <w:link w:val="CommentText"/>
    <w:uiPriority w:val="99"/>
    <w:rsid w:val="008543F5"/>
  </w:style>
  <w:style w:type="paragraph" w:styleId="CommentSubject">
    <w:name w:val="annotation subject"/>
    <w:basedOn w:val="CommentText"/>
    <w:next w:val="CommentText"/>
    <w:link w:val="CommentSubjectChar"/>
    <w:rsid w:val="008543F5"/>
    <w:rPr>
      <w:b/>
      <w:bCs/>
      <w:lang w:val="x-none" w:eastAsia="x-none"/>
    </w:rPr>
  </w:style>
  <w:style w:type="character" w:customStyle="1" w:styleId="CommentSubjectChar">
    <w:name w:val="Comment Subject Char"/>
    <w:link w:val="CommentSubject"/>
    <w:rsid w:val="008543F5"/>
    <w:rPr>
      <w:b/>
      <w:bCs/>
    </w:rPr>
  </w:style>
  <w:style w:type="character" w:customStyle="1" w:styleId="Heading1Char">
    <w:name w:val="Heading 1 Char"/>
    <w:link w:val="Heading1"/>
    <w:rsid w:val="001D42D1"/>
    <w:rPr>
      <w:rFonts w:ascii="Courier" w:hAnsi="Courier"/>
      <w:b/>
      <w:spacing w:val="-3"/>
      <w:sz w:val="28"/>
    </w:rPr>
  </w:style>
  <w:style w:type="character" w:customStyle="1" w:styleId="HeaderChar">
    <w:name w:val="Header Char"/>
    <w:link w:val="Header"/>
    <w:uiPriority w:val="99"/>
    <w:rsid w:val="00852876"/>
    <w:rPr>
      <w:rFonts w:ascii="Courier" w:hAnsi="Courier"/>
      <w:sz w:val="22"/>
    </w:rPr>
  </w:style>
  <w:style w:type="character" w:styleId="PageNumber">
    <w:name w:val="page number"/>
    <w:basedOn w:val="DefaultParagraphFont"/>
    <w:semiHidden/>
    <w:rsid w:val="00D6679C"/>
  </w:style>
  <w:style w:type="character" w:customStyle="1" w:styleId="SubtitleChar">
    <w:name w:val="Subtitle Char"/>
    <w:basedOn w:val="DefaultParagraphFont"/>
    <w:link w:val="Subtitle"/>
    <w:rsid w:val="00D6679C"/>
    <w:rPr>
      <w:rFonts w:ascii="Arial" w:hAnsi="Arial" w:cs="Arial"/>
      <w:sz w:val="24"/>
      <w:szCs w:val="24"/>
      <w:lang w:val="en-US" w:eastAsia="en-US"/>
    </w:rPr>
  </w:style>
  <w:style w:type="paragraph" w:styleId="BodyText">
    <w:name w:val="Body Text"/>
    <w:basedOn w:val="Normal"/>
    <w:link w:val="BodyTextChar"/>
    <w:semiHidden/>
    <w:rsid w:val="00D6679C"/>
    <w:rPr>
      <w:b/>
      <w:bCs/>
      <w:sz w:val="24"/>
    </w:rPr>
  </w:style>
  <w:style w:type="character" w:customStyle="1" w:styleId="BodyTextChar">
    <w:name w:val="Body Text Char"/>
    <w:basedOn w:val="DefaultParagraphFont"/>
    <w:link w:val="BodyText"/>
    <w:semiHidden/>
    <w:rsid w:val="00D6679C"/>
    <w:rPr>
      <w:b/>
      <w:bCs/>
      <w:sz w:val="24"/>
      <w:lang w:val="en-US" w:eastAsia="en-US"/>
    </w:rPr>
  </w:style>
  <w:style w:type="paragraph" w:styleId="BodyText2">
    <w:name w:val="Body Text 2"/>
    <w:basedOn w:val="Normal"/>
    <w:link w:val="BodyText2Char"/>
    <w:semiHidden/>
    <w:rsid w:val="00D6679C"/>
    <w:rPr>
      <w:sz w:val="24"/>
    </w:rPr>
  </w:style>
  <w:style w:type="character" w:customStyle="1" w:styleId="BodyText2Char">
    <w:name w:val="Body Text 2 Char"/>
    <w:basedOn w:val="DefaultParagraphFont"/>
    <w:link w:val="BodyText2"/>
    <w:semiHidden/>
    <w:rsid w:val="00D6679C"/>
    <w:rPr>
      <w:sz w:val="24"/>
      <w:lang w:val="en-US" w:eastAsia="en-US"/>
    </w:rPr>
  </w:style>
  <w:style w:type="paragraph" w:styleId="BodyText3">
    <w:name w:val="Body Text 3"/>
    <w:basedOn w:val="Normal"/>
    <w:link w:val="BodyText3Char"/>
    <w:semiHidden/>
    <w:rsid w:val="00D6679C"/>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pPr>
    <w:rPr>
      <w:sz w:val="24"/>
    </w:rPr>
  </w:style>
  <w:style w:type="character" w:customStyle="1" w:styleId="BodyText3Char">
    <w:name w:val="Body Text 3 Char"/>
    <w:basedOn w:val="DefaultParagraphFont"/>
    <w:link w:val="BodyText3"/>
    <w:semiHidden/>
    <w:rsid w:val="00D6679C"/>
    <w:rPr>
      <w:sz w:val="24"/>
      <w:lang w:val="en-US" w:eastAsia="en-US"/>
    </w:rPr>
  </w:style>
  <w:style w:type="character" w:customStyle="1" w:styleId="FootnoteTextChar">
    <w:name w:val="Footnote Text Char"/>
    <w:basedOn w:val="DefaultParagraphFont"/>
    <w:link w:val="FootnoteText"/>
    <w:uiPriority w:val="99"/>
    <w:rsid w:val="006D5073"/>
    <w:rPr>
      <w:sz w:val="18"/>
      <w:lang w:val="en-US" w:eastAsia="en-US"/>
    </w:rPr>
  </w:style>
  <w:style w:type="character" w:customStyle="1" w:styleId="ListParagraphChar">
    <w:name w:val="List Paragraph Char"/>
    <w:aliases w:val="List Paragraph (numbered (a)) Char,WB Para Char,Bullets Char,List Paragraph1 Char,Akapit z listą BS Char,Project Profile name Char,Lapis Bulleted List Char"/>
    <w:link w:val="ListParagraph"/>
    <w:uiPriority w:val="34"/>
    <w:locked/>
    <w:rsid w:val="009A4543"/>
    <w:rPr>
      <w:lang w:val="en-US" w:eastAsia="en-US"/>
    </w:rPr>
  </w:style>
  <w:style w:type="paragraph" w:styleId="Revision">
    <w:name w:val="Revision"/>
    <w:hidden/>
    <w:uiPriority w:val="99"/>
    <w:semiHidden/>
    <w:rsid w:val="0050228C"/>
    <w:rPr>
      <w:lang w:val="en-US" w:eastAsia="en-US"/>
    </w:rPr>
  </w:style>
  <w:style w:type="character" w:styleId="FollowedHyperlink">
    <w:name w:val="FollowedHyperlink"/>
    <w:basedOn w:val="DefaultParagraphFont"/>
    <w:semiHidden/>
    <w:unhideWhenUsed/>
    <w:rsid w:val="00704095"/>
    <w:rPr>
      <w:color w:val="954F72" w:themeColor="followedHyperlink"/>
      <w:u w:val="single"/>
    </w:rPr>
  </w:style>
  <w:style w:type="character" w:styleId="Emphasis">
    <w:name w:val="Emphasis"/>
    <w:basedOn w:val="DefaultParagraphFont"/>
    <w:uiPriority w:val="20"/>
    <w:qFormat/>
    <w:locked/>
    <w:rsid w:val="007B07E4"/>
    <w:rPr>
      <w:i/>
      <w:iCs/>
    </w:rPr>
  </w:style>
  <w:style w:type="character" w:customStyle="1" w:styleId="st">
    <w:name w:val="st"/>
    <w:basedOn w:val="DefaultParagraphFont"/>
    <w:rsid w:val="007B07E4"/>
  </w:style>
  <w:style w:type="character" w:customStyle="1" w:styleId="UnresolvedMention1">
    <w:name w:val="Unresolved Mention1"/>
    <w:basedOn w:val="DefaultParagraphFont"/>
    <w:rsid w:val="007326BE"/>
    <w:rPr>
      <w:color w:val="808080"/>
      <w:shd w:val="clear" w:color="auto" w:fill="E6E6E6"/>
    </w:rPr>
  </w:style>
  <w:style w:type="character" w:customStyle="1" w:styleId="apple-converted-space">
    <w:name w:val="apple-converted-space"/>
    <w:basedOn w:val="DefaultParagraphFont"/>
    <w:rsid w:val="001764A8"/>
  </w:style>
  <w:style w:type="table" w:styleId="TableGrid">
    <w:name w:val="Table Grid"/>
    <w:basedOn w:val="TableNormal"/>
    <w:uiPriority w:val="59"/>
    <w:rsid w:val="00814A7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547"/>
          <w:marRight w:val="0"/>
          <w:marTop w:val="115"/>
          <w:marBottom w:val="0"/>
          <w:divBdr>
            <w:top w:val="none" w:sz="0" w:space="0" w:color="auto"/>
            <w:left w:val="none" w:sz="0" w:space="0" w:color="auto"/>
            <w:bottom w:val="none" w:sz="0" w:space="0" w:color="auto"/>
            <w:right w:val="none" w:sz="0" w:space="0" w:color="auto"/>
          </w:divBdr>
        </w:div>
        <w:div w:id="12">
          <w:marLeft w:val="547"/>
          <w:marRight w:val="0"/>
          <w:marTop w:val="115"/>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547"/>
          <w:marRight w:val="0"/>
          <w:marTop w:val="115"/>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547"/>
          <w:marRight w:val="0"/>
          <w:marTop w:val="115"/>
          <w:marBottom w:val="0"/>
          <w:divBdr>
            <w:top w:val="none" w:sz="0" w:space="0" w:color="auto"/>
            <w:left w:val="none" w:sz="0" w:space="0" w:color="auto"/>
            <w:bottom w:val="none" w:sz="0" w:space="0" w:color="auto"/>
            <w:right w:val="none" w:sz="0" w:space="0" w:color="auto"/>
          </w:divBdr>
        </w:div>
        <w:div w:id="4">
          <w:marLeft w:val="547"/>
          <w:marRight w:val="0"/>
          <w:marTop w:val="115"/>
          <w:marBottom w:val="0"/>
          <w:divBdr>
            <w:top w:val="none" w:sz="0" w:space="0" w:color="auto"/>
            <w:left w:val="none" w:sz="0" w:space="0" w:color="auto"/>
            <w:bottom w:val="none" w:sz="0" w:space="0" w:color="auto"/>
            <w:right w:val="none" w:sz="0" w:space="0" w:color="auto"/>
          </w:divBdr>
        </w:div>
        <w:div w:id="9">
          <w:marLeft w:val="547"/>
          <w:marRight w:val="0"/>
          <w:marTop w:val="115"/>
          <w:marBottom w:val="0"/>
          <w:divBdr>
            <w:top w:val="none" w:sz="0" w:space="0" w:color="auto"/>
            <w:left w:val="none" w:sz="0" w:space="0" w:color="auto"/>
            <w:bottom w:val="none" w:sz="0" w:space="0" w:color="auto"/>
            <w:right w:val="none" w:sz="0" w:space="0" w:color="auto"/>
          </w:divBdr>
        </w:div>
        <w:div w:id="13">
          <w:marLeft w:val="547"/>
          <w:marRight w:val="0"/>
          <w:marTop w:val="115"/>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38012877">
      <w:bodyDiv w:val="1"/>
      <w:marLeft w:val="0"/>
      <w:marRight w:val="0"/>
      <w:marTop w:val="0"/>
      <w:marBottom w:val="0"/>
      <w:divBdr>
        <w:top w:val="none" w:sz="0" w:space="0" w:color="auto"/>
        <w:left w:val="none" w:sz="0" w:space="0" w:color="auto"/>
        <w:bottom w:val="none" w:sz="0" w:space="0" w:color="auto"/>
        <w:right w:val="none" w:sz="0" w:space="0" w:color="auto"/>
      </w:divBdr>
    </w:div>
    <w:div w:id="174803969">
      <w:bodyDiv w:val="1"/>
      <w:marLeft w:val="0"/>
      <w:marRight w:val="0"/>
      <w:marTop w:val="0"/>
      <w:marBottom w:val="0"/>
      <w:divBdr>
        <w:top w:val="none" w:sz="0" w:space="0" w:color="auto"/>
        <w:left w:val="none" w:sz="0" w:space="0" w:color="auto"/>
        <w:bottom w:val="none" w:sz="0" w:space="0" w:color="auto"/>
        <w:right w:val="none" w:sz="0" w:space="0" w:color="auto"/>
      </w:divBdr>
    </w:div>
    <w:div w:id="377509999">
      <w:bodyDiv w:val="1"/>
      <w:marLeft w:val="0"/>
      <w:marRight w:val="0"/>
      <w:marTop w:val="0"/>
      <w:marBottom w:val="0"/>
      <w:divBdr>
        <w:top w:val="none" w:sz="0" w:space="0" w:color="auto"/>
        <w:left w:val="none" w:sz="0" w:space="0" w:color="auto"/>
        <w:bottom w:val="none" w:sz="0" w:space="0" w:color="auto"/>
        <w:right w:val="none" w:sz="0" w:space="0" w:color="auto"/>
      </w:divBdr>
      <w:divsChild>
        <w:div w:id="42288913">
          <w:marLeft w:val="0"/>
          <w:marRight w:val="0"/>
          <w:marTop w:val="0"/>
          <w:marBottom w:val="0"/>
          <w:divBdr>
            <w:top w:val="none" w:sz="0" w:space="0" w:color="auto"/>
            <w:left w:val="none" w:sz="0" w:space="0" w:color="auto"/>
            <w:bottom w:val="none" w:sz="0" w:space="0" w:color="auto"/>
            <w:right w:val="none" w:sz="0" w:space="0" w:color="auto"/>
          </w:divBdr>
        </w:div>
        <w:div w:id="84231696">
          <w:marLeft w:val="0"/>
          <w:marRight w:val="0"/>
          <w:marTop w:val="0"/>
          <w:marBottom w:val="0"/>
          <w:divBdr>
            <w:top w:val="none" w:sz="0" w:space="0" w:color="auto"/>
            <w:left w:val="none" w:sz="0" w:space="0" w:color="auto"/>
            <w:bottom w:val="none" w:sz="0" w:space="0" w:color="auto"/>
            <w:right w:val="none" w:sz="0" w:space="0" w:color="auto"/>
          </w:divBdr>
        </w:div>
        <w:div w:id="91903207">
          <w:marLeft w:val="0"/>
          <w:marRight w:val="0"/>
          <w:marTop w:val="0"/>
          <w:marBottom w:val="0"/>
          <w:divBdr>
            <w:top w:val="none" w:sz="0" w:space="0" w:color="auto"/>
            <w:left w:val="none" w:sz="0" w:space="0" w:color="auto"/>
            <w:bottom w:val="none" w:sz="0" w:space="0" w:color="auto"/>
            <w:right w:val="none" w:sz="0" w:space="0" w:color="auto"/>
          </w:divBdr>
        </w:div>
        <w:div w:id="152380679">
          <w:marLeft w:val="0"/>
          <w:marRight w:val="0"/>
          <w:marTop w:val="0"/>
          <w:marBottom w:val="0"/>
          <w:divBdr>
            <w:top w:val="none" w:sz="0" w:space="0" w:color="auto"/>
            <w:left w:val="none" w:sz="0" w:space="0" w:color="auto"/>
            <w:bottom w:val="none" w:sz="0" w:space="0" w:color="auto"/>
            <w:right w:val="none" w:sz="0" w:space="0" w:color="auto"/>
          </w:divBdr>
        </w:div>
        <w:div w:id="169028212">
          <w:marLeft w:val="0"/>
          <w:marRight w:val="0"/>
          <w:marTop w:val="0"/>
          <w:marBottom w:val="0"/>
          <w:divBdr>
            <w:top w:val="none" w:sz="0" w:space="0" w:color="auto"/>
            <w:left w:val="none" w:sz="0" w:space="0" w:color="auto"/>
            <w:bottom w:val="none" w:sz="0" w:space="0" w:color="auto"/>
            <w:right w:val="none" w:sz="0" w:space="0" w:color="auto"/>
          </w:divBdr>
        </w:div>
        <w:div w:id="194853180">
          <w:marLeft w:val="0"/>
          <w:marRight w:val="0"/>
          <w:marTop w:val="0"/>
          <w:marBottom w:val="0"/>
          <w:divBdr>
            <w:top w:val="none" w:sz="0" w:space="0" w:color="auto"/>
            <w:left w:val="none" w:sz="0" w:space="0" w:color="auto"/>
            <w:bottom w:val="none" w:sz="0" w:space="0" w:color="auto"/>
            <w:right w:val="none" w:sz="0" w:space="0" w:color="auto"/>
          </w:divBdr>
        </w:div>
        <w:div w:id="199435829">
          <w:marLeft w:val="0"/>
          <w:marRight w:val="0"/>
          <w:marTop w:val="0"/>
          <w:marBottom w:val="0"/>
          <w:divBdr>
            <w:top w:val="none" w:sz="0" w:space="0" w:color="auto"/>
            <w:left w:val="none" w:sz="0" w:space="0" w:color="auto"/>
            <w:bottom w:val="none" w:sz="0" w:space="0" w:color="auto"/>
            <w:right w:val="none" w:sz="0" w:space="0" w:color="auto"/>
          </w:divBdr>
        </w:div>
        <w:div w:id="217593145">
          <w:marLeft w:val="0"/>
          <w:marRight w:val="0"/>
          <w:marTop w:val="0"/>
          <w:marBottom w:val="0"/>
          <w:divBdr>
            <w:top w:val="none" w:sz="0" w:space="0" w:color="auto"/>
            <w:left w:val="none" w:sz="0" w:space="0" w:color="auto"/>
            <w:bottom w:val="none" w:sz="0" w:space="0" w:color="auto"/>
            <w:right w:val="none" w:sz="0" w:space="0" w:color="auto"/>
          </w:divBdr>
        </w:div>
        <w:div w:id="297731295">
          <w:marLeft w:val="0"/>
          <w:marRight w:val="0"/>
          <w:marTop w:val="0"/>
          <w:marBottom w:val="0"/>
          <w:divBdr>
            <w:top w:val="none" w:sz="0" w:space="0" w:color="auto"/>
            <w:left w:val="none" w:sz="0" w:space="0" w:color="auto"/>
            <w:bottom w:val="none" w:sz="0" w:space="0" w:color="auto"/>
            <w:right w:val="none" w:sz="0" w:space="0" w:color="auto"/>
          </w:divBdr>
        </w:div>
        <w:div w:id="379399663">
          <w:marLeft w:val="0"/>
          <w:marRight w:val="0"/>
          <w:marTop w:val="0"/>
          <w:marBottom w:val="0"/>
          <w:divBdr>
            <w:top w:val="none" w:sz="0" w:space="0" w:color="auto"/>
            <w:left w:val="none" w:sz="0" w:space="0" w:color="auto"/>
            <w:bottom w:val="none" w:sz="0" w:space="0" w:color="auto"/>
            <w:right w:val="none" w:sz="0" w:space="0" w:color="auto"/>
          </w:divBdr>
        </w:div>
        <w:div w:id="464355318">
          <w:marLeft w:val="0"/>
          <w:marRight w:val="0"/>
          <w:marTop w:val="0"/>
          <w:marBottom w:val="0"/>
          <w:divBdr>
            <w:top w:val="none" w:sz="0" w:space="0" w:color="auto"/>
            <w:left w:val="none" w:sz="0" w:space="0" w:color="auto"/>
            <w:bottom w:val="none" w:sz="0" w:space="0" w:color="auto"/>
            <w:right w:val="none" w:sz="0" w:space="0" w:color="auto"/>
          </w:divBdr>
        </w:div>
        <w:div w:id="556938620">
          <w:marLeft w:val="0"/>
          <w:marRight w:val="0"/>
          <w:marTop w:val="0"/>
          <w:marBottom w:val="0"/>
          <w:divBdr>
            <w:top w:val="none" w:sz="0" w:space="0" w:color="auto"/>
            <w:left w:val="none" w:sz="0" w:space="0" w:color="auto"/>
            <w:bottom w:val="none" w:sz="0" w:space="0" w:color="auto"/>
            <w:right w:val="none" w:sz="0" w:space="0" w:color="auto"/>
          </w:divBdr>
        </w:div>
        <w:div w:id="582449708">
          <w:marLeft w:val="0"/>
          <w:marRight w:val="0"/>
          <w:marTop w:val="0"/>
          <w:marBottom w:val="0"/>
          <w:divBdr>
            <w:top w:val="none" w:sz="0" w:space="0" w:color="auto"/>
            <w:left w:val="none" w:sz="0" w:space="0" w:color="auto"/>
            <w:bottom w:val="none" w:sz="0" w:space="0" w:color="auto"/>
            <w:right w:val="none" w:sz="0" w:space="0" w:color="auto"/>
          </w:divBdr>
        </w:div>
        <w:div w:id="688144145">
          <w:marLeft w:val="0"/>
          <w:marRight w:val="0"/>
          <w:marTop w:val="0"/>
          <w:marBottom w:val="0"/>
          <w:divBdr>
            <w:top w:val="none" w:sz="0" w:space="0" w:color="auto"/>
            <w:left w:val="none" w:sz="0" w:space="0" w:color="auto"/>
            <w:bottom w:val="none" w:sz="0" w:space="0" w:color="auto"/>
            <w:right w:val="none" w:sz="0" w:space="0" w:color="auto"/>
          </w:divBdr>
        </w:div>
        <w:div w:id="759107199">
          <w:marLeft w:val="0"/>
          <w:marRight w:val="0"/>
          <w:marTop w:val="0"/>
          <w:marBottom w:val="0"/>
          <w:divBdr>
            <w:top w:val="none" w:sz="0" w:space="0" w:color="auto"/>
            <w:left w:val="none" w:sz="0" w:space="0" w:color="auto"/>
            <w:bottom w:val="none" w:sz="0" w:space="0" w:color="auto"/>
            <w:right w:val="none" w:sz="0" w:space="0" w:color="auto"/>
          </w:divBdr>
        </w:div>
        <w:div w:id="777676192">
          <w:marLeft w:val="0"/>
          <w:marRight w:val="0"/>
          <w:marTop w:val="0"/>
          <w:marBottom w:val="0"/>
          <w:divBdr>
            <w:top w:val="none" w:sz="0" w:space="0" w:color="auto"/>
            <w:left w:val="none" w:sz="0" w:space="0" w:color="auto"/>
            <w:bottom w:val="none" w:sz="0" w:space="0" w:color="auto"/>
            <w:right w:val="none" w:sz="0" w:space="0" w:color="auto"/>
          </w:divBdr>
        </w:div>
        <w:div w:id="903107509">
          <w:marLeft w:val="0"/>
          <w:marRight w:val="0"/>
          <w:marTop w:val="0"/>
          <w:marBottom w:val="0"/>
          <w:divBdr>
            <w:top w:val="none" w:sz="0" w:space="0" w:color="auto"/>
            <w:left w:val="none" w:sz="0" w:space="0" w:color="auto"/>
            <w:bottom w:val="none" w:sz="0" w:space="0" w:color="auto"/>
            <w:right w:val="none" w:sz="0" w:space="0" w:color="auto"/>
          </w:divBdr>
        </w:div>
        <w:div w:id="1026178339">
          <w:marLeft w:val="0"/>
          <w:marRight w:val="0"/>
          <w:marTop w:val="0"/>
          <w:marBottom w:val="0"/>
          <w:divBdr>
            <w:top w:val="none" w:sz="0" w:space="0" w:color="auto"/>
            <w:left w:val="none" w:sz="0" w:space="0" w:color="auto"/>
            <w:bottom w:val="none" w:sz="0" w:space="0" w:color="auto"/>
            <w:right w:val="none" w:sz="0" w:space="0" w:color="auto"/>
          </w:divBdr>
        </w:div>
        <w:div w:id="1044140384">
          <w:marLeft w:val="0"/>
          <w:marRight w:val="0"/>
          <w:marTop w:val="0"/>
          <w:marBottom w:val="0"/>
          <w:divBdr>
            <w:top w:val="none" w:sz="0" w:space="0" w:color="auto"/>
            <w:left w:val="none" w:sz="0" w:space="0" w:color="auto"/>
            <w:bottom w:val="none" w:sz="0" w:space="0" w:color="auto"/>
            <w:right w:val="none" w:sz="0" w:space="0" w:color="auto"/>
          </w:divBdr>
        </w:div>
        <w:div w:id="1073502624">
          <w:marLeft w:val="0"/>
          <w:marRight w:val="0"/>
          <w:marTop w:val="0"/>
          <w:marBottom w:val="0"/>
          <w:divBdr>
            <w:top w:val="none" w:sz="0" w:space="0" w:color="auto"/>
            <w:left w:val="none" w:sz="0" w:space="0" w:color="auto"/>
            <w:bottom w:val="none" w:sz="0" w:space="0" w:color="auto"/>
            <w:right w:val="none" w:sz="0" w:space="0" w:color="auto"/>
          </w:divBdr>
        </w:div>
        <w:div w:id="1095635351">
          <w:marLeft w:val="0"/>
          <w:marRight w:val="0"/>
          <w:marTop w:val="0"/>
          <w:marBottom w:val="0"/>
          <w:divBdr>
            <w:top w:val="none" w:sz="0" w:space="0" w:color="auto"/>
            <w:left w:val="none" w:sz="0" w:space="0" w:color="auto"/>
            <w:bottom w:val="none" w:sz="0" w:space="0" w:color="auto"/>
            <w:right w:val="none" w:sz="0" w:space="0" w:color="auto"/>
          </w:divBdr>
        </w:div>
        <w:div w:id="1105921169">
          <w:marLeft w:val="0"/>
          <w:marRight w:val="0"/>
          <w:marTop w:val="0"/>
          <w:marBottom w:val="0"/>
          <w:divBdr>
            <w:top w:val="none" w:sz="0" w:space="0" w:color="auto"/>
            <w:left w:val="none" w:sz="0" w:space="0" w:color="auto"/>
            <w:bottom w:val="none" w:sz="0" w:space="0" w:color="auto"/>
            <w:right w:val="none" w:sz="0" w:space="0" w:color="auto"/>
          </w:divBdr>
        </w:div>
        <w:div w:id="1143230613">
          <w:marLeft w:val="0"/>
          <w:marRight w:val="0"/>
          <w:marTop w:val="0"/>
          <w:marBottom w:val="0"/>
          <w:divBdr>
            <w:top w:val="none" w:sz="0" w:space="0" w:color="auto"/>
            <w:left w:val="none" w:sz="0" w:space="0" w:color="auto"/>
            <w:bottom w:val="none" w:sz="0" w:space="0" w:color="auto"/>
            <w:right w:val="none" w:sz="0" w:space="0" w:color="auto"/>
          </w:divBdr>
        </w:div>
        <w:div w:id="1229729682">
          <w:marLeft w:val="0"/>
          <w:marRight w:val="0"/>
          <w:marTop w:val="0"/>
          <w:marBottom w:val="0"/>
          <w:divBdr>
            <w:top w:val="none" w:sz="0" w:space="0" w:color="auto"/>
            <w:left w:val="none" w:sz="0" w:space="0" w:color="auto"/>
            <w:bottom w:val="none" w:sz="0" w:space="0" w:color="auto"/>
            <w:right w:val="none" w:sz="0" w:space="0" w:color="auto"/>
          </w:divBdr>
        </w:div>
        <w:div w:id="1236893588">
          <w:marLeft w:val="0"/>
          <w:marRight w:val="0"/>
          <w:marTop w:val="0"/>
          <w:marBottom w:val="0"/>
          <w:divBdr>
            <w:top w:val="none" w:sz="0" w:space="0" w:color="auto"/>
            <w:left w:val="none" w:sz="0" w:space="0" w:color="auto"/>
            <w:bottom w:val="none" w:sz="0" w:space="0" w:color="auto"/>
            <w:right w:val="none" w:sz="0" w:space="0" w:color="auto"/>
          </w:divBdr>
        </w:div>
        <w:div w:id="1321231991">
          <w:marLeft w:val="0"/>
          <w:marRight w:val="0"/>
          <w:marTop w:val="0"/>
          <w:marBottom w:val="0"/>
          <w:divBdr>
            <w:top w:val="none" w:sz="0" w:space="0" w:color="auto"/>
            <w:left w:val="none" w:sz="0" w:space="0" w:color="auto"/>
            <w:bottom w:val="none" w:sz="0" w:space="0" w:color="auto"/>
            <w:right w:val="none" w:sz="0" w:space="0" w:color="auto"/>
          </w:divBdr>
        </w:div>
        <w:div w:id="1379356053">
          <w:marLeft w:val="0"/>
          <w:marRight w:val="0"/>
          <w:marTop w:val="0"/>
          <w:marBottom w:val="0"/>
          <w:divBdr>
            <w:top w:val="none" w:sz="0" w:space="0" w:color="auto"/>
            <w:left w:val="none" w:sz="0" w:space="0" w:color="auto"/>
            <w:bottom w:val="none" w:sz="0" w:space="0" w:color="auto"/>
            <w:right w:val="none" w:sz="0" w:space="0" w:color="auto"/>
          </w:divBdr>
        </w:div>
        <w:div w:id="1396507279">
          <w:marLeft w:val="0"/>
          <w:marRight w:val="0"/>
          <w:marTop w:val="0"/>
          <w:marBottom w:val="0"/>
          <w:divBdr>
            <w:top w:val="none" w:sz="0" w:space="0" w:color="auto"/>
            <w:left w:val="none" w:sz="0" w:space="0" w:color="auto"/>
            <w:bottom w:val="none" w:sz="0" w:space="0" w:color="auto"/>
            <w:right w:val="none" w:sz="0" w:space="0" w:color="auto"/>
          </w:divBdr>
        </w:div>
        <w:div w:id="1473673957">
          <w:marLeft w:val="0"/>
          <w:marRight w:val="0"/>
          <w:marTop w:val="0"/>
          <w:marBottom w:val="0"/>
          <w:divBdr>
            <w:top w:val="none" w:sz="0" w:space="0" w:color="auto"/>
            <w:left w:val="none" w:sz="0" w:space="0" w:color="auto"/>
            <w:bottom w:val="none" w:sz="0" w:space="0" w:color="auto"/>
            <w:right w:val="none" w:sz="0" w:space="0" w:color="auto"/>
          </w:divBdr>
        </w:div>
        <w:div w:id="1514102170">
          <w:marLeft w:val="0"/>
          <w:marRight w:val="0"/>
          <w:marTop w:val="0"/>
          <w:marBottom w:val="0"/>
          <w:divBdr>
            <w:top w:val="none" w:sz="0" w:space="0" w:color="auto"/>
            <w:left w:val="none" w:sz="0" w:space="0" w:color="auto"/>
            <w:bottom w:val="none" w:sz="0" w:space="0" w:color="auto"/>
            <w:right w:val="none" w:sz="0" w:space="0" w:color="auto"/>
          </w:divBdr>
        </w:div>
        <w:div w:id="1585995235">
          <w:marLeft w:val="0"/>
          <w:marRight w:val="0"/>
          <w:marTop w:val="0"/>
          <w:marBottom w:val="0"/>
          <w:divBdr>
            <w:top w:val="none" w:sz="0" w:space="0" w:color="auto"/>
            <w:left w:val="none" w:sz="0" w:space="0" w:color="auto"/>
            <w:bottom w:val="none" w:sz="0" w:space="0" w:color="auto"/>
            <w:right w:val="none" w:sz="0" w:space="0" w:color="auto"/>
          </w:divBdr>
        </w:div>
        <w:div w:id="1618755027">
          <w:marLeft w:val="0"/>
          <w:marRight w:val="0"/>
          <w:marTop w:val="0"/>
          <w:marBottom w:val="0"/>
          <w:divBdr>
            <w:top w:val="none" w:sz="0" w:space="0" w:color="auto"/>
            <w:left w:val="none" w:sz="0" w:space="0" w:color="auto"/>
            <w:bottom w:val="none" w:sz="0" w:space="0" w:color="auto"/>
            <w:right w:val="none" w:sz="0" w:space="0" w:color="auto"/>
          </w:divBdr>
        </w:div>
        <w:div w:id="1668632492">
          <w:marLeft w:val="0"/>
          <w:marRight w:val="0"/>
          <w:marTop w:val="0"/>
          <w:marBottom w:val="0"/>
          <w:divBdr>
            <w:top w:val="none" w:sz="0" w:space="0" w:color="auto"/>
            <w:left w:val="none" w:sz="0" w:space="0" w:color="auto"/>
            <w:bottom w:val="none" w:sz="0" w:space="0" w:color="auto"/>
            <w:right w:val="none" w:sz="0" w:space="0" w:color="auto"/>
          </w:divBdr>
        </w:div>
        <w:div w:id="1692754478">
          <w:marLeft w:val="0"/>
          <w:marRight w:val="0"/>
          <w:marTop w:val="0"/>
          <w:marBottom w:val="0"/>
          <w:divBdr>
            <w:top w:val="none" w:sz="0" w:space="0" w:color="auto"/>
            <w:left w:val="none" w:sz="0" w:space="0" w:color="auto"/>
            <w:bottom w:val="none" w:sz="0" w:space="0" w:color="auto"/>
            <w:right w:val="none" w:sz="0" w:space="0" w:color="auto"/>
          </w:divBdr>
        </w:div>
        <w:div w:id="1710299752">
          <w:marLeft w:val="0"/>
          <w:marRight w:val="0"/>
          <w:marTop w:val="0"/>
          <w:marBottom w:val="0"/>
          <w:divBdr>
            <w:top w:val="none" w:sz="0" w:space="0" w:color="auto"/>
            <w:left w:val="none" w:sz="0" w:space="0" w:color="auto"/>
            <w:bottom w:val="none" w:sz="0" w:space="0" w:color="auto"/>
            <w:right w:val="none" w:sz="0" w:space="0" w:color="auto"/>
          </w:divBdr>
        </w:div>
        <w:div w:id="1815567272">
          <w:marLeft w:val="0"/>
          <w:marRight w:val="0"/>
          <w:marTop w:val="0"/>
          <w:marBottom w:val="0"/>
          <w:divBdr>
            <w:top w:val="none" w:sz="0" w:space="0" w:color="auto"/>
            <w:left w:val="none" w:sz="0" w:space="0" w:color="auto"/>
            <w:bottom w:val="none" w:sz="0" w:space="0" w:color="auto"/>
            <w:right w:val="none" w:sz="0" w:space="0" w:color="auto"/>
          </w:divBdr>
        </w:div>
        <w:div w:id="1867400527">
          <w:marLeft w:val="0"/>
          <w:marRight w:val="0"/>
          <w:marTop w:val="0"/>
          <w:marBottom w:val="0"/>
          <w:divBdr>
            <w:top w:val="none" w:sz="0" w:space="0" w:color="auto"/>
            <w:left w:val="none" w:sz="0" w:space="0" w:color="auto"/>
            <w:bottom w:val="none" w:sz="0" w:space="0" w:color="auto"/>
            <w:right w:val="none" w:sz="0" w:space="0" w:color="auto"/>
          </w:divBdr>
        </w:div>
        <w:div w:id="1967000373">
          <w:marLeft w:val="0"/>
          <w:marRight w:val="0"/>
          <w:marTop w:val="0"/>
          <w:marBottom w:val="0"/>
          <w:divBdr>
            <w:top w:val="none" w:sz="0" w:space="0" w:color="auto"/>
            <w:left w:val="none" w:sz="0" w:space="0" w:color="auto"/>
            <w:bottom w:val="none" w:sz="0" w:space="0" w:color="auto"/>
            <w:right w:val="none" w:sz="0" w:space="0" w:color="auto"/>
          </w:divBdr>
        </w:div>
        <w:div w:id="1979145145">
          <w:marLeft w:val="0"/>
          <w:marRight w:val="0"/>
          <w:marTop w:val="0"/>
          <w:marBottom w:val="0"/>
          <w:divBdr>
            <w:top w:val="none" w:sz="0" w:space="0" w:color="auto"/>
            <w:left w:val="none" w:sz="0" w:space="0" w:color="auto"/>
            <w:bottom w:val="none" w:sz="0" w:space="0" w:color="auto"/>
            <w:right w:val="none" w:sz="0" w:space="0" w:color="auto"/>
          </w:divBdr>
        </w:div>
        <w:div w:id="1981377685">
          <w:marLeft w:val="0"/>
          <w:marRight w:val="0"/>
          <w:marTop w:val="0"/>
          <w:marBottom w:val="0"/>
          <w:divBdr>
            <w:top w:val="none" w:sz="0" w:space="0" w:color="auto"/>
            <w:left w:val="none" w:sz="0" w:space="0" w:color="auto"/>
            <w:bottom w:val="none" w:sz="0" w:space="0" w:color="auto"/>
            <w:right w:val="none" w:sz="0" w:space="0" w:color="auto"/>
          </w:divBdr>
        </w:div>
        <w:div w:id="2004964162">
          <w:marLeft w:val="0"/>
          <w:marRight w:val="0"/>
          <w:marTop w:val="0"/>
          <w:marBottom w:val="0"/>
          <w:divBdr>
            <w:top w:val="none" w:sz="0" w:space="0" w:color="auto"/>
            <w:left w:val="none" w:sz="0" w:space="0" w:color="auto"/>
            <w:bottom w:val="none" w:sz="0" w:space="0" w:color="auto"/>
            <w:right w:val="none" w:sz="0" w:space="0" w:color="auto"/>
          </w:divBdr>
        </w:div>
        <w:div w:id="2113813487">
          <w:marLeft w:val="0"/>
          <w:marRight w:val="0"/>
          <w:marTop w:val="0"/>
          <w:marBottom w:val="0"/>
          <w:divBdr>
            <w:top w:val="none" w:sz="0" w:space="0" w:color="auto"/>
            <w:left w:val="none" w:sz="0" w:space="0" w:color="auto"/>
            <w:bottom w:val="none" w:sz="0" w:space="0" w:color="auto"/>
            <w:right w:val="none" w:sz="0" w:space="0" w:color="auto"/>
          </w:divBdr>
        </w:div>
        <w:div w:id="2131511181">
          <w:marLeft w:val="0"/>
          <w:marRight w:val="0"/>
          <w:marTop w:val="0"/>
          <w:marBottom w:val="0"/>
          <w:divBdr>
            <w:top w:val="none" w:sz="0" w:space="0" w:color="auto"/>
            <w:left w:val="none" w:sz="0" w:space="0" w:color="auto"/>
            <w:bottom w:val="none" w:sz="0" w:space="0" w:color="auto"/>
            <w:right w:val="none" w:sz="0" w:space="0" w:color="auto"/>
          </w:divBdr>
        </w:div>
        <w:div w:id="2138138879">
          <w:marLeft w:val="0"/>
          <w:marRight w:val="0"/>
          <w:marTop w:val="0"/>
          <w:marBottom w:val="0"/>
          <w:divBdr>
            <w:top w:val="none" w:sz="0" w:space="0" w:color="auto"/>
            <w:left w:val="none" w:sz="0" w:space="0" w:color="auto"/>
            <w:bottom w:val="none" w:sz="0" w:space="0" w:color="auto"/>
            <w:right w:val="none" w:sz="0" w:space="0" w:color="auto"/>
          </w:divBdr>
        </w:div>
      </w:divsChild>
    </w:div>
    <w:div w:id="881943250">
      <w:bodyDiv w:val="1"/>
      <w:marLeft w:val="0"/>
      <w:marRight w:val="0"/>
      <w:marTop w:val="0"/>
      <w:marBottom w:val="0"/>
      <w:divBdr>
        <w:top w:val="none" w:sz="0" w:space="0" w:color="auto"/>
        <w:left w:val="none" w:sz="0" w:space="0" w:color="auto"/>
        <w:bottom w:val="none" w:sz="0" w:space="0" w:color="auto"/>
        <w:right w:val="none" w:sz="0" w:space="0" w:color="auto"/>
      </w:divBdr>
    </w:div>
    <w:div w:id="1181046414">
      <w:bodyDiv w:val="1"/>
      <w:marLeft w:val="0"/>
      <w:marRight w:val="0"/>
      <w:marTop w:val="0"/>
      <w:marBottom w:val="0"/>
      <w:divBdr>
        <w:top w:val="none" w:sz="0" w:space="0" w:color="auto"/>
        <w:left w:val="none" w:sz="0" w:space="0" w:color="auto"/>
        <w:bottom w:val="none" w:sz="0" w:space="0" w:color="auto"/>
        <w:right w:val="none" w:sz="0" w:space="0" w:color="auto"/>
      </w:divBdr>
    </w:div>
    <w:div w:id="1229337883">
      <w:bodyDiv w:val="1"/>
      <w:marLeft w:val="0"/>
      <w:marRight w:val="0"/>
      <w:marTop w:val="0"/>
      <w:marBottom w:val="0"/>
      <w:divBdr>
        <w:top w:val="none" w:sz="0" w:space="0" w:color="auto"/>
        <w:left w:val="none" w:sz="0" w:space="0" w:color="auto"/>
        <w:bottom w:val="none" w:sz="0" w:space="0" w:color="auto"/>
        <w:right w:val="none" w:sz="0" w:space="0" w:color="auto"/>
      </w:divBdr>
    </w:div>
    <w:div w:id="1282111465">
      <w:bodyDiv w:val="1"/>
      <w:marLeft w:val="0"/>
      <w:marRight w:val="0"/>
      <w:marTop w:val="0"/>
      <w:marBottom w:val="0"/>
      <w:divBdr>
        <w:top w:val="none" w:sz="0" w:space="0" w:color="auto"/>
        <w:left w:val="none" w:sz="0" w:space="0" w:color="auto"/>
        <w:bottom w:val="none" w:sz="0" w:space="0" w:color="auto"/>
        <w:right w:val="none" w:sz="0" w:space="0" w:color="auto"/>
      </w:divBdr>
    </w:div>
    <w:div w:id="1286815151">
      <w:bodyDiv w:val="1"/>
      <w:marLeft w:val="0"/>
      <w:marRight w:val="0"/>
      <w:marTop w:val="0"/>
      <w:marBottom w:val="0"/>
      <w:divBdr>
        <w:top w:val="none" w:sz="0" w:space="0" w:color="auto"/>
        <w:left w:val="none" w:sz="0" w:space="0" w:color="auto"/>
        <w:bottom w:val="none" w:sz="0" w:space="0" w:color="auto"/>
        <w:right w:val="none" w:sz="0" w:space="0" w:color="auto"/>
      </w:divBdr>
      <w:divsChild>
        <w:div w:id="50737623">
          <w:marLeft w:val="0"/>
          <w:marRight w:val="0"/>
          <w:marTop w:val="0"/>
          <w:marBottom w:val="0"/>
          <w:divBdr>
            <w:top w:val="none" w:sz="0" w:space="0" w:color="auto"/>
            <w:left w:val="none" w:sz="0" w:space="0" w:color="auto"/>
            <w:bottom w:val="none" w:sz="0" w:space="0" w:color="auto"/>
            <w:right w:val="none" w:sz="0" w:space="0" w:color="auto"/>
          </w:divBdr>
        </w:div>
        <w:div w:id="162283130">
          <w:marLeft w:val="0"/>
          <w:marRight w:val="0"/>
          <w:marTop w:val="0"/>
          <w:marBottom w:val="0"/>
          <w:divBdr>
            <w:top w:val="none" w:sz="0" w:space="0" w:color="auto"/>
            <w:left w:val="none" w:sz="0" w:space="0" w:color="auto"/>
            <w:bottom w:val="none" w:sz="0" w:space="0" w:color="auto"/>
            <w:right w:val="none" w:sz="0" w:space="0" w:color="auto"/>
          </w:divBdr>
        </w:div>
        <w:div w:id="1899439292">
          <w:marLeft w:val="0"/>
          <w:marRight w:val="0"/>
          <w:marTop w:val="0"/>
          <w:marBottom w:val="0"/>
          <w:divBdr>
            <w:top w:val="none" w:sz="0" w:space="0" w:color="auto"/>
            <w:left w:val="none" w:sz="0" w:space="0" w:color="auto"/>
            <w:bottom w:val="none" w:sz="0" w:space="0" w:color="auto"/>
            <w:right w:val="none" w:sz="0" w:space="0" w:color="auto"/>
          </w:divBdr>
        </w:div>
      </w:divsChild>
    </w:div>
    <w:div w:id="1328052717">
      <w:bodyDiv w:val="1"/>
      <w:marLeft w:val="0"/>
      <w:marRight w:val="0"/>
      <w:marTop w:val="0"/>
      <w:marBottom w:val="0"/>
      <w:divBdr>
        <w:top w:val="none" w:sz="0" w:space="0" w:color="auto"/>
        <w:left w:val="none" w:sz="0" w:space="0" w:color="auto"/>
        <w:bottom w:val="none" w:sz="0" w:space="0" w:color="auto"/>
        <w:right w:val="none" w:sz="0" w:space="0" w:color="auto"/>
      </w:divBdr>
      <w:divsChild>
        <w:div w:id="1082144951">
          <w:marLeft w:val="0"/>
          <w:marRight w:val="0"/>
          <w:marTop w:val="0"/>
          <w:marBottom w:val="0"/>
          <w:divBdr>
            <w:top w:val="none" w:sz="0" w:space="0" w:color="auto"/>
            <w:left w:val="none" w:sz="0" w:space="0" w:color="auto"/>
            <w:bottom w:val="none" w:sz="0" w:space="0" w:color="auto"/>
            <w:right w:val="none" w:sz="0" w:space="0" w:color="auto"/>
          </w:divBdr>
        </w:div>
        <w:div w:id="1200122676">
          <w:marLeft w:val="0"/>
          <w:marRight w:val="0"/>
          <w:marTop w:val="0"/>
          <w:marBottom w:val="0"/>
          <w:divBdr>
            <w:top w:val="none" w:sz="0" w:space="0" w:color="auto"/>
            <w:left w:val="none" w:sz="0" w:space="0" w:color="auto"/>
            <w:bottom w:val="none" w:sz="0" w:space="0" w:color="auto"/>
            <w:right w:val="none" w:sz="0" w:space="0" w:color="auto"/>
          </w:divBdr>
        </w:div>
        <w:div w:id="1320769410">
          <w:marLeft w:val="0"/>
          <w:marRight w:val="0"/>
          <w:marTop w:val="0"/>
          <w:marBottom w:val="0"/>
          <w:divBdr>
            <w:top w:val="none" w:sz="0" w:space="0" w:color="auto"/>
            <w:left w:val="none" w:sz="0" w:space="0" w:color="auto"/>
            <w:bottom w:val="none" w:sz="0" w:space="0" w:color="auto"/>
            <w:right w:val="none" w:sz="0" w:space="0" w:color="auto"/>
          </w:divBdr>
        </w:div>
      </w:divsChild>
    </w:div>
    <w:div w:id="1392344322">
      <w:bodyDiv w:val="1"/>
      <w:marLeft w:val="0"/>
      <w:marRight w:val="0"/>
      <w:marTop w:val="0"/>
      <w:marBottom w:val="0"/>
      <w:divBdr>
        <w:top w:val="none" w:sz="0" w:space="0" w:color="auto"/>
        <w:left w:val="none" w:sz="0" w:space="0" w:color="auto"/>
        <w:bottom w:val="none" w:sz="0" w:space="0" w:color="auto"/>
        <w:right w:val="none" w:sz="0" w:space="0" w:color="auto"/>
      </w:divBdr>
    </w:div>
    <w:div w:id="1506937577">
      <w:bodyDiv w:val="1"/>
      <w:marLeft w:val="0"/>
      <w:marRight w:val="0"/>
      <w:marTop w:val="0"/>
      <w:marBottom w:val="0"/>
      <w:divBdr>
        <w:top w:val="none" w:sz="0" w:space="0" w:color="auto"/>
        <w:left w:val="none" w:sz="0" w:space="0" w:color="auto"/>
        <w:bottom w:val="none" w:sz="0" w:space="0" w:color="auto"/>
        <w:right w:val="none" w:sz="0" w:space="0" w:color="auto"/>
      </w:divBdr>
    </w:div>
    <w:div w:id="1517427399">
      <w:bodyDiv w:val="1"/>
      <w:marLeft w:val="0"/>
      <w:marRight w:val="0"/>
      <w:marTop w:val="0"/>
      <w:marBottom w:val="0"/>
      <w:divBdr>
        <w:top w:val="none" w:sz="0" w:space="0" w:color="auto"/>
        <w:left w:val="none" w:sz="0" w:space="0" w:color="auto"/>
        <w:bottom w:val="none" w:sz="0" w:space="0" w:color="auto"/>
        <w:right w:val="none" w:sz="0" w:space="0" w:color="auto"/>
      </w:divBdr>
    </w:div>
    <w:div w:id="1525049741">
      <w:bodyDiv w:val="1"/>
      <w:marLeft w:val="0"/>
      <w:marRight w:val="0"/>
      <w:marTop w:val="0"/>
      <w:marBottom w:val="0"/>
      <w:divBdr>
        <w:top w:val="none" w:sz="0" w:space="0" w:color="auto"/>
        <w:left w:val="none" w:sz="0" w:space="0" w:color="auto"/>
        <w:bottom w:val="none" w:sz="0" w:space="0" w:color="auto"/>
        <w:right w:val="none" w:sz="0" w:space="0" w:color="auto"/>
      </w:divBdr>
    </w:div>
    <w:div w:id="1780105599">
      <w:bodyDiv w:val="1"/>
      <w:marLeft w:val="0"/>
      <w:marRight w:val="0"/>
      <w:marTop w:val="0"/>
      <w:marBottom w:val="0"/>
      <w:divBdr>
        <w:top w:val="none" w:sz="0" w:space="0" w:color="auto"/>
        <w:left w:val="none" w:sz="0" w:space="0" w:color="auto"/>
        <w:bottom w:val="none" w:sz="0" w:space="0" w:color="auto"/>
        <w:right w:val="none" w:sz="0" w:space="0" w:color="auto"/>
      </w:divBdr>
    </w:div>
    <w:div w:id="1800415101">
      <w:bodyDiv w:val="1"/>
      <w:marLeft w:val="0"/>
      <w:marRight w:val="0"/>
      <w:marTop w:val="0"/>
      <w:marBottom w:val="0"/>
      <w:divBdr>
        <w:top w:val="none" w:sz="0" w:space="0" w:color="auto"/>
        <w:left w:val="none" w:sz="0" w:space="0" w:color="auto"/>
        <w:bottom w:val="none" w:sz="0" w:space="0" w:color="auto"/>
        <w:right w:val="none" w:sz="0" w:space="0" w:color="auto"/>
      </w:divBdr>
      <w:divsChild>
        <w:div w:id="332951422">
          <w:marLeft w:val="0"/>
          <w:marRight w:val="0"/>
          <w:marTop w:val="0"/>
          <w:marBottom w:val="0"/>
          <w:divBdr>
            <w:top w:val="none" w:sz="0" w:space="0" w:color="auto"/>
            <w:left w:val="none" w:sz="0" w:space="0" w:color="auto"/>
            <w:bottom w:val="none" w:sz="0" w:space="0" w:color="auto"/>
            <w:right w:val="none" w:sz="0" w:space="0" w:color="auto"/>
          </w:divBdr>
        </w:div>
        <w:div w:id="564418325">
          <w:marLeft w:val="0"/>
          <w:marRight w:val="0"/>
          <w:marTop w:val="0"/>
          <w:marBottom w:val="0"/>
          <w:divBdr>
            <w:top w:val="none" w:sz="0" w:space="0" w:color="auto"/>
            <w:left w:val="none" w:sz="0" w:space="0" w:color="auto"/>
            <w:bottom w:val="none" w:sz="0" w:space="0" w:color="auto"/>
            <w:right w:val="none" w:sz="0" w:space="0" w:color="auto"/>
          </w:divBdr>
        </w:div>
        <w:div w:id="603877168">
          <w:marLeft w:val="0"/>
          <w:marRight w:val="0"/>
          <w:marTop w:val="0"/>
          <w:marBottom w:val="0"/>
          <w:divBdr>
            <w:top w:val="none" w:sz="0" w:space="0" w:color="auto"/>
            <w:left w:val="none" w:sz="0" w:space="0" w:color="auto"/>
            <w:bottom w:val="none" w:sz="0" w:space="0" w:color="auto"/>
            <w:right w:val="none" w:sz="0" w:space="0" w:color="auto"/>
          </w:divBdr>
        </w:div>
        <w:div w:id="669261125">
          <w:marLeft w:val="0"/>
          <w:marRight w:val="0"/>
          <w:marTop w:val="0"/>
          <w:marBottom w:val="0"/>
          <w:divBdr>
            <w:top w:val="none" w:sz="0" w:space="0" w:color="auto"/>
            <w:left w:val="none" w:sz="0" w:space="0" w:color="auto"/>
            <w:bottom w:val="none" w:sz="0" w:space="0" w:color="auto"/>
            <w:right w:val="none" w:sz="0" w:space="0" w:color="auto"/>
          </w:divBdr>
        </w:div>
        <w:div w:id="1476946338">
          <w:marLeft w:val="0"/>
          <w:marRight w:val="0"/>
          <w:marTop w:val="0"/>
          <w:marBottom w:val="0"/>
          <w:divBdr>
            <w:top w:val="none" w:sz="0" w:space="0" w:color="auto"/>
            <w:left w:val="none" w:sz="0" w:space="0" w:color="auto"/>
            <w:bottom w:val="none" w:sz="0" w:space="0" w:color="auto"/>
            <w:right w:val="none" w:sz="0" w:space="0" w:color="auto"/>
          </w:divBdr>
        </w:div>
        <w:div w:id="1904676008">
          <w:marLeft w:val="0"/>
          <w:marRight w:val="0"/>
          <w:marTop w:val="0"/>
          <w:marBottom w:val="0"/>
          <w:divBdr>
            <w:top w:val="none" w:sz="0" w:space="0" w:color="auto"/>
            <w:left w:val="none" w:sz="0" w:space="0" w:color="auto"/>
            <w:bottom w:val="none" w:sz="0" w:space="0" w:color="auto"/>
            <w:right w:val="none" w:sz="0" w:space="0" w:color="auto"/>
          </w:divBdr>
        </w:div>
      </w:divsChild>
    </w:div>
    <w:div w:id="193516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info.undp.org/global/popp/rma/Pages/internal-control-framework.aspx"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undp.org/content/undp/en/home/operations/accountability/programme_and_operationspoliciesandprocedures.html"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2.png"/><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sa.gov.ph/content/poverty-incidence-among-filipinos-registered-216-2015-psa" TargetMode="External"/><Relationship Id="rId2" Type="http://schemas.openxmlformats.org/officeDocument/2006/relationships/hyperlink" Target="https://psa.gov.ph/content/employment-rate-october-2016-estimated-953-percent" TargetMode="External"/><Relationship Id="rId1" Type="http://schemas.openxmlformats.org/officeDocument/2006/relationships/hyperlink" Target="http://www.neda.gov.ph/2016/11/17/statement-on-the-q3-performance-of-the-philippine-economy" TargetMode="External"/><Relationship Id="rId6" Type="http://schemas.openxmlformats.org/officeDocument/2006/relationships/hyperlink" Target="http://www4.unfccc.int/submissions/INDC/Published%20Documents/Philippines/1/Philippines%20-%20Final%20INDC%20submission.pdf" TargetMode="External"/><Relationship Id="rId5" Type="http://schemas.openxmlformats.org/officeDocument/2006/relationships/hyperlink" Target="http://www.dbm.gov.ph/wp-content/uploads/Executive%20Summary/2016/Reform%20Documentation%20Full%20Book.pdf" TargetMode="External"/><Relationship Id="rId4" Type="http://schemas.openxmlformats.org/officeDocument/2006/relationships/hyperlink" Target="http://www.dbm.gov.ph/index.php/budget-documents/2017/technical-notes-on-the-2017-proposed-national-budg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E7738F05FF7548ABAF8944C74FA045" ma:contentTypeVersion="0" ma:contentTypeDescription="Create a new document." ma:contentTypeScope="" ma:versionID="422cd661a7fd286c2c6c482de215dd65">
  <xsd:schema xmlns:xsd="http://www.w3.org/2001/XMLSchema" xmlns:xs="http://www.w3.org/2001/XMLSchema" xmlns:p="http://schemas.microsoft.com/office/2006/metadata/properties" xmlns:ns2="5ebeba3d-fd60-4dcb-8548-a9fd3c51d9ff" targetNamespace="http://schemas.microsoft.com/office/2006/metadata/properties" ma:root="true" ma:fieldsID="3ea964148df72575aa99416149104b54" ns2:_="">
    <xsd:import namespace="5ebeba3d-fd60-4dcb-8548-a9fd3c51d9f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eba3d-fd60-4dcb-8548-a9fd3c51d9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5ebeba3d-fd60-4dcb-8548-a9fd3c51d9ff">UNITOFFICE-440-628</_dlc_DocId>
    <_dlc_DocIdUrl xmlns="5ebeba3d-fd60-4dcb-8548-a9fd3c51d9ff">
      <Url>https://intranet.undp.org/unit/office/exo/sp2014/SP201417/_layouts/15/DocIdRedir.aspx?ID=UNITOFFICE-440-628</Url>
      <Description>UNITOFFICE-440-628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2DEA5-A04A-4053-8002-DB918CF11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eba3d-fd60-4dcb-8548-a9fd3c51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1B8F7B-BA39-44ED-8DCD-42BF9FAEB5EA}">
  <ds:schemaRefs>
    <ds:schemaRef ds:uri="http://schemas.microsoft.com/sharepoint/v3/contenttype/forms"/>
  </ds:schemaRefs>
</ds:datastoreItem>
</file>

<file path=customXml/itemProps3.xml><?xml version="1.0" encoding="utf-8"?>
<ds:datastoreItem xmlns:ds="http://schemas.openxmlformats.org/officeDocument/2006/customXml" ds:itemID="{5CD998BD-6770-45DD-9B7C-5C50D8F53EF7}">
  <ds:schemaRefs>
    <ds:schemaRef ds:uri="http://schemas.microsoft.com/sharepoint/events"/>
  </ds:schemaRefs>
</ds:datastoreItem>
</file>

<file path=customXml/itemProps4.xml><?xml version="1.0" encoding="utf-8"?>
<ds:datastoreItem xmlns:ds="http://schemas.openxmlformats.org/officeDocument/2006/customXml" ds:itemID="{5D0F3BAA-E1EF-4796-9596-9BE8B5064FA5}">
  <ds:schemaRefs>
    <ds:schemaRef ds:uri="http://schemas.microsoft.com/office/2006/metadata/properties"/>
    <ds:schemaRef ds:uri="http://schemas.microsoft.com/office/infopath/2007/PartnerControls"/>
    <ds:schemaRef ds:uri="5ebeba3d-fd60-4dcb-8548-a9fd3c51d9ff"/>
  </ds:schemaRefs>
</ds:datastoreItem>
</file>

<file path=customXml/itemProps5.xml><?xml version="1.0" encoding="utf-8"?>
<ds:datastoreItem xmlns:ds="http://schemas.openxmlformats.org/officeDocument/2006/customXml" ds:itemID="{2E57EEE1-C39C-44DC-9BA0-855CA621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6224</Words>
  <Characters>35478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Second/First/Annual session of (year)</vt:lpstr>
    </vt:vector>
  </TitlesOfParts>
  <Company>Microsoft</Company>
  <LinksUpToDate>false</LinksUpToDate>
  <CharactersWithSpaces>41619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Second/First/Annual session of (year)</dc:title>
  <dc:subject/>
  <dc:creator>jessica.murray@undp.org</dc:creator>
  <cp:keywords/>
  <dc:description/>
  <cp:lastModifiedBy>Svetlana Iazykova</cp:lastModifiedBy>
  <cp:revision>3</cp:revision>
  <cp:lastPrinted>2018-04-18T08:02:00Z</cp:lastPrinted>
  <dcterms:created xsi:type="dcterms:W3CDTF">2018-06-11T15:38:00Z</dcterms:created>
  <dcterms:modified xsi:type="dcterms:W3CDTF">2018-06-11T15:39:00Z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0x010100EDE7738F05FF7548ABAF8944C74FA045</vt:lpwstr>
  </property>
  <property fmtid="{D5CDD505-2E9C-101B-9397-08002B2CF9AE}" pid="3" name="_dlc_DocIdItemGuid">
    <vt:lpwstr>80ae34d5-c977-4cc3-b7f3-e23d1f464af0</vt:lpwstr>
  </property>
  <property fmtid="{D5CDD505-2E9C-101B-9397-08002B2CF9AE}" pid="4" name="POPPBusinessProcess">
    <vt:lpwstr/>
  </property>
  <property fmtid="{D5CDD505-2E9C-101B-9397-08002B2CF9AE}" pid="5" name="UNDP_POPP_BUSINESSUNIT">
    <vt:lpwstr>2;#Programme and Project Management|dea4c69a-7909-43f6-8de1-50c95d5a9f3f</vt:lpwstr>
  </property>
  <property fmtid="{D5CDD505-2E9C-101B-9397-08002B2CF9AE}" pid="6" name="DLCPolicyLabelValue">
    <vt:lpwstr>Effective Date: {Effective Date}                                                Version #: {POPPRefItemVersion}</vt:lpwstr>
  </property>
  <property fmtid="{D5CDD505-2E9C-101B-9397-08002B2CF9AE}" pid="7" name="DLCPolicyLabelClientValue">
    <vt:lpwstr>Effective Date: {Effective Date}                                                Version #: {POPPRefItemVersion}</vt:lpwstr>
  </property>
  <property fmtid="{D5CDD505-2E9C-101B-9397-08002B2CF9AE}" pid="8" name="PAPERS2_INFO_01">
    <vt:lpwstr>&lt;info&gt;&lt;style id="http://www.zotero.org/styles/apa"/&gt;&lt;format class="1"/&gt;&lt;/info&gt;PAPERS2_INFO_END</vt:lpwstr>
  </property>
</Properties>
</file>