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43D9C" w14:textId="6B3EC8B1" w:rsidR="005C6168" w:rsidRPr="00517955" w:rsidRDefault="00965E8F">
      <w:pPr>
        <w:pStyle w:val="Heading3"/>
        <w:jc w:val="left"/>
        <w:rPr>
          <w:rFonts w:asciiTheme="minorHAnsi" w:hAnsiTheme="minorHAnsi"/>
        </w:rPr>
      </w:pPr>
      <w:r>
        <w:rPr>
          <w:rFonts w:asciiTheme="minorHAnsi" w:hAnsiTheme="minorHAnsi"/>
        </w:rPr>
        <w:t>Country:</w:t>
      </w:r>
      <w:r>
        <w:rPr>
          <w:rFonts w:asciiTheme="minorHAnsi" w:hAnsiTheme="minorHAnsi"/>
        </w:rPr>
        <w:tab/>
      </w:r>
      <w:r>
        <w:rPr>
          <w:rFonts w:asciiTheme="minorHAnsi" w:hAnsiTheme="minorHAnsi"/>
        </w:rPr>
        <w:tab/>
        <w:t>Cambod</w:t>
      </w:r>
      <w:r w:rsidR="0027184B">
        <w:rPr>
          <w:rFonts w:asciiTheme="minorHAnsi" w:hAnsiTheme="minorHAnsi"/>
        </w:rPr>
        <w:t>i</w:t>
      </w:r>
      <w:r>
        <w:rPr>
          <w:rFonts w:asciiTheme="minorHAnsi" w:hAnsiTheme="minorHAnsi"/>
        </w:rPr>
        <w:t>a</w:t>
      </w:r>
    </w:p>
    <w:p w14:paraId="07443D9D" w14:textId="77777777" w:rsidR="005C6168" w:rsidRPr="00517955" w:rsidRDefault="005C6168">
      <w:pPr>
        <w:pStyle w:val="Heading3"/>
        <w:rPr>
          <w:rFonts w:asciiTheme="minorHAnsi" w:hAnsiTheme="minorHAnsi"/>
        </w:rPr>
      </w:pPr>
    </w:p>
    <w:p w14:paraId="07443D9E" w14:textId="77777777" w:rsidR="005C6168" w:rsidRPr="00517955" w:rsidRDefault="00BC38E0">
      <w:pPr>
        <w:pStyle w:val="Heading3"/>
        <w:rPr>
          <w:rFonts w:asciiTheme="minorHAnsi" w:hAnsiTheme="minorHAnsi"/>
          <w:b/>
          <w:bCs w:val="0"/>
        </w:rPr>
      </w:pPr>
      <w:r w:rsidRPr="00517955">
        <w:rPr>
          <w:rFonts w:asciiTheme="minorHAnsi" w:hAnsiTheme="minorHAnsi"/>
          <w:b/>
          <w:bCs w:val="0"/>
        </w:rPr>
        <w:t>COUNTRY PROGRAMME</w:t>
      </w:r>
      <w:r w:rsidR="00B32ADA">
        <w:rPr>
          <w:rFonts w:asciiTheme="minorHAnsi" w:hAnsiTheme="minorHAnsi"/>
          <w:b/>
          <w:bCs w:val="0"/>
        </w:rPr>
        <w:t xml:space="preserve"> PERFORMANCE SUMMARY</w:t>
      </w:r>
      <w:r w:rsidR="001F3524">
        <w:rPr>
          <w:rStyle w:val="FootnoteReference"/>
          <w:rFonts w:asciiTheme="minorHAnsi" w:hAnsiTheme="minorHAnsi"/>
          <w:b/>
          <w:bCs w:val="0"/>
        </w:rPr>
        <w:footnoteReference w:id="1"/>
      </w:r>
    </w:p>
    <w:p w14:paraId="07443D9F" w14:textId="77777777" w:rsidR="005C6168" w:rsidRPr="00517955" w:rsidRDefault="005C6168">
      <w:pPr>
        <w:pStyle w:val="Heading3"/>
        <w:rPr>
          <w:rFonts w:asciiTheme="minorHAnsi" w:hAnsiTheme="minorHAnsi"/>
          <w:b/>
        </w:rPr>
      </w:pPr>
    </w:p>
    <w:p w14:paraId="07443DA0" w14:textId="2C647EE2" w:rsidR="005C6168" w:rsidRPr="00517955" w:rsidRDefault="005C6168">
      <w:pPr>
        <w:pStyle w:val="Heading3"/>
        <w:jc w:val="left"/>
        <w:rPr>
          <w:rFonts w:asciiTheme="minorHAnsi" w:hAnsiTheme="minorHAnsi"/>
        </w:rPr>
      </w:pPr>
      <w:r w:rsidRPr="00517955">
        <w:rPr>
          <w:rFonts w:asciiTheme="minorHAnsi" w:hAnsiTheme="minorHAnsi"/>
        </w:rPr>
        <w:t xml:space="preserve">Reporting period: </w:t>
      </w:r>
      <w:r w:rsidRPr="00517955">
        <w:rPr>
          <w:rFonts w:asciiTheme="minorHAnsi" w:hAnsiTheme="minorHAnsi"/>
        </w:rPr>
        <w:tab/>
      </w:r>
      <w:r w:rsidR="00965E8F">
        <w:rPr>
          <w:rFonts w:asciiTheme="minorHAnsi" w:hAnsiTheme="minorHAnsi"/>
        </w:rPr>
        <w:t>2016-</w:t>
      </w:r>
      <w:r w:rsidR="00213E0A">
        <w:rPr>
          <w:rFonts w:asciiTheme="minorHAnsi" w:hAnsiTheme="minorHAnsi"/>
        </w:rPr>
        <w:t xml:space="preserve"> June </w:t>
      </w:r>
      <w:r w:rsidR="00965E8F">
        <w:rPr>
          <w:rFonts w:asciiTheme="minorHAnsi" w:hAnsiTheme="minorHAnsi"/>
        </w:rPr>
        <w:t>201</w:t>
      </w:r>
      <w:r w:rsidR="00213E0A">
        <w:rPr>
          <w:rFonts w:asciiTheme="minorHAnsi" w:hAnsiTheme="minorHAnsi"/>
        </w:rPr>
        <w:t>8</w:t>
      </w:r>
    </w:p>
    <w:p w14:paraId="07443DA1" w14:textId="77777777" w:rsidR="005C6168" w:rsidRPr="00517955" w:rsidRDefault="005C6168">
      <w:pPr>
        <w:pStyle w:val="Heading3"/>
        <w:rPr>
          <w:rFonts w:asciiTheme="minorHAnsi" w:hAnsiTheme="minorHAnsi"/>
        </w:rPr>
      </w:pPr>
    </w:p>
    <w:p w14:paraId="5AAF1908" w14:textId="77777777" w:rsidR="007B7B02" w:rsidRDefault="007B7B02" w:rsidP="008F3A9C">
      <w:pPr>
        <w:pStyle w:val="BodyText2"/>
        <w:rPr>
          <w:rFonts w:asciiTheme="minorHAnsi" w:hAnsiTheme="minorHAnsi"/>
          <w:color w:val="000000"/>
          <w:sz w:val="24"/>
        </w:rPr>
      </w:pPr>
    </w:p>
    <w:p w14:paraId="72510AEA" w14:textId="70644299" w:rsidR="00F133FA" w:rsidRDefault="00624338" w:rsidP="008F3A9C">
      <w:pPr>
        <w:pStyle w:val="BodyText2"/>
        <w:rPr>
          <w:rFonts w:asciiTheme="minorHAnsi" w:hAnsiTheme="minorHAnsi"/>
          <w:color w:val="000000"/>
          <w:sz w:val="24"/>
        </w:rPr>
      </w:pPr>
      <w:r>
        <w:rPr>
          <w:rFonts w:asciiTheme="minorHAnsi" w:hAnsiTheme="minorHAnsi"/>
          <w:color w:val="000000"/>
          <w:sz w:val="24"/>
        </w:rPr>
        <w:t>Under the Country Programme 20</w:t>
      </w:r>
      <w:bookmarkStart w:id="0" w:name="_GoBack"/>
      <w:bookmarkEnd w:id="0"/>
      <w:r>
        <w:rPr>
          <w:rFonts w:asciiTheme="minorHAnsi" w:hAnsiTheme="minorHAnsi"/>
          <w:color w:val="000000"/>
          <w:sz w:val="24"/>
        </w:rPr>
        <w:t xml:space="preserve">16-2018, UNDP Cambodia has committed </w:t>
      </w:r>
      <w:r w:rsidR="00F133FA">
        <w:rPr>
          <w:rFonts w:asciiTheme="minorHAnsi" w:hAnsiTheme="minorHAnsi"/>
          <w:color w:val="000000"/>
          <w:sz w:val="24"/>
        </w:rPr>
        <w:t>to pursue programme priorities through two outcomes across four thematic development issues: building resilience, upgrading value chain, strength</w:t>
      </w:r>
      <w:r w:rsidR="00E66D26">
        <w:rPr>
          <w:rFonts w:asciiTheme="minorHAnsi" w:hAnsiTheme="minorHAnsi"/>
          <w:color w:val="000000"/>
          <w:sz w:val="24"/>
        </w:rPr>
        <w:t>en</w:t>
      </w:r>
      <w:r w:rsidR="00F133FA">
        <w:rPr>
          <w:rFonts w:asciiTheme="minorHAnsi" w:hAnsiTheme="minorHAnsi"/>
          <w:color w:val="000000"/>
          <w:sz w:val="24"/>
        </w:rPr>
        <w:t xml:space="preserve"> voice and participation of the vulnerable populations and sustaining development finance in the context of Cambodia’s middle-income transition.</w:t>
      </w:r>
    </w:p>
    <w:p w14:paraId="5A13552A" w14:textId="3D60E321" w:rsidR="00F133FA" w:rsidRDefault="00F133FA" w:rsidP="008F3A9C">
      <w:pPr>
        <w:pStyle w:val="BodyText2"/>
        <w:rPr>
          <w:rFonts w:asciiTheme="minorHAnsi" w:hAnsiTheme="minorHAnsi"/>
          <w:color w:val="000000"/>
          <w:sz w:val="24"/>
        </w:rPr>
      </w:pPr>
    </w:p>
    <w:p w14:paraId="48F65050" w14:textId="6CF78EB0" w:rsidR="00F133FA" w:rsidRDefault="00F133FA" w:rsidP="00F133FA">
      <w:pPr>
        <w:pStyle w:val="BodyText2"/>
        <w:jc w:val="center"/>
        <w:rPr>
          <w:rFonts w:asciiTheme="minorHAnsi" w:hAnsiTheme="minorHAnsi"/>
          <w:b/>
          <w:bCs/>
          <w:color w:val="000000"/>
          <w:sz w:val="24"/>
        </w:rPr>
      </w:pPr>
      <w:r>
        <w:rPr>
          <w:rFonts w:asciiTheme="minorHAnsi" w:hAnsiTheme="minorHAnsi"/>
          <w:b/>
          <w:bCs/>
          <w:color w:val="000000"/>
          <w:sz w:val="24"/>
        </w:rPr>
        <w:t>CPD framework: outcomes and thematic programmatic priorities</w:t>
      </w:r>
    </w:p>
    <w:p w14:paraId="333BB119" w14:textId="77777777" w:rsidR="00F133FA" w:rsidRPr="00F133FA" w:rsidRDefault="00F133FA" w:rsidP="00F133FA">
      <w:pPr>
        <w:pStyle w:val="BodyText2"/>
        <w:jc w:val="center"/>
        <w:rPr>
          <w:rFonts w:asciiTheme="minorHAnsi" w:hAnsiTheme="minorHAnsi"/>
          <w:b/>
          <w:bCs/>
          <w:color w:val="000000"/>
          <w:sz w:val="24"/>
        </w:rPr>
      </w:pPr>
    </w:p>
    <w:tbl>
      <w:tblPr>
        <w:tblStyle w:val="TableGrid"/>
        <w:tblW w:w="9737" w:type="dxa"/>
        <w:tblLook w:val="04A0" w:firstRow="1" w:lastRow="0" w:firstColumn="1" w:lastColumn="0" w:noHBand="0" w:noVBand="1"/>
      </w:tblPr>
      <w:tblGrid>
        <w:gridCol w:w="3415"/>
        <w:gridCol w:w="4050"/>
        <w:gridCol w:w="2272"/>
      </w:tblGrid>
      <w:tr w:rsidR="00F133FA" w:rsidRPr="00F133FA" w14:paraId="7394F5FE" w14:textId="77777777" w:rsidTr="00646A49">
        <w:tc>
          <w:tcPr>
            <w:tcW w:w="3415" w:type="dxa"/>
          </w:tcPr>
          <w:p w14:paraId="6F1CE7B6" w14:textId="2DB0B9D9" w:rsidR="00F133FA" w:rsidRPr="00F133FA" w:rsidRDefault="00F133FA" w:rsidP="008F3A9C">
            <w:pPr>
              <w:pStyle w:val="BodyText2"/>
              <w:rPr>
                <w:rFonts w:asciiTheme="minorHAnsi" w:hAnsiTheme="minorHAnsi"/>
                <w:b/>
                <w:bCs/>
                <w:color w:val="000000"/>
                <w:sz w:val="22"/>
                <w:szCs w:val="22"/>
              </w:rPr>
            </w:pPr>
            <w:r w:rsidRPr="00F133FA">
              <w:rPr>
                <w:rFonts w:asciiTheme="minorHAnsi" w:hAnsiTheme="minorHAnsi"/>
                <w:b/>
                <w:bCs/>
                <w:color w:val="000000"/>
                <w:sz w:val="22"/>
                <w:szCs w:val="22"/>
              </w:rPr>
              <w:t>Country Programme</w:t>
            </w:r>
          </w:p>
        </w:tc>
        <w:tc>
          <w:tcPr>
            <w:tcW w:w="4050" w:type="dxa"/>
          </w:tcPr>
          <w:p w14:paraId="42F22256" w14:textId="187CA11F" w:rsidR="00F133FA" w:rsidRPr="00F133FA" w:rsidRDefault="00F133FA" w:rsidP="008F3A9C">
            <w:pPr>
              <w:pStyle w:val="BodyText2"/>
              <w:rPr>
                <w:rFonts w:asciiTheme="minorHAnsi" w:hAnsiTheme="minorHAnsi"/>
                <w:b/>
                <w:bCs/>
                <w:color w:val="000000"/>
                <w:sz w:val="22"/>
                <w:szCs w:val="22"/>
              </w:rPr>
            </w:pPr>
            <w:r w:rsidRPr="00F133FA">
              <w:rPr>
                <w:rFonts w:asciiTheme="minorHAnsi" w:hAnsiTheme="minorHAnsi"/>
                <w:b/>
                <w:bCs/>
                <w:color w:val="000000"/>
                <w:sz w:val="22"/>
                <w:szCs w:val="22"/>
              </w:rPr>
              <w:t>Strategic Plan</w:t>
            </w:r>
          </w:p>
        </w:tc>
        <w:tc>
          <w:tcPr>
            <w:tcW w:w="2272" w:type="dxa"/>
          </w:tcPr>
          <w:p w14:paraId="4F51F27B" w14:textId="77777777" w:rsidR="00F133FA" w:rsidRDefault="00F133FA" w:rsidP="008F3A9C">
            <w:pPr>
              <w:pStyle w:val="BodyText2"/>
              <w:rPr>
                <w:rFonts w:asciiTheme="minorHAnsi" w:hAnsiTheme="minorHAnsi"/>
                <w:b/>
                <w:bCs/>
                <w:color w:val="000000"/>
                <w:sz w:val="22"/>
                <w:szCs w:val="22"/>
              </w:rPr>
            </w:pPr>
            <w:r w:rsidRPr="00F133FA">
              <w:rPr>
                <w:rFonts w:asciiTheme="minorHAnsi" w:hAnsiTheme="minorHAnsi"/>
                <w:b/>
                <w:bCs/>
                <w:color w:val="000000"/>
                <w:sz w:val="22"/>
                <w:szCs w:val="22"/>
              </w:rPr>
              <w:t xml:space="preserve">Thematic priorities </w:t>
            </w:r>
          </w:p>
          <w:p w14:paraId="5E1C0266" w14:textId="775D3F4A" w:rsidR="00F133FA" w:rsidRPr="00F133FA" w:rsidRDefault="00F133FA" w:rsidP="008F3A9C">
            <w:pPr>
              <w:pStyle w:val="BodyText2"/>
              <w:rPr>
                <w:rFonts w:asciiTheme="minorHAnsi" w:hAnsiTheme="minorHAnsi"/>
                <w:b/>
                <w:bCs/>
                <w:color w:val="000000"/>
                <w:sz w:val="22"/>
                <w:szCs w:val="22"/>
              </w:rPr>
            </w:pPr>
          </w:p>
        </w:tc>
      </w:tr>
      <w:tr w:rsidR="00F133FA" w:rsidRPr="00F133FA" w14:paraId="039D072A" w14:textId="77777777" w:rsidTr="00646A49">
        <w:tc>
          <w:tcPr>
            <w:tcW w:w="3415" w:type="dxa"/>
            <w:vMerge w:val="restart"/>
          </w:tcPr>
          <w:p w14:paraId="4D833412" w14:textId="77777777" w:rsidR="00F133FA" w:rsidRPr="00B53DDE" w:rsidRDefault="00F133FA" w:rsidP="008F3A9C">
            <w:pPr>
              <w:pStyle w:val="BodyText2"/>
              <w:rPr>
                <w:rFonts w:asciiTheme="minorHAnsi" w:hAnsiTheme="minorHAnsi"/>
                <w:color w:val="000000"/>
                <w:sz w:val="22"/>
                <w:szCs w:val="22"/>
                <w:u w:val="single"/>
              </w:rPr>
            </w:pPr>
            <w:r w:rsidRPr="00B53DDE">
              <w:rPr>
                <w:rFonts w:asciiTheme="minorHAnsi" w:hAnsiTheme="minorHAnsi"/>
                <w:color w:val="000000"/>
                <w:sz w:val="22"/>
                <w:szCs w:val="22"/>
                <w:u w:val="single"/>
              </w:rPr>
              <w:t xml:space="preserve">CPD Outcome 1: </w:t>
            </w:r>
          </w:p>
          <w:p w14:paraId="34AE038A" w14:textId="65A6DD43" w:rsidR="00F133FA" w:rsidRPr="00F133FA" w:rsidRDefault="00F133FA" w:rsidP="008F3A9C">
            <w:pPr>
              <w:pStyle w:val="BodyText2"/>
              <w:rPr>
                <w:rFonts w:asciiTheme="minorHAnsi" w:hAnsiTheme="minorHAnsi"/>
                <w:color w:val="000000"/>
                <w:sz w:val="22"/>
                <w:szCs w:val="22"/>
              </w:rPr>
            </w:pPr>
            <w:r w:rsidRPr="00F133FA">
              <w:rPr>
                <w:rFonts w:asciiTheme="minorHAnsi" w:hAnsiTheme="minorHAnsi"/>
                <w:color w:val="000000"/>
                <w:sz w:val="22"/>
                <w:szCs w:val="22"/>
              </w:rPr>
              <w:t>By 2018, people living in Cambodia, in particular youth, women and vulnerable groups, are enabled to actively participate in and benefit equitably from growth and development that is sustainable and does not compromise the well-being or natural or cultural resources of future generations</w:t>
            </w:r>
          </w:p>
        </w:tc>
        <w:tc>
          <w:tcPr>
            <w:tcW w:w="4050" w:type="dxa"/>
          </w:tcPr>
          <w:p w14:paraId="0736AD43" w14:textId="77777777" w:rsidR="00F133FA" w:rsidRPr="00B53DDE" w:rsidRDefault="00F133FA" w:rsidP="008F3A9C">
            <w:pPr>
              <w:pStyle w:val="BodyText2"/>
              <w:rPr>
                <w:rFonts w:asciiTheme="minorHAnsi" w:hAnsiTheme="minorHAnsi"/>
                <w:color w:val="000000"/>
                <w:sz w:val="22"/>
                <w:szCs w:val="22"/>
                <w:u w:val="single"/>
              </w:rPr>
            </w:pPr>
            <w:r w:rsidRPr="00B53DDE">
              <w:rPr>
                <w:rFonts w:asciiTheme="minorHAnsi" w:hAnsiTheme="minorHAnsi"/>
                <w:color w:val="000000"/>
                <w:sz w:val="22"/>
                <w:szCs w:val="22"/>
                <w:u w:val="single"/>
              </w:rPr>
              <w:t xml:space="preserve">SP Outcome 1: </w:t>
            </w:r>
          </w:p>
          <w:p w14:paraId="12CA9F20" w14:textId="40974B75" w:rsidR="00F133FA" w:rsidRPr="00F133FA" w:rsidRDefault="00F133FA" w:rsidP="008F3A9C">
            <w:pPr>
              <w:pStyle w:val="BodyText2"/>
              <w:rPr>
                <w:rFonts w:asciiTheme="minorHAnsi" w:hAnsiTheme="minorHAnsi"/>
                <w:color w:val="000000"/>
                <w:sz w:val="22"/>
                <w:szCs w:val="22"/>
              </w:rPr>
            </w:pPr>
            <w:r w:rsidRPr="00F133FA">
              <w:rPr>
                <w:rFonts w:asciiTheme="minorHAnsi" w:hAnsiTheme="minorHAnsi"/>
                <w:color w:val="000000"/>
                <w:sz w:val="22"/>
                <w:szCs w:val="22"/>
              </w:rPr>
              <w:t>Growth and development are inclusive and sustainable, incorporating productive capacities that create employment and livelihoods for poor and excluded groups</w:t>
            </w:r>
          </w:p>
        </w:tc>
        <w:tc>
          <w:tcPr>
            <w:tcW w:w="2272" w:type="dxa"/>
            <w:vMerge w:val="restart"/>
          </w:tcPr>
          <w:p w14:paraId="06788DC1" w14:textId="42A7A477" w:rsidR="00F133FA" w:rsidRDefault="00F133FA" w:rsidP="008F3A9C">
            <w:pPr>
              <w:pStyle w:val="BodyText2"/>
              <w:rPr>
                <w:rFonts w:asciiTheme="minorHAnsi" w:hAnsiTheme="minorHAnsi"/>
                <w:color w:val="000000"/>
                <w:sz w:val="22"/>
                <w:szCs w:val="22"/>
              </w:rPr>
            </w:pPr>
            <w:r>
              <w:rPr>
                <w:rFonts w:asciiTheme="minorHAnsi" w:hAnsiTheme="minorHAnsi"/>
                <w:color w:val="000000"/>
                <w:sz w:val="22"/>
                <w:szCs w:val="22"/>
              </w:rPr>
              <w:t>Building Resilience</w:t>
            </w:r>
          </w:p>
          <w:p w14:paraId="345D459E" w14:textId="77777777" w:rsidR="00F133FA" w:rsidRDefault="00F133FA" w:rsidP="008F3A9C">
            <w:pPr>
              <w:pStyle w:val="BodyText2"/>
              <w:rPr>
                <w:rFonts w:asciiTheme="minorHAnsi" w:hAnsiTheme="minorHAnsi"/>
                <w:color w:val="000000"/>
                <w:sz w:val="22"/>
                <w:szCs w:val="22"/>
              </w:rPr>
            </w:pPr>
          </w:p>
          <w:p w14:paraId="35085D1F" w14:textId="650CED89" w:rsidR="00F133FA" w:rsidRDefault="00F133FA" w:rsidP="008F3A9C">
            <w:pPr>
              <w:pStyle w:val="BodyText2"/>
              <w:rPr>
                <w:rFonts w:asciiTheme="minorHAnsi" w:hAnsiTheme="minorHAnsi"/>
                <w:color w:val="000000"/>
                <w:sz w:val="22"/>
                <w:szCs w:val="22"/>
              </w:rPr>
            </w:pPr>
            <w:r>
              <w:rPr>
                <w:rFonts w:asciiTheme="minorHAnsi" w:hAnsiTheme="minorHAnsi"/>
                <w:color w:val="000000"/>
                <w:sz w:val="22"/>
                <w:szCs w:val="22"/>
              </w:rPr>
              <w:t>Upgrading Value Chain</w:t>
            </w:r>
          </w:p>
          <w:p w14:paraId="3C018E9D" w14:textId="77777777" w:rsidR="00F133FA" w:rsidRDefault="00F133FA" w:rsidP="008F3A9C">
            <w:pPr>
              <w:pStyle w:val="BodyText2"/>
              <w:rPr>
                <w:rFonts w:asciiTheme="minorHAnsi" w:hAnsiTheme="minorHAnsi"/>
                <w:color w:val="000000"/>
                <w:sz w:val="22"/>
                <w:szCs w:val="22"/>
              </w:rPr>
            </w:pPr>
          </w:p>
          <w:p w14:paraId="460044F9" w14:textId="60F0C121" w:rsidR="00F133FA" w:rsidRDefault="00F133FA" w:rsidP="008F3A9C">
            <w:pPr>
              <w:pStyle w:val="BodyText2"/>
              <w:rPr>
                <w:rFonts w:asciiTheme="minorHAnsi" w:hAnsiTheme="minorHAnsi"/>
                <w:color w:val="000000"/>
                <w:sz w:val="22"/>
                <w:szCs w:val="22"/>
              </w:rPr>
            </w:pPr>
            <w:r>
              <w:rPr>
                <w:rFonts w:asciiTheme="minorHAnsi" w:hAnsiTheme="minorHAnsi"/>
                <w:color w:val="000000"/>
                <w:sz w:val="22"/>
                <w:szCs w:val="22"/>
              </w:rPr>
              <w:t>Strengthening Voice and Participation</w:t>
            </w:r>
          </w:p>
          <w:p w14:paraId="0F2E08D3" w14:textId="77777777" w:rsidR="00F133FA" w:rsidRDefault="00F133FA" w:rsidP="008F3A9C">
            <w:pPr>
              <w:pStyle w:val="BodyText2"/>
              <w:rPr>
                <w:rFonts w:asciiTheme="minorHAnsi" w:hAnsiTheme="minorHAnsi"/>
                <w:color w:val="000000"/>
                <w:sz w:val="22"/>
                <w:szCs w:val="22"/>
              </w:rPr>
            </w:pPr>
          </w:p>
          <w:p w14:paraId="024747E0" w14:textId="0ED82C30" w:rsidR="00F133FA" w:rsidRPr="00F133FA" w:rsidRDefault="00F133FA" w:rsidP="008F3A9C">
            <w:pPr>
              <w:pStyle w:val="BodyText2"/>
              <w:rPr>
                <w:rFonts w:asciiTheme="minorHAnsi" w:hAnsiTheme="minorHAnsi"/>
                <w:color w:val="000000"/>
                <w:sz w:val="22"/>
                <w:szCs w:val="22"/>
              </w:rPr>
            </w:pPr>
            <w:r>
              <w:rPr>
                <w:rFonts w:asciiTheme="minorHAnsi" w:hAnsiTheme="minorHAnsi"/>
                <w:color w:val="000000"/>
                <w:sz w:val="22"/>
                <w:szCs w:val="22"/>
              </w:rPr>
              <w:t>Sustaining Development Financing</w:t>
            </w:r>
          </w:p>
        </w:tc>
      </w:tr>
      <w:tr w:rsidR="00F133FA" w:rsidRPr="00F133FA" w14:paraId="4CF47A1E" w14:textId="77777777" w:rsidTr="00646A49">
        <w:tc>
          <w:tcPr>
            <w:tcW w:w="3415" w:type="dxa"/>
            <w:vMerge/>
          </w:tcPr>
          <w:p w14:paraId="3A287EDF" w14:textId="516B9B9E" w:rsidR="00F133FA" w:rsidRPr="00F133FA" w:rsidRDefault="00F133FA" w:rsidP="008F3A9C">
            <w:pPr>
              <w:pStyle w:val="BodyText2"/>
              <w:rPr>
                <w:rFonts w:asciiTheme="minorHAnsi" w:hAnsiTheme="minorHAnsi"/>
                <w:color w:val="000000"/>
                <w:sz w:val="22"/>
                <w:szCs w:val="22"/>
              </w:rPr>
            </w:pPr>
          </w:p>
        </w:tc>
        <w:tc>
          <w:tcPr>
            <w:tcW w:w="4050" w:type="dxa"/>
          </w:tcPr>
          <w:p w14:paraId="55BD39AF" w14:textId="77777777" w:rsidR="00F133FA" w:rsidRPr="00B53DDE" w:rsidRDefault="00F133FA" w:rsidP="008F3A9C">
            <w:pPr>
              <w:pStyle w:val="BodyText2"/>
              <w:rPr>
                <w:rFonts w:asciiTheme="minorHAnsi" w:hAnsiTheme="minorHAnsi"/>
                <w:color w:val="000000"/>
                <w:sz w:val="22"/>
                <w:szCs w:val="22"/>
                <w:u w:val="single"/>
              </w:rPr>
            </w:pPr>
            <w:r w:rsidRPr="00B53DDE">
              <w:rPr>
                <w:rFonts w:asciiTheme="minorHAnsi" w:hAnsiTheme="minorHAnsi"/>
                <w:color w:val="000000"/>
                <w:sz w:val="22"/>
                <w:szCs w:val="22"/>
                <w:u w:val="single"/>
              </w:rPr>
              <w:t xml:space="preserve">SP Outcome 7: </w:t>
            </w:r>
          </w:p>
          <w:p w14:paraId="3E980CB7" w14:textId="68F9E46E" w:rsidR="00F133FA" w:rsidRPr="00F133FA" w:rsidRDefault="00F133FA" w:rsidP="008F3A9C">
            <w:pPr>
              <w:pStyle w:val="BodyText2"/>
              <w:rPr>
                <w:rFonts w:asciiTheme="minorHAnsi" w:hAnsiTheme="minorHAnsi"/>
                <w:color w:val="000000"/>
                <w:sz w:val="22"/>
                <w:szCs w:val="22"/>
              </w:rPr>
            </w:pPr>
            <w:r w:rsidRPr="00F133FA">
              <w:rPr>
                <w:rFonts w:asciiTheme="minorHAnsi" w:hAnsiTheme="minorHAnsi"/>
                <w:color w:val="000000"/>
                <w:sz w:val="22"/>
                <w:szCs w:val="22"/>
              </w:rPr>
              <w:t>Development debates and actions at all levels prioritize poverty, inequality and exclusion, consistent with our engagement principles.</w:t>
            </w:r>
          </w:p>
        </w:tc>
        <w:tc>
          <w:tcPr>
            <w:tcW w:w="2272" w:type="dxa"/>
            <w:vMerge/>
          </w:tcPr>
          <w:p w14:paraId="6A2C9F9F" w14:textId="77777777" w:rsidR="00F133FA" w:rsidRPr="00F133FA" w:rsidRDefault="00F133FA" w:rsidP="008F3A9C">
            <w:pPr>
              <w:pStyle w:val="BodyText2"/>
              <w:rPr>
                <w:rFonts w:asciiTheme="minorHAnsi" w:hAnsiTheme="minorHAnsi"/>
                <w:color w:val="000000"/>
                <w:sz w:val="22"/>
                <w:szCs w:val="22"/>
              </w:rPr>
            </w:pPr>
          </w:p>
        </w:tc>
      </w:tr>
      <w:tr w:rsidR="00F133FA" w:rsidRPr="00F133FA" w14:paraId="673D0A5C" w14:textId="77777777" w:rsidTr="00646A49">
        <w:tc>
          <w:tcPr>
            <w:tcW w:w="3415" w:type="dxa"/>
          </w:tcPr>
          <w:p w14:paraId="1DE36ED9" w14:textId="77777777" w:rsidR="00F133FA" w:rsidRPr="00B53DDE" w:rsidRDefault="00F133FA" w:rsidP="008F3A9C">
            <w:pPr>
              <w:pStyle w:val="BodyText2"/>
              <w:rPr>
                <w:rFonts w:asciiTheme="minorHAnsi" w:hAnsiTheme="minorHAnsi"/>
                <w:color w:val="000000"/>
                <w:sz w:val="22"/>
                <w:szCs w:val="22"/>
                <w:u w:val="single"/>
              </w:rPr>
            </w:pPr>
            <w:r w:rsidRPr="00B53DDE">
              <w:rPr>
                <w:rFonts w:asciiTheme="minorHAnsi" w:hAnsiTheme="minorHAnsi"/>
                <w:color w:val="000000"/>
                <w:sz w:val="22"/>
                <w:szCs w:val="22"/>
                <w:u w:val="single"/>
              </w:rPr>
              <w:t xml:space="preserve">CPD Outcome 2: </w:t>
            </w:r>
          </w:p>
          <w:p w14:paraId="59FDA531" w14:textId="6194A0A3" w:rsidR="00F133FA" w:rsidRPr="00F133FA" w:rsidRDefault="00F133FA" w:rsidP="008F3A9C">
            <w:pPr>
              <w:pStyle w:val="BodyText2"/>
              <w:rPr>
                <w:rFonts w:asciiTheme="minorHAnsi" w:hAnsiTheme="minorHAnsi"/>
                <w:color w:val="000000"/>
                <w:sz w:val="22"/>
                <w:szCs w:val="22"/>
              </w:rPr>
            </w:pPr>
            <w:r w:rsidRPr="00F133FA">
              <w:rPr>
                <w:rFonts w:asciiTheme="minorHAnsi" w:hAnsiTheme="minorHAnsi"/>
                <w:color w:val="000000"/>
                <w:sz w:val="22"/>
                <w:szCs w:val="22"/>
              </w:rPr>
              <w:t>By 2018, national and subnational institutions are more transparent and accountable for key public sector reforms and rule of law; are more responsive to the inequalities in enjoyment of human rights of all people living in Cambodia; and increase civic participation in democratic decision-making</w:t>
            </w:r>
          </w:p>
        </w:tc>
        <w:tc>
          <w:tcPr>
            <w:tcW w:w="4050" w:type="dxa"/>
          </w:tcPr>
          <w:p w14:paraId="6D7A8E19" w14:textId="77777777" w:rsidR="00F133FA" w:rsidRPr="00B53DDE" w:rsidRDefault="00F133FA" w:rsidP="008F3A9C">
            <w:pPr>
              <w:pStyle w:val="BodyText2"/>
              <w:rPr>
                <w:rFonts w:asciiTheme="minorHAnsi" w:hAnsiTheme="minorHAnsi"/>
                <w:color w:val="000000"/>
                <w:sz w:val="22"/>
                <w:szCs w:val="22"/>
                <w:u w:val="single"/>
              </w:rPr>
            </w:pPr>
            <w:r w:rsidRPr="00B53DDE">
              <w:rPr>
                <w:rFonts w:asciiTheme="minorHAnsi" w:hAnsiTheme="minorHAnsi"/>
                <w:color w:val="000000"/>
                <w:sz w:val="22"/>
                <w:szCs w:val="22"/>
                <w:u w:val="single"/>
              </w:rPr>
              <w:t xml:space="preserve">SP Outcome 2: </w:t>
            </w:r>
          </w:p>
          <w:p w14:paraId="72B72FE6" w14:textId="2674E4CF" w:rsidR="00F133FA" w:rsidRPr="00F133FA" w:rsidRDefault="00F133FA" w:rsidP="008F3A9C">
            <w:pPr>
              <w:pStyle w:val="BodyText2"/>
              <w:rPr>
                <w:rFonts w:asciiTheme="minorHAnsi" w:hAnsiTheme="minorHAnsi"/>
                <w:color w:val="000000"/>
                <w:sz w:val="22"/>
                <w:szCs w:val="22"/>
              </w:rPr>
            </w:pPr>
            <w:r w:rsidRPr="00F133FA">
              <w:rPr>
                <w:rFonts w:asciiTheme="minorHAnsi" w:hAnsiTheme="minorHAnsi"/>
                <w:color w:val="000000"/>
                <w:sz w:val="22"/>
                <w:szCs w:val="22"/>
              </w:rPr>
              <w:t>Citizens’ expectations for voice, development, the rule of law and accountability are met by stronger systems of democratic governance.</w:t>
            </w:r>
          </w:p>
        </w:tc>
        <w:tc>
          <w:tcPr>
            <w:tcW w:w="2272" w:type="dxa"/>
            <w:vMerge/>
          </w:tcPr>
          <w:p w14:paraId="78B5885B" w14:textId="77777777" w:rsidR="00F133FA" w:rsidRPr="00F133FA" w:rsidRDefault="00F133FA" w:rsidP="008F3A9C">
            <w:pPr>
              <w:pStyle w:val="BodyText2"/>
              <w:rPr>
                <w:rFonts w:asciiTheme="minorHAnsi" w:hAnsiTheme="minorHAnsi"/>
                <w:color w:val="000000"/>
                <w:sz w:val="22"/>
                <w:szCs w:val="22"/>
              </w:rPr>
            </w:pPr>
          </w:p>
        </w:tc>
      </w:tr>
    </w:tbl>
    <w:p w14:paraId="7F4478D9" w14:textId="77777777" w:rsidR="00F133FA" w:rsidRDefault="00F133FA" w:rsidP="008F3A9C">
      <w:pPr>
        <w:pStyle w:val="BodyText2"/>
        <w:rPr>
          <w:rFonts w:asciiTheme="minorHAnsi" w:hAnsiTheme="minorHAnsi"/>
          <w:color w:val="000000"/>
          <w:sz w:val="24"/>
        </w:rPr>
      </w:pPr>
    </w:p>
    <w:p w14:paraId="1D26CAD3" w14:textId="64360588" w:rsidR="00354469" w:rsidRPr="007B7B02" w:rsidRDefault="00354469" w:rsidP="008F3A9C">
      <w:pPr>
        <w:pStyle w:val="BodyText2"/>
        <w:rPr>
          <w:rFonts w:asciiTheme="minorHAnsi" w:hAnsiTheme="minorHAnsi"/>
          <w:b/>
          <w:bCs/>
          <w:color w:val="000000"/>
          <w:sz w:val="22"/>
          <w:szCs w:val="18"/>
        </w:rPr>
      </w:pPr>
      <w:r w:rsidRPr="007B7B02">
        <w:rPr>
          <w:rFonts w:asciiTheme="minorHAnsi" w:hAnsiTheme="minorHAnsi"/>
          <w:b/>
          <w:bCs/>
          <w:color w:val="000000"/>
          <w:sz w:val="22"/>
          <w:szCs w:val="18"/>
        </w:rPr>
        <w:t>OUTCOME 1 RESULTS:</w:t>
      </w:r>
    </w:p>
    <w:p w14:paraId="53BC0954" w14:textId="77777777" w:rsidR="00ED3923" w:rsidRPr="007B7B02" w:rsidRDefault="00ED3923" w:rsidP="008F3A9C">
      <w:pPr>
        <w:pStyle w:val="BodyText2"/>
        <w:rPr>
          <w:rFonts w:asciiTheme="minorHAnsi" w:hAnsiTheme="minorHAnsi"/>
          <w:color w:val="000000"/>
          <w:sz w:val="22"/>
          <w:szCs w:val="18"/>
        </w:rPr>
      </w:pPr>
    </w:p>
    <w:p w14:paraId="37B91A38" w14:textId="33141C7F" w:rsidR="001553AD" w:rsidRPr="007B7B02" w:rsidRDefault="001553AD" w:rsidP="00073C60">
      <w:pPr>
        <w:pStyle w:val="BodyText2"/>
        <w:jc w:val="both"/>
        <w:rPr>
          <w:rFonts w:asciiTheme="minorHAnsi" w:hAnsiTheme="minorHAnsi"/>
          <w:color w:val="000000"/>
          <w:sz w:val="22"/>
          <w:szCs w:val="18"/>
        </w:rPr>
      </w:pPr>
      <w:r w:rsidRPr="007B7B02">
        <w:rPr>
          <w:rFonts w:asciiTheme="minorHAnsi" w:hAnsiTheme="minorHAnsi"/>
          <w:color w:val="000000"/>
          <w:sz w:val="22"/>
          <w:szCs w:val="18"/>
        </w:rPr>
        <w:t>UNDP ha</w:t>
      </w:r>
      <w:r w:rsidR="00E66D26">
        <w:rPr>
          <w:rFonts w:asciiTheme="minorHAnsi" w:hAnsiTheme="minorHAnsi"/>
          <w:color w:val="000000"/>
          <w:sz w:val="22"/>
          <w:szCs w:val="18"/>
        </w:rPr>
        <w:t>s</w:t>
      </w:r>
      <w:r w:rsidRPr="007B7B02">
        <w:rPr>
          <w:rFonts w:asciiTheme="minorHAnsi" w:hAnsiTheme="minorHAnsi"/>
          <w:color w:val="000000"/>
          <w:sz w:val="22"/>
          <w:szCs w:val="18"/>
        </w:rPr>
        <w:t xml:space="preserve"> played a very critical role in strengthening the institutional mechanisms and policies for sustainable management of the environment and natural resources</w:t>
      </w:r>
      <w:r w:rsidR="00073C60" w:rsidRPr="007B7B02">
        <w:rPr>
          <w:rFonts w:asciiTheme="minorHAnsi" w:hAnsiTheme="minorHAnsi"/>
          <w:color w:val="000000"/>
          <w:sz w:val="22"/>
          <w:szCs w:val="18"/>
        </w:rPr>
        <w:t xml:space="preserve"> and tackling the impact</w:t>
      </w:r>
      <w:r w:rsidR="00574988" w:rsidRPr="007B7B02">
        <w:rPr>
          <w:rFonts w:asciiTheme="minorHAnsi" w:hAnsiTheme="minorHAnsi"/>
          <w:color w:val="000000"/>
          <w:sz w:val="22"/>
          <w:szCs w:val="18"/>
        </w:rPr>
        <w:t>s</w:t>
      </w:r>
      <w:r w:rsidR="00073C60" w:rsidRPr="007B7B02">
        <w:rPr>
          <w:rFonts w:asciiTheme="minorHAnsi" w:hAnsiTheme="minorHAnsi"/>
          <w:color w:val="000000"/>
          <w:sz w:val="22"/>
          <w:szCs w:val="18"/>
        </w:rPr>
        <w:t xml:space="preserve"> of climate change</w:t>
      </w:r>
      <w:r w:rsidRPr="007B7B02">
        <w:rPr>
          <w:rFonts w:asciiTheme="minorHAnsi" w:hAnsiTheme="minorHAnsi"/>
          <w:color w:val="000000"/>
          <w:sz w:val="22"/>
          <w:szCs w:val="18"/>
        </w:rPr>
        <w:t xml:space="preserve">. </w:t>
      </w:r>
      <w:r w:rsidR="00516655" w:rsidRPr="007B7B02">
        <w:rPr>
          <w:rFonts w:asciiTheme="minorHAnsi" w:hAnsiTheme="minorHAnsi"/>
          <w:color w:val="000000"/>
          <w:sz w:val="22"/>
          <w:szCs w:val="18"/>
        </w:rPr>
        <w:t>In 2016, t</w:t>
      </w:r>
      <w:r w:rsidRPr="007B7B02">
        <w:rPr>
          <w:rFonts w:asciiTheme="minorHAnsi" w:hAnsiTheme="minorHAnsi"/>
          <w:color w:val="000000"/>
          <w:sz w:val="22"/>
          <w:szCs w:val="18"/>
        </w:rPr>
        <w:t xml:space="preserve">he </w:t>
      </w:r>
      <w:r w:rsidR="00ED3923" w:rsidRPr="007B7B02">
        <w:rPr>
          <w:rFonts w:asciiTheme="minorHAnsi" w:hAnsiTheme="minorHAnsi"/>
          <w:color w:val="000000"/>
          <w:sz w:val="22"/>
          <w:szCs w:val="18"/>
        </w:rPr>
        <w:t>National Council for Sustainable Development (NCSD)</w:t>
      </w:r>
      <w:r w:rsidRPr="007B7B02">
        <w:rPr>
          <w:rFonts w:asciiTheme="minorHAnsi" w:hAnsiTheme="minorHAnsi"/>
          <w:color w:val="000000"/>
          <w:sz w:val="22"/>
          <w:szCs w:val="18"/>
        </w:rPr>
        <w:t xml:space="preserve"> was</w:t>
      </w:r>
      <w:r w:rsidR="00ED3923" w:rsidRPr="007B7B02">
        <w:rPr>
          <w:rFonts w:asciiTheme="minorHAnsi" w:hAnsiTheme="minorHAnsi"/>
          <w:color w:val="000000"/>
          <w:sz w:val="22"/>
          <w:szCs w:val="18"/>
        </w:rPr>
        <w:t xml:space="preserve"> established to</w:t>
      </w:r>
      <w:r w:rsidR="005A1C9F">
        <w:rPr>
          <w:rFonts w:asciiTheme="minorHAnsi" w:hAnsiTheme="minorHAnsi"/>
          <w:color w:val="000000"/>
          <w:sz w:val="22"/>
          <w:szCs w:val="18"/>
        </w:rPr>
        <w:t xml:space="preserve"> </w:t>
      </w:r>
      <w:r w:rsidR="00ED3923" w:rsidRPr="007B7B02">
        <w:rPr>
          <w:rFonts w:asciiTheme="minorHAnsi" w:hAnsiTheme="minorHAnsi"/>
          <w:color w:val="000000"/>
          <w:sz w:val="22"/>
          <w:szCs w:val="18"/>
        </w:rPr>
        <w:t xml:space="preserve"> coordinate and support the development and implementation of legal, policy and regulatory frameworks for </w:t>
      </w:r>
      <w:r w:rsidRPr="007B7B02">
        <w:rPr>
          <w:rFonts w:asciiTheme="minorHAnsi" w:hAnsiTheme="minorHAnsi"/>
          <w:color w:val="000000"/>
          <w:sz w:val="22"/>
          <w:szCs w:val="18"/>
        </w:rPr>
        <w:t xml:space="preserve">environmental management and </w:t>
      </w:r>
      <w:r w:rsidR="00ED3923" w:rsidRPr="007B7B02">
        <w:rPr>
          <w:rFonts w:asciiTheme="minorHAnsi" w:hAnsiTheme="minorHAnsi"/>
          <w:color w:val="000000"/>
          <w:sz w:val="22"/>
          <w:szCs w:val="18"/>
        </w:rPr>
        <w:t>sustainable development</w:t>
      </w:r>
      <w:r w:rsidRPr="007B7B02">
        <w:rPr>
          <w:rFonts w:asciiTheme="minorHAnsi" w:hAnsiTheme="minorHAnsi"/>
          <w:color w:val="000000"/>
          <w:sz w:val="22"/>
          <w:szCs w:val="18"/>
        </w:rPr>
        <w:t xml:space="preserve">. </w:t>
      </w:r>
      <w:r w:rsidR="00073C60" w:rsidRPr="007B7B02">
        <w:rPr>
          <w:rFonts w:asciiTheme="minorHAnsi" w:hAnsiTheme="minorHAnsi"/>
          <w:color w:val="000000"/>
          <w:sz w:val="22"/>
          <w:szCs w:val="18"/>
        </w:rPr>
        <w:t xml:space="preserve">NCSD’s capacity was further strengthened leading the first direct access of the Green Climate Fund’s resources in 2017 </w:t>
      </w:r>
      <w:r w:rsidR="005A1C9F">
        <w:rPr>
          <w:rFonts w:asciiTheme="minorHAnsi" w:hAnsiTheme="minorHAnsi"/>
          <w:color w:val="000000"/>
          <w:sz w:val="22"/>
          <w:szCs w:val="18"/>
        </w:rPr>
        <w:t>of</w:t>
      </w:r>
      <w:r w:rsidR="00073C60" w:rsidRPr="007B7B02">
        <w:rPr>
          <w:rFonts w:asciiTheme="minorHAnsi" w:hAnsiTheme="minorHAnsi"/>
          <w:color w:val="000000"/>
          <w:sz w:val="22"/>
          <w:szCs w:val="18"/>
        </w:rPr>
        <w:t xml:space="preserve"> $271,000. </w:t>
      </w:r>
      <w:r w:rsidR="005B1974" w:rsidRPr="007B7B02">
        <w:rPr>
          <w:rFonts w:asciiTheme="minorHAnsi" w:hAnsiTheme="minorHAnsi"/>
          <w:color w:val="000000"/>
          <w:sz w:val="22"/>
          <w:szCs w:val="18"/>
        </w:rPr>
        <w:t xml:space="preserve">Climate Change issues have increasingly become the priorities of the Royal Government of </w:t>
      </w:r>
      <w:r w:rsidR="005B1974" w:rsidRPr="007B7B02">
        <w:rPr>
          <w:rFonts w:asciiTheme="minorHAnsi" w:hAnsiTheme="minorHAnsi"/>
          <w:color w:val="000000"/>
          <w:sz w:val="22"/>
          <w:szCs w:val="18"/>
        </w:rPr>
        <w:lastRenderedPageBreak/>
        <w:t xml:space="preserve">Cambodia (RGC). </w:t>
      </w:r>
      <w:r w:rsidR="00597E31">
        <w:rPr>
          <w:rFonts w:asciiTheme="minorHAnsi" w:hAnsiTheme="minorHAnsi"/>
          <w:color w:val="000000"/>
          <w:sz w:val="22"/>
          <w:szCs w:val="18"/>
        </w:rPr>
        <w:t>The g</w:t>
      </w:r>
      <w:r w:rsidR="005B1974" w:rsidRPr="007B7B02">
        <w:rPr>
          <w:rFonts w:asciiTheme="minorHAnsi" w:hAnsiTheme="minorHAnsi"/>
          <w:color w:val="000000"/>
          <w:sz w:val="22"/>
          <w:szCs w:val="18"/>
        </w:rPr>
        <w:t xml:space="preserve">overnment has continued to track climate change public expenditure on an annual basis. With UNDP’s support, the Ministry of Economy and Finance has included climate change in the annual Budget Circular. UNDP have also supported line ministries to mainstream climate change priorities in their budget proposal. As of 2017, </w:t>
      </w:r>
      <w:r w:rsidR="00485FFC" w:rsidRPr="007B7B02">
        <w:rPr>
          <w:rFonts w:asciiTheme="minorHAnsi" w:hAnsiTheme="minorHAnsi"/>
          <w:color w:val="000000"/>
          <w:sz w:val="22"/>
          <w:szCs w:val="18"/>
        </w:rPr>
        <w:t xml:space="preserve">$17.8 million of the national budget have gone through climate change screening process with direct support from UNDP. </w:t>
      </w:r>
      <w:r w:rsidR="00E707DB" w:rsidRPr="007B7B02">
        <w:rPr>
          <w:rFonts w:asciiTheme="minorHAnsi" w:hAnsiTheme="minorHAnsi"/>
          <w:color w:val="000000"/>
          <w:sz w:val="22"/>
          <w:szCs w:val="18"/>
        </w:rPr>
        <w:t xml:space="preserve">Almost 6000 households </w:t>
      </w:r>
      <w:r w:rsidR="00134D79" w:rsidRPr="007B7B02">
        <w:rPr>
          <w:rFonts w:asciiTheme="minorHAnsi" w:hAnsiTheme="minorHAnsi"/>
          <w:color w:val="000000"/>
          <w:sz w:val="22"/>
          <w:szCs w:val="18"/>
        </w:rPr>
        <w:t>(536 female headed) benefited from climate proof infrastructure</w:t>
      </w:r>
      <w:r w:rsidR="006065AA" w:rsidRPr="007B7B02">
        <w:rPr>
          <w:rFonts w:asciiTheme="minorHAnsi" w:hAnsiTheme="minorHAnsi"/>
          <w:color w:val="000000"/>
          <w:sz w:val="22"/>
          <w:szCs w:val="18"/>
        </w:rPr>
        <w:t>s</w:t>
      </w:r>
      <w:r w:rsidR="00134D79" w:rsidRPr="007B7B02">
        <w:rPr>
          <w:rFonts w:asciiTheme="minorHAnsi" w:hAnsiTheme="minorHAnsi"/>
          <w:color w:val="000000"/>
          <w:sz w:val="22"/>
          <w:szCs w:val="18"/>
        </w:rPr>
        <w:t xml:space="preserve"> and other climate change adaption activities. </w:t>
      </w:r>
    </w:p>
    <w:p w14:paraId="69740991" w14:textId="0BFD3FE4" w:rsidR="0067207B" w:rsidRPr="007B7B02" w:rsidRDefault="0067207B" w:rsidP="00073C60">
      <w:pPr>
        <w:pStyle w:val="BodyText2"/>
        <w:jc w:val="both"/>
        <w:rPr>
          <w:rFonts w:asciiTheme="minorHAnsi" w:hAnsiTheme="minorHAnsi"/>
          <w:color w:val="000000"/>
          <w:sz w:val="22"/>
          <w:szCs w:val="18"/>
        </w:rPr>
      </w:pPr>
    </w:p>
    <w:p w14:paraId="0D88C79A" w14:textId="699C6773" w:rsidR="0067207B" w:rsidRPr="007B7B02" w:rsidRDefault="0067207B" w:rsidP="00073C60">
      <w:pPr>
        <w:pStyle w:val="BodyText2"/>
        <w:jc w:val="both"/>
        <w:rPr>
          <w:rFonts w:asciiTheme="minorHAnsi" w:hAnsiTheme="minorHAnsi"/>
          <w:color w:val="000000"/>
          <w:sz w:val="22"/>
          <w:szCs w:val="18"/>
        </w:rPr>
      </w:pPr>
      <w:r w:rsidRPr="007B7B02">
        <w:rPr>
          <w:rFonts w:asciiTheme="minorHAnsi" w:hAnsiTheme="minorHAnsi"/>
          <w:color w:val="000000"/>
          <w:sz w:val="22"/>
          <w:szCs w:val="18"/>
        </w:rPr>
        <w:t xml:space="preserve">UNDP’s technical assistance to RGC helped put in place policies and tools for better management of natural resources. In 2017, National REDD+ Strategy (NRS) 2017-21 </w:t>
      </w:r>
      <w:r w:rsidR="00774B0B" w:rsidRPr="007B7B02">
        <w:rPr>
          <w:rFonts w:asciiTheme="minorHAnsi" w:hAnsiTheme="minorHAnsi"/>
          <w:color w:val="000000"/>
          <w:sz w:val="22"/>
          <w:szCs w:val="18"/>
        </w:rPr>
        <w:t xml:space="preserve">and the National Protected Area Strategic Management Plan </w:t>
      </w:r>
      <w:r w:rsidRPr="007B7B02">
        <w:rPr>
          <w:rFonts w:asciiTheme="minorHAnsi" w:hAnsiTheme="minorHAnsi"/>
          <w:color w:val="000000"/>
          <w:sz w:val="22"/>
          <w:szCs w:val="18"/>
        </w:rPr>
        <w:t>w</w:t>
      </w:r>
      <w:r w:rsidR="00774B0B" w:rsidRPr="007B7B02">
        <w:rPr>
          <w:rFonts w:asciiTheme="minorHAnsi" w:hAnsiTheme="minorHAnsi"/>
          <w:color w:val="000000"/>
          <w:sz w:val="22"/>
          <w:szCs w:val="18"/>
        </w:rPr>
        <w:t>ere</w:t>
      </w:r>
      <w:r w:rsidRPr="007B7B02">
        <w:rPr>
          <w:rFonts w:asciiTheme="minorHAnsi" w:hAnsiTheme="minorHAnsi"/>
          <w:color w:val="000000"/>
          <w:sz w:val="22"/>
          <w:szCs w:val="18"/>
        </w:rPr>
        <w:t xml:space="preserve"> adopted to guide actions to deliver </w:t>
      </w:r>
      <w:r w:rsidR="00774B0B" w:rsidRPr="007B7B02">
        <w:rPr>
          <w:rFonts w:asciiTheme="minorHAnsi" w:hAnsiTheme="minorHAnsi"/>
          <w:color w:val="000000"/>
          <w:sz w:val="22"/>
          <w:szCs w:val="18"/>
        </w:rPr>
        <w:t xml:space="preserve">REDD+ </w:t>
      </w:r>
      <w:r w:rsidRPr="007B7B02">
        <w:rPr>
          <w:rFonts w:asciiTheme="minorHAnsi" w:hAnsiTheme="minorHAnsi"/>
          <w:color w:val="000000"/>
          <w:sz w:val="22"/>
          <w:szCs w:val="18"/>
        </w:rPr>
        <w:t>results-based payment</w:t>
      </w:r>
      <w:r w:rsidR="00774B0B" w:rsidRPr="007B7B02">
        <w:rPr>
          <w:rFonts w:asciiTheme="minorHAnsi" w:hAnsiTheme="minorHAnsi"/>
          <w:color w:val="000000"/>
          <w:sz w:val="22"/>
          <w:szCs w:val="18"/>
        </w:rPr>
        <w:t xml:space="preserve"> and payment for environmental services</w:t>
      </w:r>
      <w:r w:rsidR="00613D3B" w:rsidRPr="007B7B02">
        <w:rPr>
          <w:rFonts w:asciiTheme="minorHAnsi" w:hAnsiTheme="minorHAnsi"/>
          <w:color w:val="000000"/>
          <w:sz w:val="22"/>
          <w:szCs w:val="18"/>
        </w:rPr>
        <w:t xml:space="preserve">. </w:t>
      </w:r>
      <w:r w:rsidR="00774B0B" w:rsidRPr="007B7B02">
        <w:rPr>
          <w:rFonts w:asciiTheme="minorHAnsi" w:hAnsiTheme="minorHAnsi"/>
          <w:color w:val="000000"/>
          <w:sz w:val="22"/>
          <w:szCs w:val="18"/>
        </w:rPr>
        <w:t>In 2018</w:t>
      </w:r>
      <w:r w:rsidR="00955B2C" w:rsidRPr="007B7B02">
        <w:rPr>
          <w:rFonts w:asciiTheme="minorHAnsi" w:hAnsiTheme="minorHAnsi"/>
          <w:color w:val="000000"/>
          <w:sz w:val="22"/>
          <w:szCs w:val="18"/>
        </w:rPr>
        <w:t xml:space="preserve">, the government also approved the long awaited National Action Plan to Combat Land Degradation. </w:t>
      </w:r>
    </w:p>
    <w:p w14:paraId="4CF04F75" w14:textId="0704E07B" w:rsidR="00225D6B" w:rsidRPr="007B7B02" w:rsidRDefault="00225D6B" w:rsidP="00073C60">
      <w:pPr>
        <w:pStyle w:val="BodyText2"/>
        <w:jc w:val="both"/>
        <w:rPr>
          <w:rFonts w:asciiTheme="minorHAnsi" w:hAnsiTheme="minorHAnsi"/>
          <w:color w:val="000000"/>
          <w:sz w:val="22"/>
          <w:szCs w:val="18"/>
        </w:rPr>
      </w:pPr>
      <w:r w:rsidRPr="007B7B02">
        <w:rPr>
          <w:rFonts w:asciiTheme="minorHAnsi" w:hAnsiTheme="minorHAnsi"/>
          <w:color w:val="000000"/>
          <w:sz w:val="22"/>
          <w:szCs w:val="18"/>
        </w:rPr>
        <w:t xml:space="preserve"> </w:t>
      </w:r>
    </w:p>
    <w:p w14:paraId="61247186" w14:textId="0735FA3C" w:rsidR="00225D6B" w:rsidRPr="007B7B02" w:rsidRDefault="00E66D26" w:rsidP="00073C60">
      <w:pPr>
        <w:pStyle w:val="BodyText2"/>
        <w:jc w:val="both"/>
        <w:rPr>
          <w:rFonts w:asciiTheme="minorHAnsi" w:hAnsiTheme="minorHAnsi"/>
          <w:color w:val="000000"/>
          <w:sz w:val="22"/>
          <w:szCs w:val="18"/>
        </w:rPr>
      </w:pPr>
      <w:r>
        <w:rPr>
          <w:rFonts w:asciiTheme="minorHAnsi" w:hAnsiTheme="minorHAnsi"/>
          <w:color w:val="000000"/>
          <w:sz w:val="22"/>
          <w:szCs w:val="18"/>
        </w:rPr>
        <w:t>Cambodia listed</w:t>
      </w:r>
      <w:r w:rsidR="005E7DD5" w:rsidRPr="007B7B02">
        <w:rPr>
          <w:rFonts w:asciiTheme="minorHAnsi" w:hAnsiTheme="minorHAnsi"/>
          <w:color w:val="000000"/>
          <w:sz w:val="22"/>
          <w:szCs w:val="18"/>
        </w:rPr>
        <w:t xml:space="preserve"> among the top countries most vulnerable to climate change due to low adaptive capacities, having reliable, accurate and timely early warning system is very crucial</w:t>
      </w:r>
      <w:r>
        <w:rPr>
          <w:rFonts w:asciiTheme="minorHAnsi" w:hAnsiTheme="minorHAnsi"/>
          <w:color w:val="000000"/>
          <w:sz w:val="22"/>
          <w:szCs w:val="18"/>
        </w:rPr>
        <w:t>.</w:t>
      </w:r>
      <w:r w:rsidR="005E7DD5" w:rsidRPr="007B7B02">
        <w:rPr>
          <w:rFonts w:asciiTheme="minorHAnsi" w:hAnsiTheme="minorHAnsi"/>
          <w:color w:val="000000"/>
          <w:sz w:val="22"/>
          <w:szCs w:val="18"/>
        </w:rPr>
        <w:t xml:space="preserve"> To this end, </w:t>
      </w:r>
      <w:r w:rsidR="00225D6B" w:rsidRPr="007B7B02">
        <w:rPr>
          <w:rFonts w:asciiTheme="minorHAnsi" w:hAnsiTheme="minorHAnsi"/>
          <w:color w:val="000000"/>
          <w:sz w:val="22"/>
          <w:szCs w:val="18"/>
        </w:rPr>
        <w:t>24 Automatic Weather Stations were installed across the country and real-time data have been made available on-line for use by sectoral ministry and public in 2018</w:t>
      </w:r>
      <w:r w:rsidR="005E7DD5" w:rsidRPr="007B7B02">
        <w:rPr>
          <w:rFonts w:asciiTheme="minorHAnsi" w:hAnsiTheme="minorHAnsi"/>
          <w:color w:val="000000"/>
          <w:sz w:val="22"/>
          <w:szCs w:val="18"/>
        </w:rPr>
        <w:t xml:space="preserve"> with direct support from UNDP and the Global Environment Facility</w:t>
      </w:r>
      <w:r w:rsidR="00225D6B" w:rsidRPr="007B7B02">
        <w:rPr>
          <w:rFonts w:asciiTheme="minorHAnsi" w:hAnsiTheme="minorHAnsi"/>
          <w:color w:val="000000"/>
          <w:sz w:val="22"/>
          <w:szCs w:val="18"/>
        </w:rPr>
        <w:t xml:space="preserve">. </w:t>
      </w:r>
    </w:p>
    <w:p w14:paraId="4403D488" w14:textId="77777777" w:rsidR="0067207B" w:rsidRPr="007B7B02" w:rsidRDefault="0067207B" w:rsidP="00073C60">
      <w:pPr>
        <w:pStyle w:val="BodyText2"/>
        <w:jc w:val="both"/>
        <w:rPr>
          <w:rFonts w:asciiTheme="minorHAnsi" w:hAnsiTheme="minorHAnsi"/>
          <w:color w:val="000000"/>
          <w:sz w:val="22"/>
          <w:szCs w:val="18"/>
        </w:rPr>
      </w:pPr>
    </w:p>
    <w:p w14:paraId="09897310" w14:textId="3CCD71E4" w:rsidR="009557EC" w:rsidRPr="007B7B02" w:rsidRDefault="005E7DD5" w:rsidP="005E7DD5">
      <w:pPr>
        <w:pStyle w:val="BodyText2"/>
        <w:jc w:val="both"/>
        <w:rPr>
          <w:rFonts w:asciiTheme="minorHAnsi" w:hAnsiTheme="minorHAnsi"/>
          <w:color w:val="000000"/>
          <w:sz w:val="22"/>
          <w:szCs w:val="18"/>
        </w:rPr>
      </w:pPr>
      <w:r w:rsidRPr="007B7B02">
        <w:rPr>
          <w:rFonts w:asciiTheme="minorHAnsi" w:hAnsiTheme="minorHAnsi"/>
          <w:color w:val="000000"/>
          <w:sz w:val="22"/>
          <w:szCs w:val="18"/>
        </w:rPr>
        <w:t>In support of strengthening the livelihood of rural communities,</w:t>
      </w:r>
      <w:r w:rsidR="00955B2C" w:rsidRPr="007B7B02">
        <w:rPr>
          <w:rFonts w:asciiTheme="minorHAnsi" w:hAnsiTheme="minorHAnsi"/>
          <w:color w:val="000000"/>
          <w:sz w:val="22"/>
          <w:szCs w:val="18"/>
        </w:rPr>
        <w:t xml:space="preserve"> in addition to the climate change adaptation activities,</w:t>
      </w:r>
      <w:r w:rsidRPr="007B7B02">
        <w:rPr>
          <w:rFonts w:asciiTheme="minorHAnsi" w:hAnsiTheme="minorHAnsi"/>
          <w:color w:val="000000"/>
          <w:sz w:val="22"/>
          <w:szCs w:val="18"/>
        </w:rPr>
        <w:t xml:space="preserve"> UNDP have maintained very strong focus on supporting the government’s effort to eliminate landmine and </w:t>
      </w:r>
      <w:r w:rsidR="00597E31">
        <w:rPr>
          <w:rFonts w:asciiTheme="minorHAnsi" w:hAnsiTheme="minorHAnsi"/>
          <w:color w:val="000000"/>
          <w:sz w:val="22"/>
          <w:szCs w:val="18"/>
        </w:rPr>
        <w:t xml:space="preserve">explosive </w:t>
      </w:r>
      <w:r w:rsidRPr="007B7B02">
        <w:rPr>
          <w:rFonts w:asciiTheme="minorHAnsi" w:hAnsiTheme="minorHAnsi"/>
          <w:color w:val="000000"/>
          <w:sz w:val="22"/>
          <w:szCs w:val="18"/>
        </w:rPr>
        <w:t xml:space="preserve">remnants of wars. </w:t>
      </w:r>
      <w:r w:rsidR="00A91E46" w:rsidRPr="007B7B02">
        <w:rPr>
          <w:rFonts w:asciiTheme="minorHAnsi" w:hAnsiTheme="minorHAnsi"/>
          <w:color w:val="000000"/>
          <w:sz w:val="22"/>
          <w:szCs w:val="18"/>
        </w:rPr>
        <w:t xml:space="preserve">Between 2016 and 2017, </w:t>
      </w:r>
      <w:r w:rsidR="005379C4" w:rsidRPr="007B7B02">
        <w:rPr>
          <w:rFonts w:asciiTheme="minorHAnsi" w:hAnsiTheme="minorHAnsi"/>
          <w:color w:val="000000"/>
          <w:sz w:val="22"/>
          <w:szCs w:val="18"/>
        </w:rPr>
        <w:t>31</w:t>
      </w:r>
      <w:r w:rsidR="00ED3923" w:rsidRPr="007B7B02">
        <w:rPr>
          <w:rFonts w:asciiTheme="minorHAnsi" w:hAnsiTheme="minorHAnsi"/>
          <w:color w:val="000000"/>
          <w:sz w:val="22"/>
          <w:szCs w:val="18"/>
        </w:rPr>
        <w:t xml:space="preserve"> </w:t>
      </w:r>
      <w:r w:rsidR="005379C4" w:rsidRPr="007B7B02">
        <w:rPr>
          <w:rFonts w:asciiTheme="minorHAnsi" w:hAnsiTheme="minorHAnsi"/>
          <w:color w:val="000000"/>
          <w:sz w:val="22"/>
          <w:szCs w:val="18"/>
        </w:rPr>
        <w:t>Km2</w:t>
      </w:r>
      <w:r w:rsidR="00ED3923" w:rsidRPr="007B7B02">
        <w:rPr>
          <w:rFonts w:asciiTheme="minorHAnsi" w:hAnsiTheme="minorHAnsi"/>
          <w:color w:val="000000"/>
          <w:sz w:val="22"/>
          <w:szCs w:val="18"/>
        </w:rPr>
        <w:t xml:space="preserve"> of mine contaminated land was cleared </w:t>
      </w:r>
      <w:r w:rsidR="009557EC" w:rsidRPr="007B7B02">
        <w:rPr>
          <w:rFonts w:asciiTheme="minorHAnsi" w:hAnsiTheme="minorHAnsi"/>
          <w:color w:val="000000"/>
          <w:sz w:val="22"/>
          <w:szCs w:val="18"/>
        </w:rPr>
        <w:t>for</w:t>
      </w:r>
      <w:r w:rsidR="00ED3923" w:rsidRPr="007B7B02">
        <w:rPr>
          <w:rFonts w:asciiTheme="minorHAnsi" w:hAnsiTheme="minorHAnsi"/>
          <w:color w:val="000000"/>
          <w:sz w:val="22"/>
          <w:szCs w:val="18"/>
        </w:rPr>
        <w:t xml:space="preserve"> local communities</w:t>
      </w:r>
      <w:r w:rsidR="009557EC" w:rsidRPr="007B7B02">
        <w:rPr>
          <w:rFonts w:asciiTheme="minorHAnsi" w:hAnsiTheme="minorHAnsi"/>
          <w:color w:val="000000"/>
          <w:sz w:val="22"/>
          <w:szCs w:val="18"/>
        </w:rPr>
        <w:t xml:space="preserve"> providing direct benefits to</w:t>
      </w:r>
      <w:r w:rsidR="00ED3923" w:rsidRPr="007B7B02">
        <w:rPr>
          <w:rFonts w:asciiTheme="minorHAnsi" w:hAnsiTheme="minorHAnsi"/>
          <w:color w:val="000000"/>
          <w:sz w:val="22"/>
          <w:szCs w:val="18"/>
        </w:rPr>
        <w:t xml:space="preserve"> </w:t>
      </w:r>
      <w:r w:rsidR="00A91E46" w:rsidRPr="007B7B02">
        <w:rPr>
          <w:rFonts w:asciiTheme="minorHAnsi" w:hAnsiTheme="minorHAnsi"/>
          <w:color w:val="000000"/>
          <w:sz w:val="22"/>
          <w:szCs w:val="18"/>
        </w:rPr>
        <w:t xml:space="preserve">8,892 </w:t>
      </w:r>
      <w:r w:rsidR="00ED3923" w:rsidRPr="007B7B02">
        <w:rPr>
          <w:rFonts w:asciiTheme="minorHAnsi" w:hAnsiTheme="minorHAnsi"/>
          <w:color w:val="000000"/>
          <w:sz w:val="22"/>
          <w:szCs w:val="18"/>
        </w:rPr>
        <w:t xml:space="preserve">households consisting of </w:t>
      </w:r>
      <w:r w:rsidR="00A91E46" w:rsidRPr="007B7B02">
        <w:rPr>
          <w:rFonts w:asciiTheme="minorHAnsi" w:hAnsiTheme="minorHAnsi"/>
          <w:color w:val="000000"/>
          <w:sz w:val="22"/>
          <w:szCs w:val="18"/>
        </w:rPr>
        <w:t>about 39,000</w:t>
      </w:r>
      <w:r w:rsidR="00ED3923" w:rsidRPr="007B7B02">
        <w:rPr>
          <w:rFonts w:asciiTheme="minorHAnsi" w:hAnsiTheme="minorHAnsi"/>
          <w:color w:val="000000"/>
          <w:sz w:val="22"/>
          <w:szCs w:val="18"/>
        </w:rPr>
        <w:t xml:space="preserve"> people (5</w:t>
      </w:r>
      <w:r w:rsidR="00A91E46" w:rsidRPr="007B7B02">
        <w:rPr>
          <w:rFonts w:asciiTheme="minorHAnsi" w:hAnsiTheme="minorHAnsi"/>
          <w:color w:val="000000"/>
          <w:sz w:val="22"/>
          <w:szCs w:val="18"/>
        </w:rPr>
        <w:t>1.4</w:t>
      </w:r>
      <w:r w:rsidR="00ED3923" w:rsidRPr="007B7B02">
        <w:rPr>
          <w:rFonts w:asciiTheme="minorHAnsi" w:hAnsiTheme="minorHAnsi"/>
          <w:color w:val="000000"/>
          <w:sz w:val="22"/>
          <w:szCs w:val="18"/>
        </w:rPr>
        <w:t>% females)</w:t>
      </w:r>
      <w:r w:rsidR="009557EC" w:rsidRPr="007B7B02">
        <w:rPr>
          <w:rFonts w:asciiTheme="minorHAnsi" w:hAnsiTheme="minorHAnsi"/>
          <w:color w:val="000000"/>
          <w:sz w:val="22"/>
          <w:szCs w:val="18"/>
        </w:rPr>
        <w:t xml:space="preserve"> in terms of access to agriculture land, housing, schools and rural infrastructure development</w:t>
      </w:r>
      <w:r w:rsidR="00ED3923" w:rsidRPr="007B7B02">
        <w:rPr>
          <w:rFonts w:asciiTheme="minorHAnsi" w:hAnsiTheme="minorHAnsi"/>
          <w:color w:val="000000"/>
          <w:sz w:val="22"/>
          <w:szCs w:val="18"/>
        </w:rPr>
        <w:t xml:space="preserve">. </w:t>
      </w:r>
      <w:r w:rsidRPr="007B7B02">
        <w:rPr>
          <w:rFonts w:asciiTheme="minorHAnsi" w:hAnsiTheme="minorHAnsi"/>
          <w:color w:val="000000"/>
          <w:sz w:val="22"/>
          <w:szCs w:val="18"/>
        </w:rPr>
        <w:t xml:space="preserve">In 2017, UNDP’s support resulted </w:t>
      </w:r>
      <w:r w:rsidR="00A64D2E" w:rsidRPr="007B7B02">
        <w:rPr>
          <w:rFonts w:asciiTheme="minorHAnsi" w:hAnsiTheme="minorHAnsi"/>
          <w:color w:val="000000"/>
          <w:sz w:val="22"/>
          <w:szCs w:val="18"/>
        </w:rPr>
        <w:t>in the</w:t>
      </w:r>
      <w:r w:rsidRPr="007B7B02">
        <w:rPr>
          <w:rFonts w:asciiTheme="minorHAnsi" w:hAnsiTheme="minorHAnsi"/>
          <w:color w:val="000000"/>
          <w:sz w:val="22"/>
          <w:szCs w:val="18"/>
        </w:rPr>
        <w:t xml:space="preserve"> renewal of the National Mine Action Strategy 2017-2015 which will serve as a</w:t>
      </w:r>
      <w:r w:rsidR="007F38A4">
        <w:rPr>
          <w:rFonts w:asciiTheme="minorHAnsi" w:hAnsiTheme="minorHAnsi"/>
          <w:color w:val="000000"/>
          <w:sz w:val="22"/>
          <w:szCs w:val="18"/>
        </w:rPr>
        <w:t>n important</w:t>
      </w:r>
      <w:r w:rsidRPr="007B7B02">
        <w:rPr>
          <w:rFonts w:asciiTheme="minorHAnsi" w:hAnsiTheme="minorHAnsi"/>
          <w:color w:val="000000"/>
          <w:sz w:val="22"/>
          <w:szCs w:val="18"/>
        </w:rPr>
        <w:t xml:space="preserve"> strategic document to guide action plan and resource mobilization effort to clear all landmines and ERW in Cambodia by 2025. </w:t>
      </w:r>
    </w:p>
    <w:p w14:paraId="33D850E9" w14:textId="5D0411ED" w:rsidR="00670AC6" w:rsidRPr="007B7B02" w:rsidRDefault="00670AC6" w:rsidP="005E7DD5">
      <w:pPr>
        <w:pStyle w:val="BodyText2"/>
        <w:jc w:val="both"/>
        <w:rPr>
          <w:rFonts w:asciiTheme="minorHAnsi" w:hAnsiTheme="minorHAnsi"/>
          <w:color w:val="000000"/>
          <w:sz w:val="22"/>
          <w:szCs w:val="18"/>
        </w:rPr>
      </w:pPr>
    </w:p>
    <w:p w14:paraId="3DB1E30B" w14:textId="08AAB3C2" w:rsidR="007B7B02" w:rsidRDefault="00FD453C" w:rsidP="007B7B02">
      <w:pPr>
        <w:pStyle w:val="BodyText2"/>
        <w:jc w:val="both"/>
        <w:rPr>
          <w:rFonts w:asciiTheme="minorHAnsi" w:hAnsiTheme="minorHAnsi"/>
          <w:color w:val="000000"/>
          <w:sz w:val="22"/>
          <w:szCs w:val="18"/>
        </w:rPr>
      </w:pPr>
      <w:r w:rsidRPr="007B7B02">
        <w:rPr>
          <w:rFonts w:asciiTheme="minorHAnsi" w:hAnsiTheme="minorHAnsi"/>
          <w:color w:val="000000"/>
          <w:sz w:val="22"/>
          <w:szCs w:val="18"/>
        </w:rPr>
        <w:t xml:space="preserve">UNDP contributed </w:t>
      </w:r>
      <w:r w:rsidR="00E66D26">
        <w:rPr>
          <w:rFonts w:asciiTheme="minorHAnsi" w:hAnsiTheme="minorHAnsi"/>
          <w:color w:val="000000"/>
          <w:sz w:val="22"/>
          <w:szCs w:val="18"/>
        </w:rPr>
        <w:t>in</w:t>
      </w:r>
      <w:r w:rsidRPr="007B7B02">
        <w:rPr>
          <w:rFonts w:asciiTheme="minorHAnsi" w:hAnsiTheme="minorHAnsi"/>
          <w:color w:val="000000"/>
          <w:sz w:val="22"/>
          <w:szCs w:val="18"/>
        </w:rPr>
        <w:t xml:space="preserve"> creating enabling policy framework and tools </w:t>
      </w:r>
      <w:r w:rsidR="007F38A4">
        <w:rPr>
          <w:rFonts w:asciiTheme="minorHAnsi" w:hAnsiTheme="minorHAnsi"/>
          <w:color w:val="000000"/>
          <w:sz w:val="22"/>
          <w:szCs w:val="18"/>
        </w:rPr>
        <w:t xml:space="preserve">to </w:t>
      </w:r>
      <w:r w:rsidRPr="007B7B02">
        <w:rPr>
          <w:rFonts w:asciiTheme="minorHAnsi" w:hAnsiTheme="minorHAnsi"/>
          <w:color w:val="000000"/>
          <w:sz w:val="22"/>
          <w:szCs w:val="18"/>
        </w:rPr>
        <w:t xml:space="preserve">improve people Living with HIV (PLHIV)’s access to affordable medicine and social protection services. In 2018, RGC adopted the Law on Compulsory Licensing for Public Health, a move expected to make generic </w:t>
      </w:r>
      <w:r w:rsidR="007B7B02" w:rsidRPr="007B7B02">
        <w:rPr>
          <w:rFonts w:asciiTheme="minorHAnsi" w:hAnsiTheme="minorHAnsi"/>
          <w:color w:val="000000"/>
          <w:sz w:val="22"/>
          <w:szCs w:val="18"/>
        </w:rPr>
        <w:t>medicine, including but not limited to HIV related medicines, at a lower cost. In addition,</w:t>
      </w:r>
      <w:r w:rsidR="00ED3923" w:rsidRPr="007B7B02">
        <w:rPr>
          <w:rFonts w:asciiTheme="minorHAnsi" w:hAnsiTheme="minorHAnsi"/>
          <w:color w:val="000000"/>
          <w:sz w:val="22"/>
          <w:szCs w:val="18"/>
        </w:rPr>
        <w:t xml:space="preserve"> the national targeting mechanism (ID-poor) </w:t>
      </w:r>
      <w:r w:rsidR="007B7B02" w:rsidRPr="007B7B02">
        <w:rPr>
          <w:rFonts w:asciiTheme="minorHAnsi" w:hAnsiTheme="minorHAnsi"/>
          <w:color w:val="000000"/>
          <w:sz w:val="22"/>
          <w:szCs w:val="18"/>
        </w:rPr>
        <w:t xml:space="preserve">have since 2016 </w:t>
      </w:r>
      <w:r w:rsidR="00ED3923" w:rsidRPr="007B7B02">
        <w:rPr>
          <w:rFonts w:asciiTheme="minorHAnsi" w:hAnsiTheme="minorHAnsi"/>
          <w:color w:val="000000"/>
          <w:sz w:val="22"/>
          <w:szCs w:val="18"/>
        </w:rPr>
        <w:t xml:space="preserve">included HIV criteria, </w:t>
      </w:r>
      <w:r w:rsidR="007B7B02" w:rsidRPr="007B7B02">
        <w:rPr>
          <w:rFonts w:asciiTheme="minorHAnsi" w:hAnsiTheme="minorHAnsi"/>
          <w:color w:val="000000"/>
          <w:sz w:val="22"/>
          <w:szCs w:val="18"/>
        </w:rPr>
        <w:t xml:space="preserve">therefore allowing PLHIV </w:t>
      </w:r>
      <w:r w:rsidR="007F38A4">
        <w:rPr>
          <w:rFonts w:asciiTheme="minorHAnsi" w:hAnsiTheme="minorHAnsi"/>
          <w:color w:val="000000"/>
          <w:sz w:val="22"/>
          <w:szCs w:val="18"/>
        </w:rPr>
        <w:t>higher chance</w:t>
      </w:r>
      <w:r w:rsidR="007B7B02" w:rsidRPr="007B7B02">
        <w:rPr>
          <w:rFonts w:asciiTheme="minorHAnsi" w:hAnsiTheme="minorHAnsi"/>
          <w:color w:val="000000"/>
          <w:sz w:val="22"/>
          <w:szCs w:val="18"/>
        </w:rPr>
        <w:t xml:space="preserve"> of being included in the process and eligible for the ID-Poor card.</w:t>
      </w:r>
      <w:r w:rsidR="00ED3923" w:rsidRPr="007B7B02">
        <w:rPr>
          <w:rFonts w:asciiTheme="minorHAnsi" w:hAnsiTheme="minorHAnsi"/>
          <w:color w:val="000000"/>
          <w:sz w:val="22"/>
          <w:szCs w:val="18"/>
        </w:rPr>
        <w:t xml:space="preserve"> </w:t>
      </w:r>
      <w:r w:rsidR="007F38A4">
        <w:rPr>
          <w:rFonts w:asciiTheme="minorHAnsi" w:hAnsiTheme="minorHAnsi"/>
          <w:color w:val="000000"/>
          <w:sz w:val="22"/>
          <w:szCs w:val="18"/>
        </w:rPr>
        <w:t xml:space="preserve">The ID-poor cardholders are eligible to access a wide range of social protection and social assistance services. </w:t>
      </w:r>
      <w:r w:rsidR="007B7B02" w:rsidRPr="007B7B02">
        <w:rPr>
          <w:rFonts w:asciiTheme="minorHAnsi" w:hAnsiTheme="minorHAnsi"/>
          <w:color w:val="000000"/>
          <w:sz w:val="22"/>
          <w:szCs w:val="18"/>
        </w:rPr>
        <w:t xml:space="preserve">270 PLHIV (165 are women) have received ID-Poor from the screening process directly supported by UNDP. </w:t>
      </w:r>
    </w:p>
    <w:p w14:paraId="1C723975" w14:textId="0F309802" w:rsidR="006315BF" w:rsidRDefault="006315BF" w:rsidP="007B7B02">
      <w:pPr>
        <w:pStyle w:val="BodyText2"/>
        <w:jc w:val="both"/>
        <w:rPr>
          <w:rFonts w:asciiTheme="minorHAnsi" w:hAnsiTheme="minorHAnsi"/>
          <w:color w:val="000000"/>
          <w:sz w:val="22"/>
          <w:szCs w:val="18"/>
        </w:rPr>
      </w:pPr>
    </w:p>
    <w:p w14:paraId="4DC7B34F" w14:textId="6029F493" w:rsidR="006315BF" w:rsidRDefault="006315BF" w:rsidP="006315BF">
      <w:pPr>
        <w:pStyle w:val="BodyText2"/>
        <w:jc w:val="both"/>
        <w:rPr>
          <w:rFonts w:asciiTheme="minorHAnsi" w:hAnsiTheme="minorHAnsi"/>
          <w:color w:val="000000"/>
          <w:sz w:val="22"/>
          <w:szCs w:val="18"/>
        </w:rPr>
      </w:pPr>
      <w:r>
        <w:rPr>
          <w:rFonts w:asciiTheme="minorHAnsi" w:hAnsiTheme="minorHAnsi"/>
          <w:color w:val="000000"/>
          <w:sz w:val="22"/>
          <w:szCs w:val="18"/>
        </w:rPr>
        <w:t>C</w:t>
      </w:r>
      <w:r w:rsidRPr="006315BF">
        <w:rPr>
          <w:rFonts w:asciiTheme="minorHAnsi" w:hAnsiTheme="minorHAnsi"/>
          <w:color w:val="000000"/>
          <w:sz w:val="22"/>
          <w:szCs w:val="18"/>
        </w:rPr>
        <w:t xml:space="preserve">ontributing to sustainable development financing, a Development Finance Assessment </w:t>
      </w:r>
      <w:r>
        <w:rPr>
          <w:rFonts w:asciiTheme="minorHAnsi" w:hAnsiTheme="minorHAnsi"/>
          <w:color w:val="000000"/>
          <w:sz w:val="22"/>
          <w:szCs w:val="18"/>
        </w:rPr>
        <w:t xml:space="preserve">was conducted </w:t>
      </w:r>
      <w:r w:rsidR="00E66D26">
        <w:rPr>
          <w:rFonts w:asciiTheme="minorHAnsi" w:hAnsiTheme="minorHAnsi"/>
          <w:color w:val="000000"/>
          <w:sz w:val="22"/>
          <w:szCs w:val="18"/>
        </w:rPr>
        <w:t xml:space="preserve">in 2017 </w:t>
      </w:r>
      <w:r>
        <w:rPr>
          <w:rFonts w:asciiTheme="minorHAnsi" w:hAnsiTheme="minorHAnsi"/>
          <w:color w:val="000000"/>
          <w:sz w:val="22"/>
          <w:szCs w:val="18"/>
        </w:rPr>
        <w:t>and used to inform RGC-led SDG financing dialogue. The ODA database enabled the production of Development Partnership report to monitor the development financing on an annual basis</w:t>
      </w:r>
      <w:r w:rsidR="0062618B">
        <w:rPr>
          <w:rFonts w:asciiTheme="minorHAnsi" w:hAnsiTheme="minorHAnsi"/>
          <w:color w:val="000000"/>
          <w:sz w:val="22"/>
          <w:szCs w:val="18"/>
        </w:rPr>
        <w:t xml:space="preserve"> and inform policy makers both inside RGC and outside</w:t>
      </w:r>
      <w:r>
        <w:rPr>
          <w:rFonts w:asciiTheme="minorHAnsi" w:hAnsiTheme="minorHAnsi"/>
          <w:color w:val="000000"/>
          <w:sz w:val="22"/>
          <w:szCs w:val="18"/>
        </w:rPr>
        <w:t xml:space="preserve">. </w:t>
      </w:r>
      <w:r w:rsidR="000E16D4">
        <w:rPr>
          <w:rFonts w:asciiTheme="minorHAnsi" w:hAnsiTheme="minorHAnsi"/>
          <w:color w:val="000000"/>
          <w:sz w:val="22"/>
          <w:szCs w:val="18"/>
        </w:rPr>
        <w:t xml:space="preserve">The ODA allows for tracking of ODA allocation to thematic areas including, gender and climate change. </w:t>
      </w:r>
    </w:p>
    <w:p w14:paraId="0F909E26" w14:textId="180AAE04" w:rsidR="00270DDE" w:rsidRDefault="00270DDE" w:rsidP="007B7B02">
      <w:pPr>
        <w:pStyle w:val="BodyText2"/>
        <w:rPr>
          <w:rFonts w:asciiTheme="minorHAnsi" w:hAnsiTheme="minorHAnsi"/>
          <w:b/>
          <w:bCs/>
          <w:i/>
          <w:iCs/>
          <w:color w:val="000000"/>
          <w:sz w:val="24"/>
        </w:rPr>
      </w:pPr>
    </w:p>
    <w:p w14:paraId="4D6EC46A" w14:textId="3B58D8C8" w:rsidR="00354469" w:rsidRPr="00354469" w:rsidRDefault="00354469" w:rsidP="008F3A9C">
      <w:pPr>
        <w:pStyle w:val="BodyText2"/>
        <w:rPr>
          <w:rFonts w:asciiTheme="minorHAnsi" w:hAnsiTheme="minorHAnsi"/>
          <w:b/>
          <w:bCs/>
          <w:color w:val="000000"/>
          <w:sz w:val="24"/>
        </w:rPr>
      </w:pPr>
      <w:r w:rsidRPr="00354469">
        <w:rPr>
          <w:rFonts w:asciiTheme="minorHAnsi" w:hAnsiTheme="minorHAnsi"/>
          <w:b/>
          <w:bCs/>
          <w:color w:val="000000"/>
          <w:sz w:val="24"/>
        </w:rPr>
        <w:t>OUTCOME 2 RESULTS:</w:t>
      </w:r>
    </w:p>
    <w:p w14:paraId="06D97722" w14:textId="77777777" w:rsidR="00270DDE" w:rsidRDefault="00270DDE" w:rsidP="008F3A9C">
      <w:pPr>
        <w:pStyle w:val="BodyText2"/>
        <w:rPr>
          <w:rFonts w:asciiTheme="minorHAnsi" w:hAnsiTheme="minorHAnsi"/>
          <w:color w:val="000000"/>
          <w:sz w:val="24"/>
        </w:rPr>
      </w:pPr>
    </w:p>
    <w:p w14:paraId="16F0A76E" w14:textId="24A913D8" w:rsidR="00901E3C" w:rsidRDefault="0027184B" w:rsidP="007B7B02">
      <w:pPr>
        <w:pStyle w:val="BodyText2"/>
        <w:jc w:val="both"/>
        <w:rPr>
          <w:rFonts w:asciiTheme="minorHAnsi" w:hAnsiTheme="minorHAnsi"/>
          <w:color w:val="000000"/>
          <w:sz w:val="22"/>
          <w:szCs w:val="18"/>
        </w:rPr>
      </w:pPr>
      <w:r w:rsidRPr="00C73E6A">
        <w:rPr>
          <w:rFonts w:asciiTheme="minorHAnsi" w:hAnsiTheme="minorHAnsi"/>
          <w:color w:val="000000"/>
          <w:sz w:val="22"/>
          <w:szCs w:val="18"/>
        </w:rPr>
        <w:t xml:space="preserve">Progress was made in strengthening </w:t>
      </w:r>
      <w:r w:rsidR="00C73E6A" w:rsidRPr="00C73E6A">
        <w:rPr>
          <w:rFonts w:asciiTheme="minorHAnsi" w:hAnsiTheme="minorHAnsi"/>
          <w:color w:val="000000"/>
          <w:sz w:val="22"/>
          <w:szCs w:val="18"/>
        </w:rPr>
        <w:t xml:space="preserve">institutional </w:t>
      </w:r>
      <w:r w:rsidRPr="00C73E6A">
        <w:rPr>
          <w:rFonts w:asciiTheme="minorHAnsi" w:hAnsiTheme="minorHAnsi"/>
          <w:color w:val="000000"/>
          <w:sz w:val="22"/>
          <w:szCs w:val="18"/>
        </w:rPr>
        <w:t>mechanisms to bring voices of vulnerable groups</w:t>
      </w:r>
      <w:r w:rsidR="00C73E6A" w:rsidRPr="00C73E6A">
        <w:rPr>
          <w:rFonts w:asciiTheme="minorHAnsi" w:hAnsiTheme="minorHAnsi"/>
          <w:color w:val="000000"/>
          <w:sz w:val="22"/>
          <w:szCs w:val="18"/>
        </w:rPr>
        <w:t xml:space="preserve"> and promote their participation in </w:t>
      </w:r>
      <w:r w:rsidR="008B3BC3">
        <w:rPr>
          <w:rFonts w:asciiTheme="minorHAnsi" w:hAnsiTheme="minorHAnsi"/>
          <w:color w:val="000000"/>
          <w:sz w:val="22"/>
          <w:szCs w:val="18"/>
        </w:rPr>
        <w:t xml:space="preserve">social, </w:t>
      </w:r>
      <w:r w:rsidR="00C73E6A" w:rsidRPr="00C73E6A">
        <w:rPr>
          <w:rFonts w:asciiTheme="minorHAnsi" w:hAnsiTheme="minorHAnsi"/>
          <w:color w:val="000000"/>
          <w:sz w:val="22"/>
          <w:szCs w:val="18"/>
        </w:rPr>
        <w:t xml:space="preserve">political and economic </w:t>
      </w:r>
      <w:r w:rsidR="00E66D26">
        <w:rPr>
          <w:rFonts w:asciiTheme="minorHAnsi" w:hAnsiTheme="minorHAnsi"/>
          <w:color w:val="000000"/>
          <w:sz w:val="22"/>
          <w:szCs w:val="18"/>
        </w:rPr>
        <w:t>sphere</w:t>
      </w:r>
      <w:r w:rsidRPr="00C73E6A">
        <w:rPr>
          <w:rFonts w:asciiTheme="minorHAnsi" w:hAnsiTheme="minorHAnsi"/>
          <w:color w:val="000000"/>
          <w:sz w:val="22"/>
          <w:szCs w:val="18"/>
        </w:rPr>
        <w:t xml:space="preserve">. </w:t>
      </w:r>
      <w:r w:rsidR="00C73E6A" w:rsidRPr="00C73E6A">
        <w:rPr>
          <w:rFonts w:asciiTheme="minorHAnsi" w:hAnsiTheme="minorHAnsi"/>
          <w:color w:val="000000"/>
          <w:sz w:val="22"/>
          <w:szCs w:val="18"/>
        </w:rPr>
        <w:t xml:space="preserve">Between 2016 and 2017, the Social Accountability Framework (I-SAF), a framework which offers forum citizens to interact with their local administrations, was expanded from 14 to 19 provinces. 3,184 citizens (38% women) engaged in </w:t>
      </w:r>
      <w:r w:rsidR="00C73E6A" w:rsidRPr="00C73E6A">
        <w:rPr>
          <w:rFonts w:asciiTheme="minorHAnsi" w:hAnsiTheme="minorHAnsi"/>
          <w:color w:val="000000"/>
          <w:sz w:val="22"/>
          <w:szCs w:val="18"/>
        </w:rPr>
        <w:lastRenderedPageBreak/>
        <w:t>the platform and voice</w:t>
      </w:r>
      <w:r w:rsidR="00E66D26">
        <w:rPr>
          <w:rFonts w:asciiTheme="minorHAnsi" w:hAnsiTheme="minorHAnsi"/>
          <w:color w:val="000000"/>
          <w:sz w:val="22"/>
          <w:szCs w:val="18"/>
        </w:rPr>
        <w:t>d</w:t>
      </w:r>
      <w:r w:rsidR="00C73E6A" w:rsidRPr="00C73E6A">
        <w:rPr>
          <w:rFonts w:asciiTheme="minorHAnsi" w:hAnsiTheme="minorHAnsi"/>
          <w:color w:val="000000"/>
          <w:sz w:val="22"/>
          <w:szCs w:val="18"/>
        </w:rPr>
        <w:t xml:space="preserve"> their concerns to the local governments. The UNDAF evaluation also observed increased participation of women in the work of local administration councils. </w:t>
      </w:r>
    </w:p>
    <w:p w14:paraId="5B694DA3" w14:textId="77777777" w:rsidR="00901E3C" w:rsidRDefault="00901E3C" w:rsidP="007B7B02">
      <w:pPr>
        <w:pStyle w:val="BodyText2"/>
        <w:jc w:val="both"/>
        <w:rPr>
          <w:rFonts w:asciiTheme="minorHAnsi" w:hAnsiTheme="minorHAnsi"/>
          <w:color w:val="000000"/>
          <w:sz w:val="22"/>
          <w:szCs w:val="18"/>
        </w:rPr>
      </w:pPr>
    </w:p>
    <w:p w14:paraId="57654767" w14:textId="41A8B561" w:rsidR="004175F9" w:rsidRDefault="00155FFB" w:rsidP="007B7B02">
      <w:pPr>
        <w:pStyle w:val="BodyText2"/>
        <w:jc w:val="both"/>
        <w:rPr>
          <w:rFonts w:asciiTheme="minorHAnsi" w:hAnsiTheme="minorHAnsi"/>
          <w:color w:val="000000"/>
          <w:sz w:val="22"/>
          <w:szCs w:val="18"/>
        </w:rPr>
      </w:pPr>
      <w:r>
        <w:rPr>
          <w:rFonts w:asciiTheme="minorHAnsi" w:hAnsiTheme="minorHAnsi"/>
          <w:color w:val="000000"/>
          <w:sz w:val="22"/>
          <w:szCs w:val="18"/>
        </w:rPr>
        <w:t>Tools and systems are in place to facilitate the participation</w:t>
      </w:r>
      <w:r w:rsidR="00C81ABB">
        <w:rPr>
          <w:rFonts w:asciiTheme="minorHAnsi" w:hAnsiTheme="minorHAnsi"/>
          <w:color w:val="000000"/>
          <w:sz w:val="22"/>
          <w:szCs w:val="18"/>
        </w:rPr>
        <w:t xml:space="preserve"> of </w:t>
      </w:r>
      <w:r>
        <w:rPr>
          <w:rFonts w:asciiTheme="minorHAnsi" w:hAnsiTheme="minorHAnsi"/>
          <w:color w:val="000000"/>
          <w:sz w:val="22"/>
          <w:szCs w:val="18"/>
        </w:rPr>
        <w:t xml:space="preserve"> Persons with Disabilities (</w:t>
      </w:r>
      <w:proofErr w:type="spellStart"/>
      <w:r>
        <w:rPr>
          <w:rFonts w:asciiTheme="minorHAnsi" w:hAnsiTheme="minorHAnsi"/>
          <w:color w:val="000000"/>
          <w:sz w:val="22"/>
          <w:szCs w:val="18"/>
        </w:rPr>
        <w:t>PwDs</w:t>
      </w:r>
      <w:proofErr w:type="spellEnd"/>
      <w:r>
        <w:rPr>
          <w:rFonts w:asciiTheme="minorHAnsi" w:hAnsiTheme="minorHAnsi"/>
          <w:color w:val="000000"/>
          <w:sz w:val="22"/>
          <w:szCs w:val="18"/>
        </w:rPr>
        <w:t>) in elect</w:t>
      </w:r>
      <w:r w:rsidR="00C81ABB">
        <w:rPr>
          <w:rFonts w:asciiTheme="minorHAnsi" w:hAnsiTheme="minorHAnsi"/>
          <w:color w:val="000000"/>
          <w:sz w:val="22"/>
          <w:szCs w:val="18"/>
        </w:rPr>
        <w:t xml:space="preserve">oral </w:t>
      </w:r>
      <w:r>
        <w:rPr>
          <w:rFonts w:asciiTheme="minorHAnsi" w:hAnsiTheme="minorHAnsi"/>
          <w:color w:val="000000"/>
          <w:sz w:val="22"/>
          <w:szCs w:val="18"/>
        </w:rPr>
        <w:t>process</w:t>
      </w:r>
      <w:r w:rsidR="00C81ABB">
        <w:rPr>
          <w:rFonts w:asciiTheme="minorHAnsi" w:hAnsiTheme="minorHAnsi"/>
          <w:color w:val="000000"/>
          <w:sz w:val="22"/>
          <w:szCs w:val="18"/>
        </w:rPr>
        <w:t>es</w:t>
      </w:r>
      <w:r>
        <w:rPr>
          <w:rFonts w:asciiTheme="minorHAnsi" w:hAnsiTheme="minorHAnsi"/>
          <w:color w:val="000000"/>
          <w:sz w:val="22"/>
          <w:szCs w:val="18"/>
        </w:rPr>
        <w:t xml:space="preserve">. The voter database of the National Election Committee has the information on the status of </w:t>
      </w:r>
      <w:proofErr w:type="spellStart"/>
      <w:r>
        <w:rPr>
          <w:rFonts w:asciiTheme="minorHAnsi" w:hAnsiTheme="minorHAnsi"/>
          <w:color w:val="000000"/>
          <w:sz w:val="22"/>
          <w:szCs w:val="18"/>
        </w:rPr>
        <w:t>PwDs</w:t>
      </w:r>
      <w:proofErr w:type="spellEnd"/>
      <w:r>
        <w:rPr>
          <w:rFonts w:asciiTheme="minorHAnsi" w:hAnsiTheme="minorHAnsi"/>
          <w:color w:val="000000"/>
          <w:sz w:val="22"/>
          <w:szCs w:val="18"/>
        </w:rPr>
        <w:t xml:space="preserve">; therefore, allowing the committee to arrange supportive facilities at polling stations. UNDP enabled the first ever tracking of </w:t>
      </w:r>
      <w:proofErr w:type="spellStart"/>
      <w:r>
        <w:rPr>
          <w:rFonts w:asciiTheme="minorHAnsi" w:hAnsiTheme="minorHAnsi"/>
          <w:color w:val="000000"/>
          <w:sz w:val="22"/>
          <w:szCs w:val="18"/>
        </w:rPr>
        <w:t>PwDs</w:t>
      </w:r>
      <w:proofErr w:type="spellEnd"/>
      <w:r>
        <w:rPr>
          <w:rFonts w:asciiTheme="minorHAnsi" w:hAnsiTheme="minorHAnsi"/>
          <w:color w:val="000000"/>
          <w:sz w:val="22"/>
          <w:szCs w:val="18"/>
        </w:rPr>
        <w:t xml:space="preserve"> participation in election. Data from 2017 commune election shows that 90% (</w:t>
      </w:r>
      <w:r w:rsidR="00D65026">
        <w:rPr>
          <w:rFonts w:asciiTheme="minorHAnsi" w:hAnsiTheme="minorHAnsi"/>
          <w:color w:val="000000"/>
          <w:sz w:val="22"/>
          <w:szCs w:val="18"/>
        </w:rPr>
        <w:t xml:space="preserve">about </w:t>
      </w:r>
      <w:r>
        <w:rPr>
          <w:rFonts w:asciiTheme="minorHAnsi" w:hAnsiTheme="minorHAnsi"/>
          <w:color w:val="000000"/>
          <w:sz w:val="22"/>
          <w:szCs w:val="18"/>
        </w:rPr>
        <w:t xml:space="preserve">10800 people) of </w:t>
      </w:r>
      <w:proofErr w:type="spellStart"/>
      <w:r>
        <w:rPr>
          <w:rFonts w:asciiTheme="minorHAnsi" w:hAnsiTheme="minorHAnsi"/>
          <w:color w:val="000000"/>
          <w:sz w:val="22"/>
          <w:szCs w:val="18"/>
        </w:rPr>
        <w:t>PwDs</w:t>
      </w:r>
      <w:proofErr w:type="spellEnd"/>
      <w:r>
        <w:rPr>
          <w:rFonts w:asciiTheme="minorHAnsi" w:hAnsiTheme="minorHAnsi"/>
          <w:color w:val="000000"/>
          <w:sz w:val="22"/>
          <w:szCs w:val="18"/>
        </w:rPr>
        <w:t xml:space="preserve"> in UNDP’s supported area casted their ballots. </w:t>
      </w:r>
      <w:r w:rsidR="00B01AB7">
        <w:rPr>
          <w:rFonts w:asciiTheme="minorHAnsi" w:hAnsiTheme="minorHAnsi"/>
          <w:color w:val="000000"/>
          <w:sz w:val="22"/>
          <w:szCs w:val="18"/>
        </w:rPr>
        <w:t xml:space="preserve">A number of other policies on access to information, accessibility, healthcare and financial rewards were adopted to enhance </w:t>
      </w:r>
      <w:proofErr w:type="spellStart"/>
      <w:r w:rsidR="00B01AB7">
        <w:rPr>
          <w:rFonts w:asciiTheme="minorHAnsi" w:hAnsiTheme="minorHAnsi"/>
          <w:color w:val="000000"/>
          <w:sz w:val="22"/>
          <w:szCs w:val="18"/>
        </w:rPr>
        <w:t>PwD’s</w:t>
      </w:r>
      <w:proofErr w:type="spellEnd"/>
      <w:r w:rsidR="00B01AB7">
        <w:rPr>
          <w:rFonts w:asciiTheme="minorHAnsi" w:hAnsiTheme="minorHAnsi"/>
          <w:color w:val="000000"/>
          <w:sz w:val="22"/>
          <w:szCs w:val="18"/>
        </w:rPr>
        <w:t xml:space="preserve"> mobility, access to social assistance and information. </w:t>
      </w:r>
    </w:p>
    <w:p w14:paraId="296398C6" w14:textId="77777777" w:rsidR="004175F9" w:rsidRDefault="004175F9" w:rsidP="007B7B02">
      <w:pPr>
        <w:pStyle w:val="BodyText2"/>
        <w:jc w:val="both"/>
        <w:rPr>
          <w:rFonts w:asciiTheme="minorHAnsi" w:hAnsiTheme="minorHAnsi"/>
          <w:color w:val="000000"/>
          <w:sz w:val="22"/>
          <w:szCs w:val="18"/>
        </w:rPr>
      </w:pPr>
    </w:p>
    <w:p w14:paraId="148609AF" w14:textId="48A2D21E" w:rsidR="00C73E6A" w:rsidRDefault="00404C14" w:rsidP="007B7B02">
      <w:pPr>
        <w:pStyle w:val="BodyText2"/>
        <w:jc w:val="both"/>
        <w:rPr>
          <w:rFonts w:asciiTheme="minorHAnsi" w:hAnsiTheme="minorHAnsi"/>
          <w:color w:val="000000"/>
          <w:sz w:val="22"/>
          <w:szCs w:val="18"/>
        </w:rPr>
      </w:pPr>
      <w:r>
        <w:rPr>
          <w:rFonts w:asciiTheme="minorHAnsi" w:hAnsiTheme="minorHAnsi"/>
          <w:color w:val="000000"/>
          <w:sz w:val="22"/>
          <w:szCs w:val="18"/>
        </w:rPr>
        <w:t xml:space="preserve">On the institutional side, joint advocacy efforts between UNDP, UNICEF and WHO, </w:t>
      </w:r>
      <w:r w:rsidR="00F97D9D">
        <w:rPr>
          <w:rFonts w:asciiTheme="minorHAnsi" w:hAnsiTheme="minorHAnsi"/>
          <w:color w:val="000000"/>
          <w:sz w:val="22"/>
          <w:szCs w:val="18"/>
        </w:rPr>
        <w:t xml:space="preserve">resulted in continued </w:t>
      </w:r>
      <w:r>
        <w:rPr>
          <w:rFonts w:asciiTheme="minorHAnsi" w:hAnsiTheme="minorHAnsi"/>
          <w:color w:val="000000"/>
          <w:sz w:val="22"/>
          <w:szCs w:val="18"/>
        </w:rPr>
        <w:t>increase</w:t>
      </w:r>
      <w:r w:rsidR="00F97D9D">
        <w:rPr>
          <w:rFonts w:asciiTheme="minorHAnsi" w:hAnsiTheme="minorHAnsi"/>
          <w:color w:val="000000"/>
          <w:sz w:val="22"/>
          <w:szCs w:val="18"/>
        </w:rPr>
        <w:t xml:space="preserve"> in</w:t>
      </w:r>
      <w:r>
        <w:rPr>
          <w:rFonts w:asciiTheme="minorHAnsi" w:hAnsiTheme="minorHAnsi"/>
          <w:color w:val="000000"/>
          <w:sz w:val="22"/>
          <w:szCs w:val="18"/>
        </w:rPr>
        <w:t xml:space="preserve"> </w:t>
      </w:r>
      <w:r w:rsidR="00F97D9D">
        <w:rPr>
          <w:rFonts w:asciiTheme="minorHAnsi" w:hAnsiTheme="minorHAnsi"/>
          <w:color w:val="000000"/>
          <w:sz w:val="22"/>
          <w:szCs w:val="18"/>
        </w:rPr>
        <w:t xml:space="preserve">RGC </w:t>
      </w:r>
      <w:r>
        <w:rPr>
          <w:rFonts w:asciiTheme="minorHAnsi" w:hAnsiTheme="minorHAnsi"/>
          <w:color w:val="000000"/>
          <w:sz w:val="22"/>
          <w:szCs w:val="18"/>
        </w:rPr>
        <w:t xml:space="preserve">budget allocation to the Disability Action Council, a government entity mandated with </w:t>
      </w:r>
      <w:r w:rsidR="001C35FB">
        <w:rPr>
          <w:rFonts w:asciiTheme="minorHAnsi" w:hAnsiTheme="minorHAnsi"/>
          <w:color w:val="000000"/>
          <w:sz w:val="22"/>
          <w:szCs w:val="18"/>
        </w:rPr>
        <w:t>disability sector work,</w:t>
      </w:r>
      <w:r>
        <w:rPr>
          <w:rFonts w:asciiTheme="minorHAnsi" w:hAnsiTheme="minorHAnsi"/>
          <w:color w:val="000000"/>
          <w:sz w:val="22"/>
          <w:szCs w:val="18"/>
        </w:rPr>
        <w:t xml:space="preserve"> to </w:t>
      </w:r>
      <w:r w:rsidR="001C35FB">
        <w:rPr>
          <w:rFonts w:asciiTheme="minorHAnsi" w:hAnsiTheme="minorHAnsi"/>
          <w:color w:val="000000"/>
          <w:sz w:val="22"/>
          <w:szCs w:val="18"/>
        </w:rPr>
        <w:t xml:space="preserve">strengthen </w:t>
      </w:r>
      <w:r>
        <w:rPr>
          <w:rFonts w:asciiTheme="minorHAnsi" w:hAnsiTheme="minorHAnsi"/>
          <w:color w:val="000000"/>
          <w:sz w:val="22"/>
          <w:szCs w:val="18"/>
        </w:rPr>
        <w:t>the Council</w:t>
      </w:r>
      <w:r w:rsidR="001C35FB">
        <w:rPr>
          <w:rFonts w:asciiTheme="minorHAnsi" w:hAnsiTheme="minorHAnsi"/>
          <w:color w:val="000000"/>
          <w:sz w:val="22"/>
          <w:szCs w:val="18"/>
        </w:rPr>
        <w:t xml:space="preserve">’s financial capacity to </w:t>
      </w:r>
      <w:r>
        <w:rPr>
          <w:rFonts w:asciiTheme="minorHAnsi" w:hAnsiTheme="minorHAnsi"/>
          <w:color w:val="000000"/>
          <w:sz w:val="22"/>
          <w:szCs w:val="18"/>
        </w:rPr>
        <w:t xml:space="preserve">promote the rights of </w:t>
      </w:r>
      <w:proofErr w:type="spellStart"/>
      <w:r>
        <w:rPr>
          <w:rFonts w:asciiTheme="minorHAnsi" w:hAnsiTheme="minorHAnsi"/>
          <w:color w:val="000000"/>
          <w:sz w:val="22"/>
          <w:szCs w:val="18"/>
        </w:rPr>
        <w:t>PwDs</w:t>
      </w:r>
      <w:proofErr w:type="spellEnd"/>
      <w:r>
        <w:rPr>
          <w:rFonts w:asciiTheme="minorHAnsi" w:hAnsiTheme="minorHAnsi"/>
          <w:color w:val="000000"/>
          <w:sz w:val="22"/>
          <w:szCs w:val="18"/>
        </w:rPr>
        <w:t>.</w:t>
      </w:r>
      <w:r w:rsidR="00BC1B43">
        <w:rPr>
          <w:rFonts w:asciiTheme="minorHAnsi" w:hAnsiTheme="minorHAnsi"/>
          <w:color w:val="000000"/>
          <w:sz w:val="22"/>
          <w:szCs w:val="18"/>
        </w:rPr>
        <w:t xml:space="preserve"> </w:t>
      </w:r>
    </w:p>
    <w:p w14:paraId="1253F459" w14:textId="4E5519AE" w:rsidR="00B67422" w:rsidRDefault="00B67422" w:rsidP="007B7B02">
      <w:pPr>
        <w:pStyle w:val="BodyText2"/>
        <w:jc w:val="both"/>
        <w:rPr>
          <w:rFonts w:asciiTheme="minorHAnsi" w:hAnsiTheme="minorHAnsi"/>
          <w:color w:val="000000"/>
          <w:sz w:val="22"/>
          <w:szCs w:val="18"/>
        </w:rPr>
      </w:pPr>
    </w:p>
    <w:p w14:paraId="31C71096" w14:textId="3D14A79C" w:rsidR="00B67422" w:rsidRDefault="00BC1B43" w:rsidP="007B7B02">
      <w:pPr>
        <w:pStyle w:val="BodyText2"/>
        <w:jc w:val="both"/>
        <w:rPr>
          <w:rFonts w:asciiTheme="minorHAnsi" w:hAnsiTheme="minorHAnsi"/>
          <w:color w:val="000000"/>
          <w:sz w:val="22"/>
          <w:szCs w:val="18"/>
        </w:rPr>
      </w:pPr>
      <w:r>
        <w:rPr>
          <w:rFonts w:asciiTheme="minorHAnsi" w:hAnsiTheme="minorHAnsi"/>
          <w:color w:val="000000"/>
          <w:sz w:val="22"/>
          <w:szCs w:val="18"/>
        </w:rPr>
        <w:t xml:space="preserve">RGC’s commitment on promoting gender equality was strengthened. This is evident in the more ambitious SDG targets for women representation in the parliament and senate and women leadership in public offices. </w:t>
      </w:r>
    </w:p>
    <w:p w14:paraId="07443DBB" w14:textId="7FB94397" w:rsidR="0037523B" w:rsidRDefault="0037523B" w:rsidP="00975566">
      <w:pPr>
        <w:pStyle w:val="BodyText2"/>
        <w:jc w:val="center"/>
        <w:rPr>
          <w:rFonts w:ascii="Times New Roman" w:hAnsi="Times New Roman"/>
          <w:b/>
          <w:sz w:val="24"/>
        </w:rPr>
      </w:pPr>
    </w:p>
    <w:p w14:paraId="0162E82D" w14:textId="77777777" w:rsidR="002B0344" w:rsidRDefault="002B0344" w:rsidP="00975566">
      <w:pPr>
        <w:pStyle w:val="BodyText2"/>
        <w:jc w:val="center"/>
        <w:rPr>
          <w:rFonts w:ascii="Times New Roman" w:hAnsi="Times New Roman"/>
          <w:b/>
          <w:sz w:val="24"/>
        </w:rPr>
      </w:pPr>
    </w:p>
    <w:tbl>
      <w:tblPr>
        <w:tblStyle w:val="TableGrid"/>
        <w:tblW w:w="0" w:type="auto"/>
        <w:tblLook w:val="04A0" w:firstRow="1" w:lastRow="0" w:firstColumn="1" w:lastColumn="0" w:noHBand="0" w:noVBand="1"/>
      </w:tblPr>
      <w:tblGrid>
        <w:gridCol w:w="9017"/>
      </w:tblGrid>
      <w:tr w:rsidR="00BC1B43" w:rsidRPr="006900FE" w14:paraId="306D9581" w14:textId="77777777" w:rsidTr="0010753A">
        <w:tc>
          <w:tcPr>
            <w:tcW w:w="9445" w:type="dxa"/>
          </w:tcPr>
          <w:p w14:paraId="77E53D4C" w14:textId="6B285C3F" w:rsidR="00BC1B43" w:rsidRPr="006900FE" w:rsidRDefault="00BC1B43" w:rsidP="0010753A">
            <w:pPr>
              <w:pStyle w:val="BodyText2"/>
              <w:rPr>
                <w:rFonts w:asciiTheme="minorHAnsi" w:hAnsiTheme="minorHAnsi"/>
                <w:b/>
              </w:rPr>
            </w:pPr>
            <w:r w:rsidRPr="006900FE">
              <w:rPr>
                <w:rFonts w:asciiTheme="minorHAnsi" w:hAnsiTheme="minorHAnsi"/>
                <w:b/>
              </w:rPr>
              <w:t xml:space="preserve">Data sources: (please indicate the main sources from which data were obtained for this report.) </w:t>
            </w:r>
          </w:p>
        </w:tc>
      </w:tr>
      <w:tr w:rsidR="00BC1B43" w:rsidRPr="006900FE" w14:paraId="7B379CFA" w14:textId="77777777" w:rsidTr="0010753A">
        <w:tc>
          <w:tcPr>
            <w:tcW w:w="9445" w:type="dxa"/>
          </w:tcPr>
          <w:p w14:paraId="770D4A4E" w14:textId="77777777" w:rsidR="00BC1B43" w:rsidRPr="001C35FB" w:rsidRDefault="00BC1B43" w:rsidP="0010753A">
            <w:pPr>
              <w:pStyle w:val="BodyText2"/>
              <w:numPr>
                <w:ilvl w:val="0"/>
                <w:numId w:val="18"/>
              </w:numPr>
              <w:rPr>
                <w:rFonts w:asciiTheme="minorHAnsi" w:hAnsiTheme="minorHAnsi"/>
                <w:bCs/>
              </w:rPr>
            </w:pPr>
            <w:r w:rsidRPr="001C35FB">
              <w:rPr>
                <w:rFonts w:asciiTheme="minorHAnsi" w:hAnsiTheme="minorHAnsi"/>
                <w:bCs/>
              </w:rPr>
              <w:t>CO ROAR reports for 2016 and 2017</w:t>
            </w:r>
          </w:p>
          <w:p w14:paraId="53E88760" w14:textId="77777777" w:rsidR="00BC1B43" w:rsidRPr="001C35FB" w:rsidRDefault="00BC1B43" w:rsidP="0010753A">
            <w:pPr>
              <w:pStyle w:val="BodyText2"/>
              <w:numPr>
                <w:ilvl w:val="0"/>
                <w:numId w:val="18"/>
              </w:numPr>
              <w:rPr>
                <w:rFonts w:asciiTheme="minorHAnsi" w:hAnsiTheme="minorHAnsi"/>
                <w:bCs/>
              </w:rPr>
            </w:pPr>
            <w:r w:rsidRPr="001C35FB">
              <w:rPr>
                <w:rFonts w:asciiTheme="minorHAnsi" w:hAnsiTheme="minorHAnsi"/>
                <w:bCs/>
              </w:rPr>
              <w:t>CO programme data</w:t>
            </w:r>
          </w:p>
          <w:p w14:paraId="1A9E3D3A" w14:textId="77777777" w:rsidR="00BC1B43" w:rsidRPr="001C35FB" w:rsidRDefault="00BC1B43" w:rsidP="0010753A">
            <w:pPr>
              <w:pStyle w:val="BodyText2"/>
              <w:numPr>
                <w:ilvl w:val="0"/>
                <w:numId w:val="18"/>
              </w:numPr>
              <w:rPr>
                <w:rFonts w:asciiTheme="minorHAnsi" w:hAnsiTheme="minorHAnsi"/>
                <w:bCs/>
              </w:rPr>
            </w:pPr>
            <w:r w:rsidRPr="001C35FB">
              <w:rPr>
                <w:rFonts w:asciiTheme="minorHAnsi" w:hAnsiTheme="minorHAnsi"/>
                <w:bCs/>
              </w:rPr>
              <w:t>Cambodia Public Expenditure Review 2013, 2014, 2015 and 2016; Ministry of Economy and Finance</w:t>
            </w:r>
          </w:p>
          <w:p w14:paraId="439F9B42" w14:textId="77777777" w:rsidR="00BC1B43" w:rsidRPr="001C35FB" w:rsidRDefault="00BC1B43" w:rsidP="0010753A">
            <w:pPr>
              <w:pStyle w:val="BodyText2"/>
              <w:numPr>
                <w:ilvl w:val="0"/>
                <w:numId w:val="18"/>
              </w:numPr>
              <w:rPr>
                <w:rFonts w:asciiTheme="minorHAnsi" w:hAnsiTheme="minorHAnsi"/>
                <w:bCs/>
              </w:rPr>
            </w:pPr>
            <w:r w:rsidRPr="001C35FB">
              <w:rPr>
                <w:rFonts w:asciiTheme="minorHAnsi" w:hAnsiTheme="minorHAnsi"/>
                <w:bCs/>
              </w:rPr>
              <w:t xml:space="preserve">Budget Circular 2016, 2017 and 2018; Ministry of Economy and Finance </w:t>
            </w:r>
          </w:p>
          <w:p w14:paraId="5D140DDD" w14:textId="77777777" w:rsidR="00BC1B43" w:rsidRPr="001C35FB" w:rsidRDefault="00BC1B43" w:rsidP="0010753A">
            <w:pPr>
              <w:pStyle w:val="BodyText2"/>
              <w:numPr>
                <w:ilvl w:val="0"/>
                <w:numId w:val="18"/>
              </w:numPr>
              <w:rPr>
                <w:rFonts w:asciiTheme="minorHAnsi" w:hAnsiTheme="minorHAnsi"/>
                <w:bCs/>
              </w:rPr>
            </w:pPr>
            <w:r w:rsidRPr="001C35FB">
              <w:rPr>
                <w:rFonts w:asciiTheme="minorHAnsi" w:hAnsiTheme="minorHAnsi"/>
                <w:bCs/>
              </w:rPr>
              <w:t xml:space="preserve">Related Government Circulars, Decisions, </w:t>
            </w:r>
            <w:proofErr w:type="spellStart"/>
            <w:r w:rsidRPr="001C35FB">
              <w:rPr>
                <w:rFonts w:asciiTheme="minorHAnsi" w:hAnsiTheme="minorHAnsi"/>
                <w:bCs/>
              </w:rPr>
              <w:t>Prakas</w:t>
            </w:r>
            <w:proofErr w:type="spellEnd"/>
          </w:p>
          <w:p w14:paraId="6564BDC9" w14:textId="77777777" w:rsidR="00BC1B43" w:rsidRPr="001C35FB" w:rsidRDefault="00BC1B43" w:rsidP="0010753A">
            <w:pPr>
              <w:pStyle w:val="BodyText2"/>
              <w:numPr>
                <w:ilvl w:val="0"/>
                <w:numId w:val="18"/>
              </w:numPr>
              <w:rPr>
                <w:rFonts w:asciiTheme="minorHAnsi" w:hAnsiTheme="minorHAnsi"/>
                <w:bCs/>
              </w:rPr>
            </w:pPr>
            <w:r w:rsidRPr="001C35FB">
              <w:rPr>
                <w:rFonts w:asciiTheme="minorHAnsi" w:hAnsiTheme="minorHAnsi"/>
                <w:bCs/>
              </w:rPr>
              <w:t>Evaluation of the UNDAF cycles 2011-15 and 2016-18</w:t>
            </w:r>
          </w:p>
          <w:p w14:paraId="64D1B470" w14:textId="77777777" w:rsidR="00BC1B43" w:rsidRDefault="00BC1B43" w:rsidP="0010753A">
            <w:pPr>
              <w:pStyle w:val="BodyText2"/>
              <w:numPr>
                <w:ilvl w:val="0"/>
                <w:numId w:val="18"/>
              </w:numPr>
              <w:rPr>
                <w:rFonts w:asciiTheme="minorHAnsi" w:hAnsiTheme="minorHAnsi"/>
                <w:bCs/>
              </w:rPr>
            </w:pPr>
            <w:r w:rsidRPr="001C35FB">
              <w:rPr>
                <w:rFonts w:asciiTheme="minorHAnsi" w:hAnsiTheme="minorHAnsi"/>
                <w:bCs/>
              </w:rPr>
              <w:t>Governme</w:t>
            </w:r>
            <w:r>
              <w:rPr>
                <w:rFonts w:asciiTheme="minorHAnsi" w:hAnsiTheme="minorHAnsi"/>
                <w:bCs/>
              </w:rPr>
              <w:t>nt</w:t>
            </w:r>
            <w:r w:rsidRPr="001C35FB">
              <w:rPr>
                <w:rFonts w:asciiTheme="minorHAnsi" w:hAnsiTheme="minorHAnsi"/>
                <w:bCs/>
              </w:rPr>
              <w:t xml:space="preserve"> policies</w:t>
            </w:r>
            <w:r>
              <w:rPr>
                <w:rFonts w:asciiTheme="minorHAnsi" w:hAnsiTheme="minorHAnsi"/>
                <w:bCs/>
              </w:rPr>
              <w:t>: mine action, gender, environment, climate change, natural resource management, disability</w:t>
            </w:r>
          </w:p>
          <w:p w14:paraId="7CE99AD1" w14:textId="17C77932" w:rsidR="00BC1B43" w:rsidRPr="00BC1B43" w:rsidRDefault="00BC1B43" w:rsidP="0010753A">
            <w:pPr>
              <w:pStyle w:val="BodyText2"/>
              <w:numPr>
                <w:ilvl w:val="0"/>
                <w:numId w:val="18"/>
              </w:numPr>
              <w:rPr>
                <w:rFonts w:asciiTheme="minorHAnsi" w:hAnsiTheme="minorHAnsi"/>
                <w:b/>
              </w:rPr>
            </w:pPr>
            <w:r w:rsidRPr="00BC1B43">
              <w:rPr>
                <w:rFonts w:asciiTheme="minorHAnsi" w:hAnsiTheme="minorHAnsi"/>
                <w:bCs/>
              </w:rPr>
              <w:t>Cambodia SDG (draft)</w:t>
            </w:r>
          </w:p>
          <w:p w14:paraId="28E52E8D" w14:textId="77777777" w:rsidR="00BC1B43" w:rsidRPr="006900FE" w:rsidRDefault="00BC1B43" w:rsidP="0010753A">
            <w:pPr>
              <w:pStyle w:val="BodyText2"/>
              <w:rPr>
                <w:rFonts w:asciiTheme="minorHAnsi" w:hAnsiTheme="minorHAnsi"/>
                <w:b/>
              </w:rPr>
            </w:pPr>
          </w:p>
        </w:tc>
      </w:tr>
    </w:tbl>
    <w:p w14:paraId="07443E31" w14:textId="77777777" w:rsidR="00635929" w:rsidRDefault="00635929" w:rsidP="00FA7A29">
      <w:pPr>
        <w:pStyle w:val="BodyText2"/>
        <w:rPr>
          <w:rFonts w:ascii="Times New Roman" w:hAnsi="Times New Roman"/>
          <w:sz w:val="24"/>
        </w:rPr>
      </w:pPr>
    </w:p>
    <w:sectPr w:rsidR="00635929" w:rsidSect="00BC1B43">
      <w:footerReference w:type="default" r:id="rId13"/>
      <w:endnotePr>
        <w:numFmt w:val="decimal"/>
      </w:endnotePr>
      <w:pgSz w:w="11907" w:h="16840"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7B01A" w14:textId="77777777" w:rsidR="00547F54" w:rsidRDefault="00547F54">
      <w:r>
        <w:separator/>
      </w:r>
    </w:p>
  </w:endnote>
  <w:endnote w:type="continuationSeparator" w:id="0">
    <w:p w14:paraId="7940E672" w14:textId="77777777" w:rsidR="00547F54" w:rsidRDefault="0054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oolBoran">
    <w:charset w:val="00"/>
    <w:family w:val="swiss"/>
    <w:pitch w:val="variable"/>
    <w:sig w:usb0="8000000F" w:usb1="0000204A" w:usb2="00010000" w:usb3="00000000" w:csb0="00000001" w:csb1="00000000"/>
  </w:font>
  <w:font w:name="Univers">
    <w:charset w:val="00"/>
    <w:family w:val="swiss"/>
    <w:pitch w:val="variable"/>
    <w:sig w:usb0="80000287" w:usb1="00000000" w:usb2="00000000" w:usb3="00000000" w:csb0="0000000F" w:csb1="00000000"/>
  </w:font>
  <w:font w:name="DaunPenh">
    <w:charset w:val="00"/>
    <w:family w:val="auto"/>
    <w:pitch w:val="variable"/>
    <w:sig w:usb0="A00000EF" w:usb1="5000204A" w:usb2="0001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319457"/>
      <w:docPartObj>
        <w:docPartGallery w:val="Page Numbers (Bottom of Page)"/>
        <w:docPartUnique/>
      </w:docPartObj>
    </w:sdtPr>
    <w:sdtEndPr/>
    <w:sdtContent>
      <w:p w14:paraId="07443E37" w14:textId="0ED10440" w:rsidR="0027184B" w:rsidRDefault="0027184B">
        <w:pPr>
          <w:pStyle w:val="Footer"/>
          <w:jc w:val="center"/>
        </w:pPr>
        <w:r>
          <w:fldChar w:fldCharType="begin"/>
        </w:r>
        <w:r>
          <w:instrText xml:space="preserve"> PAGE   \* MERGEFORMAT </w:instrText>
        </w:r>
        <w:r>
          <w:fldChar w:fldCharType="separate"/>
        </w:r>
        <w:r w:rsidR="00FA7A29">
          <w:rPr>
            <w:noProof/>
          </w:rPr>
          <w:t>1</w:t>
        </w:r>
        <w:r>
          <w:rPr>
            <w:noProof/>
          </w:rPr>
          <w:fldChar w:fldCharType="end"/>
        </w:r>
      </w:p>
    </w:sdtContent>
  </w:sdt>
  <w:p w14:paraId="07443E38" w14:textId="77777777" w:rsidR="0027184B" w:rsidRDefault="00271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146F5" w14:textId="77777777" w:rsidR="00547F54" w:rsidRDefault="00547F54">
      <w:r>
        <w:separator/>
      </w:r>
    </w:p>
  </w:footnote>
  <w:footnote w:type="continuationSeparator" w:id="0">
    <w:p w14:paraId="4845CE32" w14:textId="77777777" w:rsidR="00547F54" w:rsidRDefault="00547F54">
      <w:r>
        <w:continuationSeparator/>
      </w:r>
    </w:p>
  </w:footnote>
  <w:footnote w:id="1">
    <w:p w14:paraId="07443E39" w14:textId="77777777" w:rsidR="0027184B" w:rsidRPr="0064746F" w:rsidRDefault="0027184B">
      <w:pPr>
        <w:pStyle w:val="FootnoteText"/>
        <w:rPr>
          <w:rFonts w:asciiTheme="minorHAnsi" w:hAnsiTheme="minorHAnsi"/>
        </w:rPr>
      </w:pPr>
      <w:r w:rsidRPr="0064746F">
        <w:rPr>
          <w:rStyle w:val="FootnoteReference"/>
          <w:rFonts w:asciiTheme="minorHAnsi" w:hAnsiTheme="minorHAnsi"/>
        </w:rPr>
        <w:footnoteRef/>
      </w:r>
      <w:r w:rsidRPr="0064746F">
        <w:rPr>
          <w:rFonts w:asciiTheme="minorHAnsi" w:hAnsiTheme="minorHAnsi"/>
        </w:rPr>
        <w:t xml:space="preserve"> This assessment of results is to be prepared only in the absence of a completed Assessment of Development Results (ADR) for the cycle.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9EF"/>
    <w:multiLevelType w:val="hybridMultilevel"/>
    <w:tmpl w:val="2E34CBA8"/>
    <w:lvl w:ilvl="0" w:tplc="89B6A30A">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AA47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2A68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120B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C30BE2"/>
    <w:multiLevelType w:val="hybridMultilevel"/>
    <w:tmpl w:val="FF4C982A"/>
    <w:lvl w:ilvl="0" w:tplc="F6FE1EFC">
      <w:numFmt w:val="bullet"/>
      <w:lvlText w:val="-"/>
      <w:lvlJc w:val="left"/>
      <w:pPr>
        <w:tabs>
          <w:tab w:val="num" w:pos="572"/>
        </w:tabs>
        <w:ind w:left="572" w:hanging="360"/>
      </w:pPr>
      <w:rPr>
        <w:rFonts w:ascii="Arial" w:hAnsi="Aria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3B69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284809"/>
    <w:multiLevelType w:val="hybridMultilevel"/>
    <w:tmpl w:val="5BCC15D6"/>
    <w:lvl w:ilvl="0" w:tplc="08260F98">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2541CF"/>
    <w:multiLevelType w:val="hybridMultilevel"/>
    <w:tmpl w:val="6792E3D4"/>
    <w:lvl w:ilvl="0" w:tplc="CF5A55A0">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91BBE"/>
    <w:multiLevelType w:val="hybridMultilevel"/>
    <w:tmpl w:val="06C04FAC"/>
    <w:lvl w:ilvl="0" w:tplc="F6FE1EFC">
      <w:numFmt w:val="bullet"/>
      <w:lvlText w:val="-"/>
      <w:lvlJc w:val="left"/>
      <w:pPr>
        <w:tabs>
          <w:tab w:val="num" w:pos="1112"/>
        </w:tabs>
        <w:ind w:left="1112" w:hanging="360"/>
      </w:pPr>
      <w:rPr>
        <w:rFonts w:ascii="Arial" w:hAnsi="Arial"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3E4B7DAA"/>
    <w:multiLevelType w:val="hybridMultilevel"/>
    <w:tmpl w:val="B1BC2630"/>
    <w:lvl w:ilvl="0" w:tplc="637AB9C8">
      <w:start w:val="1"/>
      <w:numFmt w:val="decimal"/>
      <w:lvlText w:val="%1)"/>
      <w:lvlJc w:val="left"/>
      <w:pPr>
        <w:tabs>
          <w:tab w:val="num" w:pos="1440"/>
        </w:tabs>
        <w:ind w:left="1440" w:hanging="360"/>
      </w:pPr>
      <w:rPr>
        <w:rFonts w:cs="Times New Roman" w:hint="default"/>
      </w:rPr>
    </w:lvl>
    <w:lvl w:ilvl="1" w:tplc="C2CCC016" w:tentative="1">
      <w:start w:val="1"/>
      <w:numFmt w:val="lowerLetter"/>
      <w:lvlText w:val="%2."/>
      <w:lvlJc w:val="left"/>
      <w:pPr>
        <w:tabs>
          <w:tab w:val="num" w:pos="2160"/>
        </w:tabs>
        <w:ind w:left="2160" w:hanging="360"/>
      </w:pPr>
    </w:lvl>
    <w:lvl w:ilvl="2" w:tplc="7F520C4C" w:tentative="1">
      <w:start w:val="1"/>
      <w:numFmt w:val="lowerRoman"/>
      <w:lvlText w:val="%3."/>
      <w:lvlJc w:val="right"/>
      <w:pPr>
        <w:tabs>
          <w:tab w:val="num" w:pos="2880"/>
        </w:tabs>
        <w:ind w:left="2880" w:hanging="180"/>
      </w:pPr>
    </w:lvl>
    <w:lvl w:ilvl="3" w:tplc="FEA22EFE" w:tentative="1">
      <w:start w:val="1"/>
      <w:numFmt w:val="decimal"/>
      <w:lvlText w:val="%4."/>
      <w:lvlJc w:val="left"/>
      <w:pPr>
        <w:tabs>
          <w:tab w:val="num" w:pos="3600"/>
        </w:tabs>
        <w:ind w:left="3600" w:hanging="360"/>
      </w:pPr>
    </w:lvl>
    <w:lvl w:ilvl="4" w:tplc="16E80030" w:tentative="1">
      <w:start w:val="1"/>
      <w:numFmt w:val="lowerLetter"/>
      <w:lvlText w:val="%5."/>
      <w:lvlJc w:val="left"/>
      <w:pPr>
        <w:tabs>
          <w:tab w:val="num" w:pos="4320"/>
        </w:tabs>
        <w:ind w:left="4320" w:hanging="360"/>
      </w:pPr>
    </w:lvl>
    <w:lvl w:ilvl="5" w:tplc="B0F6687C" w:tentative="1">
      <w:start w:val="1"/>
      <w:numFmt w:val="lowerRoman"/>
      <w:lvlText w:val="%6."/>
      <w:lvlJc w:val="right"/>
      <w:pPr>
        <w:tabs>
          <w:tab w:val="num" w:pos="5040"/>
        </w:tabs>
        <w:ind w:left="5040" w:hanging="180"/>
      </w:pPr>
    </w:lvl>
    <w:lvl w:ilvl="6" w:tplc="EE283A6C" w:tentative="1">
      <w:start w:val="1"/>
      <w:numFmt w:val="decimal"/>
      <w:lvlText w:val="%7."/>
      <w:lvlJc w:val="left"/>
      <w:pPr>
        <w:tabs>
          <w:tab w:val="num" w:pos="5760"/>
        </w:tabs>
        <w:ind w:left="5760" w:hanging="360"/>
      </w:pPr>
    </w:lvl>
    <w:lvl w:ilvl="7" w:tplc="C4B860EC" w:tentative="1">
      <w:start w:val="1"/>
      <w:numFmt w:val="lowerLetter"/>
      <w:lvlText w:val="%8."/>
      <w:lvlJc w:val="left"/>
      <w:pPr>
        <w:tabs>
          <w:tab w:val="num" w:pos="6480"/>
        </w:tabs>
        <w:ind w:left="6480" w:hanging="360"/>
      </w:pPr>
    </w:lvl>
    <w:lvl w:ilvl="8" w:tplc="B75AACE8" w:tentative="1">
      <w:start w:val="1"/>
      <w:numFmt w:val="lowerRoman"/>
      <w:lvlText w:val="%9."/>
      <w:lvlJc w:val="right"/>
      <w:pPr>
        <w:tabs>
          <w:tab w:val="num" w:pos="7200"/>
        </w:tabs>
        <w:ind w:left="7200" w:hanging="180"/>
      </w:pPr>
    </w:lvl>
  </w:abstractNum>
  <w:abstractNum w:abstractNumId="10" w15:restartNumberingAfterBreak="0">
    <w:nsid w:val="403569F9"/>
    <w:multiLevelType w:val="hybridMultilevel"/>
    <w:tmpl w:val="24509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57F3D"/>
    <w:multiLevelType w:val="hybridMultilevel"/>
    <w:tmpl w:val="AB926C66"/>
    <w:lvl w:ilvl="0" w:tplc="1924D38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B51D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90321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E602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387FF6"/>
    <w:multiLevelType w:val="hybridMultilevel"/>
    <w:tmpl w:val="BB401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8708F8"/>
    <w:multiLevelType w:val="hybridMultilevel"/>
    <w:tmpl w:val="3CA02C6C"/>
    <w:lvl w:ilvl="0" w:tplc="B7AEFE40">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D14FD5"/>
    <w:multiLevelType w:val="hybridMultilevel"/>
    <w:tmpl w:val="C526E486"/>
    <w:lvl w:ilvl="0" w:tplc="6A00F7F2">
      <w:start w:val="16"/>
      <w:numFmt w:val="bullet"/>
      <w:lvlText w:val=""/>
      <w:lvlJc w:val="left"/>
      <w:pPr>
        <w:tabs>
          <w:tab w:val="num" w:pos="1472"/>
        </w:tabs>
        <w:ind w:left="1472" w:hanging="720"/>
      </w:pPr>
      <w:rPr>
        <w:rFonts w:ascii="Symbol" w:eastAsia="Times New Roman" w:hAnsi="Symbol"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1"/>
  </w:num>
  <w:num w:numId="3">
    <w:abstractNumId w:val="5"/>
  </w:num>
  <w:num w:numId="4">
    <w:abstractNumId w:val="3"/>
  </w:num>
  <w:num w:numId="5">
    <w:abstractNumId w:val="12"/>
  </w:num>
  <w:num w:numId="6">
    <w:abstractNumId w:val="14"/>
  </w:num>
  <w:num w:numId="7">
    <w:abstractNumId w:val="2"/>
  </w:num>
  <w:num w:numId="8">
    <w:abstractNumId w:val="13"/>
  </w:num>
  <w:num w:numId="9">
    <w:abstractNumId w:val="4"/>
  </w:num>
  <w:num w:numId="10">
    <w:abstractNumId w:val="8"/>
  </w:num>
  <w:num w:numId="11">
    <w:abstractNumId w:val="17"/>
  </w:num>
  <w:num w:numId="12">
    <w:abstractNumId w:val="10"/>
  </w:num>
  <w:num w:numId="13">
    <w:abstractNumId w:val="11"/>
  </w:num>
  <w:num w:numId="14">
    <w:abstractNumId w:val="6"/>
  </w:num>
  <w:num w:numId="15">
    <w:abstractNumId w:val="0"/>
  </w:num>
  <w:num w:numId="16">
    <w:abstractNumId w:val="16"/>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68"/>
    <w:rsid w:val="00007461"/>
    <w:rsid w:val="000079CC"/>
    <w:rsid w:val="00011A63"/>
    <w:rsid w:val="000502AD"/>
    <w:rsid w:val="00073C60"/>
    <w:rsid w:val="000823AC"/>
    <w:rsid w:val="000A049E"/>
    <w:rsid w:val="000C09B4"/>
    <w:rsid w:val="000C31B5"/>
    <w:rsid w:val="000C4457"/>
    <w:rsid w:val="000D6DE5"/>
    <w:rsid w:val="000E16D4"/>
    <w:rsid w:val="000F77FD"/>
    <w:rsid w:val="00134D79"/>
    <w:rsid w:val="0015409F"/>
    <w:rsid w:val="001553AD"/>
    <w:rsid w:val="00155FFB"/>
    <w:rsid w:val="00157815"/>
    <w:rsid w:val="001663A4"/>
    <w:rsid w:val="00167DA9"/>
    <w:rsid w:val="00176076"/>
    <w:rsid w:val="001956C7"/>
    <w:rsid w:val="001A4D75"/>
    <w:rsid w:val="001B721D"/>
    <w:rsid w:val="001C35FB"/>
    <w:rsid w:val="001C69DB"/>
    <w:rsid w:val="001F3524"/>
    <w:rsid w:val="00213E0A"/>
    <w:rsid w:val="00225D6B"/>
    <w:rsid w:val="00230A0E"/>
    <w:rsid w:val="002315A5"/>
    <w:rsid w:val="00232597"/>
    <w:rsid w:val="002547CF"/>
    <w:rsid w:val="0026321D"/>
    <w:rsid w:val="00270DDE"/>
    <w:rsid w:val="0027184B"/>
    <w:rsid w:val="002B0344"/>
    <w:rsid w:val="002C4B80"/>
    <w:rsid w:val="002F7E65"/>
    <w:rsid w:val="0032175A"/>
    <w:rsid w:val="00322DEA"/>
    <w:rsid w:val="00346615"/>
    <w:rsid w:val="00354469"/>
    <w:rsid w:val="00354CB5"/>
    <w:rsid w:val="00357B0E"/>
    <w:rsid w:val="003621A8"/>
    <w:rsid w:val="00363EC5"/>
    <w:rsid w:val="0036553F"/>
    <w:rsid w:val="00366AD1"/>
    <w:rsid w:val="0037523B"/>
    <w:rsid w:val="003B037A"/>
    <w:rsid w:val="003B422F"/>
    <w:rsid w:val="003D653B"/>
    <w:rsid w:val="004004FC"/>
    <w:rsid w:val="00404C14"/>
    <w:rsid w:val="00406815"/>
    <w:rsid w:val="00417008"/>
    <w:rsid w:val="004175F9"/>
    <w:rsid w:val="00424E4F"/>
    <w:rsid w:val="00440158"/>
    <w:rsid w:val="00461D62"/>
    <w:rsid w:val="00485FFC"/>
    <w:rsid w:val="004B3911"/>
    <w:rsid w:val="004C595C"/>
    <w:rsid w:val="004D3DBE"/>
    <w:rsid w:val="004F0C11"/>
    <w:rsid w:val="00505F34"/>
    <w:rsid w:val="00516655"/>
    <w:rsid w:val="00516AC8"/>
    <w:rsid w:val="00517955"/>
    <w:rsid w:val="00530FDE"/>
    <w:rsid w:val="005379C4"/>
    <w:rsid w:val="005474ED"/>
    <w:rsid w:val="00547F54"/>
    <w:rsid w:val="00574988"/>
    <w:rsid w:val="00597E31"/>
    <w:rsid w:val="005A1C9F"/>
    <w:rsid w:val="005A7B65"/>
    <w:rsid w:val="005B1974"/>
    <w:rsid w:val="005C6168"/>
    <w:rsid w:val="005E0C05"/>
    <w:rsid w:val="005E7DD5"/>
    <w:rsid w:val="005F2E08"/>
    <w:rsid w:val="005F6261"/>
    <w:rsid w:val="006065AA"/>
    <w:rsid w:val="00612159"/>
    <w:rsid w:val="00613AC9"/>
    <w:rsid w:val="00613D3B"/>
    <w:rsid w:val="00624338"/>
    <w:rsid w:val="0062618B"/>
    <w:rsid w:val="006315BF"/>
    <w:rsid w:val="00635929"/>
    <w:rsid w:val="00646A49"/>
    <w:rsid w:val="0064746F"/>
    <w:rsid w:val="00670AC6"/>
    <w:rsid w:val="0067207B"/>
    <w:rsid w:val="00673710"/>
    <w:rsid w:val="00674B1A"/>
    <w:rsid w:val="006900FE"/>
    <w:rsid w:val="00700521"/>
    <w:rsid w:val="00760E32"/>
    <w:rsid w:val="00764E41"/>
    <w:rsid w:val="00771515"/>
    <w:rsid w:val="00774B0B"/>
    <w:rsid w:val="00776056"/>
    <w:rsid w:val="00790C12"/>
    <w:rsid w:val="007B7B02"/>
    <w:rsid w:val="007C1B15"/>
    <w:rsid w:val="007D5A26"/>
    <w:rsid w:val="007E1663"/>
    <w:rsid w:val="007F38A4"/>
    <w:rsid w:val="008018C5"/>
    <w:rsid w:val="00813F1E"/>
    <w:rsid w:val="0081403B"/>
    <w:rsid w:val="00837054"/>
    <w:rsid w:val="00837C4B"/>
    <w:rsid w:val="00842737"/>
    <w:rsid w:val="00843006"/>
    <w:rsid w:val="008440D9"/>
    <w:rsid w:val="00845340"/>
    <w:rsid w:val="00867AAC"/>
    <w:rsid w:val="00882ECA"/>
    <w:rsid w:val="008B06DD"/>
    <w:rsid w:val="008B3BC3"/>
    <w:rsid w:val="008D4556"/>
    <w:rsid w:val="008D791F"/>
    <w:rsid w:val="008F0A97"/>
    <w:rsid w:val="008F3A9C"/>
    <w:rsid w:val="00901E3C"/>
    <w:rsid w:val="00920DBC"/>
    <w:rsid w:val="009353D7"/>
    <w:rsid w:val="00942B3B"/>
    <w:rsid w:val="009557EC"/>
    <w:rsid w:val="00955B2C"/>
    <w:rsid w:val="00965E8F"/>
    <w:rsid w:val="0097197E"/>
    <w:rsid w:val="00975566"/>
    <w:rsid w:val="00985A9D"/>
    <w:rsid w:val="00990CED"/>
    <w:rsid w:val="009A5584"/>
    <w:rsid w:val="009B76A1"/>
    <w:rsid w:val="009C3595"/>
    <w:rsid w:val="009E29D1"/>
    <w:rsid w:val="009E7526"/>
    <w:rsid w:val="009F21FD"/>
    <w:rsid w:val="00A0001A"/>
    <w:rsid w:val="00A1786A"/>
    <w:rsid w:val="00A210CD"/>
    <w:rsid w:val="00A30EBB"/>
    <w:rsid w:val="00A40130"/>
    <w:rsid w:val="00A44F24"/>
    <w:rsid w:val="00A45528"/>
    <w:rsid w:val="00A57912"/>
    <w:rsid w:val="00A64D2E"/>
    <w:rsid w:val="00A74149"/>
    <w:rsid w:val="00A85E34"/>
    <w:rsid w:val="00A91E46"/>
    <w:rsid w:val="00AE6DEA"/>
    <w:rsid w:val="00AE6FCC"/>
    <w:rsid w:val="00B00E5C"/>
    <w:rsid w:val="00B01AB7"/>
    <w:rsid w:val="00B053BE"/>
    <w:rsid w:val="00B2050D"/>
    <w:rsid w:val="00B25B8C"/>
    <w:rsid w:val="00B32ADA"/>
    <w:rsid w:val="00B53DDE"/>
    <w:rsid w:val="00B64ACA"/>
    <w:rsid w:val="00B67422"/>
    <w:rsid w:val="00BC1B43"/>
    <w:rsid w:val="00BC38E0"/>
    <w:rsid w:val="00BE2925"/>
    <w:rsid w:val="00C4486F"/>
    <w:rsid w:val="00C66DE1"/>
    <w:rsid w:val="00C73E6A"/>
    <w:rsid w:val="00C81ABB"/>
    <w:rsid w:val="00C82E9D"/>
    <w:rsid w:val="00C97E31"/>
    <w:rsid w:val="00CB647D"/>
    <w:rsid w:val="00D30BE3"/>
    <w:rsid w:val="00D65026"/>
    <w:rsid w:val="00D80A4F"/>
    <w:rsid w:val="00D9192E"/>
    <w:rsid w:val="00DC4D86"/>
    <w:rsid w:val="00DC7354"/>
    <w:rsid w:val="00DD4368"/>
    <w:rsid w:val="00DF0357"/>
    <w:rsid w:val="00E06A4E"/>
    <w:rsid w:val="00E1547F"/>
    <w:rsid w:val="00E205A5"/>
    <w:rsid w:val="00E32ACA"/>
    <w:rsid w:val="00E338FC"/>
    <w:rsid w:val="00E37E7A"/>
    <w:rsid w:val="00E66D26"/>
    <w:rsid w:val="00E707DB"/>
    <w:rsid w:val="00E770DC"/>
    <w:rsid w:val="00EA7740"/>
    <w:rsid w:val="00EC7BBC"/>
    <w:rsid w:val="00ED3923"/>
    <w:rsid w:val="00EE1D60"/>
    <w:rsid w:val="00F01FDE"/>
    <w:rsid w:val="00F133FA"/>
    <w:rsid w:val="00F16195"/>
    <w:rsid w:val="00F31949"/>
    <w:rsid w:val="00F37FA7"/>
    <w:rsid w:val="00F462B9"/>
    <w:rsid w:val="00F826EC"/>
    <w:rsid w:val="00F84FD4"/>
    <w:rsid w:val="00F97D9D"/>
    <w:rsid w:val="00FA7A29"/>
    <w:rsid w:val="00FB2C4C"/>
    <w:rsid w:val="00FB3DB2"/>
    <w:rsid w:val="00FD453C"/>
    <w:rsid w:val="00FE3711"/>
    <w:rsid w:val="00FF5BC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43D9C"/>
  <w15:docId w15:val="{477A7422-4538-4AF5-A3A0-926F27C5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5BC4"/>
    <w:pPr>
      <w:widowControl w:val="0"/>
    </w:pPr>
    <w:rPr>
      <w:sz w:val="24"/>
    </w:rPr>
  </w:style>
  <w:style w:type="paragraph" w:styleId="Heading1">
    <w:name w:val="heading 1"/>
    <w:basedOn w:val="Normal"/>
    <w:next w:val="Normal"/>
    <w:link w:val="Heading1Char"/>
    <w:qFormat/>
    <w:rsid w:val="00DC73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FF5BC4"/>
    <w:pPr>
      <w:keepNext/>
      <w:shd w:val="pct15" w:color="auto" w:fill="FFFFFF"/>
      <w:jc w:val="center"/>
      <w:outlineLvl w:val="2"/>
    </w:pPr>
    <w:rPr>
      <w:rFonts w:ascii="Arial" w:hAnsi="Arial"/>
      <w:bCs/>
    </w:rPr>
  </w:style>
  <w:style w:type="paragraph" w:styleId="Heading4">
    <w:name w:val="heading 4"/>
    <w:basedOn w:val="Normal"/>
    <w:next w:val="Normal"/>
    <w:qFormat/>
    <w:rsid w:val="00FF5BC4"/>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5BC4"/>
    <w:pPr>
      <w:widowControl/>
    </w:pPr>
    <w:rPr>
      <w:rFonts w:ascii="Univers" w:hAnsi="Univers"/>
      <w:sz w:val="22"/>
    </w:rPr>
  </w:style>
  <w:style w:type="paragraph" w:styleId="BodyText2">
    <w:name w:val="Body Text 2"/>
    <w:basedOn w:val="Normal"/>
    <w:rsid w:val="00FF5BC4"/>
    <w:pPr>
      <w:widowControl/>
    </w:pPr>
    <w:rPr>
      <w:rFonts w:ascii="Arial" w:hAnsi="Arial"/>
      <w:sz w:val="20"/>
    </w:rPr>
  </w:style>
  <w:style w:type="paragraph" w:styleId="BodyText3">
    <w:name w:val="Body Text 3"/>
    <w:basedOn w:val="Normal"/>
    <w:rsid w:val="00FF5BC4"/>
    <w:pPr>
      <w:jc w:val="both"/>
    </w:pPr>
    <w:rPr>
      <w:szCs w:val="24"/>
    </w:rPr>
  </w:style>
  <w:style w:type="paragraph" w:styleId="Header">
    <w:name w:val="header"/>
    <w:basedOn w:val="Normal"/>
    <w:rsid w:val="00FF5BC4"/>
    <w:pPr>
      <w:tabs>
        <w:tab w:val="center" w:pos="4320"/>
        <w:tab w:val="right" w:pos="8640"/>
      </w:tabs>
    </w:pPr>
  </w:style>
  <w:style w:type="paragraph" w:styleId="Footer">
    <w:name w:val="footer"/>
    <w:basedOn w:val="Normal"/>
    <w:link w:val="FooterChar"/>
    <w:uiPriority w:val="99"/>
    <w:rsid w:val="00FF5BC4"/>
    <w:pPr>
      <w:tabs>
        <w:tab w:val="center" w:pos="4320"/>
        <w:tab w:val="right" w:pos="8640"/>
      </w:tabs>
    </w:pPr>
  </w:style>
  <w:style w:type="table" w:styleId="TableGrid">
    <w:name w:val="Table Grid"/>
    <w:basedOn w:val="TableNormal"/>
    <w:rsid w:val="008018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C7354"/>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uiPriority w:val="99"/>
    <w:rsid w:val="00A210CD"/>
    <w:rPr>
      <w:sz w:val="24"/>
    </w:rPr>
  </w:style>
  <w:style w:type="paragraph" w:styleId="FootnoteText">
    <w:name w:val="footnote text"/>
    <w:basedOn w:val="Normal"/>
    <w:link w:val="FootnoteTextChar"/>
    <w:rsid w:val="001F3524"/>
    <w:rPr>
      <w:sz w:val="20"/>
    </w:rPr>
  </w:style>
  <w:style w:type="character" w:customStyle="1" w:styleId="FootnoteTextChar">
    <w:name w:val="Footnote Text Char"/>
    <w:basedOn w:val="DefaultParagraphFont"/>
    <w:link w:val="FootnoteText"/>
    <w:rsid w:val="001F3524"/>
  </w:style>
  <w:style w:type="character" w:styleId="FootnoteReference">
    <w:name w:val="footnote reference"/>
    <w:basedOn w:val="DefaultParagraphFont"/>
    <w:rsid w:val="001F3524"/>
    <w:rPr>
      <w:vertAlign w:val="superscript"/>
    </w:rPr>
  </w:style>
  <w:style w:type="paragraph" w:styleId="CommentText">
    <w:name w:val="annotation text"/>
    <w:basedOn w:val="Normal"/>
    <w:link w:val="CommentTextChar"/>
    <w:uiPriority w:val="99"/>
    <w:unhideWhenUsed/>
    <w:rsid w:val="0027184B"/>
    <w:pPr>
      <w:widowControl/>
    </w:pPr>
    <w:rPr>
      <w:szCs w:val="24"/>
      <w:lang w:val="fr-FR" w:eastAsia="fr-FR"/>
    </w:rPr>
  </w:style>
  <w:style w:type="character" w:customStyle="1" w:styleId="CommentTextChar">
    <w:name w:val="Comment Text Char"/>
    <w:basedOn w:val="DefaultParagraphFont"/>
    <w:link w:val="CommentText"/>
    <w:uiPriority w:val="99"/>
    <w:rsid w:val="0027184B"/>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PlannedReviewDate xmlns="83ed2304-0f0e-45ba-b0cc-7d360cbc1769"/>
    <UNDPEffectiveDate xmlns="83ed2304-0f0e-45ba-b0cc-7d360cbc1769"/>
    <UNDPResponsibleUnit xmlns="83ed2304-0f0e-45ba-b0cc-7d360cbc1769"/>
    <UNDPCreator xmlns="83ed2304-0f0e-45ba-b0cc-7d360cbc1769">
      <UserInfo>
        <DisplayName/>
        <AccountId/>
        <AccountType/>
      </UserInfo>
    </UNDPCreator>
    <UNDPApplicability xmlns="83ed2304-0f0e-45ba-b0cc-7d360cbc1769"/>
    <UNDPActualReviewDate xmlns="83ed2304-0f0e-45ba-b0cc-7d360cbc1769" xsi:nil="true"/>
    <UNDPPOPPFunctionalArea xmlns="83ed2304-0f0e-45ba-b0cc-7d360cbc1769">Programme and Project</UNDPPOPPFunctionalArea>
    <UNDPPOPPSubprocess xmlns="83ed2304-0f0e-45ba-b0cc-7d360cbc1769">Programme Completion and Transition</UNDPPOPPSubprocess>
    <UNDPPublishedDate xmlns="83ed2304-0f0e-45ba-b0cc-7d360cbc1769"/>
    <UNDPPOPPProcess xmlns="83ed2304-0f0e-45ba-b0cc-7d360cbc1769">Programme Management</UNDPPOPPProcess>
    <UNDPPOPPSubsubprocess xmlns="83ed2304-0f0e-45ba-b0cc-7d360cbc1769" xsi:nil="true"/>
    <UNDPIssuanceDate xmlns="83ed2304-0f0e-45ba-b0cc-7d360cbc1769"/>
    <UNDPSummary xmlns="83ed2304-0f0e-45ba-b0cc-7d360cbc1769" xsi:nil="true"/>
    <UNDPFocalpoint xmlns="83ed2304-0f0e-45ba-b0cc-7d360cbc1769">
      <UserInfo>
        <DisplayName/>
        <AccountId/>
        <AccountType/>
      </UserInfo>
    </UNDPFocalpoint>
    <UNDPPOPPKeywordsTaxHTField0 xmlns="83ed2304-0f0e-45ba-b0cc-7d360cbc1769">
      <Terms xmlns="http://schemas.microsoft.com/office/infopath/2007/PartnerControls"/>
    </UNDPPOPPKeywordsTaxHTField0>
    <UNDPPOPPSubsubsubprocess xmlns="83ed2304-0f0e-45ba-b0cc-7d360cbc1769" xsi:nil="true"/>
    <UNDPPOPPPrescriptiveContentSelection xmlns="83ed2304-0f0e-45ba-b0cc-7d360cbc1769"/>
  </documentManagement>
</p:properties>
</file>

<file path=customXml/item4.xml><?xml version="1.0" encoding="utf-8"?>
<ct:contentTypeSchema xmlns:ct="http://schemas.microsoft.com/office/2006/metadata/contentType" xmlns:ma="http://schemas.microsoft.com/office/2006/metadata/properties/metaAttributes" ct:_="" ma:_="" ma:contentTypeName="POPP Deliverable" ma:contentTypeID="0x01010023A92725C93E4830A7421C44D384B7FC00AA2C51EDC20547BE9D8059E930612AF900BB1DAF2B020D674E95D024E21C9B8446" ma:contentTypeVersion="271" ma:contentTypeDescription="Create a new POPP Deliverable document" ma:contentTypeScope="" ma:versionID="e6de6f4a163210476040df223df441e8">
  <xsd:schema xmlns:xsd="http://www.w3.org/2001/XMLSchema" xmlns:xs="http://www.w3.org/2001/XMLSchema" xmlns:p="http://schemas.microsoft.com/office/2006/metadata/properties" xmlns:ns2="83ed2304-0f0e-45ba-b0cc-7d360cbc1769" targetNamespace="http://schemas.microsoft.com/office/2006/metadata/properties" ma:root="true" ma:fieldsID="75b7e553a872fe2836fe2ecc2b8c7ab0" ns2:_="">
    <xsd:import namespace="83ed2304-0f0e-45ba-b0cc-7d360cbc1769"/>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OPPKeywordsTaxHTField0" minOccurs="0"/>
                <xsd:element ref="ns2:UNDPFocalpoint"/>
                <xsd:element ref="ns2:UNDPPublishedDate"/>
                <xsd:element ref="ns2:UNDPEffectiveDate"/>
                <xsd:element ref="ns2:UNDPResponsibleUnit"/>
                <xsd:element ref="ns2:UNDPCreator"/>
                <xsd:element ref="ns2:UNDPIssuanceDate"/>
                <xsd:element ref="ns2:UNDPPlannedReviewDate"/>
                <xsd:element ref="ns2:UNDPActualReviewDate" minOccurs="0"/>
                <xsd:element ref="ns2:UNDPSummary" minOccurs="0"/>
                <xsd:element ref="ns2:UNDPApplicabil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ma:readOnly="false">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dexed="true"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OPPKeywordsTaxHTField0" ma:index="15"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Focalpoint" ma:index="16" ma:displayName="Focalpoint" ma:SearchPeopleOnly="false" ma:SharePointGroup="0" ma:internalName="Focalpoin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PPublishedDate" ma:index="17" ma:displayName="Published Date" ma:description="The date the document was published" ma:format="DateOnly" ma:internalName="UNDPPublishedDate">
      <xsd:simpleType>
        <xsd:restriction base="dms:DateTime"/>
      </xsd:simpleType>
    </xsd:element>
    <xsd:element name="UNDPEffectiveDate" ma:index="18" ma:displayName="Effective Date" ma:format="DateOnly" ma:internalName="UNDPEffectiveDate">
      <xsd:simpleType>
        <xsd:restriction base="dms:DateTime"/>
      </xsd:simpleType>
    </xsd:element>
    <xsd:element name="UNDPResponsibleUnit" ma:index="19" ma:displayName="Responsible Unit" ma:internalName="UNDPResponsibleUnit">
      <xsd:simpleType>
        <xsd:restriction base="dms:Text"/>
      </xsd:simpleType>
    </xsd:element>
    <xsd:element name="UNDPCreator" ma:index="20"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PIssuanceDate" ma:index="21" ma:displayName="Approval Date" ma:format="DateOnly" ma:internalName="UNDPIssuanceDate">
      <xsd:simpleType>
        <xsd:restriction base="dms:DateTime"/>
      </xsd:simpleType>
    </xsd:element>
    <xsd:element name="UNDPPlannedReviewDate" ma:index="22" ma:displayName="Planned Review Date" ma:format="DateOnly" ma:internalName="UNDPPlannedReviewDate">
      <xsd:simpleType>
        <xsd:restriction base="dms:DateTime"/>
      </xsd:simpleType>
    </xsd:element>
    <xsd:element name="UNDPActualReviewDate" ma:index="23" nillable="true" ma:displayName="Actual Review Date" ma:format="DateOnly" ma:internalName="UNDPActualReviewDate">
      <xsd:simpleType>
        <xsd:restriction base="dms:DateTime"/>
      </xsd:simpleType>
    </xsd:element>
    <xsd:element name="UNDPSummary" ma:index="24"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5" ma:displayName="Applicability" ma:internalName="UNDPApplicabilit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8e6c43a-9e99-4bdd-9574-a0fa4ea3b61e" ContentTypeId="0x01010023A92725C93E4830A7421C44D384B7FC00AA2C51EDC20547BE9D8059E930612AF9"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500B2-D380-49CC-890B-C8F8A14A95BC}">
  <ds:schemaRefs>
    <ds:schemaRef ds:uri="http://schemas.microsoft.com/sharepoint/events"/>
  </ds:schemaRefs>
</ds:datastoreItem>
</file>

<file path=customXml/itemProps2.xml><?xml version="1.0" encoding="utf-8"?>
<ds:datastoreItem xmlns:ds="http://schemas.openxmlformats.org/officeDocument/2006/customXml" ds:itemID="{05E776AA-53A5-40ED-AB02-F651111B29B6}">
  <ds:schemaRefs>
    <ds:schemaRef ds:uri="http://schemas.microsoft.com/sharepoint/v3/contenttype/forms"/>
  </ds:schemaRefs>
</ds:datastoreItem>
</file>

<file path=customXml/itemProps3.xml><?xml version="1.0" encoding="utf-8"?>
<ds:datastoreItem xmlns:ds="http://schemas.openxmlformats.org/officeDocument/2006/customXml" ds:itemID="{326F30E3-F037-4347-A061-0F786D120BC7}">
  <ds:schemaRefs>
    <ds:schemaRef ds:uri="http://schemas.microsoft.com/office/2006/metadata/properties"/>
    <ds:schemaRef ds:uri="http://schemas.microsoft.com/office/infopath/2007/PartnerControls"/>
    <ds:schemaRef ds:uri="83ed2304-0f0e-45ba-b0cc-7d360cbc1769"/>
  </ds:schemaRefs>
</ds:datastoreItem>
</file>

<file path=customXml/itemProps4.xml><?xml version="1.0" encoding="utf-8"?>
<ds:datastoreItem xmlns:ds="http://schemas.openxmlformats.org/officeDocument/2006/customXml" ds:itemID="{BBF204ED-984C-407A-92BA-8E5AD42E0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8BF1EB-6965-48EE-990A-C332F8C77939}">
  <ds:schemaRefs>
    <ds:schemaRef ds:uri="Microsoft.SharePoint.Taxonomy.ContentTypeSync"/>
  </ds:schemaRefs>
</ds:datastoreItem>
</file>

<file path=customXml/itemProps6.xml><?xml version="1.0" encoding="utf-8"?>
<ds:datastoreItem xmlns:ds="http://schemas.openxmlformats.org/officeDocument/2006/customXml" ds:itemID="{1F0FCC65-534B-4564-83B7-8FB1EA2E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7166</Characters>
  <Application>Microsoft Office Word</Application>
  <DocSecurity>0</DocSecurity>
  <Lines>159</Lines>
  <Paragraphs>58</Paragraphs>
  <ScaleCrop>false</ScaleCrop>
  <HeadingPairs>
    <vt:vector size="2" baseType="variant">
      <vt:variant>
        <vt:lpstr>Title</vt:lpstr>
      </vt:variant>
      <vt:variant>
        <vt:i4>1</vt:i4>
      </vt:variant>
    </vt:vector>
  </HeadingPairs>
  <TitlesOfParts>
    <vt:vector size="1" baseType="lpstr">
      <vt:lpstr>CP results summary</vt:lpstr>
    </vt:vector>
  </TitlesOfParts>
  <Company>UNDP</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results summary</dc:title>
  <dc:subject/>
  <dc:creator>DGO</dc:creator>
  <cp:keywords/>
  <dc:description/>
  <cp:lastModifiedBy>Svetlana Iazykova</cp:lastModifiedBy>
  <cp:revision>3</cp:revision>
  <cp:lastPrinted>2008-06-06T15:39:00Z</cp:lastPrinted>
  <dcterms:created xsi:type="dcterms:W3CDTF">2018-10-09T17:26:00Z</dcterms:created>
  <dcterms:modified xsi:type="dcterms:W3CDTF">2018-10-09T17:26:00Z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0x01010023A92725C93E4830A7421C44D384B7FC00AA2C51EDC20547BE9D8059E930612AF900BB1DAF2B020D674E95D024E21C9B8446</vt:lpwstr>
  </property>
  <property fmtid="{D5CDD505-2E9C-101B-9397-08002B2CF9AE}" pid="3" name="_dlc_DocIdItemGuid">
    <vt:lpwstr>d1e13303-6ece-4102-9f8f-5a459fba30ed</vt:lpwstr>
  </property>
  <property fmtid="{D5CDD505-2E9C-101B-9397-08002B2CF9AE}" pid="4" name="UNDPPOPPKeywords">
    <vt:lpwstr/>
  </property>
  <property fmtid="{D5CDD505-2E9C-101B-9397-08002B2CF9AE}" pid="5" name="TaxCatchAll">
    <vt:lpwstr/>
  </property>
  <property fmtid="{D5CDD505-2E9C-101B-9397-08002B2CF9AE}" pid="6" name="UNDPAuthor">
    <vt:lpwstr/>
  </property>
  <property fmtid="{D5CDD505-2E9C-101B-9397-08002B2CF9AE}" pid="7" name="Order">
    <vt:r8>9200</vt:r8>
  </property>
  <property fmtid="{D5CDD505-2E9C-101B-9397-08002B2CF9AE}" pid="8" name="_dlc_DocId">
    <vt:lpwstr>UNDPGBL-229-92</vt:lpwstr>
  </property>
  <property fmtid="{D5CDD505-2E9C-101B-9397-08002B2CF9AE}" pid="9" name="_dlc_DocIdUrl">
    <vt:lpwstr>https://intranet.undp.org/global/documents/_layouts/DocIdRedir.aspx?ID=UNDPGBL-229-92, UNDPGBL-229-92</vt:lpwstr>
  </property>
</Properties>
</file>