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CE753" w14:textId="77777777" w:rsidR="005A2DBF" w:rsidRPr="005A2DBF" w:rsidRDefault="005A2DBF" w:rsidP="005A2DBF">
      <w:pPr>
        <w:tabs>
          <w:tab w:val="left" w:pos="8789"/>
        </w:tabs>
        <w:ind w:right="288"/>
        <w:rPr>
          <w:b/>
          <w:snapToGrid/>
          <w:color w:val="000000"/>
          <w:lang w:val="en-GB" w:eastAsia="en-US"/>
        </w:rPr>
      </w:pPr>
      <w:r w:rsidRPr="005A2DBF">
        <w:rPr>
          <w:b/>
          <w:snapToGrid/>
          <w:color w:val="000000"/>
          <w:lang w:val="en-GB" w:eastAsia="en-US"/>
        </w:rPr>
        <w:t>First regular session 2019</w:t>
      </w:r>
    </w:p>
    <w:p w14:paraId="67C32A80" w14:textId="77777777" w:rsidR="005A2DBF" w:rsidRPr="005A2DBF" w:rsidRDefault="005A2DBF" w:rsidP="005A2DB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snapToGrid/>
          <w:color w:val="000000"/>
          <w:lang w:val="en-GB" w:eastAsia="en-US"/>
        </w:rPr>
      </w:pPr>
      <w:r w:rsidRPr="005A2DBF">
        <w:rPr>
          <w:snapToGrid/>
          <w:color w:val="000000"/>
          <w:lang w:val="en-GB" w:eastAsia="en-US"/>
        </w:rPr>
        <w:t>21-25 January 2019, New York</w:t>
      </w:r>
    </w:p>
    <w:p w14:paraId="4542580D" w14:textId="171BE600" w:rsidR="005A2DBF" w:rsidRPr="005A2DBF" w:rsidRDefault="005A2DBF" w:rsidP="005A2DB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snapToGrid/>
          <w:color w:val="000000"/>
          <w:lang w:val="en-GB" w:eastAsia="en-US"/>
        </w:rPr>
      </w:pPr>
      <w:r w:rsidRPr="005A2DBF">
        <w:rPr>
          <w:snapToGrid/>
          <w:color w:val="000000"/>
          <w:lang w:val="en-GB" w:eastAsia="en-US"/>
        </w:rPr>
        <w:t xml:space="preserve">Item </w:t>
      </w:r>
      <w:r w:rsidR="007C74B0">
        <w:rPr>
          <w:snapToGrid/>
          <w:color w:val="000000"/>
          <w:lang w:val="en-GB" w:eastAsia="en-US"/>
        </w:rPr>
        <w:t>3</w:t>
      </w:r>
      <w:r w:rsidRPr="005A2DBF">
        <w:rPr>
          <w:snapToGrid/>
          <w:color w:val="000000"/>
          <w:lang w:val="en-GB" w:eastAsia="en-US"/>
        </w:rPr>
        <w:t xml:space="preserve"> of the provisional agenda</w:t>
      </w:r>
    </w:p>
    <w:p w14:paraId="1D38C59D" w14:textId="77777777" w:rsidR="005A2DBF" w:rsidRPr="005A2DBF" w:rsidRDefault="005A2DBF" w:rsidP="005A2DBF">
      <w:pPr>
        <w:ind w:right="1260"/>
        <w:rPr>
          <w:b/>
          <w:snapToGrid/>
          <w:color w:val="000000"/>
          <w:lang w:val="en-GB" w:eastAsia="en-US"/>
        </w:rPr>
      </w:pPr>
      <w:r w:rsidRPr="005A2DBF">
        <w:rPr>
          <w:b/>
          <w:snapToGrid/>
          <w:color w:val="000000"/>
          <w:lang w:val="en-GB" w:eastAsia="en-US"/>
        </w:rPr>
        <w:t>Country programmes and related matters</w:t>
      </w:r>
    </w:p>
    <w:p w14:paraId="2601D82D" w14:textId="77777777" w:rsidR="005A2DBF" w:rsidRPr="005A2DBF" w:rsidRDefault="005A2DBF" w:rsidP="005A2DBF">
      <w:pPr>
        <w:rPr>
          <w:snapToGrid/>
          <w:color w:val="000000"/>
          <w:spacing w:val="-3"/>
          <w:lang w:val="en-GB" w:eastAsia="en-US"/>
        </w:rPr>
      </w:pPr>
    </w:p>
    <w:p w14:paraId="2FCEFC68" w14:textId="77777777" w:rsidR="005A2DBF" w:rsidRPr="005A2DBF" w:rsidRDefault="005A2DBF" w:rsidP="005A2DB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napToGrid/>
          <w:color w:val="000000"/>
          <w:spacing w:val="4"/>
          <w:w w:val="103"/>
          <w:kern w:val="14"/>
          <w:sz w:val="10"/>
          <w:lang w:val="en-GB" w:eastAsia="en-US"/>
        </w:rPr>
      </w:pPr>
    </w:p>
    <w:p w14:paraId="32B5F541" w14:textId="77777777" w:rsidR="005A2DBF" w:rsidRPr="005A2DBF" w:rsidRDefault="005A2DBF" w:rsidP="005A2DB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napToGrid/>
          <w:color w:val="000000"/>
          <w:spacing w:val="4"/>
          <w:w w:val="103"/>
          <w:kern w:val="14"/>
          <w:sz w:val="10"/>
          <w:lang w:val="en-GB" w:eastAsia="en-US"/>
        </w:rPr>
      </w:pPr>
    </w:p>
    <w:p w14:paraId="098E7F6E" w14:textId="77777777" w:rsidR="005A2DBF" w:rsidRPr="005A2DBF" w:rsidRDefault="005A2DBF" w:rsidP="005A2DB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napToGrid/>
          <w:color w:val="000000"/>
          <w:spacing w:val="4"/>
          <w:w w:val="103"/>
          <w:kern w:val="14"/>
          <w:sz w:val="10"/>
          <w:lang w:val="en-GB" w:eastAsia="en-US"/>
        </w:rPr>
      </w:pPr>
    </w:p>
    <w:p w14:paraId="3ABB5702" w14:textId="77777777" w:rsidR="005A2DBF" w:rsidRPr="005A2DBF" w:rsidRDefault="005A2DBF" w:rsidP="005A2DB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outlineLvl w:val="0"/>
        <w:rPr>
          <w:b/>
          <w:snapToGrid/>
          <w:color w:val="000000"/>
          <w:spacing w:val="-2"/>
          <w:w w:val="103"/>
          <w:kern w:val="14"/>
          <w:sz w:val="28"/>
          <w:lang w:val="en-GB" w:eastAsia="en-US"/>
        </w:rPr>
      </w:pPr>
      <w:r w:rsidRPr="005A2DBF">
        <w:rPr>
          <w:b/>
          <w:snapToGrid/>
          <w:color w:val="000000"/>
          <w:spacing w:val="-2"/>
          <w:w w:val="103"/>
          <w:kern w:val="14"/>
          <w:sz w:val="28"/>
          <w:lang w:val="en-GB" w:eastAsia="en-US"/>
        </w:rPr>
        <w:tab/>
      </w:r>
    </w:p>
    <w:p w14:paraId="4005BC79" w14:textId="77777777" w:rsidR="005A2DBF" w:rsidRPr="005A2DBF" w:rsidRDefault="005A2DBF" w:rsidP="005A2DB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jc w:val="center"/>
        <w:outlineLvl w:val="0"/>
        <w:rPr>
          <w:b/>
          <w:snapToGrid/>
          <w:color w:val="000000"/>
          <w:spacing w:val="-2"/>
          <w:w w:val="103"/>
          <w:kern w:val="14"/>
          <w:sz w:val="28"/>
          <w:lang w:val="en-GB" w:eastAsia="en-US"/>
        </w:rPr>
      </w:pPr>
      <w:r w:rsidRPr="005A2DBF">
        <w:rPr>
          <w:b/>
          <w:snapToGrid/>
          <w:color w:val="000000"/>
          <w:spacing w:val="-2"/>
          <w:w w:val="103"/>
          <w:kern w:val="14"/>
          <w:sz w:val="28"/>
          <w:lang w:val="en-GB" w:eastAsia="en-US"/>
        </w:rPr>
        <w:t xml:space="preserve">Draft country programme document for </w:t>
      </w:r>
      <w:r>
        <w:rPr>
          <w:b/>
          <w:snapToGrid/>
          <w:color w:val="000000"/>
          <w:spacing w:val="-2"/>
          <w:w w:val="103"/>
          <w:kern w:val="14"/>
          <w:sz w:val="28"/>
          <w:lang w:val="en-GB" w:eastAsia="en-US"/>
        </w:rPr>
        <w:t>Togo (</w:t>
      </w:r>
      <w:r w:rsidRPr="005A2DBF">
        <w:rPr>
          <w:b/>
          <w:snapToGrid/>
          <w:color w:val="000000"/>
          <w:spacing w:val="-2"/>
          <w:w w:val="103"/>
          <w:kern w:val="14"/>
          <w:sz w:val="28"/>
          <w:lang w:val="en-GB" w:eastAsia="en-US"/>
        </w:rPr>
        <w:t>2019-2023)</w:t>
      </w:r>
      <w:r w:rsidRPr="005A2DBF">
        <w:rPr>
          <w:b/>
          <w:snapToGrid/>
          <w:color w:val="000000"/>
          <w:spacing w:val="-2"/>
          <w:w w:val="103"/>
          <w:kern w:val="14"/>
          <w:sz w:val="28"/>
          <w:lang w:val="en-GB" w:eastAsia="en-US"/>
        </w:rPr>
        <w:br/>
      </w:r>
    </w:p>
    <w:p w14:paraId="371C3225" w14:textId="77777777" w:rsidR="005A2DBF" w:rsidRPr="005A2DBF" w:rsidRDefault="005A2DBF" w:rsidP="005A2DBF">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snapToGrid/>
          <w:color w:val="000000"/>
          <w:spacing w:val="-2"/>
          <w:w w:val="103"/>
          <w:kern w:val="14"/>
          <w:sz w:val="28"/>
          <w:lang w:val="en-GB"/>
        </w:rPr>
      </w:pPr>
      <w:r w:rsidRPr="005A2DBF">
        <w:rPr>
          <w:snapToGrid/>
          <w:color w:val="000000"/>
          <w:kern w:val="14"/>
          <w:sz w:val="28"/>
          <w:lang w:val="en-GB"/>
        </w:rPr>
        <w:t>Contents</w:t>
      </w:r>
    </w:p>
    <w:p w14:paraId="4FBC7428" w14:textId="77777777" w:rsidR="005A2DBF" w:rsidRPr="005A2DBF" w:rsidRDefault="005A2DBF" w:rsidP="005A2DBF">
      <w:pPr>
        <w:tabs>
          <w:tab w:val="left" w:pos="1620"/>
        </w:tabs>
        <w:rPr>
          <w:snapToGrid/>
          <w:color w:val="000000"/>
          <w:lang w:val="en-GB"/>
        </w:rPr>
      </w:pP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5A2DBF" w:rsidRPr="005A2DBF" w14:paraId="047AB4E8" w14:textId="77777777" w:rsidTr="00716E4F">
        <w:tc>
          <w:tcPr>
            <w:tcW w:w="1060" w:type="dxa"/>
            <w:shd w:val="clear" w:color="auto" w:fill="auto"/>
          </w:tcPr>
          <w:p w14:paraId="0BC0FDA6" w14:textId="77777777" w:rsidR="005A2DBF" w:rsidRPr="005A2DBF" w:rsidRDefault="005A2DBF" w:rsidP="005A2DBF">
            <w:pPr>
              <w:tabs>
                <w:tab w:val="left" w:pos="1620"/>
              </w:tabs>
              <w:suppressAutoHyphens/>
              <w:spacing w:after="120"/>
              <w:jc w:val="right"/>
              <w:rPr>
                <w:i/>
                <w:snapToGrid/>
                <w:color w:val="000000"/>
                <w:spacing w:val="4"/>
                <w:w w:val="103"/>
                <w:kern w:val="14"/>
                <w:sz w:val="14"/>
                <w:lang w:val="en-GB"/>
              </w:rPr>
            </w:pPr>
          </w:p>
        </w:tc>
        <w:tc>
          <w:tcPr>
            <w:tcW w:w="8480" w:type="dxa"/>
            <w:gridSpan w:val="2"/>
            <w:shd w:val="clear" w:color="auto" w:fill="auto"/>
          </w:tcPr>
          <w:p w14:paraId="05CF77FD" w14:textId="77777777" w:rsidR="005A2DBF" w:rsidRPr="005A2DBF" w:rsidRDefault="005A2DBF" w:rsidP="005A2DBF">
            <w:pPr>
              <w:tabs>
                <w:tab w:val="left" w:pos="1620"/>
              </w:tabs>
              <w:suppressAutoHyphens/>
              <w:spacing w:after="120"/>
              <w:rPr>
                <w:i/>
                <w:snapToGrid/>
                <w:color w:val="000000"/>
                <w:spacing w:val="4"/>
                <w:w w:val="103"/>
                <w:kern w:val="14"/>
                <w:sz w:val="14"/>
                <w:lang w:val="en-GB"/>
              </w:rPr>
            </w:pPr>
          </w:p>
        </w:tc>
        <w:tc>
          <w:tcPr>
            <w:tcW w:w="362" w:type="dxa"/>
            <w:shd w:val="clear" w:color="auto" w:fill="auto"/>
          </w:tcPr>
          <w:p w14:paraId="033ADE9C" w14:textId="77777777" w:rsidR="005A2DBF" w:rsidRPr="005A2DBF" w:rsidRDefault="005A2DBF" w:rsidP="005A2DBF">
            <w:pPr>
              <w:tabs>
                <w:tab w:val="left" w:pos="1620"/>
              </w:tabs>
              <w:suppressAutoHyphens/>
              <w:spacing w:after="120"/>
              <w:jc w:val="right"/>
              <w:rPr>
                <w:i/>
                <w:snapToGrid/>
                <w:color w:val="000000"/>
                <w:spacing w:val="4"/>
                <w:w w:val="103"/>
                <w:kern w:val="14"/>
                <w:sz w:val="14"/>
                <w:lang w:val="en-GB"/>
              </w:rPr>
            </w:pPr>
            <w:r w:rsidRPr="005A2DBF">
              <w:rPr>
                <w:i/>
                <w:iCs/>
                <w:snapToGrid/>
                <w:color w:val="000000"/>
                <w:kern w:val="14"/>
                <w:sz w:val="14"/>
                <w:lang w:val="en-GB"/>
              </w:rPr>
              <w:t>Page</w:t>
            </w:r>
          </w:p>
        </w:tc>
      </w:tr>
      <w:tr w:rsidR="005A2DBF" w:rsidRPr="005A2DBF" w14:paraId="71DD88F3" w14:textId="77777777" w:rsidTr="00716E4F">
        <w:tc>
          <w:tcPr>
            <w:tcW w:w="9540" w:type="dxa"/>
            <w:gridSpan w:val="3"/>
            <w:shd w:val="clear" w:color="auto" w:fill="auto"/>
          </w:tcPr>
          <w:p w14:paraId="727ADE87" w14:textId="77777777" w:rsidR="005A2DBF" w:rsidRPr="005A2DBF" w:rsidRDefault="005A2DBF" w:rsidP="0086787D">
            <w:pPr>
              <w:numPr>
                <w:ilvl w:val="0"/>
                <w:numId w:val="1"/>
              </w:numPr>
              <w:tabs>
                <w:tab w:val="right" w:pos="1080"/>
                <w:tab w:val="left" w:pos="1296"/>
                <w:tab w:val="left" w:pos="1620"/>
                <w:tab w:val="left" w:pos="2160"/>
                <w:tab w:val="left" w:pos="2592"/>
                <w:tab w:val="right" w:leader="dot" w:pos="9090"/>
              </w:tabs>
              <w:suppressAutoHyphens/>
              <w:spacing w:after="120" w:line="240" w:lineRule="exact"/>
              <w:jc w:val="both"/>
              <w:rPr>
                <w:snapToGrid/>
                <w:color w:val="000000"/>
                <w:spacing w:val="4"/>
                <w:w w:val="103"/>
                <w:kern w:val="14"/>
                <w:lang w:val="en-GB"/>
              </w:rPr>
            </w:pPr>
            <w:r w:rsidRPr="005A2DBF">
              <w:rPr>
                <w:snapToGrid/>
                <w:color w:val="000000"/>
                <w:kern w:val="14"/>
                <w:lang w:val="en-GB"/>
              </w:rPr>
              <w:tab/>
              <w:t>Programme rationale</w:t>
            </w:r>
            <w:r w:rsidRPr="005A2DBF">
              <w:rPr>
                <w:snapToGrid/>
                <w:color w:val="000000"/>
                <w:sz w:val="24"/>
                <w:szCs w:val="24"/>
                <w:lang w:val="en-GB"/>
              </w:rPr>
              <w:tab/>
            </w:r>
          </w:p>
        </w:tc>
        <w:tc>
          <w:tcPr>
            <w:tcW w:w="362" w:type="dxa"/>
            <w:vMerge w:val="restart"/>
            <w:shd w:val="clear" w:color="auto" w:fill="auto"/>
            <w:vAlign w:val="bottom"/>
          </w:tcPr>
          <w:p w14:paraId="6EB7E55B" w14:textId="77777777" w:rsidR="005A2DBF" w:rsidRPr="005A2DBF" w:rsidRDefault="005A2DBF" w:rsidP="005A2DBF">
            <w:pPr>
              <w:tabs>
                <w:tab w:val="left" w:pos="1620"/>
              </w:tabs>
              <w:suppressAutoHyphens/>
              <w:spacing w:after="120" w:line="240" w:lineRule="exact"/>
              <w:jc w:val="right"/>
              <w:rPr>
                <w:snapToGrid/>
                <w:color w:val="000000"/>
                <w:spacing w:val="4"/>
                <w:w w:val="103"/>
                <w:kern w:val="14"/>
                <w:lang w:val="en-GB"/>
              </w:rPr>
            </w:pPr>
            <w:r w:rsidRPr="005A2DBF">
              <w:rPr>
                <w:snapToGrid/>
                <w:color w:val="000000"/>
                <w:kern w:val="14"/>
                <w:lang w:val="en-GB"/>
              </w:rPr>
              <w:t>2</w:t>
            </w:r>
          </w:p>
          <w:p w14:paraId="1FE6BC96" w14:textId="61FB0E3F" w:rsidR="005A2DBF" w:rsidRPr="005A2DBF" w:rsidRDefault="0025363E" w:rsidP="005A2DBF">
            <w:pPr>
              <w:tabs>
                <w:tab w:val="left" w:pos="1620"/>
              </w:tabs>
              <w:suppressAutoHyphens/>
              <w:spacing w:after="120" w:line="240" w:lineRule="exact"/>
              <w:jc w:val="right"/>
              <w:rPr>
                <w:snapToGrid/>
                <w:color w:val="000000"/>
                <w:spacing w:val="4"/>
                <w:w w:val="103"/>
                <w:kern w:val="14"/>
                <w:lang w:val="en-GB"/>
              </w:rPr>
            </w:pPr>
            <w:r>
              <w:rPr>
                <w:snapToGrid/>
                <w:color w:val="000000"/>
                <w:spacing w:val="4"/>
                <w:w w:val="103"/>
                <w:kern w:val="14"/>
                <w:lang w:val="en-GB"/>
              </w:rPr>
              <w:t>4</w:t>
            </w:r>
          </w:p>
        </w:tc>
      </w:tr>
      <w:tr w:rsidR="005A2DBF" w:rsidRPr="005A2DBF" w14:paraId="51D6C5BD" w14:textId="77777777" w:rsidTr="00716E4F">
        <w:tc>
          <w:tcPr>
            <w:tcW w:w="9540" w:type="dxa"/>
            <w:gridSpan w:val="3"/>
            <w:shd w:val="clear" w:color="auto" w:fill="auto"/>
          </w:tcPr>
          <w:p w14:paraId="5ADBD6E6" w14:textId="77777777" w:rsidR="005A2DBF" w:rsidRPr="005A2DBF" w:rsidRDefault="005A2DBF" w:rsidP="0086787D">
            <w:pPr>
              <w:numPr>
                <w:ilvl w:val="0"/>
                <w:numId w:val="1"/>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snapToGrid/>
                <w:color w:val="000000"/>
                <w:spacing w:val="4"/>
                <w:w w:val="103"/>
                <w:kern w:val="14"/>
                <w:lang w:val="en-GB"/>
              </w:rPr>
            </w:pPr>
            <w:r w:rsidRPr="005A2DBF">
              <w:rPr>
                <w:snapToGrid/>
                <w:color w:val="000000"/>
                <w:kern w:val="14"/>
                <w:lang w:val="en-GB"/>
              </w:rPr>
              <w:tab/>
              <w:t>Programme priorities and partnerships………………………………………………….</w:t>
            </w:r>
            <w:r w:rsidRPr="005A2DBF">
              <w:rPr>
                <w:snapToGrid/>
                <w:color w:val="000000"/>
                <w:kern w:val="14"/>
                <w:sz w:val="17"/>
                <w:lang w:val="en-GB"/>
              </w:rPr>
              <w:tab/>
            </w:r>
            <w:r w:rsidRPr="005A2DBF">
              <w:rPr>
                <w:snapToGrid/>
                <w:color w:val="000000"/>
                <w:kern w:val="14"/>
                <w:lang w:val="en-GB"/>
              </w:rPr>
              <w:t>……….…</w:t>
            </w:r>
          </w:p>
        </w:tc>
        <w:tc>
          <w:tcPr>
            <w:tcW w:w="362" w:type="dxa"/>
            <w:vMerge/>
            <w:shd w:val="clear" w:color="auto" w:fill="auto"/>
            <w:vAlign w:val="bottom"/>
          </w:tcPr>
          <w:p w14:paraId="3ED022E0" w14:textId="77777777" w:rsidR="005A2DBF" w:rsidRPr="005A2DBF" w:rsidRDefault="005A2DBF" w:rsidP="005A2DBF">
            <w:pPr>
              <w:tabs>
                <w:tab w:val="left" w:pos="1620"/>
              </w:tabs>
              <w:suppressAutoHyphens/>
              <w:spacing w:after="120" w:line="240" w:lineRule="exact"/>
              <w:jc w:val="right"/>
              <w:rPr>
                <w:snapToGrid/>
                <w:color w:val="000000"/>
                <w:spacing w:val="4"/>
                <w:w w:val="103"/>
                <w:kern w:val="14"/>
                <w:lang w:val="en-GB"/>
              </w:rPr>
            </w:pPr>
          </w:p>
        </w:tc>
      </w:tr>
      <w:tr w:rsidR="005A2DBF" w:rsidRPr="005A2DBF" w14:paraId="72CA552E" w14:textId="77777777" w:rsidTr="00716E4F">
        <w:tc>
          <w:tcPr>
            <w:tcW w:w="9540" w:type="dxa"/>
            <w:gridSpan w:val="3"/>
            <w:shd w:val="clear" w:color="auto" w:fill="auto"/>
          </w:tcPr>
          <w:p w14:paraId="376CBFBF" w14:textId="77777777" w:rsidR="005A2DBF" w:rsidRPr="005A2DBF" w:rsidRDefault="005A2DBF" w:rsidP="0086787D">
            <w:pPr>
              <w:numPr>
                <w:ilvl w:val="0"/>
                <w:numId w:val="1"/>
              </w:numPr>
              <w:tabs>
                <w:tab w:val="right" w:pos="1080"/>
                <w:tab w:val="left" w:pos="1296"/>
                <w:tab w:val="left" w:pos="1620"/>
                <w:tab w:val="left" w:pos="2160"/>
                <w:tab w:val="left" w:pos="2592"/>
                <w:tab w:val="left" w:pos="3024"/>
                <w:tab w:val="right" w:leader="dot" w:pos="9090"/>
              </w:tabs>
              <w:suppressAutoHyphens/>
              <w:spacing w:after="120" w:line="240" w:lineRule="exact"/>
              <w:jc w:val="both"/>
              <w:rPr>
                <w:snapToGrid/>
                <w:color w:val="000000"/>
                <w:spacing w:val="4"/>
                <w:w w:val="103"/>
                <w:kern w:val="14"/>
                <w:lang w:val="en-GB"/>
              </w:rPr>
            </w:pPr>
            <w:r w:rsidRPr="005A2DBF">
              <w:rPr>
                <w:snapToGrid/>
                <w:color w:val="000000"/>
                <w:kern w:val="14"/>
                <w:lang w:val="en-GB"/>
              </w:rPr>
              <w:tab/>
              <w:t>Programme and risk management</w:t>
            </w:r>
            <w:r w:rsidRPr="005A2DBF">
              <w:rPr>
                <w:snapToGrid/>
                <w:color w:val="000000"/>
                <w:sz w:val="24"/>
                <w:szCs w:val="24"/>
                <w:lang w:val="en-GB"/>
              </w:rPr>
              <w:tab/>
            </w:r>
          </w:p>
        </w:tc>
        <w:tc>
          <w:tcPr>
            <w:tcW w:w="362" w:type="dxa"/>
            <w:vMerge w:val="restart"/>
            <w:shd w:val="clear" w:color="auto" w:fill="auto"/>
            <w:vAlign w:val="bottom"/>
          </w:tcPr>
          <w:p w14:paraId="6204E54A" w14:textId="7E074AD4" w:rsidR="005A2DBF" w:rsidRPr="005A2DBF" w:rsidRDefault="0025363E" w:rsidP="005A2DBF">
            <w:pPr>
              <w:tabs>
                <w:tab w:val="left" w:pos="1620"/>
              </w:tabs>
              <w:suppressAutoHyphens/>
              <w:spacing w:after="120" w:line="240" w:lineRule="exact"/>
              <w:jc w:val="right"/>
              <w:rPr>
                <w:snapToGrid/>
                <w:color w:val="000000"/>
                <w:spacing w:val="4"/>
                <w:w w:val="103"/>
                <w:kern w:val="14"/>
                <w:lang w:val="en-GB"/>
              </w:rPr>
            </w:pPr>
            <w:r>
              <w:rPr>
                <w:snapToGrid/>
                <w:color w:val="000000"/>
                <w:spacing w:val="4"/>
                <w:w w:val="103"/>
                <w:kern w:val="14"/>
                <w:lang w:val="en-GB"/>
              </w:rPr>
              <w:t>6</w:t>
            </w:r>
          </w:p>
          <w:p w14:paraId="70DD3F17" w14:textId="49E27EAA" w:rsidR="005A2DBF" w:rsidRPr="005A2DBF" w:rsidRDefault="0025363E" w:rsidP="005A2DBF">
            <w:pPr>
              <w:tabs>
                <w:tab w:val="left" w:pos="1620"/>
              </w:tabs>
              <w:suppressAutoHyphens/>
              <w:spacing w:after="120" w:line="240" w:lineRule="exact"/>
              <w:jc w:val="right"/>
              <w:rPr>
                <w:snapToGrid/>
                <w:color w:val="000000"/>
                <w:spacing w:val="4"/>
                <w:w w:val="103"/>
                <w:kern w:val="14"/>
                <w:lang w:val="en-GB"/>
              </w:rPr>
            </w:pPr>
            <w:r>
              <w:rPr>
                <w:snapToGrid/>
                <w:color w:val="000000"/>
                <w:spacing w:val="4"/>
                <w:w w:val="103"/>
                <w:kern w:val="14"/>
                <w:lang w:val="en-GB"/>
              </w:rPr>
              <w:t>7</w:t>
            </w:r>
          </w:p>
        </w:tc>
      </w:tr>
      <w:tr w:rsidR="005A2DBF" w:rsidRPr="005A2DBF" w14:paraId="2BE7C208" w14:textId="77777777" w:rsidTr="00716E4F">
        <w:tc>
          <w:tcPr>
            <w:tcW w:w="9540" w:type="dxa"/>
            <w:gridSpan w:val="3"/>
            <w:shd w:val="clear" w:color="auto" w:fill="auto"/>
          </w:tcPr>
          <w:p w14:paraId="5732C16B" w14:textId="77777777" w:rsidR="005A2DBF" w:rsidRPr="005A2DBF" w:rsidRDefault="005A2DBF" w:rsidP="0086787D">
            <w:pPr>
              <w:numPr>
                <w:ilvl w:val="0"/>
                <w:numId w:val="1"/>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snapToGrid/>
                <w:color w:val="000000"/>
                <w:spacing w:val="4"/>
                <w:w w:val="103"/>
                <w:kern w:val="14"/>
                <w:lang w:val="en-GB"/>
              </w:rPr>
            </w:pPr>
            <w:r w:rsidRPr="005A2DBF">
              <w:rPr>
                <w:snapToGrid/>
                <w:color w:val="000000"/>
                <w:kern w:val="14"/>
                <w:lang w:val="en-GB"/>
              </w:rPr>
              <w:tab/>
              <w:t>Monitoring and evaluation</w:t>
            </w:r>
            <w:r w:rsidRPr="005A2DBF">
              <w:rPr>
                <w:snapToGrid/>
                <w:color w:val="000000"/>
                <w:sz w:val="24"/>
                <w:szCs w:val="24"/>
                <w:lang w:val="en-GB"/>
              </w:rPr>
              <w:tab/>
            </w:r>
            <w:r w:rsidRPr="005A2DBF">
              <w:rPr>
                <w:snapToGrid/>
                <w:color w:val="000000"/>
                <w:lang w:val="en-GB"/>
              </w:rPr>
              <w:t>…………………………………………………….……………………</w:t>
            </w:r>
          </w:p>
        </w:tc>
        <w:tc>
          <w:tcPr>
            <w:tcW w:w="362" w:type="dxa"/>
            <w:vMerge/>
            <w:shd w:val="clear" w:color="auto" w:fill="auto"/>
            <w:vAlign w:val="bottom"/>
          </w:tcPr>
          <w:p w14:paraId="5132FB83" w14:textId="77777777" w:rsidR="005A2DBF" w:rsidRPr="005A2DBF" w:rsidRDefault="005A2DBF" w:rsidP="005A2DBF">
            <w:pPr>
              <w:tabs>
                <w:tab w:val="left" w:pos="1620"/>
              </w:tabs>
              <w:suppressAutoHyphens/>
              <w:spacing w:after="120" w:line="240" w:lineRule="exact"/>
              <w:jc w:val="right"/>
              <w:rPr>
                <w:snapToGrid/>
                <w:color w:val="000000"/>
                <w:spacing w:val="4"/>
                <w:w w:val="103"/>
                <w:kern w:val="14"/>
                <w:lang w:val="en-GB"/>
              </w:rPr>
            </w:pPr>
          </w:p>
        </w:tc>
      </w:tr>
      <w:tr w:rsidR="005A2DBF" w:rsidRPr="005A2DBF" w14:paraId="5E6A2F9E" w14:textId="77777777" w:rsidTr="00716E4F">
        <w:tc>
          <w:tcPr>
            <w:tcW w:w="9369" w:type="dxa"/>
            <w:gridSpan w:val="2"/>
            <w:shd w:val="clear" w:color="auto" w:fill="auto"/>
          </w:tcPr>
          <w:p w14:paraId="750B86E4" w14:textId="77777777" w:rsidR="005A2DBF" w:rsidRPr="005A2DBF" w:rsidRDefault="005A2DBF" w:rsidP="005A2DBF">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snapToGrid/>
                <w:color w:val="000000"/>
                <w:spacing w:val="4"/>
                <w:w w:val="103"/>
                <w:kern w:val="14"/>
                <w:lang w:val="en-GB"/>
              </w:rPr>
            </w:pPr>
            <w:r w:rsidRPr="005A2DBF">
              <w:rPr>
                <w:snapToGrid/>
                <w:color w:val="000000"/>
                <w:kern w:val="14"/>
                <w:lang w:val="en-GB"/>
              </w:rPr>
              <w:t xml:space="preserve">     Annex</w:t>
            </w:r>
          </w:p>
        </w:tc>
        <w:tc>
          <w:tcPr>
            <w:tcW w:w="533" w:type="dxa"/>
            <w:gridSpan w:val="2"/>
            <w:shd w:val="clear" w:color="auto" w:fill="auto"/>
            <w:vAlign w:val="bottom"/>
          </w:tcPr>
          <w:p w14:paraId="5642DECD" w14:textId="77777777" w:rsidR="005A2DBF" w:rsidRPr="005A2DBF" w:rsidRDefault="005A2DBF" w:rsidP="005A2DBF">
            <w:pPr>
              <w:tabs>
                <w:tab w:val="left" w:pos="1620"/>
              </w:tabs>
              <w:suppressAutoHyphens/>
              <w:spacing w:after="120" w:line="240" w:lineRule="exact"/>
              <w:jc w:val="right"/>
              <w:rPr>
                <w:snapToGrid/>
                <w:color w:val="000000"/>
                <w:spacing w:val="4"/>
                <w:w w:val="103"/>
                <w:kern w:val="14"/>
                <w:lang w:val="en-GB"/>
              </w:rPr>
            </w:pPr>
          </w:p>
        </w:tc>
      </w:tr>
      <w:tr w:rsidR="005A2DBF" w:rsidRPr="005A2DBF" w14:paraId="559A7DA4" w14:textId="77777777" w:rsidTr="00716E4F">
        <w:tc>
          <w:tcPr>
            <w:tcW w:w="9369" w:type="dxa"/>
            <w:gridSpan w:val="2"/>
            <w:shd w:val="clear" w:color="auto" w:fill="auto"/>
          </w:tcPr>
          <w:p w14:paraId="2AB1B5BD" w14:textId="77777777" w:rsidR="005A2DBF" w:rsidRPr="005A2DBF" w:rsidRDefault="005A2DBF" w:rsidP="005A2DBF">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snapToGrid/>
                <w:color w:val="000000"/>
                <w:spacing w:val="60"/>
                <w:w w:val="103"/>
                <w:kern w:val="14"/>
                <w:sz w:val="17"/>
                <w:lang w:val="en-GB"/>
              </w:rPr>
            </w:pPr>
            <w:r w:rsidRPr="005A2DBF">
              <w:rPr>
                <w:snapToGrid/>
                <w:color w:val="000000"/>
                <w:kern w:val="14"/>
                <w:lang w:val="en-GB"/>
              </w:rPr>
              <w:t xml:space="preserve">Results and resources framework for </w:t>
            </w:r>
            <w:r>
              <w:rPr>
                <w:snapToGrid/>
                <w:color w:val="000000"/>
                <w:kern w:val="14"/>
                <w:lang w:val="en-GB"/>
              </w:rPr>
              <w:t>Togo</w:t>
            </w:r>
            <w:r w:rsidRPr="005A2DBF">
              <w:rPr>
                <w:snapToGrid/>
                <w:color w:val="000000"/>
                <w:kern w:val="14"/>
                <w:lang w:val="en-GB"/>
              </w:rPr>
              <w:t xml:space="preserve"> (2019-2023)</w:t>
            </w:r>
          </w:p>
        </w:tc>
        <w:tc>
          <w:tcPr>
            <w:tcW w:w="533" w:type="dxa"/>
            <w:gridSpan w:val="2"/>
            <w:shd w:val="clear" w:color="auto" w:fill="auto"/>
            <w:vAlign w:val="bottom"/>
          </w:tcPr>
          <w:p w14:paraId="7E95D85E" w14:textId="681E153A" w:rsidR="005A2DBF" w:rsidRPr="005A2DBF" w:rsidRDefault="0025363E" w:rsidP="005A2DBF">
            <w:pPr>
              <w:tabs>
                <w:tab w:val="left" w:pos="1620"/>
              </w:tabs>
              <w:suppressAutoHyphens/>
              <w:spacing w:after="120" w:line="240" w:lineRule="exact"/>
              <w:jc w:val="right"/>
              <w:rPr>
                <w:snapToGrid/>
                <w:color w:val="000000"/>
                <w:spacing w:val="4"/>
                <w:w w:val="103"/>
                <w:kern w:val="14"/>
                <w:lang w:val="en-GB"/>
              </w:rPr>
            </w:pPr>
            <w:r>
              <w:rPr>
                <w:snapToGrid/>
                <w:color w:val="000000"/>
                <w:kern w:val="14"/>
                <w:lang w:val="en-GB"/>
              </w:rPr>
              <w:t>8</w:t>
            </w:r>
          </w:p>
        </w:tc>
      </w:tr>
    </w:tbl>
    <w:p w14:paraId="22D2E135" w14:textId="77777777" w:rsidR="00816CFE" w:rsidRPr="000B4EB5" w:rsidRDefault="00816CFE">
      <w:pPr>
        <w:tabs>
          <w:tab w:val="left" w:pos="2880"/>
        </w:tabs>
        <w:rPr>
          <w:lang w:val="en-GB"/>
        </w:rPr>
      </w:pPr>
    </w:p>
    <w:p w14:paraId="0F1685EC" w14:textId="77777777" w:rsidR="00816CFE" w:rsidRPr="000B4EB5" w:rsidRDefault="00816CFE">
      <w:pPr>
        <w:tabs>
          <w:tab w:val="left" w:pos="2880"/>
        </w:tabs>
        <w:rPr>
          <w:lang w:val="en-GB"/>
        </w:rPr>
        <w:sectPr w:rsidR="00816CFE" w:rsidRPr="000B4EB5" w:rsidSect="0075300F">
          <w:headerReference w:type="even" r:id="rId8"/>
          <w:footerReference w:type="even" r:id="rId9"/>
          <w:footerReference w:type="default" r:id="rId10"/>
          <w:headerReference w:type="first" r:id="rId11"/>
          <w:footnotePr>
            <w:numRestart w:val="eachSect"/>
          </w:footnotePr>
          <w:endnotePr>
            <w:numFmt w:val="decimal"/>
            <w:numStart w:val="7"/>
          </w:endnotePr>
          <w:pgSz w:w="12240" w:h="15840" w:code="1"/>
          <w:pgMar w:top="2076" w:right="1714" w:bottom="1170" w:left="1195" w:header="576" w:footer="1037" w:gutter="0"/>
          <w:pgNumType w:start="1"/>
          <w:cols w:space="720"/>
          <w:titlePg/>
          <w:docGrid w:linePitch="272"/>
        </w:sectPr>
      </w:pPr>
      <w:r w:rsidRPr="000B4EB5">
        <w:rPr>
          <w:lang w:val="en-GB"/>
        </w:rPr>
        <w:tab/>
      </w:r>
    </w:p>
    <w:p w14:paraId="6E1C7623" w14:textId="77777777" w:rsidR="00816CFE" w:rsidRPr="005A2DBF" w:rsidRDefault="000B69E4" w:rsidP="00DE7E37">
      <w:pPr>
        <w:pStyle w:val="Heading1"/>
        <w:keepLines/>
        <w:widowControl/>
        <w:numPr>
          <w:ilvl w:val="0"/>
          <w:numId w:val="5"/>
        </w:numPr>
        <w:tabs>
          <w:tab w:val="left" w:pos="720"/>
          <w:tab w:val="left" w:pos="1080"/>
        </w:tabs>
        <w:suppressAutoHyphens w:val="0"/>
        <w:spacing w:after="240"/>
        <w:ind w:right="878" w:hanging="1080"/>
        <w:rPr>
          <w:spacing w:val="0"/>
          <w:szCs w:val="24"/>
          <w:lang w:val="en-GB"/>
        </w:rPr>
      </w:pPr>
      <w:bookmarkStart w:id="0" w:name="_Toc509578030"/>
      <w:bookmarkStart w:id="1" w:name="_Toc523818655"/>
      <w:r w:rsidRPr="005A2DBF">
        <w:rPr>
          <w:spacing w:val="0"/>
          <w:szCs w:val="24"/>
          <w:lang w:val="en-GB"/>
        </w:rPr>
        <w:lastRenderedPageBreak/>
        <w:t>Programme</w:t>
      </w:r>
      <w:r w:rsidR="00612E83" w:rsidRPr="005A2DBF">
        <w:rPr>
          <w:spacing w:val="0"/>
          <w:szCs w:val="24"/>
          <w:lang w:val="en-GB"/>
        </w:rPr>
        <w:t xml:space="preserve"> rationale</w:t>
      </w:r>
      <w:bookmarkEnd w:id="0"/>
      <w:bookmarkEnd w:id="1"/>
    </w:p>
    <w:p w14:paraId="54ED20E3" w14:textId="669A1A6E" w:rsidR="00DE5140" w:rsidRPr="000B4EB5" w:rsidRDefault="00DE5140" w:rsidP="00DE7E37">
      <w:pPr>
        <w:numPr>
          <w:ilvl w:val="0"/>
          <w:numId w:val="2"/>
        </w:numPr>
        <w:tabs>
          <w:tab w:val="left" w:pos="990"/>
        </w:tabs>
        <w:spacing w:after="120"/>
        <w:ind w:left="720" w:firstLine="0"/>
        <w:jc w:val="both"/>
        <w:rPr>
          <w:lang w:val="en"/>
        </w:rPr>
      </w:pPr>
      <w:bookmarkStart w:id="2" w:name="_Hlk520900852"/>
      <w:bookmarkStart w:id="3" w:name="_Hlk520902194"/>
      <w:bookmarkStart w:id="4" w:name="_Hlk517967010"/>
      <w:bookmarkStart w:id="5" w:name="_Toc509578031"/>
      <w:r w:rsidRPr="000B4EB5">
        <w:rPr>
          <w:lang w:val="en"/>
        </w:rPr>
        <w:t>Togo</w:t>
      </w:r>
      <w:r w:rsidR="002546A6">
        <w:rPr>
          <w:lang w:val="en"/>
        </w:rPr>
        <w:t xml:space="preserve">’s Vision 2030 </w:t>
      </w:r>
      <w:r w:rsidR="00F20B43">
        <w:rPr>
          <w:lang w:val="en"/>
        </w:rPr>
        <w:t xml:space="preserve">is to become </w:t>
      </w:r>
      <w:r w:rsidR="00273F18">
        <w:rPr>
          <w:lang w:val="en"/>
        </w:rPr>
        <w:t xml:space="preserve">a </w:t>
      </w:r>
      <w:r w:rsidR="00AB3FE9">
        <w:rPr>
          <w:lang w:val="en"/>
        </w:rPr>
        <w:t xml:space="preserve">stable, democratic and </w:t>
      </w:r>
      <w:r w:rsidR="00F20B43">
        <w:rPr>
          <w:lang w:val="en"/>
        </w:rPr>
        <w:t>middle-income country</w:t>
      </w:r>
      <w:r w:rsidR="00A62727">
        <w:rPr>
          <w:lang w:val="en"/>
        </w:rPr>
        <w:t>.</w:t>
      </w:r>
      <w:r w:rsidR="00AB3FE9">
        <w:rPr>
          <w:lang w:val="en"/>
        </w:rPr>
        <w:t xml:space="preserve"> </w:t>
      </w:r>
      <w:r w:rsidR="00716E4F">
        <w:rPr>
          <w:lang w:val="en"/>
        </w:rPr>
        <w:t xml:space="preserve">With </w:t>
      </w:r>
      <w:r w:rsidR="00AB3FE9">
        <w:rPr>
          <w:lang w:val="en"/>
        </w:rPr>
        <w:t xml:space="preserve">an </w:t>
      </w:r>
      <w:r w:rsidRPr="000B4EB5">
        <w:rPr>
          <w:lang w:val="en"/>
        </w:rPr>
        <w:t xml:space="preserve">estimated population </w:t>
      </w:r>
      <w:r w:rsidR="00AB3FE9">
        <w:rPr>
          <w:lang w:val="en"/>
        </w:rPr>
        <w:t>of</w:t>
      </w:r>
      <w:r w:rsidR="009D25CB" w:rsidRPr="000B4EB5">
        <w:rPr>
          <w:lang w:val="en"/>
        </w:rPr>
        <w:t xml:space="preserve"> </w:t>
      </w:r>
      <w:r w:rsidRPr="000B4EB5">
        <w:rPr>
          <w:lang w:val="en"/>
        </w:rPr>
        <w:t xml:space="preserve">7.6 million </w:t>
      </w:r>
      <w:r w:rsidR="009D35AB">
        <w:rPr>
          <w:lang w:val="en"/>
        </w:rPr>
        <w:t>(</w:t>
      </w:r>
      <w:r w:rsidRPr="000B4EB5">
        <w:rPr>
          <w:lang w:val="en"/>
        </w:rPr>
        <w:t>2016</w:t>
      </w:r>
      <w:r w:rsidR="009D35AB">
        <w:rPr>
          <w:lang w:val="en"/>
        </w:rPr>
        <w:t>)</w:t>
      </w:r>
      <w:r w:rsidRPr="000B4EB5">
        <w:rPr>
          <w:lang w:val="en"/>
        </w:rPr>
        <w:t>, 60</w:t>
      </w:r>
      <w:r w:rsidR="00716E4F">
        <w:rPr>
          <w:lang w:val="en"/>
        </w:rPr>
        <w:t xml:space="preserve"> per cent</w:t>
      </w:r>
      <w:r w:rsidR="00716E4F" w:rsidRPr="000B4EB5">
        <w:rPr>
          <w:lang w:val="en"/>
        </w:rPr>
        <w:t xml:space="preserve"> </w:t>
      </w:r>
      <w:r w:rsidRPr="000B4EB5">
        <w:rPr>
          <w:lang w:val="en"/>
        </w:rPr>
        <w:t>under 25 and 51.4</w:t>
      </w:r>
      <w:r w:rsidR="00716E4F">
        <w:rPr>
          <w:lang w:val="en"/>
        </w:rPr>
        <w:t xml:space="preserve"> per cent </w:t>
      </w:r>
      <w:r w:rsidRPr="000B4EB5">
        <w:rPr>
          <w:lang w:val="en"/>
        </w:rPr>
        <w:t>female</w:t>
      </w:r>
      <w:r w:rsidR="00716E4F">
        <w:rPr>
          <w:lang w:val="en"/>
        </w:rPr>
        <w:t>,</w:t>
      </w:r>
      <w:r w:rsidR="00F36985">
        <w:rPr>
          <w:rStyle w:val="FootnoteReference"/>
          <w:lang w:val="en"/>
        </w:rPr>
        <w:footnoteReference w:id="2"/>
      </w:r>
      <w:r w:rsidR="00AB3FE9">
        <w:rPr>
          <w:lang w:val="en"/>
        </w:rPr>
        <w:t xml:space="preserve"> </w:t>
      </w:r>
      <w:r w:rsidR="000E359A" w:rsidRPr="008213C3">
        <w:rPr>
          <w:lang w:val="en"/>
        </w:rPr>
        <w:t xml:space="preserve">Togo ranks </w:t>
      </w:r>
      <w:r w:rsidR="00716E4F">
        <w:rPr>
          <w:lang w:val="en"/>
        </w:rPr>
        <w:t>second</w:t>
      </w:r>
      <w:r w:rsidR="00716E4F" w:rsidRPr="008213C3">
        <w:rPr>
          <w:lang w:val="en"/>
        </w:rPr>
        <w:t xml:space="preserve"> </w:t>
      </w:r>
      <w:r w:rsidR="000E359A" w:rsidRPr="008213C3">
        <w:rPr>
          <w:lang w:val="en"/>
        </w:rPr>
        <w:t xml:space="preserve">among the top 10 reforming countries in Africa over </w:t>
      </w:r>
      <w:r w:rsidR="00DC50FD">
        <w:rPr>
          <w:lang w:val="en"/>
        </w:rPr>
        <w:t xml:space="preserve">the </w:t>
      </w:r>
      <w:r w:rsidR="00AB3FE9">
        <w:rPr>
          <w:lang w:val="en"/>
        </w:rPr>
        <w:t>past decade</w:t>
      </w:r>
      <w:r w:rsidR="00716E4F">
        <w:rPr>
          <w:lang w:val="en"/>
        </w:rPr>
        <w:t>.</w:t>
      </w:r>
      <w:r w:rsidR="00525D0B">
        <w:rPr>
          <w:rStyle w:val="FootnoteReference"/>
          <w:lang w:val="en"/>
        </w:rPr>
        <w:footnoteReference w:id="3"/>
      </w:r>
      <w:r w:rsidR="000E359A" w:rsidRPr="008213C3">
        <w:rPr>
          <w:lang w:val="en"/>
        </w:rPr>
        <w:t xml:space="preserve"> </w:t>
      </w:r>
      <w:r w:rsidR="007E3008">
        <w:rPr>
          <w:lang w:val="en"/>
        </w:rPr>
        <w:t>D</w:t>
      </w:r>
      <w:r w:rsidR="00C3336D">
        <w:rPr>
          <w:lang w:val="en"/>
        </w:rPr>
        <w:t>uring the same period</w:t>
      </w:r>
      <w:r w:rsidR="00AB3FE9">
        <w:rPr>
          <w:lang w:val="en"/>
        </w:rPr>
        <w:t xml:space="preserve">, </w:t>
      </w:r>
      <w:r w:rsidR="009D25CB">
        <w:rPr>
          <w:lang w:val="en"/>
        </w:rPr>
        <w:t>Togo experienced a steady</w:t>
      </w:r>
      <w:r w:rsidR="00AB3FE9">
        <w:rPr>
          <w:lang w:val="en"/>
        </w:rPr>
        <w:t xml:space="preserve"> annual</w:t>
      </w:r>
      <w:r w:rsidR="00C53E80">
        <w:rPr>
          <w:lang w:val="en"/>
        </w:rPr>
        <w:t xml:space="preserve"> growth</w:t>
      </w:r>
      <w:r w:rsidR="000E359A">
        <w:rPr>
          <w:lang w:val="en"/>
        </w:rPr>
        <w:t xml:space="preserve"> rate</w:t>
      </w:r>
      <w:r w:rsidR="00C53E80">
        <w:rPr>
          <w:lang w:val="en"/>
        </w:rPr>
        <w:t xml:space="preserve"> </w:t>
      </w:r>
      <w:r w:rsidR="00AB3FE9">
        <w:rPr>
          <w:lang w:val="en"/>
        </w:rPr>
        <w:t>of</w:t>
      </w:r>
      <w:r w:rsidR="00C53E80">
        <w:rPr>
          <w:lang w:val="en"/>
        </w:rPr>
        <w:t xml:space="preserve"> 5</w:t>
      </w:r>
      <w:r w:rsidR="00716E4F">
        <w:rPr>
          <w:lang w:val="en"/>
        </w:rPr>
        <w:t xml:space="preserve"> per cent </w:t>
      </w:r>
      <w:r w:rsidR="00C53E80">
        <w:rPr>
          <w:lang w:val="en"/>
        </w:rPr>
        <w:t>a</w:t>
      </w:r>
      <w:r w:rsidR="000E359A">
        <w:rPr>
          <w:lang w:val="en"/>
        </w:rPr>
        <w:t>nd</w:t>
      </w:r>
      <w:r w:rsidR="00C53E80">
        <w:rPr>
          <w:lang w:val="en"/>
        </w:rPr>
        <w:t xml:space="preserve"> </w:t>
      </w:r>
      <w:r w:rsidR="00716E4F">
        <w:rPr>
          <w:lang w:val="en"/>
        </w:rPr>
        <w:t xml:space="preserve">reduced </w:t>
      </w:r>
      <w:r w:rsidR="00576416">
        <w:rPr>
          <w:lang w:val="en"/>
        </w:rPr>
        <w:t>poverty</w:t>
      </w:r>
      <w:r w:rsidR="000E359A">
        <w:rPr>
          <w:lang w:val="en"/>
        </w:rPr>
        <w:t xml:space="preserve"> </w:t>
      </w:r>
      <w:r w:rsidR="007E3008">
        <w:rPr>
          <w:lang w:val="en"/>
        </w:rPr>
        <w:t>by 8 percentage points</w:t>
      </w:r>
      <w:r w:rsidR="00716E4F">
        <w:rPr>
          <w:lang w:val="en"/>
        </w:rPr>
        <w:t>.</w:t>
      </w:r>
      <w:r w:rsidR="000E359A">
        <w:rPr>
          <w:rStyle w:val="FootnoteReference"/>
          <w:lang w:val="en"/>
        </w:rPr>
        <w:footnoteReference w:id="4"/>
      </w:r>
      <w:r w:rsidR="000E359A">
        <w:rPr>
          <w:lang w:val="en"/>
        </w:rPr>
        <w:t xml:space="preserve"> </w:t>
      </w:r>
      <w:r w:rsidR="00C53E80">
        <w:rPr>
          <w:lang w:val="en"/>
        </w:rPr>
        <w:t xml:space="preserve">However, Togo </w:t>
      </w:r>
      <w:r w:rsidR="007E3008">
        <w:rPr>
          <w:lang w:val="en"/>
        </w:rPr>
        <w:t>faces serious</w:t>
      </w:r>
      <w:r w:rsidR="002546A6">
        <w:rPr>
          <w:lang w:val="en"/>
        </w:rPr>
        <w:t xml:space="preserve"> challenges in achiev</w:t>
      </w:r>
      <w:r w:rsidR="00576416">
        <w:rPr>
          <w:lang w:val="en"/>
        </w:rPr>
        <w:t>ing</w:t>
      </w:r>
      <w:r w:rsidR="002546A6">
        <w:rPr>
          <w:lang w:val="en"/>
        </w:rPr>
        <w:t xml:space="preserve"> </w:t>
      </w:r>
      <w:r w:rsidR="00B64F94">
        <w:rPr>
          <w:lang w:val="en"/>
        </w:rPr>
        <w:t xml:space="preserve">the </w:t>
      </w:r>
      <w:r w:rsidR="002546A6">
        <w:rPr>
          <w:lang w:val="en"/>
        </w:rPr>
        <w:t>Sustainable Development Goals</w:t>
      </w:r>
      <w:r w:rsidR="00E814E5">
        <w:rPr>
          <w:lang w:val="en"/>
        </w:rPr>
        <w:t>.</w:t>
      </w:r>
      <w:r w:rsidR="00C976E3">
        <w:rPr>
          <w:lang w:val="en"/>
        </w:rPr>
        <w:t xml:space="preserve"> </w:t>
      </w:r>
      <w:r w:rsidR="00C53E80">
        <w:rPr>
          <w:lang w:val="en"/>
        </w:rPr>
        <w:t>M</w:t>
      </w:r>
      <w:r w:rsidR="00457778" w:rsidRPr="000B4EB5">
        <w:rPr>
          <w:lang w:val="en"/>
        </w:rPr>
        <w:t>assive public investment</w:t>
      </w:r>
      <w:r w:rsidR="00457778">
        <w:rPr>
          <w:lang w:val="en"/>
        </w:rPr>
        <w:t>s</w:t>
      </w:r>
      <w:r w:rsidR="00457778" w:rsidRPr="000B4EB5">
        <w:rPr>
          <w:lang w:val="en"/>
        </w:rPr>
        <w:t xml:space="preserve"> led to high debt level</w:t>
      </w:r>
      <w:r w:rsidR="00457778">
        <w:rPr>
          <w:lang w:val="en"/>
        </w:rPr>
        <w:t>s</w:t>
      </w:r>
      <w:r w:rsidR="00457778" w:rsidRPr="000B4EB5">
        <w:rPr>
          <w:lang w:val="en"/>
        </w:rPr>
        <w:t xml:space="preserve"> (81.3</w:t>
      </w:r>
      <w:r w:rsidR="00716E4F">
        <w:rPr>
          <w:lang w:val="en"/>
        </w:rPr>
        <w:t xml:space="preserve"> per cent</w:t>
      </w:r>
      <w:r w:rsidR="00716E4F" w:rsidRPr="000B4EB5">
        <w:rPr>
          <w:lang w:val="en"/>
        </w:rPr>
        <w:t xml:space="preserve"> </w:t>
      </w:r>
      <w:r w:rsidR="00457778" w:rsidRPr="000B4EB5">
        <w:rPr>
          <w:lang w:val="en"/>
        </w:rPr>
        <w:t>in 2016)</w:t>
      </w:r>
      <w:r w:rsidR="00716E4F">
        <w:rPr>
          <w:lang w:val="en"/>
        </w:rPr>
        <w:t>.</w:t>
      </w:r>
      <w:r w:rsidR="00457778" w:rsidRPr="000B4EB5">
        <w:rPr>
          <w:vertAlign w:val="superscript"/>
          <w:lang w:val="en"/>
        </w:rPr>
        <w:footnoteReference w:id="5"/>
      </w:r>
      <w:r w:rsidRPr="000B4EB5">
        <w:rPr>
          <w:lang w:val="en"/>
        </w:rPr>
        <w:t xml:space="preserve"> </w:t>
      </w:r>
      <w:r w:rsidR="0083405B">
        <w:rPr>
          <w:lang w:val="en"/>
        </w:rPr>
        <w:t xml:space="preserve">Access to basic services remains limited with </w:t>
      </w:r>
      <w:r w:rsidRPr="000B4EB5">
        <w:rPr>
          <w:lang w:val="en"/>
        </w:rPr>
        <w:t>29</w:t>
      </w:r>
      <w:r w:rsidR="00716E4F">
        <w:rPr>
          <w:lang w:val="en"/>
        </w:rPr>
        <w:t xml:space="preserve"> per cent</w:t>
      </w:r>
      <w:r w:rsidRPr="000B4EB5">
        <w:rPr>
          <w:lang w:val="en"/>
        </w:rPr>
        <w:t xml:space="preserve"> of Togolese liv</w:t>
      </w:r>
      <w:r w:rsidR="00A86831">
        <w:rPr>
          <w:lang w:val="en"/>
        </w:rPr>
        <w:t>ing</w:t>
      </w:r>
      <w:r w:rsidRPr="000B4EB5">
        <w:rPr>
          <w:lang w:val="en"/>
        </w:rPr>
        <w:t xml:space="preserve"> more than </w:t>
      </w:r>
      <w:r w:rsidR="00A62727">
        <w:rPr>
          <w:lang w:val="en"/>
        </w:rPr>
        <w:t>five</w:t>
      </w:r>
      <w:r w:rsidR="00A62727" w:rsidRPr="000B4EB5">
        <w:rPr>
          <w:lang w:val="en"/>
        </w:rPr>
        <w:t xml:space="preserve"> </w:t>
      </w:r>
      <w:r w:rsidRPr="000B4EB5">
        <w:rPr>
          <w:lang w:val="en"/>
        </w:rPr>
        <w:t>kilometr</w:t>
      </w:r>
      <w:r w:rsidR="004A4355">
        <w:rPr>
          <w:lang w:val="en"/>
        </w:rPr>
        <w:t>e</w:t>
      </w:r>
      <w:r w:rsidRPr="000B4EB5">
        <w:rPr>
          <w:lang w:val="en"/>
        </w:rPr>
        <w:t>s from health facilities</w:t>
      </w:r>
      <w:r w:rsidR="00A62727">
        <w:rPr>
          <w:lang w:val="en"/>
        </w:rPr>
        <w:t>,</w:t>
      </w:r>
      <w:r w:rsidRPr="000B4EB5">
        <w:rPr>
          <w:vertAlign w:val="superscript"/>
          <w:lang w:val="en"/>
        </w:rPr>
        <w:footnoteReference w:id="6"/>
      </w:r>
      <w:r w:rsidRPr="000B4EB5">
        <w:rPr>
          <w:lang w:val="en"/>
        </w:rPr>
        <w:t xml:space="preserve"> 38.2</w:t>
      </w:r>
      <w:r w:rsidR="00716E4F">
        <w:rPr>
          <w:lang w:val="en"/>
        </w:rPr>
        <w:t xml:space="preserve"> per cent</w:t>
      </w:r>
      <w:r w:rsidRPr="000B4EB5">
        <w:rPr>
          <w:lang w:val="en"/>
        </w:rPr>
        <w:t xml:space="preserve"> lack</w:t>
      </w:r>
      <w:r w:rsidR="00F3708F">
        <w:rPr>
          <w:lang w:val="en"/>
        </w:rPr>
        <w:t>ing</w:t>
      </w:r>
      <w:r w:rsidRPr="000B4EB5">
        <w:rPr>
          <w:lang w:val="en"/>
        </w:rPr>
        <w:t xml:space="preserve"> access to drinking water</w:t>
      </w:r>
      <w:r w:rsidRPr="000B4EB5">
        <w:rPr>
          <w:vertAlign w:val="superscript"/>
          <w:lang w:val="en"/>
        </w:rPr>
        <w:footnoteReference w:id="7"/>
      </w:r>
      <w:r w:rsidRPr="000B4EB5">
        <w:rPr>
          <w:lang w:val="en"/>
        </w:rPr>
        <w:t xml:space="preserve"> and only 54</w:t>
      </w:r>
      <w:r w:rsidR="00716E4F">
        <w:rPr>
          <w:lang w:val="en"/>
        </w:rPr>
        <w:t xml:space="preserve"> per cent</w:t>
      </w:r>
      <w:r w:rsidRPr="000B4EB5">
        <w:rPr>
          <w:lang w:val="en"/>
        </w:rPr>
        <w:t xml:space="preserve"> of people living with HIV hav</w:t>
      </w:r>
      <w:r w:rsidR="00F3708F">
        <w:rPr>
          <w:lang w:val="en"/>
        </w:rPr>
        <w:t>ing</w:t>
      </w:r>
      <w:r w:rsidRPr="000B4EB5">
        <w:rPr>
          <w:lang w:val="en"/>
        </w:rPr>
        <w:t xml:space="preserve"> access to antiretroviral therapy</w:t>
      </w:r>
      <w:r w:rsidR="00A62727">
        <w:rPr>
          <w:lang w:val="en"/>
        </w:rPr>
        <w:t>,</w:t>
      </w:r>
      <w:r w:rsidRPr="000B4EB5">
        <w:rPr>
          <w:vertAlign w:val="superscript"/>
          <w:lang w:val="en"/>
        </w:rPr>
        <w:footnoteReference w:id="8"/>
      </w:r>
      <w:r w:rsidR="00136AF1">
        <w:rPr>
          <w:lang w:val="en"/>
        </w:rPr>
        <w:t xml:space="preserve"> </w:t>
      </w:r>
      <w:r w:rsidRPr="000B4EB5">
        <w:rPr>
          <w:lang w:val="en"/>
        </w:rPr>
        <w:t>despite high national HIV rates (2.5</w:t>
      </w:r>
      <w:r w:rsidR="00716E4F">
        <w:rPr>
          <w:lang w:val="en"/>
        </w:rPr>
        <w:t xml:space="preserve"> per cent</w:t>
      </w:r>
      <w:r w:rsidRPr="000B4EB5">
        <w:rPr>
          <w:lang w:val="en"/>
        </w:rPr>
        <w:t>).</w:t>
      </w:r>
      <w:r w:rsidR="00F3708F">
        <w:rPr>
          <w:lang w:val="en"/>
        </w:rPr>
        <w:t xml:space="preserve"> Togo </w:t>
      </w:r>
      <w:r w:rsidR="00A62727">
        <w:rPr>
          <w:lang w:val="en"/>
        </w:rPr>
        <w:t xml:space="preserve">ranked </w:t>
      </w:r>
      <w:r w:rsidRPr="000B4EB5">
        <w:rPr>
          <w:lang w:val="en"/>
        </w:rPr>
        <w:t>166 of 188</w:t>
      </w:r>
      <w:r w:rsidR="00F3708F">
        <w:rPr>
          <w:lang w:val="en"/>
        </w:rPr>
        <w:t xml:space="preserve"> on the</w:t>
      </w:r>
      <w:r w:rsidR="00781142">
        <w:rPr>
          <w:lang w:val="en"/>
        </w:rPr>
        <w:t xml:space="preserve"> 2016</w:t>
      </w:r>
      <w:r w:rsidR="00F3708F">
        <w:rPr>
          <w:lang w:val="en"/>
        </w:rPr>
        <w:t xml:space="preserve"> </w:t>
      </w:r>
      <w:r w:rsidR="00A62727">
        <w:rPr>
          <w:lang w:val="en"/>
        </w:rPr>
        <w:t>H</w:t>
      </w:r>
      <w:r w:rsidR="00F3708F">
        <w:rPr>
          <w:lang w:val="en"/>
        </w:rPr>
        <w:t xml:space="preserve">uman </w:t>
      </w:r>
      <w:r w:rsidR="00A62727">
        <w:rPr>
          <w:lang w:val="en"/>
        </w:rPr>
        <w:t>D</w:t>
      </w:r>
      <w:r w:rsidR="00F3708F">
        <w:rPr>
          <w:lang w:val="en"/>
        </w:rPr>
        <w:t xml:space="preserve">evelopment </w:t>
      </w:r>
      <w:r w:rsidR="00A62727">
        <w:rPr>
          <w:lang w:val="en"/>
        </w:rPr>
        <w:t>I</w:t>
      </w:r>
      <w:r w:rsidR="00F3708F">
        <w:rPr>
          <w:lang w:val="en"/>
        </w:rPr>
        <w:t>ndex</w:t>
      </w:r>
      <w:r w:rsidRPr="000B4EB5">
        <w:rPr>
          <w:lang w:val="en"/>
        </w:rPr>
        <w:t>.</w:t>
      </w:r>
      <w:r w:rsidR="00434328">
        <w:rPr>
          <w:lang w:val="en"/>
        </w:rPr>
        <w:t xml:space="preserve"> </w:t>
      </w:r>
    </w:p>
    <w:p w14:paraId="28138E31" w14:textId="3D5005D6" w:rsidR="00DE5140" w:rsidRPr="006D6393" w:rsidRDefault="00C976E3" w:rsidP="00DE7E37">
      <w:pPr>
        <w:numPr>
          <w:ilvl w:val="0"/>
          <w:numId w:val="2"/>
        </w:numPr>
        <w:tabs>
          <w:tab w:val="left" w:pos="990"/>
        </w:tabs>
        <w:spacing w:after="120"/>
        <w:ind w:left="720" w:firstLine="0"/>
        <w:jc w:val="both"/>
        <w:rPr>
          <w:lang w:val="en"/>
        </w:rPr>
      </w:pPr>
      <w:r w:rsidRPr="006D6393">
        <w:rPr>
          <w:lang w:val="en"/>
        </w:rPr>
        <w:t xml:space="preserve">Togo’s </w:t>
      </w:r>
      <w:r w:rsidR="00DE5140" w:rsidRPr="006D6393">
        <w:rPr>
          <w:lang w:val="en"/>
        </w:rPr>
        <w:t xml:space="preserve">multidimensional </w:t>
      </w:r>
      <w:r w:rsidR="0032355F" w:rsidRPr="006D6393">
        <w:rPr>
          <w:lang w:val="en"/>
        </w:rPr>
        <w:t>p</w:t>
      </w:r>
      <w:r w:rsidR="00DE5140" w:rsidRPr="006D6393">
        <w:rPr>
          <w:lang w:val="en"/>
        </w:rPr>
        <w:t xml:space="preserve">overty is the consequence of weak </w:t>
      </w:r>
      <w:r w:rsidRPr="006D6393">
        <w:rPr>
          <w:lang w:val="en"/>
        </w:rPr>
        <w:t xml:space="preserve">economic </w:t>
      </w:r>
      <w:r w:rsidR="00DE5140" w:rsidRPr="006D6393">
        <w:rPr>
          <w:lang w:val="en"/>
        </w:rPr>
        <w:t xml:space="preserve">diversification, ineffective development management and insufficient inclusive governance, </w:t>
      </w:r>
      <w:r w:rsidR="00A62727">
        <w:rPr>
          <w:lang w:val="en"/>
        </w:rPr>
        <w:t xml:space="preserve">which </w:t>
      </w:r>
      <w:r w:rsidR="00A62727" w:rsidRPr="006D6393">
        <w:rPr>
          <w:lang w:val="en"/>
        </w:rPr>
        <w:t>exacerbat</w:t>
      </w:r>
      <w:r w:rsidR="00A62727">
        <w:rPr>
          <w:lang w:val="en"/>
        </w:rPr>
        <w:t>e</w:t>
      </w:r>
      <w:r w:rsidR="00A62727" w:rsidRPr="006D6393">
        <w:rPr>
          <w:lang w:val="en"/>
        </w:rPr>
        <w:t xml:space="preserve"> </w:t>
      </w:r>
      <w:r w:rsidR="00DE5140" w:rsidRPr="006D6393">
        <w:rPr>
          <w:lang w:val="en"/>
        </w:rPr>
        <w:t xml:space="preserve">vulnerability to climate change. </w:t>
      </w:r>
      <w:r w:rsidR="006D6393" w:rsidRPr="006D6393">
        <w:rPr>
          <w:lang w:val="en"/>
        </w:rPr>
        <w:t>Poverty affects 68.7</w:t>
      </w:r>
      <w:r w:rsidR="00716E4F">
        <w:rPr>
          <w:lang w:val="en"/>
        </w:rPr>
        <w:t xml:space="preserve"> per cent</w:t>
      </w:r>
      <w:r w:rsidR="006D6393" w:rsidRPr="006D6393">
        <w:rPr>
          <w:lang w:val="en"/>
        </w:rPr>
        <w:t xml:space="preserve"> of rural areas</w:t>
      </w:r>
      <w:r w:rsidR="00566C90">
        <w:rPr>
          <w:lang w:val="en"/>
        </w:rPr>
        <w:t xml:space="preserve"> </w:t>
      </w:r>
      <w:r w:rsidR="00DC50FD">
        <w:rPr>
          <w:lang w:val="en"/>
        </w:rPr>
        <w:t xml:space="preserve">and </w:t>
      </w:r>
      <w:r w:rsidR="006D6393" w:rsidRPr="006D6393">
        <w:rPr>
          <w:lang w:val="en"/>
        </w:rPr>
        <w:t>37.9</w:t>
      </w:r>
      <w:r w:rsidR="00716E4F">
        <w:rPr>
          <w:lang w:val="en"/>
        </w:rPr>
        <w:t xml:space="preserve"> per cent</w:t>
      </w:r>
      <w:r w:rsidR="006D6393" w:rsidRPr="006D6393">
        <w:rPr>
          <w:lang w:val="en"/>
        </w:rPr>
        <w:t xml:space="preserve"> of urban areas</w:t>
      </w:r>
      <w:r w:rsidR="00A62727">
        <w:rPr>
          <w:lang w:val="en"/>
        </w:rPr>
        <w:t>.</w:t>
      </w:r>
      <w:r w:rsidR="006D6393" w:rsidRPr="0022530C">
        <w:rPr>
          <w:vertAlign w:val="superscript"/>
          <w:lang w:val="en"/>
        </w:rPr>
        <w:footnoteReference w:id="9"/>
      </w:r>
      <w:r w:rsidR="000E359A" w:rsidRPr="000E359A">
        <w:rPr>
          <w:lang w:val="en"/>
        </w:rPr>
        <w:t xml:space="preserve"> </w:t>
      </w:r>
      <w:r w:rsidR="002079B6">
        <w:rPr>
          <w:lang w:val="en"/>
        </w:rPr>
        <w:t>W</w:t>
      </w:r>
      <w:r w:rsidR="008F0B8B">
        <w:rPr>
          <w:lang w:val="en"/>
        </w:rPr>
        <w:t>omen</w:t>
      </w:r>
      <w:r w:rsidR="00DC50FD">
        <w:rPr>
          <w:lang w:val="en"/>
        </w:rPr>
        <w:t>-</w:t>
      </w:r>
      <w:r w:rsidR="00912B23" w:rsidRPr="006D6393">
        <w:rPr>
          <w:lang w:val="en"/>
        </w:rPr>
        <w:t>headed households</w:t>
      </w:r>
      <w:r w:rsidR="00912B23">
        <w:rPr>
          <w:lang w:val="en"/>
        </w:rPr>
        <w:t xml:space="preserve"> </w:t>
      </w:r>
      <w:r w:rsidR="002079B6">
        <w:rPr>
          <w:lang w:val="en"/>
        </w:rPr>
        <w:t xml:space="preserve">are the poorest </w:t>
      </w:r>
      <w:r w:rsidR="00912B23">
        <w:rPr>
          <w:lang w:val="en"/>
        </w:rPr>
        <w:t>(57.5</w:t>
      </w:r>
      <w:r w:rsidR="00716E4F">
        <w:rPr>
          <w:lang w:val="en"/>
        </w:rPr>
        <w:t xml:space="preserve"> per cent</w:t>
      </w:r>
      <w:r w:rsidR="00912B23">
        <w:rPr>
          <w:lang w:val="en"/>
        </w:rPr>
        <w:t>)</w:t>
      </w:r>
      <w:r w:rsidR="00912B23" w:rsidRPr="006D6393">
        <w:rPr>
          <w:lang w:val="en"/>
        </w:rPr>
        <w:t xml:space="preserve"> </w:t>
      </w:r>
      <w:r w:rsidR="00912B23">
        <w:rPr>
          <w:lang w:val="en"/>
        </w:rPr>
        <w:t xml:space="preserve">due to sociocultural barriers and patriarchal </w:t>
      </w:r>
      <w:r w:rsidR="000C1A4F">
        <w:rPr>
          <w:lang w:val="en"/>
        </w:rPr>
        <w:t>structures</w:t>
      </w:r>
      <w:r w:rsidR="00136AF1">
        <w:rPr>
          <w:lang w:val="en"/>
        </w:rPr>
        <w:t>,</w:t>
      </w:r>
      <w:r w:rsidR="000C1A4F">
        <w:rPr>
          <w:lang w:val="en"/>
        </w:rPr>
        <w:t xml:space="preserve"> resulting</w:t>
      </w:r>
      <w:r w:rsidR="00912B23">
        <w:rPr>
          <w:lang w:val="en"/>
        </w:rPr>
        <w:t xml:space="preserve"> in </w:t>
      </w:r>
      <w:r w:rsidR="009E6C61">
        <w:rPr>
          <w:lang w:val="en"/>
        </w:rPr>
        <w:t xml:space="preserve">women’s </w:t>
      </w:r>
      <w:r w:rsidR="00912B23">
        <w:rPr>
          <w:lang w:val="en"/>
        </w:rPr>
        <w:t xml:space="preserve">low education, </w:t>
      </w:r>
      <w:r w:rsidR="00912B23" w:rsidRPr="006D6393">
        <w:rPr>
          <w:lang w:val="en"/>
        </w:rPr>
        <w:t>less access to capital</w:t>
      </w:r>
      <w:r w:rsidR="002079B6">
        <w:rPr>
          <w:lang w:val="en"/>
        </w:rPr>
        <w:t xml:space="preserve"> and</w:t>
      </w:r>
      <w:r w:rsidR="00136AF1">
        <w:rPr>
          <w:lang w:val="en"/>
        </w:rPr>
        <w:t xml:space="preserve"> </w:t>
      </w:r>
      <w:r w:rsidR="00912B23" w:rsidRPr="006D6393">
        <w:rPr>
          <w:lang w:val="en"/>
        </w:rPr>
        <w:t xml:space="preserve">land </w:t>
      </w:r>
      <w:r w:rsidR="00912B23">
        <w:rPr>
          <w:lang w:val="en"/>
        </w:rPr>
        <w:t xml:space="preserve">ownership </w:t>
      </w:r>
      <w:r w:rsidR="00912B23" w:rsidRPr="006D6393">
        <w:rPr>
          <w:lang w:val="en"/>
        </w:rPr>
        <w:t>and low participation in decision</w:t>
      </w:r>
      <w:r w:rsidR="00912B23">
        <w:rPr>
          <w:lang w:val="en"/>
        </w:rPr>
        <w:t>-</w:t>
      </w:r>
      <w:r w:rsidR="000C1A4F" w:rsidRPr="006D6393">
        <w:rPr>
          <w:lang w:val="en"/>
        </w:rPr>
        <w:t>making</w:t>
      </w:r>
      <w:r w:rsidR="000C1A4F">
        <w:rPr>
          <w:lang w:val="en"/>
        </w:rPr>
        <w:t xml:space="preserve"> </w:t>
      </w:r>
      <w:r w:rsidR="000C1A4F" w:rsidRPr="000C1A4F">
        <w:rPr>
          <w:lang w:val="en"/>
        </w:rPr>
        <w:t>(18</w:t>
      </w:r>
      <w:r w:rsidR="00716E4F">
        <w:rPr>
          <w:lang w:val="en"/>
        </w:rPr>
        <w:t xml:space="preserve"> per cent</w:t>
      </w:r>
      <w:r w:rsidR="000C1A4F" w:rsidRPr="000C1A4F">
        <w:rPr>
          <w:lang w:val="en"/>
        </w:rPr>
        <w:t xml:space="preserve"> of parliamentary seats and 24</w:t>
      </w:r>
      <w:r w:rsidR="00716E4F">
        <w:rPr>
          <w:lang w:val="en"/>
        </w:rPr>
        <w:t xml:space="preserve"> per cent</w:t>
      </w:r>
      <w:r w:rsidR="000C1A4F" w:rsidRPr="000C1A4F">
        <w:rPr>
          <w:lang w:val="en"/>
        </w:rPr>
        <w:t xml:space="preserve"> of central government positions). </w:t>
      </w:r>
      <w:r w:rsidR="000C1A4F" w:rsidRPr="006D6393">
        <w:rPr>
          <w:lang w:val="en"/>
        </w:rPr>
        <w:t>Women</w:t>
      </w:r>
      <w:r w:rsidR="00912B23" w:rsidRPr="006D6393">
        <w:rPr>
          <w:lang w:val="en"/>
        </w:rPr>
        <w:t xml:space="preserve"> achieve </w:t>
      </w:r>
      <w:r w:rsidR="004A4355">
        <w:rPr>
          <w:lang w:val="en"/>
        </w:rPr>
        <w:t xml:space="preserve">only </w:t>
      </w:r>
      <w:r w:rsidR="00912B23" w:rsidRPr="006D6393">
        <w:rPr>
          <w:lang w:val="en"/>
        </w:rPr>
        <w:t>84</w:t>
      </w:r>
      <w:r w:rsidR="00716E4F">
        <w:rPr>
          <w:lang w:val="en"/>
        </w:rPr>
        <w:t xml:space="preserve"> per cent</w:t>
      </w:r>
      <w:r w:rsidR="00912B23" w:rsidRPr="002C210D">
        <w:rPr>
          <w:vertAlign w:val="superscript"/>
          <w:lang w:val="en"/>
        </w:rPr>
        <w:footnoteReference w:id="10"/>
      </w:r>
      <w:r w:rsidR="00912B23" w:rsidRPr="006D6393">
        <w:rPr>
          <w:lang w:val="en"/>
        </w:rPr>
        <w:t xml:space="preserve"> of the level of human development </w:t>
      </w:r>
      <w:r w:rsidR="00BC0FD7">
        <w:rPr>
          <w:lang w:val="en"/>
        </w:rPr>
        <w:t xml:space="preserve">achieved by </w:t>
      </w:r>
      <w:r w:rsidR="00912B23">
        <w:rPr>
          <w:lang w:val="en"/>
        </w:rPr>
        <w:t>men</w:t>
      </w:r>
      <w:r w:rsidR="000C1A4F">
        <w:rPr>
          <w:lang w:val="en"/>
        </w:rPr>
        <w:t xml:space="preserve">. </w:t>
      </w:r>
      <w:r w:rsidR="00136AF1">
        <w:rPr>
          <w:lang w:val="en"/>
        </w:rPr>
        <w:t>Togo’s</w:t>
      </w:r>
      <w:r w:rsidR="00DE5140" w:rsidRPr="006D6393">
        <w:rPr>
          <w:lang w:val="en"/>
        </w:rPr>
        <w:t xml:space="preserve"> economy</w:t>
      </w:r>
      <w:r w:rsidR="00136AF1">
        <w:rPr>
          <w:lang w:val="en"/>
        </w:rPr>
        <w:t xml:space="preserve"> is</w:t>
      </w:r>
      <w:r w:rsidR="00457778">
        <w:rPr>
          <w:lang w:val="en"/>
        </w:rPr>
        <w:t xml:space="preserve"> </w:t>
      </w:r>
      <w:r w:rsidR="00DE5140" w:rsidRPr="006D6393">
        <w:rPr>
          <w:lang w:val="en"/>
        </w:rPr>
        <w:t xml:space="preserve">dominated by the informal sector and </w:t>
      </w:r>
      <w:r w:rsidR="003B3F36" w:rsidRPr="006D6393">
        <w:rPr>
          <w:lang w:val="en"/>
        </w:rPr>
        <w:t>agriculture</w:t>
      </w:r>
      <w:r w:rsidR="00A62727">
        <w:rPr>
          <w:lang w:val="en"/>
        </w:rPr>
        <w:t>,</w:t>
      </w:r>
      <w:r w:rsidR="00457778">
        <w:rPr>
          <w:lang w:val="en"/>
        </w:rPr>
        <w:t xml:space="preserve"> which</w:t>
      </w:r>
      <w:r w:rsidR="003B3F36" w:rsidRPr="006D6393">
        <w:rPr>
          <w:lang w:val="en"/>
        </w:rPr>
        <w:t xml:space="preserve"> represents 41</w:t>
      </w:r>
      <w:r w:rsidR="00716E4F">
        <w:rPr>
          <w:lang w:val="en"/>
        </w:rPr>
        <w:t xml:space="preserve"> per cent</w:t>
      </w:r>
      <w:r w:rsidR="003B3F36" w:rsidRPr="006D6393">
        <w:rPr>
          <w:lang w:val="en"/>
        </w:rPr>
        <w:t xml:space="preserve"> of </w:t>
      </w:r>
      <w:r w:rsidR="00A62727">
        <w:rPr>
          <w:lang w:val="en"/>
        </w:rPr>
        <w:t>gross domestic product</w:t>
      </w:r>
      <w:r w:rsidR="00DE5140" w:rsidRPr="0022530C">
        <w:rPr>
          <w:vertAlign w:val="superscript"/>
          <w:lang w:val="en"/>
        </w:rPr>
        <w:footnoteReference w:id="11"/>
      </w:r>
      <w:r w:rsidR="00257387" w:rsidRPr="006D6393">
        <w:rPr>
          <w:lang w:val="en"/>
        </w:rPr>
        <w:t xml:space="preserve"> </w:t>
      </w:r>
      <w:r w:rsidR="00A62727">
        <w:rPr>
          <w:lang w:val="en"/>
        </w:rPr>
        <w:t xml:space="preserve">and </w:t>
      </w:r>
      <w:r w:rsidR="003B3F36" w:rsidRPr="006D6393">
        <w:rPr>
          <w:lang w:val="en"/>
        </w:rPr>
        <w:t xml:space="preserve">is </w:t>
      </w:r>
      <w:r w:rsidR="00DE5140" w:rsidRPr="006D6393">
        <w:rPr>
          <w:lang w:val="en"/>
        </w:rPr>
        <w:t>characterized by low productivity</w:t>
      </w:r>
      <w:r w:rsidR="006D6393" w:rsidRPr="006D6393">
        <w:rPr>
          <w:lang w:val="en"/>
        </w:rPr>
        <w:t>,</w:t>
      </w:r>
      <w:r w:rsidR="00DE5140" w:rsidRPr="006D6393">
        <w:rPr>
          <w:lang w:val="en"/>
        </w:rPr>
        <w:t xml:space="preserve"> weak competitiveness</w:t>
      </w:r>
      <w:r w:rsidR="006D6393" w:rsidRPr="006D6393">
        <w:rPr>
          <w:lang w:val="en"/>
        </w:rPr>
        <w:t xml:space="preserve"> and </w:t>
      </w:r>
      <w:r w:rsidR="005C2A25" w:rsidRPr="006D6393">
        <w:rPr>
          <w:lang w:val="en"/>
        </w:rPr>
        <w:t>e</w:t>
      </w:r>
      <w:r w:rsidR="0010392B">
        <w:rPr>
          <w:lang w:val="en"/>
        </w:rPr>
        <w:t>ndemic</w:t>
      </w:r>
      <w:r w:rsidR="005C2A25" w:rsidRPr="006D6393">
        <w:rPr>
          <w:lang w:val="en"/>
        </w:rPr>
        <w:t xml:space="preserve"> poverty</w:t>
      </w:r>
      <w:r w:rsidR="006D6393" w:rsidRPr="006D6393">
        <w:rPr>
          <w:lang w:val="en"/>
        </w:rPr>
        <w:t xml:space="preserve"> among farmers (72.6</w:t>
      </w:r>
      <w:r w:rsidR="00716E4F">
        <w:rPr>
          <w:lang w:val="en"/>
        </w:rPr>
        <w:t xml:space="preserve"> per cent</w:t>
      </w:r>
      <w:r w:rsidR="006D6393" w:rsidRPr="006D6393">
        <w:rPr>
          <w:lang w:val="en"/>
        </w:rPr>
        <w:t xml:space="preserve"> in 2015)</w:t>
      </w:r>
      <w:r w:rsidR="00A62727">
        <w:rPr>
          <w:lang w:val="en"/>
        </w:rPr>
        <w:t>.</w:t>
      </w:r>
      <w:r w:rsidR="006D6393" w:rsidRPr="0022530C">
        <w:rPr>
          <w:vertAlign w:val="superscript"/>
          <w:lang w:val="en"/>
        </w:rPr>
        <w:footnoteReference w:id="12"/>
      </w:r>
      <w:r w:rsidR="006D6393" w:rsidRPr="006D6393">
        <w:rPr>
          <w:lang w:val="en"/>
        </w:rPr>
        <w:t xml:space="preserve"> </w:t>
      </w:r>
      <w:r w:rsidR="00136AF1">
        <w:rPr>
          <w:lang w:val="en"/>
        </w:rPr>
        <w:t>Although</w:t>
      </w:r>
      <w:r w:rsidR="006D6393" w:rsidRPr="006D6393">
        <w:rPr>
          <w:lang w:val="en"/>
        </w:rPr>
        <w:t xml:space="preserve"> </w:t>
      </w:r>
      <w:r w:rsidR="005C2A25">
        <w:rPr>
          <w:lang w:val="en"/>
        </w:rPr>
        <w:t xml:space="preserve">the </w:t>
      </w:r>
      <w:r w:rsidR="006D6393" w:rsidRPr="006D6393">
        <w:rPr>
          <w:lang w:val="en"/>
        </w:rPr>
        <w:t xml:space="preserve">poverty rate </w:t>
      </w:r>
      <w:r w:rsidR="00A62727">
        <w:rPr>
          <w:lang w:val="en"/>
        </w:rPr>
        <w:t xml:space="preserve">has </w:t>
      </w:r>
      <w:r w:rsidR="005C2A25" w:rsidRPr="006D6393">
        <w:rPr>
          <w:lang w:val="en"/>
        </w:rPr>
        <w:t>declined</w:t>
      </w:r>
      <w:r w:rsidR="006D6393" w:rsidRPr="006D6393">
        <w:rPr>
          <w:lang w:val="en"/>
        </w:rPr>
        <w:t xml:space="preserve">, inequality persists with the Gini </w:t>
      </w:r>
      <w:r w:rsidR="00A62727">
        <w:rPr>
          <w:lang w:val="en"/>
        </w:rPr>
        <w:t>I</w:t>
      </w:r>
      <w:r w:rsidR="006D6393" w:rsidRPr="006D6393">
        <w:rPr>
          <w:lang w:val="en"/>
        </w:rPr>
        <w:t>ndex rising from 0.393 in 2011</w:t>
      </w:r>
      <w:r w:rsidR="002079B6">
        <w:rPr>
          <w:lang w:val="en"/>
        </w:rPr>
        <w:t xml:space="preserve"> </w:t>
      </w:r>
      <w:r w:rsidR="006D6393" w:rsidRPr="006D6393">
        <w:rPr>
          <w:lang w:val="en"/>
        </w:rPr>
        <w:t xml:space="preserve">to 0.427 in 2017. </w:t>
      </w:r>
      <w:r w:rsidR="00A128FF" w:rsidRPr="006D6393">
        <w:rPr>
          <w:lang w:val="en"/>
        </w:rPr>
        <w:t xml:space="preserve">Although the </w:t>
      </w:r>
      <w:r w:rsidR="0033111F" w:rsidRPr="006D6393">
        <w:rPr>
          <w:lang w:val="en"/>
        </w:rPr>
        <w:t>unemployment rate</w:t>
      </w:r>
      <w:r w:rsidR="0033111F" w:rsidRPr="006D6393" w:rsidDel="0033111F">
        <w:rPr>
          <w:lang w:val="en"/>
        </w:rPr>
        <w:t xml:space="preserve"> </w:t>
      </w:r>
      <w:r w:rsidR="00DE5140" w:rsidRPr="006D6393">
        <w:rPr>
          <w:lang w:val="en"/>
        </w:rPr>
        <w:t>decreased from 6.5</w:t>
      </w:r>
      <w:r w:rsidR="00716E4F">
        <w:rPr>
          <w:lang w:val="en"/>
        </w:rPr>
        <w:t xml:space="preserve"> per cent</w:t>
      </w:r>
      <w:r w:rsidR="00DE5140" w:rsidRPr="006D6393">
        <w:rPr>
          <w:lang w:val="en"/>
        </w:rPr>
        <w:t xml:space="preserve"> to 3.4</w:t>
      </w:r>
      <w:r w:rsidR="00716E4F">
        <w:rPr>
          <w:lang w:val="en"/>
        </w:rPr>
        <w:t xml:space="preserve"> per cent</w:t>
      </w:r>
      <w:r w:rsidR="00DE5140" w:rsidRPr="006D6393">
        <w:rPr>
          <w:lang w:val="en"/>
        </w:rPr>
        <w:t xml:space="preserve"> between 2011 and 2015, underemployment </w:t>
      </w:r>
      <w:r w:rsidR="00A128FF" w:rsidRPr="006D6393">
        <w:rPr>
          <w:lang w:val="en"/>
        </w:rPr>
        <w:t xml:space="preserve">increased </w:t>
      </w:r>
      <w:r w:rsidR="00DE5140" w:rsidRPr="006D6393">
        <w:rPr>
          <w:lang w:val="en"/>
        </w:rPr>
        <w:t>from 22.8</w:t>
      </w:r>
      <w:r w:rsidR="00716E4F">
        <w:rPr>
          <w:lang w:val="en"/>
        </w:rPr>
        <w:t xml:space="preserve"> per cent</w:t>
      </w:r>
      <w:r w:rsidR="00DE5140" w:rsidRPr="006D6393">
        <w:rPr>
          <w:lang w:val="en"/>
        </w:rPr>
        <w:t xml:space="preserve"> to 25.8</w:t>
      </w:r>
      <w:r w:rsidR="00716E4F">
        <w:rPr>
          <w:lang w:val="en"/>
        </w:rPr>
        <w:t xml:space="preserve"> per cent</w:t>
      </w:r>
      <w:r w:rsidR="00DE5140" w:rsidRPr="0022530C">
        <w:rPr>
          <w:vertAlign w:val="superscript"/>
          <w:lang w:val="en"/>
        </w:rPr>
        <w:footnoteReference w:id="13"/>
      </w:r>
      <w:r w:rsidR="0033111F" w:rsidRPr="006D6393">
        <w:rPr>
          <w:lang w:val="en"/>
        </w:rPr>
        <w:t xml:space="preserve"> </w:t>
      </w:r>
      <w:r w:rsidR="00EE45D2">
        <w:rPr>
          <w:lang w:val="en"/>
        </w:rPr>
        <w:t>(</w:t>
      </w:r>
      <w:r w:rsidR="00EE45D2" w:rsidRPr="006D6393">
        <w:rPr>
          <w:lang w:val="en"/>
        </w:rPr>
        <w:t>24.1</w:t>
      </w:r>
      <w:r w:rsidR="00716E4F">
        <w:rPr>
          <w:lang w:val="en"/>
        </w:rPr>
        <w:t xml:space="preserve"> per cent</w:t>
      </w:r>
      <w:r w:rsidR="00EE45D2">
        <w:rPr>
          <w:lang w:val="en"/>
        </w:rPr>
        <w:t xml:space="preserve"> for women). </w:t>
      </w:r>
      <w:r w:rsidR="00DE5140" w:rsidRPr="006D6393">
        <w:rPr>
          <w:lang w:val="en"/>
        </w:rPr>
        <w:t xml:space="preserve">Major constraints to employment relate to the mismatch of youth skills </w:t>
      </w:r>
      <w:r w:rsidR="009D4FFE">
        <w:rPr>
          <w:lang w:val="en"/>
        </w:rPr>
        <w:t xml:space="preserve">and </w:t>
      </w:r>
      <w:r w:rsidR="00DE5140" w:rsidRPr="006D6393">
        <w:rPr>
          <w:lang w:val="en"/>
        </w:rPr>
        <w:t>labo</w:t>
      </w:r>
      <w:r w:rsidR="00A62727">
        <w:rPr>
          <w:lang w:val="en"/>
        </w:rPr>
        <w:t>u</w:t>
      </w:r>
      <w:r w:rsidR="00DE5140" w:rsidRPr="006D6393">
        <w:rPr>
          <w:lang w:val="en"/>
        </w:rPr>
        <w:t>r market</w:t>
      </w:r>
      <w:r w:rsidR="00273F18" w:rsidRPr="00273F18">
        <w:rPr>
          <w:lang w:val="en"/>
        </w:rPr>
        <w:t xml:space="preserve"> </w:t>
      </w:r>
      <w:r w:rsidR="00273F18" w:rsidRPr="006D6393">
        <w:rPr>
          <w:lang w:val="en"/>
        </w:rPr>
        <w:t>needs</w:t>
      </w:r>
      <w:r w:rsidR="00127D9A" w:rsidRPr="006D6393">
        <w:rPr>
          <w:lang w:val="en"/>
        </w:rPr>
        <w:t>.</w:t>
      </w:r>
    </w:p>
    <w:bookmarkEnd w:id="2"/>
    <w:p w14:paraId="1142AC98" w14:textId="41FCBCCF" w:rsidR="00C104C4" w:rsidRPr="000B4EB5" w:rsidRDefault="00C104C4" w:rsidP="00DE7E37">
      <w:pPr>
        <w:numPr>
          <w:ilvl w:val="0"/>
          <w:numId w:val="2"/>
        </w:numPr>
        <w:tabs>
          <w:tab w:val="left" w:pos="990"/>
        </w:tabs>
        <w:snapToGrid w:val="0"/>
        <w:spacing w:after="120"/>
        <w:ind w:left="720" w:firstLine="0"/>
        <w:jc w:val="both"/>
        <w:rPr>
          <w:snapToGrid/>
        </w:rPr>
      </w:pPr>
      <w:r w:rsidRPr="000B4EB5">
        <w:rPr>
          <w:lang w:val="en"/>
        </w:rPr>
        <w:t>Togo's poverty profile</w:t>
      </w:r>
      <w:r w:rsidR="00AE4F19">
        <w:rPr>
          <w:lang w:val="en"/>
        </w:rPr>
        <w:t xml:space="preserve"> </w:t>
      </w:r>
      <w:r w:rsidR="00850980">
        <w:rPr>
          <w:lang w:val="en"/>
        </w:rPr>
        <w:t xml:space="preserve">is </w:t>
      </w:r>
      <w:r w:rsidRPr="000B4EB5">
        <w:rPr>
          <w:lang w:val="en"/>
        </w:rPr>
        <w:t xml:space="preserve">linked </w:t>
      </w:r>
      <w:r w:rsidR="005D174F">
        <w:rPr>
          <w:lang w:val="en"/>
        </w:rPr>
        <w:t xml:space="preserve">to </w:t>
      </w:r>
      <w:r w:rsidRPr="000B4EB5">
        <w:rPr>
          <w:lang w:val="en"/>
        </w:rPr>
        <w:t>negative</w:t>
      </w:r>
      <w:r w:rsidR="0010392B">
        <w:rPr>
          <w:lang w:val="en"/>
        </w:rPr>
        <w:t xml:space="preserve"> climate change</w:t>
      </w:r>
      <w:r w:rsidRPr="000B4EB5">
        <w:rPr>
          <w:lang w:val="en"/>
        </w:rPr>
        <w:t xml:space="preserve"> impact</w:t>
      </w:r>
      <w:r w:rsidR="00AE4F19">
        <w:rPr>
          <w:lang w:val="en"/>
        </w:rPr>
        <w:t>s</w:t>
      </w:r>
      <w:r w:rsidR="00301DE7">
        <w:rPr>
          <w:lang w:val="en"/>
        </w:rPr>
        <w:t xml:space="preserve">, </w:t>
      </w:r>
      <w:r w:rsidR="00301DE7" w:rsidRPr="000B4EB5">
        <w:rPr>
          <w:lang w:val="en"/>
        </w:rPr>
        <w:t>weak waste management</w:t>
      </w:r>
      <w:r w:rsidRPr="000B4EB5">
        <w:rPr>
          <w:lang w:val="en"/>
        </w:rPr>
        <w:t xml:space="preserve"> and land degradation translated into high rate</w:t>
      </w:r>
      <w:r w:rsidR="00136AF1">
        <w:rPr>
          <w:lang w:val="en"/>
        </w:rPr>
        <w:t>s</w:t>
      </w:r>
      <w:r w:rsidRPr="000B4EB5">
        <w:rPr>
          <w:lang w:val="en"/>
        </w:rPr>
        <w:t xml:space="preserve"> of deforestation (10</w:t>
      </w:r>
      <w:r w:rsidR="005C5044">
        <w:rPr>
          <w:lang w:val="en"/>
        </w:rPr>
        <w:t>,</w:t>
      </w:r>
      <w:r w:rsidRPr="000B4EB5">
        <w:rPr>
          <w:lang w:val="en"/>
        </w:rPr>
        <w:t>000 to 15</w:t>
      </w:r>
      <w:r w:rsidR="005C5044">
        <w:rPr>
          <w:lang w:val="en"/>
        </w:rPr>
        <w:t>,</w:t>
      </w:r>
      <w:r w:rsidRPr="000B4EB5">
        <w:rPr>
          <w:lang w:val="en"/>
        </w:rPr>
        <w:t xml:space="preserve">000 </w:t>
      </w:r>
      <w:r w:rsidR="00A62727">
        <w:rPr>
          <w:lang w:val="en"/>
        </w:rPr>
        <w:t xml:space="preserve">hectares per </w:t>
      </w:r>
      <w:r w:rsidRPr="000B4EB5">
        <w:rPr>
          <w:lang w:val="en"/>
        </w:rPr>
        <w:t>year)</w:t>
      </w:r>
      <w:r w:rsidR="00A62727">
        <w:rPr>
          <w:lang w:val="en"/>
        </w:rPr>
        <w:t>.</w:t>
      </w:r>
      <w:r w:rsidR="009D35AB">
        <w:rPr>
          <w:rStyle w:val="FootnoteReference"/>
          <w:lang w:val="en"/>
        </w:rPr>
        <w:footnoteReference w:id="14"/>
      </w:r>
      <w:r w:rsidRPr="000B4EB5">
        <w:rPr>
          <w:lang w:val="en"/>
        </w:rPr>
        <w:t xml:space="preserve"> </w:t>
      </w:r>
      <w:r w:rsidR="0010392B">
        <w:t>N</w:t>
      </w:r>
      <w:r w:rsidR="00301DE7" w:rsidRPr="00562435">
        <w:t xml:space="preserve">atural resource </w:t>
      </w:r>
      <w:r w:rsidR="0010392B">
        <w:t xml:space="preserve">depletion </w:t>
      </w:r>
      <w:r w:rsidR="00301DE7" w:rsidRPr="00562435">
        <w:t>and increasing vulnerability to natural disasters and climate change pose a threat to sustainable human development</w:t>
      </w:r>
      <w:r w:rsidR="008D108B">
        <w:t xml:space="preserve">, </w:t>
      </w:r>
      <w:r w:rsidR="00301DE7" w:rsidRPr="00562435">
        <w:t xml:space="preserve">undermine </w:t>
      </w:r>
      <w:r w:rsidR="0010392B">
        <w:t>poverty eradication efforts</w:t>
      </w:r>
      <w:r w:rsidR="008D108B">
        <w:t xml:space="preserve"> and </w:t>
      </w:r>
      <w:r w:rsidRPr="000B4EB5">
        <w:rPr>
          <w:lang w:val="en"/>
        </w:rPr>
        <w:t>increas</w:t>
      </w:r>
      <w:r w:rsidR="00591EE4">
        <w:rPr>
          <w:lang w:val="en"/>
        </w:rPr>
        <w:t>e</w:t>
      </w:r>
      <w:r w:rsidRPr="000B4EB5">
        <w:rPr>
          <w:lang w:val="en"/>
        </w:rPr>
        <w:t xml:space="preserve"> pressure on limited natural resources</w:t>
      </w:r>
      <w:r w:rsidR="008D108B">
        <w:rPr>
          <w:lang w:val="en"/>
        </w:rPr>
        <w:t xml:space="preserve">. </w:t>
      </w:r>
      <w:r w:rsidR="00103FA3">
        <w:rPr>
          <w:lang w:val="en"/>
        </w:rPr>
        <w:t xml:space="preserve">Some </w:t>
      </w:r>
      <w:r w:rsidRPr="000B4EB5">
        <w:rPr>
          <w:lang w:val="en"/>
        </w:rPr>
        <w:t>90.6</w:t>
      </w:r>
      <w:r w:rsidR="00716E4F">
        <w:rPr>
          <w:lang w:val="en"/>
        </w:rPr>
        <w:t xml:space="preserve"> per cent</w:t>
      </w:r>
      <w:r w:rsidRPr="000B4EB5">
        <w:rPr>
          <w:lang w:val="en"/>
        </w:rPr>
        <w:t xml:space="preserve"> of households us</w:t>
      </w:r>
      <w:r w:rsidR="008D108B">
        <w:rPr>
          <w:lang w:val="en"/>
        </w:rPr>
        <w:t>e</w:t>
      </w:r>
      <w:r w:rsidRPr="000B4EB5">
        <w:rPr>
          <w:lang w:val="en"/>
        </w:rPr>
        <w:t xml:space="preserve"> firewood</w:t>
      </w:r>
      <w:r w:rsidR="00850980">
        <w:rPr>
          <w:lang w:val="en"/>
        </w:rPr>
        <w:t xml:space="preserve"> as </w:t>
      </w:r>
      <w:r w:rsidR="00136AF1">
        <w:rPr>
          <w:lang w:val="en"/>
        </w:rPr>
        <w:t xml:space="preserve">the </w:t>
      </w:r>
      <w:r w:rsidR="00850980">
        <w:rPr>
          <w:lang w:val="en"/>
        </w:rPr>
        <w:t>primary energy source for cooking</w:t>
      </w:r>
      <w:r w:rsidR="009D35AB">
        <w:rPr>
          <w:rStyle w:val="FootnoteReference"/>
          <w:lang w:val="en"/>
        </w:rPr>
        <w:footnoteReference w:id="15"/>
      </w:r>
      <w:r w:rsidRPr="000B4EB5">
        <w:rPr>
          <w:lang w:val="en"/>
        </w:rPr>
        <w:t xml:space="preserve"> </w:t>
      </w:r>
      <w:r w:rsidR="008D108B">
        <w:rPr>
          <w:lang w:val="en"/>
        </w:rPr>
        <w:t>and w</w:t>
      </w:r>
      <w:r w:rsidRPr="001B71EC">
        <w:rPr>
          <w:lang w:val="en"/>
        </w:rPr>
        <w:t>omen produce 70 to 80</w:t>
      </w:r>
      <w:r w:rsidR="00716E4F" w:rsidRPr="001B71EC">
        <w:rPr>
          <w:lang w:val="en"/>
        </w:rPr>
        <w:t xml:space="preserve"> per cent</w:t>
      </w:r>
      <w:r w:rsidRPr="001B71EC">
        <w:rPr>
          <w:lang w:val="en"/>
        </w:rPr>
        <w:t xml:space="preserve"> of charcoal using rudimentary techniques</w:t>
      </w:r>
      <w:r w:rsidR="000B5C96" w:rsidRPr="001B71EC">
        <w:rPr>
          <w:lang w:val="en"/>
        </w:rPr>
        <w:t>.</w:t>
      </w:r>
      <w:r w:rsidR="009D35AB">
        <w:rPr>
          <w:rStyle w:val="FootnoteReference"/>
          <w:lang w:val="en"/>
        </w:rPr>
        <w:footnoteReference w:id="16"/>
      </w:r>
      <w:r w:rsidRPr="000B4EB5">
        <w:rPr>
          <w:lang w:val="en"/>
        </w:rPr>
        <w:t xml:space="preserve"> Agriculture</w:t>
      </w:r>
      <w:r w:rsidR="000B5C96">
        <w:rPr>
          <w:lang w:val="en"/>
        </w:rPr>
        <w:t>,</w:t>
      </w:r>
      <w:r w:rsidRPr="000B4EB5">
        <w:rPr>
          <w:lang w:val="en"/>
        </w:rPr>
        <w:t xml:space="preserve"> which employs more than 65</w:t>
      </w:r>
      <w:r w:rsidR="00716E4F">
        <w:rPr>
          <w:lang w:val="en"/>
        </w:rPr>
        <w:t xml:space="preserve"> per cent</w:t>
      </w:r>
      <w:r w:rsidRPr="000B4EB5">
        <w:rPr>
          <w:lang w:val="en"/>
        </w:rPr>
        <w:t xml:space="preserve"> of </w:t>
      </w:r>
      <w:r w:rsidR="0065301B" w:rsidRPr="000B4EB5">
        <w:rPr>
          <w:lang w:val="en"/>
        </w:rPr>
        <w:t>the workforce</w:t>
      </w:r>
      <w:r w:rsidRPr="000B4EB5">
        <w:rPr>
          <w:lang w:val="en"/>
        </w:rPr>
        <w:t xml:space="preserve"> </w:t>
      </w:r>
      <w:r w:rsidR="00DE64B7">
        <w:rPr>
          <w:lang w:val="en"/>
        </w:rPr>
        <w:t>(</w:t>
      </w:r>
      <w:r w:rsidRPr="000B4EB5">
        <w:rPr>
          <w:lang w:val="en"/>
        </w:rPr>
        <w:t>53</w:t>
      </w:r>
      <w:r w:rsidR="008C2B00">
        <w:rPr>
          <w:lang w:val="en"/>
        </w:rPr>
        <w:t>.</w:t>
      </w:r>
      <w:r w:rsidRPr="000B4EB5">
        <w:rPr>
          <w:lang w:val="en"/>
        </w:rPr>
        <w:t>3</w:t>
      </w:r>
      <w:r w:rsidR="00716E4F">
        <w:rPr>
          <w:lang w:val="en"/>
        </w:rPr>
        <w:t xml:space="preserve"> per cent</w:t>
      </w:r>
      <w:r w:rsidRPr="000B4EB5">
        <w:rPr>
          <w:lang w:val="en"/>
        </w:rPr>
        <w:t xml:space="preserve"> women</w:t>
      </w:r>
      <w:r w:rsidR="000B5C96">
        <w:rPr>
          <w:lang w:val="en"/>
        </w:rPr>
        <w:t>),</w:t>
      </w:r>
      <w:r w:rsidR="009D35AB">
        <w:rPr>
          <w:rStyle w:val="FootnoteReference"/>
          <w:lang w:val="en"/>
        </w:rPr>
        <w:footnoteReference w:id="17"/>
      </w:r>
      <w:r w:rsidRPr="000B4EB5">
        <w:rPr>
          <w:lang w:val="en"/>
        </w:rPr>
        <w:t xml:space="preserve"> is mainly rain-dependent and </w:t>
      </w:r>
      <w:r w:rsidR="008C2B00">
        <w:rPr>
          <w:lang w:val="en"/>
        </w:rPr>
        <w:t>applies</w:t>
      </w:r>
      <w:r w:rsidR="008C2B00" w:rsidRPr="000B4EB5">
        <w:rPr>
          <w:lang w:val="en"/>
        </w:rPr>
        <w:t xml:space="preserve"> </w:t>
      </w:r>
      <w:r w:rsidRPr="000B4EB5">
        <w:rPr>
          <w:lang w:val="en"/>
        </w:rPr>
        <w:t>slash-and-burn farming</w:t>
      </w:r>
      <w:r w:rsidR="00AE4F19">
        <w:rPr>
          <w:lang w:val="en"/>
        </w:rPr>
        <w:t xml:space="preserve">, thereby </w:t>
      </w:r>
      <w:r w:rsidRPr="000B4EB5">
        <w:rPr>
          <w:lang w:val="en"/>
        </w:rPr>
        <w:t>threaten</w:t>
      </w:r>
      <w:r w:rsidR="00AE4F19">
        <w:rPr>
          <w:lang w:val="en"/>
        </w:rPr>
        <w:t>ing</w:t>
      </w:r>
      <w:r w:rsidRPr="000B4EB5">
        <w:rPr>
          <w:lang w:val="en"/>
        </w:rPr>
        <w:t xml:space="preserve"> the sustainability of forest resources</w:t>
      </w:r>
      <w:r w:rsidR="009D35AB">
        <w:rPr>
          <w:rStyle w:val="FootnoteReference"/>
          <w:lang w:val="en"/>
        </w:rPr>
        <w:footnoteReference w:id="18"/>
      </w:r>
      <w:r w:rsidRPr="000B4EB5">
        <w:rPr>
          <w:lang w:val="en"/>
        </w:rPr>
        <w:t xml:space="preserve"> and amplif</w:t>
      </w:r>
      <w:r w:rsidR="00DE64B7">
        <w:rPr>
          <w:lang w:val="en"/>
        </w:rPr>
        <w:t xml:space="preserve">ying </w:t>
      </w:r>
      <w:r w:rsidRPr="000B4EB5">
        <w:rPr>
          <w:lang w:val="en"/>
        </w:rPr>
        <w:t>the population’s vulnerability to natural hazards</w:t>
      </w:r>
      <w:r w:rsidR="00AB67B6">
        <w:rPr>
          <w:lang w:val="en"/>
        </w:rPr>
        <w:t>,</w:t>
      </w:r>
      <w:r w:rsidR="009D35AB">
        <w:rPr>
          <w:rStyle w:val="FootnoteReference"/>
          <w:lang w:val="en"/>
        </w:rPr>
        <w:footnoteReference w:id="19"/>
      </w:r>
      <w:r w:rsidRPr="000B4EB5">
        <w:rPr>
          <w:lang w:val="en"/>
        </w:rPr>
        <w:t xml:space="preserve"> affecting economic development</w:t>
      </w:r>
      <w:r w:rsidR="00AB67B6">
        <w:rPr>
          <w:lang w:val="en"/>
        </w:rPr>
        <w:t>.</w:t>
      </w:r>
      <w:r w:rsidR="009D35AB">
        <w:rPr>
          <w:rStyle w:val="FootnoteReference"/>
          <w:lang w:val="en"/>
        </w:rPr>
        <w:footnoteReference w:id="20"/>
      </w:r>
      <w:r w:rsidRPr="000B4EB5">
        <w:rPr>
          <w:lang w:val="en"/>
        </w:rPr>
        <w:t xml:space="preserve"> </w:t>
      </w:r>
    </w:p>
    <w:bookmarkEnd w:id="3"/>
    <w:bookmarkEnd w:id="4"/>
    <w:p w14:paraId="45E3FEF0" w14:textId="14336C84" w:rsidR="00CD738A" w:rsidRPr="00CD738A" w:rsidRDefault="00CD738A" w:rsidP="00DE7E37">
      <w:pPr>
        <w:numPr>
          <w:ilvl w:val="0"/>
          <w:numId w:val="2"/>
        </w:numPr>
        <w:shd w:val="clear" w:color="auto" w:fill="FFFFFF"/>
        <w:tabs>
          <w:tab w:val="left" w:pos="990"/>
        </w:tabs>
        <w:spacing w:after="120"/>
        <w:ind w:left="720" w:firstLine="0"/>
        <w:jc w:val="both"/>
        <w:rPr>
          <w:lang w:val="en"/>
        </w:rPr>
      </w:pPr>
      <w:r w:rsidRPr="00CD738A">
        <w:rPr>
          <w:lang w:val="en"/>
        </w:rPr>
        <w:lastRenderedPageBreak/>
        <w:t>Togo progressed from</w:t>
      </w:r>
      <w:r w:rsidR="00AB67B6">
        <w:rPr>
          <w:lang w:val="en"/>
        </w:rPr>
        <w:t xml:space="preserve"> a rating of</w:t>
      </w:r>
      <w:r w:rsidRPr="00CD738A">
        <w:rPr>
          <w:lang w:val="en"/>
        </w:rPr>
        <w:t xml:space="preserve"> 45.0 in 2010 to 51.7 in </w:t>
      </w:r>
      <w:r w:rsidR="0021072A" w:rsidRPr="00CD738A">
        <w:rPr>
          <w:lang w:val="en"/>
        </w:rPr>
        <w:t xml:space="preserve">2016 </w:t>
      </w:r>
      <w:r w:rsidR="00AB67B6">
        <w:rPr>
          <w:lang w:val="en"/>
        </w:rPr>
        <w:t>on the</w:t>
      </w:r>
      <w:r w:rsidR="00AB67B6" w:rsidRPr="00CD738A">
        <w:rPr>
          <w:lang w:val="en"/>
        </w:rPr>
        <w:t xml:space="preserve"> </w:t>
      </w:r>
      <w:r w:rsidRPr="00CD738A">
        <w:rPr>
          <w:lang w:val="en"/>
        </w:rPr>
        <w:t xml:space="preserve">Ibrahim </w:t>
      </w:r>
      <w:r w:rsidR="00AB67B6">
        <w:rPr>
          <w:lang w:val="en"/>
        </w:rPr>
        <w:t>I</w:t>
      </w:r>
      <w:r w:rsidR="00AB67B6" w:rsidRPr="00CD738A">
        <w:rPr>
          <w:lang w:val="en"/>
        </w:rPr>
        <w:t xml:space="preserve">ndex </w:t>
      </w:r>
      <w:r w:rsidR="00AB67B6">
        <w:rPr>
          <w:lang w:val="en"/>
        </w:rPr>
        <w:t>of</w:t>
      </w:r>
      <w:r w:rsidR="00AB67B6" w:rsidRPr="00CD738A">
        <w:rPr>
          <w:lang w:val="en"/>
        </w:rPr>
        <w:t xml:space="preserve"> </w:t>
      </w:r>
      <w:r w:rsidR="00AB67B6">
        <w:rPr>
          <w:lang w:val="en"/>
        </w:rPr>
        <w:t>African G</w:t>
      </w:r>
      <w:r w:rsidRPr="00CD738A">
        <w:rPr>
          <w:lang w:val="en"/>
        </w:rPr>
        <w:t>overnance</w:t>
      </w:r>
      <w:r w:rsidR="00AB67B6">
        <w:rPr>
          <w:lang w:val="en"/>
        </w:rPr>
        <w:t>,</w:t>
      </w:r>
      <w:r w:rsidR="00AB67B6" w:rsidDel="00AB67B6">
        <w:rPr>
          <w:rStyle w:val="FootnoteReference"/>
          <w:lang w:val="en"/>
        </w:rPr>
        <w:t xml:space="preserve"> </w:t>
      </w:r>
      <w:r w:rsidRPr="00CD738A">
        <w:rPr>
          <w:lang w:val="en"/>
        </w:rPr>
        <w:t xml:space="preserve"> </w:t>
      </w:r>
      <w:r w:rsidR="006E2BBF">
        <w:rPr>
          <w:lang w:val="en"/>
        </w:rPr>
        <w:t xml:space="preserve">however </w:t>
      </w:r>
      <w:r w:rsidR="00A53E44">
        <w:rPr>
          <w:lang w:val="en"/>
        </w:rPr>
        <w:t xml:space="preserve">challenges </w:t>
      </w:r>
      <w:r w:rsidR="006E2BBF">
        <w:rPr>
          <w:lang w:val="en"/>
        </w:rPr>
        <w:t>persist in</w:t>
      </w:r>
      <w:r w:rsidR="00AB67B6">
        <w:rPr>
          <w:lang w:val="en"/>
        </w:rPr>
        <w:t xml:space="preserve"> the </w:t>
      </w:r>
      <w:r w:rsidRPr="00CD738A">
        <w:rPr>
          <w:lang w:val="en"/>
        </w:rPr>
        <w:t xml:space="preserve">rule of law and </w:t>
      </w:r>
      <w:r w:rsidRPr="00AA3121">
        <w:rPr>
          <w:lang w:val="en"/>
        </w:rPr>
        <w:t>national security</w:t>
      </w:r>
      <w:r w:rsidRPr="00CD738A">
        <w:rPr>
          <w:lang w:val="en"/>
        </w:rPr>
        <w:t xml:space="preserve">. Frequent political tensions </w:t>
      </w:r>
      <w:r w:rsidRPr="00A13A3C">
        <w:rPr>
          <w:lang w:val="en"/>
        </w:rPr>
        <w:t>due to the lack of consensus on constitutional and institutional reforms</w:t>
      </w:r>
      <w:r>
        <w:rPr>
          <w:lang w:val="en"/>
        </w:rPr>
        <w:t xml:space="preserve"> affect</w:t>
      </w:r>
      <w:r w:rsidRPr="00CD738A">
        <w:rPr>
          <w:lang w:val="en"/>
        </w:rPr>
        <w:t xml:space="preserve"> </w:t>
      </w:r>
      <w:r>
        <w:rPr>
          <w:lang w:val="en"/>
        </w:rPr>
        <w:t>stability, reverse development gains and slow</w:t>
      </w:r>
      <w:r w:rsidRPr="00CD738A">
        <w:rPr>
          <w:lang w:val="en"/>
        </w:rPr>
        <w:t xml:space="preserve"> efforts to achieve the </w:t>
      </w:r>
      <w:r w:rsidR="00AB67B6">
        <w:rPr>
          <w:lang w:val="en"/>
        </w:rPr>
        <w:t>Sustainable Development Goals</w:t>
      </w:r>
      <w:r w:rsidRPr="00CD738A">
        <w:rPr>
          <w:lang w:val="en"/>
        </w:rPr>
        <w:t xml:space="preserve">. The political unrest that emerged in August 2017 reduced </w:t>
      </w:r>
      <w:r w:rsidR="00AB67B6">
        <w:rPr>
          <w:lang w:val="en"/>
        </w:rPr>
        <w:t>prospects for</w:t>
      </w:r>
      <w:r w:rsidR="00AB67B6" w:rsidRPr="00CD738A">
        <w:rPr>
          <w:lang w:val="en"/>
        </w:rPr>
        <w:t xml:space="preserve"> </w:t>
      </w:r>
      <w:r w:rsidRPr="00CD738A">
        <w:rPr>
          <w:lang w:val="en"/>
        </w:rPr>
        <w:t xml:space="preserve">growth </w:t>
      </w:r>
      <w:r w:rsidR="00AB67B6">
        <w:rPr>
          <w:lang w:val="en"/>
        </w:rPr>
        <w:t xml:space="preserve">in 2018 </w:t>
      </w:r>
      <w:r w:rsidRPr="00CD738A">
        <w:rPr>
          <w:lang w:val="en"/>
        </w:rPr>
        <w:t xml:space="preserve">by 0.6 percentage points. </w:t>
      </w:r>
      <w:r w:rsidR="00136AF1">
        <w:rPr>
          <w:lang w:val="en"/>
        </w:rPr>
        <w:t>W</w:t>
      </w:r>
      <w:r>
        <w:rPr>
          <w:lang w:val="en"/>
        </w:rPr>
        <w:t>eak</w:t>
      </w:r>
      <w:r w:rsidRPr="00CD738A">
        <w:rPr>
          <w:lang w:val="en"/>
        </w:rPr>
        <w:t xml:space="preserve"> </w:t>
      </w:r>
      <w:r w:rsidR="007F1327">
        <w:rPr>
          <w:lang w:val="en"/>
        </w:rPr>
        <w:t xml:space="preserve">media </w:t>
      </w:r>
      <w:r w:rsidR="00E814E5">
        <w:rPr>
          <w:lang w:val="en"/>
        </w:rPr>
        <w:t>professionalism</w:t>
      </w:r>
      <w:r w:rsidR="007F1327">
        <w:rPr>
          <w:lang w:val="en"/>
        </w:rPr>
        <w:t>,</w:t>
      </w:r>
      <w:r w:rsidR="00796F53">
        <w:rPr>
          <w:lang w:val="en"/>
        </w:rPr>
        <w:t xml:space="preserve"> </w:t>
      </w:r>
      <w:r w:rsidRPr="00CD738A">
        <w:rPr>
          <w:lang w:val="en"/>
        </w:rPr>
        <w:t>combined with historical societal</w:t>
      </w:r>
      <w:r w:rsidR="00AB67B6">
        <w:rPr>
          <w:lang w:val="en"/>
        </w:rPr>
        <w:t xml:space="preserve"> and </w:t>
      </w:r>
      <w:r w:rsidRPr="00CD738A">
        <w:rPr>
          <w:lang w:val="en"/>
        </w:rPr>
        <w:t>ethnic fractures</w:t>
      </w:r>
      <w:r w:rsidR="007F1327">
        <w:rPr>
          <w:lang w:val="en"/>
        </w:rPr>
        <w:t>,</w:t>
      </w:r>
      <w:r w:rsidRPr="00CD738A">
        <w:rPr>
          <w:lang w:val="en"/>
        </w:rPr>
        <w:t xml:space="preserve"> continues to </w:t>
      </w:r>
      <w:r w:rsidR="003A1827">
        <w:rPr>
          <w:lang w:val="en"/>
        </w:rPr>
        <w:t>heighten</w:t>
      </w:r>
      <w:r w:rsidR="003A1827" w:rsidRPr="00CD738A">
        <w:rPr>
          <w:lang w:val="en"/>
        </w:rPr>
        <w:t xml:space="preserve"> </w:t>
      </w:r>
      <w:r w:rsidRPr="00CD738A">
        <w:rPr>
          <w:lang w:val="en"/>
        </w:rPr>
        <w:t xml:space="preserve">tensions. </w:t>
      </w:r>
      <w:r w:rsidR="00AE4F19">
        <w:rPr>
          <w:lang w:val="en"/>
        </w:rPr>
        <w:t>A</w:t>
      </w:r>
      <w:r w:rsidR="00AB67B6">
        <w:rPr>
          <w:lang w:val="en"/>
        </w:rPr>
        <w:t xml:space="preserve"> </w:t>
      </w:r>
      <w:r w:rsidRPr="00CD738A">
        <w:rPr>
          <w:lang w:val="en"/>
        </w:rPr>
        <w:t xml:space="preserve">roadmap </w:t>
      </w:r>
      <w:r w:rsidR="00AB67B6">
        <w:rPr>
          <w:lang w:val="en"/>
        </w:rPr>
        <w:t xml:space="preserve">supported by the Economic Community of West African </w:t>
      </w:r>
      <w:r w:rsidR="00483A17">
        <w:rPr>
          <w:lang w:val="en"/>
        </w:rPr>
        <w:t>States for</w:t>
      </w:r>
      <w:r w:rsidRPr="00CD738A">
        <w:rPr>
          <w:lang w:val="en"/>
        </w:rPr>
        <w:t xml:space="preserve"> constitutional and electoral reforms</w:t>
      </w:r>
      <w:r w:rsidR="00AE4F19">
        <w:rPr>
          <w:lang w:val="en"/>
        </w:rPr>
        <w:t xml:space="preserve"> guides consultation among</w:t>
      </w:r>
      <w:r w:rsidR="00E855C0">
        <w:rPr>
          <w:lang w:val="en"/>
        </w:rPr>
        <w:t xml:space="preserve"> relevant</w:t>
      </w:r>
      <w:r w:rsidR="00AE4F19">
        <w:rPr>
          <w:lang w:val="en"/>
        </w:rPr>
        <w:t xml:space="preserve"> parties </w:t>
      </w:r>
      <w:r w:rsidR="00E855C0">
        <w:rPr>
          <w:lang w:val="en"/>
        </w:rPr>
        <w:t>for</w:t>
      </w:r>
      <w:r w:rsidRPr="00CD738A">
        <w:rPr>
          <w:lang w:val="en"/>
        </w:rPr>
        <w:t xml:space="preserve"> </w:t>
      </w:r>
      <w:r w:rsidR="007B1324">
        <w:rPr>
          <w:lang w:val="en"/>
        </w:rPr>
        <w:t xml:space="preserve">the </w:t>
      </w:r>
      <w:r w:rsidR="007B1324" w:rsidRPr="00CD738A">
        <w:rPr>
          <w:lang w:val="en"/>
        </w:rPr>
        <w:t>political crisis</w:t>
      </w:r>
      <w:r w:rsidR="007B1324">
        <w:rPr>
          <w:lang w:val="en"/>
        </w:rPr>
        <w:t xml:space="preserve"> </w:t>
      </w:r>
      <w:r w:rsidR="00E700CD">
        <w:rPr>
          <w:lang w:val="en"/>
        </w:rPr>
        <w:t>resolution</w:t>
      </w:r>
      <w:r w:rsidRPr="00CD738A">
        <w:rPr>
          <w:lang w:val="en"/>
        </w:rPr>
        <w:t xml:space="preserve">. </w:t>
      </w:r>
      <w:r w:rsidR="007F1327" w:rsidRPr="00AB3FE9">
        <w:rPr>
          <w:lang w:val="en"/>
        </w:rPr>
        <w:t>The 37 L</w:t>
      </w:r>
      <w:r w:rsidR="00AF742F" w:rsidRPr="00AB3FE9">
        <w:rPr>
          <w:lang w:val="en"/>
        </w:rPr>
        <w:t xml:space="preserve">ocal </w:t>
      </w:r>
      <w:r w:rsidR="007F1327" w:rsidRPr="00AB3FE9">
        <w:rPr>
          <w:lang w:val="en"/>
        </w:rPr>
        <w:t>Peace C</w:t>
      </w:r>
      <w:r w:rsidR="00AF742F" w:rsidRPr="00AB3FE9">
        <w:rPr>
          <w:lang w:val="en"/>
        </w:rPr>
        <w:t>ommittees</w:t>
      </w:r>
      <w:r w:rsidR="007F1327" w:rsidRPr="00AB3FE9">
        <w:rPr>
          <w:lang w:val="en"/>
        </w:rPr>
        <w:t xml:space="preserve"> (LPCs)</w:t>
      </w:r>
      <w:r w:rsidR="00AF742F" w:rsidRPr="00AB3FE9">
        <w:rPr>
          <w:lang w:val="en"/>
        </w:rPr>
        <w:t xml:space="preserve"> </w:t>
      </w:r>
      <w:r w:rsidR="00E855C0" w:rsidRPr="00AB3FE9">
        <w:rPr>
          <w:lang w:val="en"/>
        </w:rPr>
        <w:t>lack adequate</w:t>
      </w:r>
      <w:r w:rsidR="00AF742F" w:rsidRPr="00AB3FE9">
        <w:rPr>
          <w:lang w:val="en"/>
        </w:rPr>
        <w:t xml:space="preserve"> technical capacities for prevention and peaceful management of </w:t>
      </w:r>
      <w:r w:rsidR="007B1324">
        <w:rPr>
          <w:lang w:val="en"/>
        </w:rPr>
        <w:t xml:space="preserve">local </w:t>
      </w:r>
      <w:r w:rsidR="00AF742F" w:rsidRPr="00AB3FE9">
        <w:rPr>
          <w:lang w:val="en"/>
        </w:rPr>
        <w:t>conflicts.</w:t>
      </w:r>
      <w:r w:rsidRPr="00D905B8">
        <w:rPr>
          <w:lang w:val="en"/>
        </w:rPr>
        <w:t xml:space="preserve"> </w:t>
      </w:r>
      <w:r w:rsidR="008A5D27">
        <w:rPr>
          <w:lang w:val="en"/>
        </w:rPr>
        <w:t>T</w:t>
      </w:r>
      <w:r w:rsidRPr="00CD738A">
        <w:rPr>
          <w:lang w:val="en"/>
        </w:rPr>
        <w:t xml:space="preserve">he </w:t>
      </w:r>
      <w:r w:rsidR="00E700CD">
        <w:rPr>
          <w:lang w:val="en"/>
        </w:rPr>
        <w:t>G</w:t>
      </w:r>
      <w:r w:rsidRPr="00CD738A">
        <w:rPr>
          <w:lang w:val="en"/>
        </w:rPr>
        <w:t>overnment is committed to pursu</w:t>
      </w:r>
      <w:r w:rsidR="00E855C0">
        <w:rPr>
          <w:lang w:val="en"/>
        </w:rPr>
        <w:t>ing</w:t>
      </w:r>
      <w:r w:rsidRPr="00CD738A">
        <w:rPr>
          <w:lang w:val="en"/>
        </w:rPr>
        <w:t xml:space="preserve"> regional and interregional efforts for peace, security and stability</w:t>
      </w:r>
      <w:r w:rsidR="008A5D27">
        <w:rPr>
          <w:lang w:val="en"/>
        </w:rPr>
        <w:t xml:space="preserve"> in view of the terrorist threats in neighbouring countries</w:t>
      </w:r>
      <w:r w:rsidRPr="00CD738A">
        <w:rPr>
          <w:lang w:val="en"/>
        </w:rPr>
        <w:t>.</w:t>
      </w:r>
    </w:p>
    <w:p w14:paraId="56B80E1C" w14:textId="14A453C8" w:rsidR="00CD738A" w:rsidRPr="00A75AEB" w:rsidRDefault="008A5D27" w:rsidP="00DE7E37">
      <w:pPr>
        <w:numPr>
          <w:ilvl w:val="0"/>
          <w:numId w:val="2"/>
        </w:numPr>
        <w:tabs>
          <w:tab w:val="left" w:pos="990"/>
        </w:tabs>
        <w:spacing w:after="120"/>
        <w:ind w:left="720" w:firstLine="0"/>
        <w:jc w:val="both"/>
        <w:rPr>
          <w:lang w:val="en"/>
        </w:rPr>
      </w:pPr>
      <w:r>
        <w:rPr>
          <w:lang w:val="en"/>
        </w:rPr>
        <w:t>T</w:t>
      </w:r>
      <w:r w:rsidR="0021072A" w:rsidRPr="00CD738A">
        <w:rPr>
          <w:lang w:val="en"/>
        </w:rPr>
        <w:t xml:space="preserve">he </w:t>
      </w:r>
      <w:r w:rsidR="00E700CD">
        <w:rPr>
          <w:lang w:val="en"/>
        </w:rPr>
        <w:t>G</w:t>
      </w:r>
      <w:r w:rsidR="0021072A" w:rsidRPr="00CD738A">
        <w:rPr>
          <w:lang w:val="en"/>
        </w:rPr>
        <w:t>overnment</w:t>
      </w:r>
      <w:r>
        <w:rPr>
          <w:lang w:val="en"/>
        </w:rPr>
        <w:t xml:space="preserve">’s efforts to </w:t>
      </w:r>
      <w:r w:rsidR="0021072A">
        <w:rPr>
          <w:lang w:val="en"/>
        </w:rPr>
        <w:t>improve t</w:t>
      </w:r>
      <w:r w:rsidR="00CD738A" w:rsidRPr="00CD738A">
        <w:rPr>
          <w:lang w:val="en"/>
        </w:rPr>
        <w:t>he rule of law, access to justice and</w:t>
      </w:r>
      <w:r w:rsidR="00796F53">
        <w:rPr>
          <w:lang w:val="en"/>
        </w:rPr>
        <w:t xml:space="preserve"> </w:t>
      </w:r>
      <w:r w:rsidR="00CD738A" w:rsidRPr="00CD738A">
        <w:rPr>
          <w:lang w:val="en"/>
        </w:rPr>
        <w:t xml:space="preserve">human rights, </w:t>
      </w:r>
      <w:r w:rsidR="002142D9">
        <w:rPr>
          <w:lang w:val="en"/>
        </w:rPr>
        <w:t xml:space="preserve">such as the </w:t>
      </w:r>
      <w:r w:rsidR="00CD738A" w:rsidRPr="00CD738A">
        <w:rPr>
          <w:lang w:val="en"/>
        </w:rPr>
        <w:t xml:space="preserve">adoption of </w:t>
      </w:r>
      <w:r w:rsidR="000A4F66">
        <w:rPr>
          <w:lang w:val="en"/>
        </w:rPr>
        <w:t>a</w:t>
      </w:r>
      <w:r w:rsidR="00CD738A" w:rsidRPr="00CD738A">
        <w:rPr>
          <w:lang w:val="en"/>
        </w:rPr>
        <w:t xml:space="preserve"> new </w:t>
      </w:r>
      <w:r w:rsidR="00E700CD">
        <w:rPr>
          <w:lang w:val="en"/>
        </w:rPr>
        <w:t>P</w:t>
      </w:r>
      <w:r w:rsidR="00E700CD" w:rsidRPr="00CD738A">
        <w:rPr>
          <w:lang w:val="en"/>
        </w:rPr>
        <w:t xml:space="preserve">enal </w:t>
      </w:r>
      <w:r w:rsidR="00CD738A" w:rsidRPr="00CD738A">
        <w:rPr>
          <w:lang w:val="en"/>
        </w:rPr>
        <w:t>Code</w:t>
      </w:r>
      <w:r w:rsidR="000A4F66">
        <w:rPr>
          <w:lang w:val="en"/>
        </w:rPr>
        <w:t xml:space="preserve"> and </w:t>
      </w:r>
      <w:r w:rsidR="00CD738A" w:rsidRPr="00CD738A">
        <w:rPr>
          <w:lang w:val="en"/>
        </w:rPr>
        <w:t xml:space="preserve">Legal </w:t>
      </w:r>
      <w:r w:rsidR="0021072A">
        <w:rPr>
          <w:lang w:val="en"/>
        </w:rPr>
        <w:t>A</w:t>
      </w:r>
      <w:r w:rsidR="00CD738A" w:rsidRPr="00CD738A">
        <w:rPr>
          <w:lang w:val="en"/>
        </w:rPr>
        <w:t xml:space="preserve">id Act, </w:t>
      </w:r>
      <w:r w:rsidR="00B97062" w:rsidRPr="00AB3FE9">
        <w:rPr>
          <w:lang w:val="en"/>
        </w:rPr>
        <w:t>the establishment of "</w:t>
      </w:r>
      <w:r w:rsidR="00BD1DA8" w:rsidRPr="00AB3FE9">
        <w:rPr>
          <w:lang w:val="en"/>
        </w:rPr>
        <w:t>J</w:t>
      </w:r>
      <w:r w:rsidR="00B97062" w:rsidRPr="00AB3FE9">
        <w:rPr>
          <w:lang w:val="en"/>
        </w:rPr>
        <w:t>ustice</w:t>
      </w:r>
      <w:r w:rsidR="00BD1DA8" w:rsidRPr="00AB3FE9">
        <w:rPr>
          <w:lang w:val="en"/>
        </w:rPr>
        <w:t xml:space="preserve"> Houses</w:t>
      </w:r>
      <w:r w:rsidR="00B97062" w:rsidRPr="00AB3FE9">
        <w:rPr>
          <w:lang w:val="en"/>
        </w:rPr>
        <w:t xml:space="preserve">" </w:t>
      </w:r>
      <w:r w:rsidR="002142D9" w:rsidRPr="00AB3FE9">
        <w:rPr>
          <w:lang w:val="en"/>
        </w:rPr>
        <w:t xml:space="preserve">and </w:t>
      </w:r>
      <w:r w:rsidR="00B97062" w:rsidRPr="00AB3FE9">
        <w:rPr>
          <w:lang w:val="en"/>
        </w:rPr>
        <w:t>capacity</w:t>
      </w:r>
      <w:r w:rsidR="00E700CD">
        <w:rPr>
          <w:lang w:val="en"/>
        </w:rPr>
        <w:t>-</w:t>
      </w:r>
      <w:r w:rsidR="00B97062" w:rsidRPr="00AB3FE9">
        <w:rPr>
          <w:lang w:val="en"/>
        </w:rPr>
        <w:t>building of judges</w:t>
      </w:r>
      <w:r w:rsidR="002142D9" w:rsidRPr="00AB3FE9">
        <w:rPr>
          <w:lang w:val="en"/>
        </w:rPr>
        <w:t>,</w:t>
      </w:r>
      <w:r w:rsidR="0021072A" w:rsidRPr="00AB3FE9">
        <w:rPr>
          <w:lang w:val="en"/>
        </w:rPr>
        <w:t xml:space="preserve"> </w:t>
      </w:r>
      <w:r>
        <w:rPr>
          <w:lang w:val="en"/>
        </w:rPr>
        <w:t xml:space="preserve">are undermined by </w:t>
      </w:r>
      <w:r w:rsidR="00E700CD">
        <w:rPr>
          <w:lang w:val="en"/>
        </w:rPr>
        <w:t>the</w:t>
      </w:r>
      <w:r w:rsidR="003A1827">
        <w:rPr>
          <w:lang w:val="en"/>
        </w:rPr>
        <w:t xml:space="preserve"> </w:t>
      </w:r>
      <w:r w:rsidR="00796F53" w:rsidRPr="00CD738A">
        <w:rPr>
          <w:lang w:val="en"/>
        </w:rPr>
        <w:t xml:space="preserve">lack </w:t>
      </w:r>
      <w:r w:rsidR="00796F53">
        <w:rPr>
          <w:lang w:val="en"/>
        </w:rPr>
        <w:t xml:space="preserve">of </w:t>
      </w:r>
      <w:r w:rsidR="00796F53" w:rsidRPr="00CD738A">
        <w:rPr>
          <w:lang w:val="en"/>
        </w:rPr>
        <w:t>accountability</w:t>
      </w:r>
      <w:r w:rsidR="00796F53">
        <w:rPr>
          <w:lang w:val="en"/>
        </w:rPr>
        <w:t>,</w:t>
      </w:r>
      <w:r w:rsidR="00796F53" w:rsidRPr="00CD738A">
        <w:rPr>
          <w:lang w:val="en"/>
        </w:rPr>
        <w:t xml:space="preserve"> </w:t>
      </w:r>
      <w:r w:rsidR="002142D9">
        <w:rPr>
          <w:lang w:val="en"/>
        </w:rPr>
        <w:t>weak sectoral information systems, limited access</w:t>
      </w:r>
      <w:r w:rsidR="0023254E">
        <w:rPr>
          <w:lang w:val="en"/>
        </w:rPr>
        <w:t xml:space="preserve"> to justice</w:t>
      </w:r>
      <w:r w:rsidR="002142D9">
        <w:rPr>
          <w:lang w:val="en"/>
        </w:rPr>
        <w:t xml:space="preserve"> at local level and inability to</w:t>
      </w:r>
      <w:r w:rsidR="00796F53" w:rsidRPr="00CD738A">
        <w:rPr>
          <w:lang w:val="en"/>
        </w:rPr>
        <w:t xml:space="preserve"> </w:t>
      </w:r>
      <w:r w:rsidR="0016649A">
        <w:rPr>
          <w:lang w:val="en"/>
        </w:rPr>
        <w:t>fight</w:t>
      </w:r>
      <w:r w:rsidR="00CD738A" w:rsidRPr="00CD738A">
        <w:rPr>
          <w:lang w:val="en"/>
        </w:rPr>
        <w:t xml:space="preserve"> impunit</w:t>
      </w:r>
      <w:r w:rsidR="002142D9">
        <w:rPr>
          <w:lang w:val="en"/>
        </w:rPr>
        <w:t>y</w:t>
      </w:r>
      <w:r w:rsidR="00946068">
        <w:rPr>
          <w:lang w:val="en"/>
        </w:rPr>
        <w:t>.</w:t>
      </w:r>
      <w:r w:rsidR="00CD738A" w:rsidRPr="00CD738A">
        <w:rPr>
          <w:lang w:val="en"/>
        </w:rPr>
        <w:t xml:space="preserve"> The human rights-based approach is not </w:t>
      </w:r>
      <w:r w:rsidR="00061F19">
        <w:rPr>
          <w:lang w:val="en"/>
        </w:rPr>
        <w:t>sufficiently</w:t>
      </w:r>
      <w:r w:rsidR="00061F19" w:rsidRPr="00CD738A">
        <w:rPr>
          <w:lang w:val="en"/>
        </w:rPr>
        <w:t xml:space="preserve"> </w:t>
      </w:r>
      <w:r w:rsidR="00CD738A" w:rsidRPr="00CD738A">
        <w:rPr>
          <w:lang w:val="en"/>
        </w:rPr>
        <w:t xml:space="preserve">integrated in </w:t>
      </w:r>
      <w:r w:rsidR="00946068">
        <w:rPr>
          <w:lang w:val="en"/>
        </w:rPr>
        <w:t>policy</w:t>
      </w:r>
      <w:r w:rsidR="007B1324">
        <w:rPr>
          <w:lang w:val="en"/>
        </w:rPr>
        <w:t xml:space="preserve"> and</w:t>
      </w:r>
      <w:r w:rsidR="00946068">
        <w:rPr>
          <w:lang w:val="en"/>
        </w:rPr>
        <w:t xml:space="preserve"> planning process</w:t>
      </w:r>
      <w:r w:rsidR="002142D9">
        <w:rPr>
          <w:lang w:val="en"/>
        </w:rPr>
        <w:t>es</w:t>
      </w:r>
      <w:r w:rsidR="0023254E">
        <w:rPr>
          <w:lang w:val="en"/>
        </w:rPr>
        <w:t>, which is</w:t>
      </w:r>
      <w:r w:rsidR="00946068">
        <w:rPr>
          <w:lang w:val="en"/>
        </w:rPr>
        <w:t xml:space="preserve"> </w:t>
      </w:r>
      <w:r w:rsidR="0023254E">
        <w:rPr>
          <w:lang w:val="en"/>
        </w:rPr>
        <w:t xml:space="preserve">further </w:t>
      </w:r>
      <w:r w:rsidR="002142D9">
        <w:rPr>
          <w:lang w:val="en"/>
        </w:rPr>
        <w:t>compounded by a</w:t>
      </w:r>
      <w:r w:rsidR="00CD738A" w:rsidRPr="00A75AEB">
        <w:rPr>
          <w:lang w:val="en"/>
        </w:rPr>
        <w:t xml:space="preserve"> lack of professionali</w:t>
      </w:r>
      <w:r w:rsidR="0023254E">
        <w:rPr>
          <w:lang w:val="en"/>
        </w:rPr>
        <w:t>sm</w:t>
      </w:r>
      <w:r w:rsidR="00CD738A" w:rsidRPr="00A75AEB">
        <w:rPr>
          <w:lang w:val="en"/>
        </w:rPr>
        <w:t xml:space="preserve"> of human rights defenders, weak monitoring and advocacy c</w:t>
      </w:r>
      <w:r w:rsidR="00BD1DA8">
        <w:rPr>
          <w:lang w:val="en"/>
        </w:rPr>
        <w:t>a</w:t>
      </w:r>
      <w:r w:rsidR="00CD738A" w:rsidRPr="00A75AEB">
        <w:rPr>
          <w:lang w:val="en"/>
        </w:rPr>
        <w:t xml:space="preserve">pacities of the National Human Rights Commission (NHRC) and </w:t>
      </w:r>
      <w:r w:rsidR="00E700CD">
        <w:rPr>
          <w:lang w:val="en"/>
        </w:rPr>
        <w:t>civil society organizations (</w:t>
      </w:r>
      <w:r w:rsidR="00CD738A" w:rsidRPr="00A75AEB">
        <w:rPr>
          <w:lang w:val="en"/>
        </w:rPr>
        <w:t>CSOs</w:t>
      </w:r>
      <w:r w:rsidR="00E700CD">
        <w:rPr>
          <w:lang w:val="en"/>
        </w:rPr>
        <w:t>)</w:t>
      </w:r>
      <w:r w:rsidR="00CD738A" w:rsidRPr="00A75AEB">
        <w:rPr>
          <w:lang w:val="en"/>
        </w:rPr>
        <w:t xml:space="preserve">, </w:t>
      </w:r>
      <w:r w:rsidR="00E700CD">
        <w:rPr>
          <w:lang w:val="en"/>
        </w:rPr>
        <w:t xml:space="preserve">and </w:t>
      </w:r>
      <w:r w:rsidR="00CD738A" w:rsidRPr="00A75AEB">
        <w:rPr>
          <w:lang w:val="en"/>
        </w:rPr>
        <w:t>stigma and discri</w:t>
      </w:r>
      <w:r w:rsidR="00151170">
        <w:rPr>
          <w:lang w:val="en"/>
        </w:rPr>
        <w:t xml:space="preserve">mination against </w:t>
      </w:r>
      <w:r w:rsidR="00E700CD">
        <w:rPr>
          <w:lang w:val="en"/>
        </w:rPr>
        <w:t>persons living with HIV and AIDS</w:t>
      </w:r>
      <w:r w:rsidR="00151170">
        <w:rPr>
          <w:lang w:val="en"/>
        </w:rPr>
        <w:t>. Gender-</w:t>
      </w:r>
      <w:r w:rsidR="00E700CD">
        <w:rPr>
          <w:lang w:val="en"/>
        </w:rPr>
        <w:t>based v</w:t>
      </w:r>
      <w:r w:rsidR="00E700CD" w:rsidRPr="00A75AEB">
        <w:rPr>
          <w:lang w:val="en"/>
        </w:rPr>
        <w:t xml:space="preserve">iolence </w:t>
      </w:r>
      <w:r w:rsidR="00151170">
        <w:rPr>
          <w:lang w:val="en"/>
        </w:rPr>
        <w:t xml:space="preserve">(GBV) </w:t>
      </w:r>
      <w:r w:rsidR="00CD738A" w:rsidRPr="00A75AEB">
        <w:rPr>
          <w:lang w:val="en"/>
        </w:rPr>
        <w:t xml:space="preserve">remains </w:t>
      </w:r>
      <w:r w:rsidR="00E700CD">
        <w:rPr>
          <w:lang w:val="en"/>
        </w:rPr>
        <w:t xml:space="preserve">a </w:t>
      </w:r>
      <w:r w:rsidR="002142D9">
        <w:rPr>
          <w:lang w:val="en"/>
        </w:rPr>
        <w:t>critical</w:t>
      </w:r>
      <w:r w:rsidR="00CD738A" w:rsidRPr="00A75AEB">
        <w:rPr>
          <w:lang w:val="en"/>
        </w:rPr>
        <w:t xml:space="preserve"> </w:t>
      </w:r>
      <w:r w:rsidR="00E700CD">
        <w:rPr>
          <w:lang w:val="en"/>
        </w:rPr>
        <w:t xml:space="preserve">issue, </w:t>
      </w:r>
      <w:r w:rsidR="006031FA">
        <w:rPr>
          <w:lang w:val="en"/>
        </w:rPr>
        <w:t>with limit</w:t>
      </w:r>
      <w:r w:rsidR="00670607">
        <w:rPr>
          <w:lang w:val="en"/>
        </w:rPr>
        <w:t>ed</w:t>
      </w:r>
      <w:r w:rsidR="006031FA">
        <w:rPr>
          <w:lang w:val="en"/>
        </w:rPr>
        <w:t xml:space="preserve"> acce</w:t>
      </w:r>
      <w:r w:rsidR="00DD71A3">
        <w:rPr>
          <w:lang w:val="en"/>
        </w:rPr>
        <w:t>s</w:t>
      </w:r>
      <w:r w:rsidR="006031FA">
        <w:rPr>
          <w:lang w:val="en"/>
        </w:rPr>
        <w:t xml:space="preserve">s to justice for victims and </w:t>
      </w:r>
      <w:r w:rsidR="00E700CD">
        <w:rPr>
          <w:lang w:val="en"/>
        </w:rPr>
        <w:t>the</w:t>
      </w:r>
      <w:r w:rsidR="00E700CD" w:rsidRPr="006031FA">
        <w:rPr>
          <w:lang w:val="en"/>
        </w:rPr>
        <w:t xml:space="preserve"> </w:t>
      </w:r>
      <w:r w:rsidR="006031FA" w:rsidRPr="006031FA">
        <w:rPr>
          <w:lang w:val="en"/>
        </w:rPr>
        <w:t xml:space="preserve">lack of a multisectoral coordination </w:t>
      </w:r>
      <w:r w:rsidR="00E700CD" w:rsidRPr="006031FA">
        <w:rPr>
          <w:lang w:val="en"/>
        </w:rPr>
        <w:t>mechanism</w:t>
      </w:r>
      <w:r w:rsidR="00E700CD">
        <w:rPr>
          <w:lang w:val="en"/>
        </w:rPr>
        <w:t xml:space="preserve"> for </w:t>
      </w:r>
      <w:r w:rsidR="006031FA" w:rsidRPr="006031FA">
        <w:rPr>
          <w:lang w:val="en"/>
        </w:rPr>
        <w:t>prevent</w:t>
      </w:r>
      <w:r w:rsidR="00E700CD">
        <w:rPr>
          <w:lang w:val="en"/>
        </w:rPr>
        <w:t>ion</w:t>
      </w:r>
      <w:r w:rsidR="006031FA" w:rsidRPr="006031FA">
        <w:rPr>
          <w:lang w:val="en"/>
        </w:rPr>
        <w:t xml:space="preserve"> and </w:t>
      </w:r>
      <w:r w:rsidR="00E700CD" w:rsidRPr="006031FA">
        <w:rPr>
          <w:lang w:val="en"/>
        </w:rPr>
        <w:t>respon</w:t>
      </w:r>
      <w:r w:rsidR="00E700CD">
        <w:rPr>
          <w:lang w:val="en"/>
        </w:rPr>
        <w:t xml:space="preserve">se </w:t>
      </w:r>
      <w:r w:rsidR="006031FA">
        <w:rPr>
          <w:lang w:val="en"/>
        </w:rPr>
        <w:t>(</w:t>
      </w:r>
      <w:r w:rsidR="00CD738A" w:rsidRPr="00A75AEB">
        <w:rPr>
          <w:lang w:val="en"/>
        </w:rPr>
        <w:t>29</w:t>
      </w:r>
      <w:r w:rsidR="00716E4F">
        <w:rPr>
          <w:lang w:val="en"/>
        </w:rPr>
        <w:t xml:space="preserve"> per cent</w:t>
      </w:r>
      <w:r w:rsidR="00CD738A" w:rsidRPr="00CD738A">
        <w:rPr>
          <w:lang w:val="en"/>
        </w:rPr>
        <w:t xml:space="preserve"> of women report hav</w:t>
      </w:r>
      <w:r w:rsidR="00E700CD">
        <w:rPr>
          <w:lang w:val="en"/>
        </w:rPr>
        <w:t>ing</w:t>
      </w:r>
      <w:r w:rsidR="00CD738A" w:rsidRPr="00CD738A">
        <w:rPr>
          <w:lang w:val="en"/>
        </w:rPr>
        <w:t xml:space="preserve"> been physically abused since the age of 15</w:t>
      </w:r>
      <w:r w:rsidR="00DC2DB3">
        <w:rPr>
          <w:lang w:val="en"/>
        </w:rPr>
        <w:t>)</w:t>
      </w:r>
      <w:r w:rsidR="0040445A">
        <w:rPr>
          <w:lang w:val="en"/>
        </w:rPr>
        <w:t>.</w:t>
      </w:r>
      <w:r w:rsidR="005313B8">
        <w:rPr>
          <w:rStyle w:val="FootnoteReference"/>
          <w:lang w:val="en"/>
        </w:rPr>
        <w:footnoteReference w:id="21"/>
      </w:r>
      <w:r w:rsidR="00CD738A" w:rsidRPr="00CD738A">
        <w:rPr>
          <w:lang w:val="en"/>
        </w:rPr>
        <w:t xml:space="preserve"> </w:t>
      </w:r>
      <w:r w:rsidR="00CD738A" w:rsidRPr="00870582">
        <w:rPr>
          <w:lang w:val="en"/>
        </w:rPr>
        <w:t xml:space="preserve">Key institutions such as </w:t>
      </w:r>
      <w:r w:rsidR="00E700CD">
        <w:rPr>
          <w:lang w:val="en"/>
        </w:rPr>
        <w:t>P</w:t>
      </w:r>
      <w:r w:rsidR="00CD738A" w:rsidRPr="00870582">
        <w:rPr>
          <w:lang w:val="en"/>
        </w:rPr>
        <w:t>arliament,</w:t>
      </w:r>
      <w:r w:rsidR="00151170">
        <w:rPr>
          <w:lang w:val="en"/>
        </w:rPr>
        <w:t xml:space="preserve"> the High Authority against C</w:t>
      </w:r>
      <w:r w:rsidR="00151170" w:rsidRPr="00F45EC7">
        <w:rPr>
          <w:lang w:val="en"/>
        </w:rPr>
        <w:t>orruption</w:t>
      </w:r>
      <w:r w:rsidR="00151170">
        <w:rPr>
          <w:lang w:val="en"/>
        </w:rPr>
        <w:t xml:space="preserve"> </w:t>
      </w:r>
      <w:r w:rsidR="00E51278">
        <w:rPr>
          <w:lang w:val="en"/>
        </w:rPr>
        <w:t>(</w:t>
      </w:r>
      <w:r w:rsidR="00E51278" w:rsidRPr="00E51278">
        <w:rPr>
          <w:lang w:val="en"/>
        </w:rPr>
        <w:t xml:space="preserve">Haute autorité de prévention et de lutte contre la corruption et les infractions assimilées </w:t>
      </w:r>
      <w:r w:rsidR="00151170" w:rsidRPr="00F45EC7">
        <w:rPr>
          <w:lang w:val="en"/>
        </w:rPr>
        <w:t>(HA</w:t>
      </w:r>
      <w:r w:rsidR="00151170">
        <w:rPr>
          <w:lang w:val="en"/>
        </w:rPr>
        <w:t>P</w:t>
      </w:r>
      <w:r w:rsidR="00151170" w:rsidRPr="00F45EC7">
        <w:rPr>
          <w:lang w:val="en"/>
        </w:rPr>
        <w:t>L</w:t>
      </w:r>
      <w:r w:rsidR="00151170">
        <w:rPr>
          <w:lang w:val="en"/>
        </w:rPr>
        <w:t>U</w:t>
      </w:r>
      <w:r w:rsidR="00151170" w:rsidRPr="00F45EC7">
        <w:rPr>
          <w:lang w:val="en"/>
        </w:rPr>
        <w:t>C</w:t>
      </w:r>
      <w:r w:rsidR="00151170">
        <w:rPr>
          <w:lang w:val="en"/>
        </w:rPr>
        <w:t>IA</w:t>
      </w:r>
      <w:r w:rsidR="00E51278">
        <w:rPr>
          <w:lang w:val="en"/>
        </w:rPr>
        <w:t>)</w:t>
      </w:r>
      <w:r w:rsidR="00151170" w:rsidRPr="00F45EC7">
        <w:rPr>
          <w:lang w:val="en"/>
        </w:rPr>
        <w:t>)</w:t>
      </w:r>
      <w:r w:rsidR="00151170">
        <w:rPr>
          <w:lang w:val="en"/>
        </w:rPr>
        <w:t>,</w:t>
      </w:r>
      <w:r w:rsidR="00151170" w:rsidRPr="00F45EC7">
        <w:rPr>
          <w:lang w:val="en"/>
        </w:rPr>
        <w:t xml:space="preserve"> the High Authority for </w:t>
      </w:r>
      <w:r w:rsidR="00151170" w:rsidRPr="00B56845">
        <w:rPr>
          <w:lang w:val="en-GB"/>
        </w:rPr>
        <w:t xml:space="preserve">Audio-Visual Communication </w:t>
      </w:r>
      <w:r w:rsidR="00E51278">
        <w:rPr>
          <w:lang w:val="en-GB"/>
        </w:rPr>
        <w:t>(</w:t>
      </w:r>
      <w:r w:rsidR="00E51278" w:rsidRPr="00E51278">
        <w:rPr>
          <w:lang w:val="en-GB"/>
        </w:rPr>
        <w:t xml:space="preserve">Haute </w:t>
      </w:r>
      <w:r w:rsidR="00E51278">
        <w:rPr>
          <w:lang w:val="en-GB"/>
        </w:rPr>
        <w:t>a</w:t>
      </w:r>
      <w:r w:rsidR="00E51278" w:rsidRPr="00E51278">
        <w:rPr>
          <w:lang w:val="en-GB"/>
        </w:rPr>
        <w:t>utorité de l'</w:t>
      </w:r>
      <w:r w:rsidR="00E51278">
        <w:rPr>
          <w:lang w:val="en-GB"/>
        </w:rPr>
        <w:t>a</w:t>
      </w:r>
      <w:r w:rsidR="00E51278" w:rsidRPr="00E51278">
        <w:rPr>
          <w:lang w:val="en-GB"/>
        </w:rPr>
        <w:t xml:space="preserve">udiovisuel et de la </w:t>
      </w:r>
      <w:r w:rsidR="00E51278">
        <w:rPr>
          <w:lang w:val="en-GB"/>
        </w:rPr>
        <w:t>c</w:t>
      </w:r>
      <w:r w:rsidR="00E51278" w:rsidRPr="00E51278">
        <w:rPr>
          <w:lang w:val="en-GB"/>
        </w:rPr>
        <w:t xml:space="preserve">ommunication </w:t>
      </w:r>
      <w:r w:rsidR="00151170" w:rsidRPr="00B56845">
        <w:rPr>
          <w:lang w:val="en-GB"/>
        </w:rPr>
        <w:t>(HAAC)</w:t>
      </w:r>
      <w:r w:rsidR="00E51278">
        <w:rPr>
          <w:lang w:val="en-GB"/>
        </w:rPr>
        <w:t>)</w:t>
      </w:r>
      <w:r w:rsidR="00CD738A" w:rsidRPr="00870582">
        <w:rPr>
          <w:lang w:val="en"/>
        </w:rPr>
        <w:t xml:space="preserve">, the judiciary and </w:t>
      </w:r>
      <w:r w:rsidR="003163DE">
        <w:rPr>
          <w:lang w:val="en"/>
        </w:rPr>
        <w:t>NHRC</w:t>
      </w:r>
      <w:r w:rsidR="00CD738A" w:rsidRPr="00870582">
        <w:rPr>
          <w:lang w:val="en"/>
        </w:rPr>
        <w:t xml:space="preserve"> need strengthen</w:t>
      </w:r>
      <w:r w:rsidR="00A76792">
        <w:rPr>
          <w:lang w:val="en"/>
        </w:rPr>
        <w:t>ed</w:t>
      </w:r>
      <w:r w:rsidR="00CD738A" w:rsidRPr="00870582">
        <w:rPr>
          <w:lang w:val="en"/>
        </w:rPr>
        <w:t xml:space="preserve"> technical capacities to adequately fulfil their missions. </w:t>
      </w:r>
    </w:p>
    <w:p w14:paraId="6E02289A" w14:textId="7F2EE868" w:rsidR="00CD738A" w:rsidRPr="00CD738A" w:rsidRDefault="003163DE" w:rsidP="00DE7E37">
      <w:pPr>
        <w:numPr>
          <w:ilvl w:val="0"/>
          <w:numId w:val="2"/>
        </w:numPr>
        <w:tabs>
          <w:tab w:val="left" w:pos="990"/>
        </w:tabs>
        <w:spacing w:after="120"/>
        <w:ind w:left="720" w:firstLine="0"/>
        <w:jc w:val="both"/>
        <w:rPr>
          <w:lang w:val="en"/>
        </w:rPr>
      </w:pPr>
      <w:r>
        <w:rPr>
          <w:lang w:val="en"/>
        </w:rPr>
        <w:t>The</w:t>
      </w:r>
      <w:r w:rsidR="00D905B8">
        <w:rPr>
          <w:lang w:val="en"/>
        </w:rPr>
        <w:t xml:space="preserve"> </w:t>
      </w:r>
      <w:r w:rsidR="00870582">
        <w:rPr>
          <w:lang w:val="en"/>
        </w:rPr>
        <w:t xml:space="preserve">public administration </w:t>
      </w:r>
      <w:r w:rsidR="00FE6783">
        <w:rPr>
          <w:lang w:val="en"/>
        </w:rPr>
        <w:t xml:space="preserve">is affected by </w:t>
      </w:r>
      <w:r w:rsidR="00CD738A" w:rsidRPr="00CD738A">
        <w:rPr>
          <w:lang w:val="en"/>
        </w:rPr>
        <w:t>weaknesses in national civil serv</w:t>
      </w:r>
      <w:r w:rsidR="00817049">
        <w:rPr>
          <w:lang w:val="en"/>
        </w:rPr>
        <w:t>ice</w:t>
      </w:r>
      <w:r w:rsidR="00CD738A" w:rsidRPr="00CD738A">
        <w:rPr>
          <w:lang w:val="en"/>
        </w:rPr>
        <w:t xml:space="preserve"> management, corruption</w:t>
      </w:r>
      <w:r w:rsidR="0040445A">
        <w:rPr>
          <w:lang w:val="en"/>
        </w:rPr>
        <w:t>,</w:t>
      </w:r>
      <w:r w:rsidR="00051BEF">
        <w:rPr>
          <w:rStyle w:val="FootnoteReference"/>
          <w:lang w:val="en"/>
        </w:rPr>
        <w:footnoteReference w:id="22"/>
      </w:r>
      <w:r w:rsidR="00CD738A" w:rsidRPr="00CD738A">
        <w:rPr>
          <w:lang w:val="en"/>
        </w:rPr>
        <w:t xml:space="preserve"> lack of accountability</w:t>
      </w:r>
      <w:r>
        <w:rPr>
          <w:lang w:val="en"/>
        </w:rPr>
        <w:t xml:space="preserve">, </w:t>
      </w:r>
      <w:r w:rsidR="00CD738A" w:rsidRPr="00CD738A">
        <w:rPr>
          <w:lang w:val="en"/>
        </w:rPr>
        <w:t xml:space="preserve">persistent capacity gaps </w:t>
      </w:r>
      <w:r>
        <w:rPr>
          <w:lang w:val="en"/>
        </w:rPr>
        <w:t xml:space="preserve">to fulfil mandates </w:t>
      </w:r>
      <w:r w:rsidR="00CD738A" w:rsidRPr="00CD738A">
        <w:rPr>
          <w:lang w:val="en"/>
        </w:rPr>
        <w:t>and limited participation of women</w:t>
      </w:r>
      <w:r w:rsidR="00FE6783">
        <w:rPr>
          <w:lang w:val="en"/>
        </w:rPr>
        <w:t xml:space="preserve"> and </w:t>
      </w:r>
      <w:r w:rsidR="00CD738A" w:rsidRPr="00CD738A">
        <w:rPr>
          <w:lang w:val="en"/>
        </w:rPr>
        <w:t xml:space="preserve">youth in decision-making. </w:t>
      </w:r>
      <w:r w:rsidR="00470F7E" w:rsidRPr="00CD738A">
        <w:rPr>
          <w:lang w:val="en"/>
        </w:rPr>
        <w:t xml:space="preserve">The national statistical system lacks adequate capacity to </w:t>
      </w:r>
      <w:r w:rsidR="008A5D27">
        <w:rPr>
          <w:lang w:val="en"/>
        </w:rPr>
        <w:t>produce</w:t>
      </w:r>
      <w:r w:rsidR="004A4355">
        <w:rPr>
          <w:lang w:val="en"/>
        </w:rPr>
        <w:t xml:space="preserve"> </w:t>
      </w:r>
      <w:r w:rsidR="00470F7E" w:rsidRPr="00CD738A">
        <w:rPr>
          <w:lang w:val="en"/>
        </w:rPr>
        <w:t>accurate, frequent and disaggregated data</w:t>
      </w:r>
      <w:r w:rsidR="004A4355">
        <w:rPr>
          <w:lang w:val="en"/>
        </w:rPr>
        <w:t>.</w:t>
      </w:r>
      <w:r w:rsidR="00470F7E">
        <w:rPr>
          <w:rStyle w:val="FootnoteReference"/>
          <w:lang w:val="en"/>
        </w:rPr>
        <w:footnoteReference w:id="23"/>
      </w:r>
      <w:r w:rsidR="00470F7E">
        <w:rPr>
          <w:lang w:val="en"/>
        </w:rPr>
        <w:t xml:space="preserve"> </w:t>
      </w:r>
      <w:r>
        <w:rPr>
          <w:lang w:val="en"/>
        </w:rPr>
        <w:t>T</w:t>
      </w:r>
      <w:r w:rsidR="00CD738A" w:rsidRPr="00CD738A">
        <w:rPr>
          <w:lang w:val="en"/>
        </w:rPr>
        <w:t>he establishme</w:t>
      </w:r>
      <w:r w:rsidR="00151170">
        <w:rPr>
          <w:lang w:val="en"/>
        </w:rPr>
        <w:t xml:space="preserve">nt of the National Council and </w:t>
      </w:r>
      <w:r w:rsidR="00FE6783">
        <w:rPr>
          <w:lang w:val="en"/>
        </w:rPr>
        <w:t>the</w:t>
      </w:r>
      <w:r w:rsidR="00670607">
        <w:rPr>
          <w:lang w:val="en"/>
        </w:rPr>
        <w:t xml:space="preserve"> </w:t>
      </w:r>
      <w:r w:rsidR="00151170">
        <w:rPr>
          <w:lang w:val="en"/>
        </w:rPr>
        <w:t>Legal F</w:t>
      </w:r>
      <w:r w:rsidR="00CD738A" w:rsidRPr="00CD738A">
        <w:rPr>
          <w:lang w:val="en"/>
        </w:rPr>
        <w:t xml:space="preserve">ramework for </w:t>
      </w:r>
      <w:r w:rsidR="00FE6783">
        <w:rPr>
          <w:lang w:val="en"/>
        </w:rPr>
        <w:t>D</w:t>
      </w:r>
      <w:r w:rsidR="00E60E24" w:rsidRPr="00CD738A">
        <w:rPr>
          <w:lang w:val="en"/>
        </w:rPr>
        <w:t>ecentralization</w:t>
      </w:r>
      <w:r>
        <w:rPr>
          <w:lang w:val="en"/>
        </w:rPr>
        <w:t xml:space="preserve"> </w:t>
      </w:r>
      <w:r w:rsidR="00670607">
        <w:rPr>
          <w:lang w:val="en"/>
        </w:rPr>
        <w:t>are</w:t>
      </w:r>
      <w:r>
        <w:rPr>
          <w:lang w:val="en"/>
        </w:rPr>
        <w:t xml:space="preserve"> </w:t>
      </w:r>
      <w:r w:rsidR="007B1324">
        <w:rPr>
          <w:lang w:val="en"/>
        </w:rPr>
        <w:t>insufficient</w:t>
      </w:r>
      <w:r>
        <w:rPr>
          <w:lang w:val="en"/>
        </w:rPr>
        <w:t xml:space="preserve"> to </w:t>
      </w:r>
      <w:r w:rsidR="00CD24DC">
        <w:rPr>
          <w:lang w:val="en"/>
        </w:rPr>
        <w:t xml:space="preserve">ensure </w:t>
      </w:r>
      <w:r w:rsidR="00CD738A" w:rsidRPr="00CD738A">
        <w:rPr>
          <w:lang w:val="en"/>
        </w:rPr>
        <w:t xml:space="preserve">participatory governance and </w:t>
      </w:r>
      <w:r>
        <w:rPr>
          <w:lang w:val="en"/>
        </w:rPr>
        <w:t>delivery of improved</w:t>
      </w:r>
      <w:r w:rsidR="00CD738A" w:rsidRPr="00CD738A">
        <w:rPr>
          <w:lang w:val="en"/>
        </w:rPr>
        <w:t xml:space="preserve"> public services. </w:t>
      </w:r>
    </w:p>
    <w:p w14:paraId="63DC9361" w14:textId="713E376A" w:rsidR="008618D3" w:rsidRPr="000B4EB5" w:rsidRDefault="003163DE" w:rsidP="00DE7E37">
      <w:pPr>
        <w:numPr>
          <w:ilvl w:val="0"/>
          <w:numId w:val="2"/>
        </w:numPr>
        <w:tabs>
          <w:tab w:val="left" w:pos="990"/>
        </w:tabs>
        <w:spacing w:after="120"/>
        <w:ind w:left="720" w:firstLine="0"/>
        <w:jc w:val="both"/>
      </w:pPr>
      <w:r>
        <w:t>Togo’s</w:t>
      </w:r>
      <w:r w:rsidR="00151170">
        <w:t xml:space="preserve"> National Development P</w:t>
      </w:r>
      <w:r w:rsidR="00902D0B">
        <w:t xml:space="preserve">lan </w:t>
      </w:r>
      <w:r w:rsidR="008618D3" w:rsidRPr="000B4EB5">
        <w:t>(</w:t>
      </w:r>
      <w:r w:rsidR="004C711A">
        <w:t>NDP</w:t>
      </w:r>
      <w:r w:rsidR="00C57239">
        <w:t>)</w:t>
      </w:r>
      <w:r w:rsidR="004C711A">
        <w:t xml:space="preserve"> </w:t>
      </w:r>
      <w:r w:rsidR="008618D3" w:rsidRPr="000B4EB5">
        <w:t>2018-2022</w:t>
      </w:r>
      <w:r w:rsidR="004A4355">
        <w:t>, which</w:t>
      </w:r>
      <w:r w:rsidR="008618D3" w:rsidRPr="000B4EB5">
        <w:t xml:space="preserve"> integrates 48 prioritized </w:t>
      </w:r>
      <w:r w:rsidR="00FE6783">
        <w:t>Sustainable Development Goal</w:t>
      </w:r>
      <w:r w:rsidR="00FE6783" w:rsidRPr="000B4EB5">
        <w:t xml:space="preserve"> </w:t>
      </w:r>
      <w:r w:rsidR="008618D3" w:rsidRPr="000B4EB5">
        <w:t>targets</w:t>
      </w:r>
      <w:r w:rsidR="00470F7E">
        <w:t>,</w:t>
      </w:r>
      <w:r w:rsidR="008618D3" w:rsidRPr="000B4EB5">
        <w:t xml:space="preserve"> aims to accelerate economic growth and reduce underemployment through massive private</w:t>
      </w:r>
      <w:r>
        <w:t xml:space="preserve"> sector</w:t>
      </w:r>
      <w:r w:rsidR="008618D3" w:rsidRPr="000B4EB5">
        <w:t xml:space="preserve"> investments in infrastructure and economic structural transformation. UNDP supported Togo to present its voluntary reports </w:t>
      </w:r>
      <w:r w:rsidR="00D51DFB">
        <w:t xml:space="preserve">during </w:t>
      </w:r>
      <w:r w:rsidR="008618D3" w:rsidRPr="000B4EB5">
        <w:t xml:space="preserve">the first three </w:t>
      </w:r>
      <w:r w:rsidR="00FE6783">
        <w:t>h</w:t>
      </w:r>
      <w:r w:rsidR="00FE6783" w:rsidRPr="000B4EB5">
        <w:t>igh</w:t>
      </w:r>
      <w:r w:rsidR="00FE6783">
        <w:t>-l</w:t>
      </w:r>
      <w:r w:rsidR="008618D3" w:rsidRPr="000B4EB5">
        <w:t xml:space="preserve">evel </w:t>
      </w:r>
      <w:r w:rsidR="00FE6783">
        <w:t>p</w:t>
      </w:r>
      <w:r w:rsidR="00FE6783" w:rsidRPr="000B4EB5">
        <w:t xml:space="preserve">olitical </w:t>
      </w:r>
      <w:r w:rsidR="00FE6783">
        <w:t>f</w:t>
      </w:r>
      <w:r w:rsidR="00FE6783" w:rsidRPr="000B4EB5">
        <w:t xml:space="preserve">orums </w:t>
      </w:r>
      <w:r w:rsidR="008618D3" w:rsidRPr="000B4EB5">
        <w:t xml:space="preserve">on </w:t>
      </w:r>
      <w:r w:rsidR="00FE6783">
        <w:t>s</w:t>
      </w:r>
      <w:r w:rsidR="00FE6783" w:rsidRPr="000B4EB5">
        <w:t xml:space="preserve">ustainable </w:t>
      </w:r>
      <w:r w:rsidR="00FE6783">
        <w:t>d</w:t>
      </w:r>
      <w:r w:rsidR="00FE6783" w:rsidRPr="000B4EB5">
        <w:t xml:space="preserve">evelopment </w:t>
      </w:r>
      <w:r w:rsidR="00D51DFB">
        <w:t>and remains</w:t>
      </w:r>
      <w:r w:rsidR="008618D3" w:rsidRPr="000B4EB5">
        <w:t xml:space="preserve"> a key partner of the </w:t>
      </w:r>
      <w:r w:rsidR="00FE6783">
        <w:t>G</w:t>
      </w:r>
      <w:r w:rsidR="00FE6783" w:rsidRPr="000B4EB5">
        <w:t xml:space="preserve">overnment </w:t>
      </w:r>
      <w:r w:rsidR="008618D3" w:rsidRPr="000B4EB5">
        <w:t xml:space="preserve">in mainstreaming </w:t>
      </w:r>
      <w:r w:rsidR="00D51DFB">
        <w:t xml:space="preserve">and localizing </w:t>
      </w:r>
      <w:r w:rsidR="00FE6783">
        <w:t>the Goals</w:t>
      </w:r>
      <w:r w:rsidR="008618D3" w:rsidRPr="000B4EB5">
        <w:t>.</w:t>
      </w:r>
      <w:r w:rsidR="00470F7E">
        <w:t xml:space="preserve"> </w:t>
      </w:r>
    </w:p>
    <w:p w14:paraId="200EDEC3" w14:textId="078EE66D" w:rsidR="008618D3" w:rsidRPr="000B4EB5" w:rsidRDefault="00963336" w:rsidP="00DE7E37">
      <w:pPr>
        <w:numPr>
          <w:ilvl w:val="0"/>
          <w:numId w:val="2"/>
        </w:numPr>
        <w:tabs>
          <w:tab w:val="left" w:pos="990"/>
        </w:tabs>
        <w:spacing w:after="120"/>
        <w:ind w:left="720" w:firstLine="0"/>
        <w:jc w:val="both"/>
      </w:pPr>
      <w:r>
        <w:t>T</w:t>
      </w:r>
      <w:r w:rsidR="008618D3" w:rsidRPr="000B4EB5">
        <w:t xml:space="preserve">he </w:t>
      </w:r>
      <w:r w:rsidR="00FE6783">
        <w:t>2017 i</w:t>
      </w:r>
      <w:r w:rsidR="00FE6783" w:rsidRPr="000B4EB5">
        <w:t xml:space="preserve">ndependent </w:t>
      </w:r>
      <w:r w:rsidR="00FE6783">
        <w:t>evaluation of the previous c</w:t>
      </w:r>
      <w:r w:rsidR="008618D3" w:rsidRPr="000B4EB5">
        <w:t xml:space="preserve">ountry </w:t>
      </w:r>
      <w:r w:rsidR="00FE6783">
        <w:t>p</w:t>
      </w:r>
      <w:r w:rsidR="00FE6783" w:rsidRPr="000B4EB5">
        <w:t>rogramme</w:t>
      </w:r>
      <w:r w:rsidR="00FE6783">
        <w:t xml:space="preserve"> found </w:t>
      </w:r>
      <w:r>
        <w:t xml:space="preserve">that </w:t>
      </w:r>
      <w:r w:rsidR="008618D3" w:rsidRPr="000B4EB5">
        <w:t xml:space="preserve">UNDP has strong comparative advantages in electoral assistance, peace consolidation, public administration </w:t>
      </w:r>
      <w:r w:rsidR="00470F7E" w:rsidRPr="000B4EB5">
        <w:t>capacity</w:t>
      </w:r>
      <w:r w:rsidR="00FE6783">
        <w:t>-</w:t>
      </w:r>
      <w:r w:rsidR="00470F7E" w:rsidRPr="000B4EB5">
        <w:t xml:space="preserve">building </w:t>
      </w:r>
      <w:r w:rsidR="008618D3" w:rsidRPr="000B4EB5">
        <w:t>and environmental management</w:t>
      </w:r>
      <w:r w:rsidR="00631B7D">
        <w:t>,</w:t>
      </w:r>
      <w:r w:rsidR="008618D3" w:rsidRPr="000B4EB5">
        <w:t xml:space="preserve"> </w:t>
      </w:r>
      <w:r>
        <w:t>including</w:t>
      </w:r>
      <w:r w:rsidRPr="000B4EB5">
        <w:t xml:space="preserve"> </w:t>
      </w:r>
      <w:r w:rsidR="008618D3" w:rsidRPr="000B4EB5">
        <w:t xml:space="preserve">the implementation of </w:t>
      </w:r>
      <w:r w:rsidR="004A4355">
        <w:t xml:space="preserve">innovative </w:t>
      </w:r>
      <w:r w:rsidR="008618D3" w:rsidRPr="000B4EB5">
        <w:t>multi-dimensional program</w:t>
      </w:r>
      <w:r w:rsidR="00FE6783">
        <w:t>me</w:t>
      </w:r>
      <w:r w:rsidR="008618D3" w:rsidRPr="000B4EB5">
        <w:t>s, such as the flagship government</w:t>
      </w:r>
      <w:r w:rsidR="00470F7E">
        <w:t>-</w:t>
      </w:r>
      <w:r w:rsidR="00631B7D">
        <w:t>funded</w:t>
      </w:r>
      <w:r w:rsidR="008618D3" w:rsidRPr="000B4EB5">
        <w:t xml:space="preserve"> </w:t>
      </w:r>
      <w:r w:rsidR="0001654A">
        <w:t>Emergency C</w:t>
      </w:r>
      <w:r w:rsidR="0035307F">
        <w:t>ommunit</w:t>
      </w:r>
      <w:r w:rsidR="0001654A">
        <w:t>y</w:t>
      </w:r>
      <w:r w:rsidR="0035307F">
        <w:t xml:space="preserve"> </w:t>
      </w:r>
      <w:r w:rsidR="0001654A">
        <w:t>Development P</w:t>
      </w:r>
      <w:r w:rsidR="0035307F">
        <w:t>rogramme (</w:t>
      </w:r>
      <w:r w:rsidR="0035307F" w:rsidRPr="0035307F">
        <w:t>Programme d'</w:t>
      </w:r>
      <w:r w:rsidR="0035307F">
        <w:t>u</w:t>
      </w:r>
      <w:r w:rsidR="0035307F" w:rsidRPr="0035307F">
        <w:t xml:space="preserve">rgence de </w:t>
      </w:r>
      <w:r w:rsidR="0035307F">
        <w:t>d</w:t>
      </w:r>
      <w:r w:rsidR="0035307F" w:rsidRPr="0035307F">
        <w:t xml:space="preserve">éveloppement </w:t>
      </w:r>
      <w:r w:rsidR="0035307F">
        <w:t>c</w:t>
      </w:r>
      <w:r w:rsidR="0035307F" w:rsidRPr="0035307F">
        <w:t xml:space="preserve">ommunautaire </w:t>
      </w:r>
      <w:r w:rsidR="0035307F">
        <w:t>(</w:t>
      </w:r>
      <w:r w:rsidR="008618D3" w:rsidRPr="000B4EB5">
        <w:t>PUDC</w:t>
      </w:r>
      <w:r w:rsidR="0035307F">
        <w:t>)</w:t>
      </w:r>
      <w:r w:rsidR="004A4355">
        <w:t>)</w:t>
      </w:r>
      <w:r>
        <w:t xml:space="preserve"> which helped</w:t>
      </w:r>
      <w:r w:rsidR="00631B7D" w:rsidRPr="000B4EB5">
        <w:t xml:space="preserve"> </w:t>
      </w:r>
      <w:r w:rsidR="0035307F">
        <w:t xml:space="preserve">to </w:t>
      </w:r>
      <w:r w:rsidR="00631B7D" w:rsidRPr="000B4EB5">
        <w:t>improve living conditions of about 25</w:t>
      </w:r>
      <w:r w:rsidR="00716E4F">
        <w:t xml:space="preserve"> per cent</w:t>
      </w:r>
      <w:r w:rsidR="00631B7D" w:rsidRPr="000B4EB5">
        <w:t xml:space="preserve"> of the population </w:t>
      </w:r>
      <w:r w:rsidR="0035307F">
        <w:t xml:space="preserve">through </w:t>
      </w:r>
      <w:r>
        <w:t>the health, education and transport facilitation sectors</w:t>
      </w:r>
      <w:r w:rsidR="0035307F">
        <w:t>.</w:t>
      </w:r>
      <w:r w:rsidR="00167D2A">
        <w:rPr>
          <w:rStyle w:val="FootnoteReference"/>
        </w:rPr>
        <w:footnoteReference w:id="24"/>
      </w:r>
      <w:r w:rsidR="00631B7D" w:rsidRPr="000B4EB5">
        <w:t xml:space="preserve"> </w:t>
      </w:r>
      <w:r w:rsidR="008618D3" w:rsidRPr="000B4EB5">
        <w:t>UNDP support</w:t>
      </w:r>
      <w:r>
        <w:t xml:space="preserve"> </w:t>
      </w:r>
      <w:r w:rsidR="0035307F">
        <w:t xml:space="preserve">was </w:t>
      </w:r>
      <w:r w:rsidR="008533C9">
        <w:t xml:space="preserve">recognized </w:t>
      </w:r>
      <w:r>
        <w:t xml:space="preserve">in </w:t>
      </w:r>
      <w:r w:rsidR="0035307F">
        <w:t>the areas of: (a</w:t>
      </w:r>
      <w:r w:rsidR="008533C9">
        <w:t xml:space="preserve">) </w:t>
      </w:r>
      <w:r>
        <w:t xml:space="preserve">enhancing a </w:t>
      </w:r>
      <w:r w:rsidRPr="000B4EB5">
        <w:t>peaceful environment</w:t>
      </w:r>
      <w:r w:rsidRPr="00963336">
        <w:t xml:space="preserve"> </w:t>
      </w:r>
      <w:r>
        <w:t>through</w:t>
      </w:r>
      <w:r w:rsidRPr="000B4EB5">
        <w:t xml:space="preserve"> effective early warning</w:t>
      </w:r>
      <w:r>
        <w:t xml:space="preserve"> mechanism</w:t>
      </w:r>
      <w:r w:rsidR="008533C9">
        <w:t>s</w:t>
      </w:r>
      <w:r w:rsidR="0035307F">
        <w:t xml:space="preserve">, i.e., establishment of </w:t>
      </w:r>
      <w:r w:rsidR="000068E8">
        <w:t>LPCs</w:t>
      </w:r>
      <w:r w:rsidR="004A4355">
        <w:t xml:space="preserve"> and </w:t>
      </w:r>
      <w:r w:rsidR="008618D3" w:rsidRPr="000B4EB5">
        <w:t>organiz</w:t>
      </w:r>
      <w:r w:rsidR="008533C9">
        <w:t xml:space="preserve">ation of </w:t>
      </w:r>
      <w:r w:rsidR="008618D3" w:rsidRPr="000B4EB5">
        <w:t>credible elections</w:t>
      </w:r>
      <w:r w:rsidR="007F3ADA">
        <w:t>;</w:t>
      </w:r>
      <w:r w:rsidR="008533C9">
        <w:t xml:space="preserve"> </w:t>
      </w:r>
      <w:r w:rsidR="0035307F">
        <w:t>(b</w:t>
      </w:r>
      <w:r w:rsidR="008533C9">
        <w:t xml:space="preserve">) improving the </w:t>
      </w:r>
      <w:r w:rsidR="008533C9" w:rsidRPr="000B4EB5">
        <w:t>coordination</w:t>
      </w:r>
      <w:r w:rsidR="008533C9">
        <w:t xml:space="preserve"> of </w:t>
      </w:r>
      <w:r w:rsidR="0035307F">
        <w:t xml:space="preserve">the </w:t>
      </w:r>
      <w:r w:rsidR="008533C9">
        <w:t>p</w:t>
      </w:r>
      <w:r w:rsidR="008618D3" w:rsidRPr="000B4EB5">
        <w:t>ublic administration</w:t>
      </w:r>
      <w:r w:rsidR="008533C9">
        <w:t>’s</w:t>
      </w:r>
      <w:r w:rsidR="008618D3" w:rsidRPr="000B4EB5">
        <w:t xml:space="preserve"> legal and institutional framework </w:t>
      </w:r>
      <w:r w:rsidR="00C27397">
        <w:t xml:space="preserve">with </w:t>
      </w:r>
      <w:r w:rsidR="008618D3" w:rsidRPr="000B4EB5">
        <w:t>tools and systems</w:t>
      </w:r>
      <w:r w:rsidR="008533C9">
        <w:t xml:space="preserve">; </w:t>
      </w:r>
      <w:r w:rsidR="0035307F">
        <w:t>and (c</w:t>
      </w:r>
      <w:r w:rsidR="008533C9">
        <w:t>) improving</w:t>
      </w:r>
      <w:r w:rsidR="008618D3" w:rsidRPr="000B4EB5">
        <w:t xml:space="preserve"> clean </w:t>
      </w:r>
      <w:r w:rsidR="008618D3" w:rsidRPr="000B4EB5">
        <w:lastRenderedPageBreak/>
        <w:t xml:space="preserve">energy access through </w:t>
      </w:r>
      <w:r w:rsidR="0035307F">
        <w:t xml:space="preserve">the pilot </w:t>
      </w:r>
      <w:r w:rsidR="008618D3" w:rsidRPr="000B4EB5">
        <w:t>ecovillage</w:t>
      </w:r>
      <w:r w:rsidR="00470F7E">
        <w:t>s</w:t>
      </w:r>
      <w:r w:rsidR="008618D3" w:rsidRPr="000B4EB5">
        <w:t xml:space="preserve"> initiative. </w:t>
      </w:r>
      <w:r w:rsidR="008533C9" w:rsidRPr="000B4EB5">
        <w:t>Th</w:t>
      </w:r>
      <w:r w:rsidR="008533C9">
        <w:t>e</w:t>
      </w:r>
      <w:r w:rsidR="008533C9" w:rsidRPr="000B4EB5">
        <w:t xml:space="preserve">se </w:t>
      </w:r>
      <w:r w:rsidR="008618D3" w:rsidRPr="000B4EB5">
        <w:t xml:space="preserve">results were achieved in collaboration with national institutions and partners such as the </w:t>
      </w:r>
      <w:r w:rsidR="00F8585A" w:rsidRPr="0022530C">
        <w:t xml:space="preserve">Global Environment Facility </w:t>
      </w:r>
      <w:r w:rsidR="00F8585A">
        <w:t>(</w:t>
      </w:r>
      <w:r w:rsidR="008618D3" w:rsidRPr="000B4EB5">
        <w:t>GEF</w:t>
      </w:r>
      <w:r w:rsidR="00F8585A">
        <w:t>)</w:t>
      </w:r>
      <w:r w:rsidR="008618D3" w:rsidRPr="000B4EB5">
        <w:t xml:space="preserve">, </w:t>
      </w:r>
      <w:r w:rsidR="0035307F">
        <w:t xml:space="preserve">the </w:t>
      </w:r>
      <w:r w:rsidR="008618D3" w:rsidRPr="000B4EB5">
        <w:t>G</w:t>
      </w:r>
      <w:r w:rsidR="00F8585A">
        <w:t>lobal Fund to Fight AIDS, Tuberculosis and Malaria</w:t>
      </w:r>
      <w:r w:rsidR="00C57239">
        <w:t>,</w:t>
      </w:r>
      <w:r w:rsidR="00F8585A">
        <w:t xml:space="preserve"> </w:t>
      </w:r>
      <w:r w:rsidR="008618D3" w:rsidRPr="000B4EB5">
        <w:t>U</w:t>
      </w:r>
      <w:r w:rsidR="0035307F">
        <w:t xml:space="preserve">nited </w:t>
      </w:r>
      <w:r w:rsidR="008618D3" w:rsidRPr="000B4EB5">
        <w:t>N</w:t>
      </w:r>
      <w:r w:rsidR="0035307F">
        <w:t>ations</w:t>
      </w:r>
      <w:r w:rsidR="008618D3" w:rsidRPr="000B4EB5">
        <w:t xml:space="preserve"> agencies</w:t>
      </w:r>
      <w:r w:rsidR="00C57239">
        <w:t xml:space="preserve">, the </w:t>
      </w:r>
      <w:r w:rsidR="00C57239" w:rsidRPr="000B4EB5">
        <w:t>E</w:t>
      </w:r>
      <w:r w:rsidR="00C57239">
        <w:t>uropean Union and</w:t>
      </w:r>
      <w:r w:rsidR="00C57239" w:rsidRPr="000B4EB5">
        <w:t xml:space="preserve"> </w:t>
      </w:r>
      <w:r w:rsidR="00C57239">
        <w:t>the Governments of Germany and the United States</w:t>
      </w:r>
      <w:r w:rsidR="008618D3" w:rsidRPr="000B4EB5">
        <w:t>.</w:t>
      </w:r>
    </w:p>
    <w:p w14:paraId="75848F3E" w14:textId="3C8E0421" w:rsidR="008618D3" w:rsidRPr="000B4EB5" w:rsidRDefault="008533C9" w:rsidP="00DE7E37">
      <w:pPr>
        <w:numPr>
          <w:ilvl w:val="0"/>
          <w:numId w:val="2"/>
        </w:numPr>
        <w:tabs>
          <w:tab w:val="left" w:pos="990"/>
        </w:tabs>
        <w:spacing w:after="200"/>
        <w:ind w:left="720" w:firstLine="0"/>
        <w:jc w:val="both"/>
      </w:pPr>
      <w:r>
        <w:t>Lessons learn</w:t>
      </w:r>
      <w:r w:rsidR="0035307F">
        <w:t>ed</w:t>
      </w:r>
      <w:r>
        <w:t xml:space="preserve"> include the need </w:t>
      </w:r>
      <w:r w:rsidR="008618D3" w:rsidRPr="000B4EB5">
        <w:t>to scale up intervention</w:t>
      </w:r>
      <w:r>
        <w:t>s</w:t>
      </w:r>
      <w:r w:rsidR="008618D3" w:rsidRPr="000B4EB5">
        <w:t xml:space="preserve"> </w:t>
      </w:r>
      <w:r w:rsidR="009A4382">
        <w:t xml:space="preserve">and </w:t>
      </w:r>
      <w:r>
        <w:t>strengthen</w:t>
      </w:r>
      <w:r w:rsidR="008618D3" w:rsidRPr="000B4EB5">
        <w:t xml:space="preserve"> national capacities</w:t>
      </w:r>
      <w:r>
        <w:t xml:space="preserve"> at all levels to accelerate access and delivery of services to the population</w:t>
      </w:r>
      <w:r w:rsidR="008618D3" w:rsidRPr="000B4EB5">
        <w:t xml:space="preserve">. </w:t>
      </w:r>
      <w:r w:rsidR="00470F7E">
        <w:t>T</w:t>
      </w:r>
      <w:r w:rsidR="008618D3" w:rsidRPr="000B4EB5">
        <w:t>h</w:t>
      </w:r>
      <w:r w:rsidR="0035307F">
        <w:t>e proposed</w:t>
      </w:r>
      <w:r w:rsidR="008618D3" w:rsidRPr="000B4EB5">
        <w:t xml:space="preserve"> </w:t>
      </w:r>
      <w:r w:rsidR="002B3652">
        <w:t>programme</w:t>
      </w:r>
      <w:r w:rsidR="008618D3" w:rsidRPr="000B4EB5">
        <w:t xml:space="preserve"> will focus more on </w:t>
      </w:r>
      <w:r w:rsidR="0035307F">
        <w:t>the</w:t>
      </w:r>
      <w:r w:rsidR="0035307F" w:rsidRPr="000B4EB5">
        <w:t xml:space="preserve"> </w:t>
      </w:r>
      <w:r w:rsidR="008618D3" w:rsidRPr="000B4EB5">
        <w:t>comparative advantages</w:t>
      </w:r>
      <w:r w:rsidR="00470F7E">
        <w:t xml:space="preserve"> </w:t>
      </w:r>
      <w:r w:rsidR="0035307F">
        <w:t xml:space="preserve">of UNDP </w:t>
      </w:r>
      <w:r w:rsidR="00470F7E">
        <w:t>in attracting government financing for development</w:t>
      </w:r>
      <w:r w:rsidR="00F041E0">
        <w:t xml:space="preserve"> and </w:t>
      </w:r>
      <w:r w:rsidR="00470F7E">
        <w:t>expanding service delivery to the local level</w:t>
      </w:r>
      <w:r w:rsidR="00B10059">
        <w:t>, using a cross-cutting strategy</w:t>
      </w:r>
      <w:r w:rsidR="008618D3" w:rsidRPr="000B4EB5">
        <w:t>.</w:t>
      </w:r>
    </w:p>
    <w:p w14:paraId="79782466" w14:textId="77777777" w:rsidR="00816CFE" w:rsidRPr="005A2DBF" w:rsidRDefault="007671D2" w:rsidP="00DE7E37">
      <w:pPr>
        <w:pStyle w:val="Heading1"/>
        <w:keepLines/>
        <w:widowControl/>
        <w:numPr>
          <w:ilvl w:val="0"/>
          <w:numId w:val="5"/>
        </w:numPr>
        <w:tabs>
          <w:tab w:val="left" w:pos="720"/>
        </w:tabs>
        <w:suppressAutoHyphens w:val="0"/>
        <w:spacing w:after="240"/>
        <w:ind w:right="878" w:hanging="1260"/>
        <w:rPr>
          <w:spacing w:val="0"/>
          <w:szCs w:val="24"/>
          <w:lang w:val="en-GB"/>
        </w:rPr>
      </w:pPr>
      <w:bookmarkStart w:id="7" w:name="_Toc523818656"/>
      <w:r w:rsidRPr="005A2DBF">
        <w:rPr>
          <w:spacing w:val="0"/>
          <w:szCs w:val="24"/>
          <w:lang w:val="en-GB"/>
        </w:rPr>
        <w:t>Programme priorities and partnerships</w:t>
      </w:r>
      <w:bookmarkEnd w:id="5"/>
      <w:bookmarkEnd w:id="7"/>
    </w:p>
    <w:p w14:paraId="11194608" w14:textId="163397E0" w:rsidR="006F347C" w:rsidRPr="0022530C" w:rsidRDefault="006F347C" w:rsidP="0086787D">
      <w:pPr>
        <w:numPr>
          <w:ilvl w:val="0"/>
          <w:numId w:val="2"/>
        </w:numPr>
        <w:tabs>
          <w:tab w:val="left" w:pos="1080"/>
        </w:tabs>
        <w:spacing w:after="120"/>
        <w:ind w:left="720" w:firstLine="0"/>
        <w:jc w:val="both"/>
      </w:pPr>
      <w:bookmarkStart w:id="8" w:name="_Toc509578034"/>
      <w:r w:rsidRPr="0022530C">
        <w:t>Th</w:t>
      </w:r>
      <w:r>
        <w:t xml:space="preserve">e </w:t>
      </w:r>
      <w:r w:rsidR="00A30BC5">
        <w:t>programme</w:t>
      </w:r>
      <w:r w:rsidR="00AC43C0">
        <w:t>,</w:t>
      </w:r>
      <w:r>
        <w:t xml:space="preserve"> </w:t>
      </w:r>
      <w:r w:rsidR="00AC43C0">
        <w:t xml:space="preserve">designed with the participation of key national stakeholders, </w:t>
      </w:r>
      <w:r>
        <w:t xml:space="preserve">is aligned with </w:t>
      </w:r>
      <w:r w:rsidRPr="0022530C">
        <w:t xml:space="preserve">the </w:t>
      </w:r>
      <w:r w:rsidR="00A30BC5" w:rsidRPr="0022530C">
        <w:t>NDP</w:t>
      </w:r>
      <w:r w:rsidR="005A36CD">
        <w:t xml:space="preserve"> 2018-2022</w:t>
      </w:r>
      <w:r w:rsidR="00A30BC5">
        <w:t>,</w:t>
      </w:r>
      <w:r w:rsidR="00A30BC5" w:rsidRPr="0022530C">
        <w:t xml:space="preserve"> </w:t>
      </w:r>
      <w:r w:rsidR="00A30BC5">
        <w:t>United Nations Development Assistance Framework (</w:t>
      </w:r>
      <w:r w:rsidRPr="0022530C">
        <w:t>UNDAF</w:t>
      </w:r>
      <w:r w:rsidR="00A30BC5">
        <w:t>)</w:t>
      </w:r>
      <w:r w:rsidRPr="0022530C">
        <w:t xml:space="preserve"> 2019-2023</w:t>
      </w:r>
      <w:r w:rsidR="002174F8">
        <w:t xml:space="preserve"> and</w:t>
      </w:r>
      <w:r w:rsidRPr="0022530C">
        <w:t xml:space="preserve"> UNDP Strategic Plan</w:t>
      </w:r>
      <w:r w:rsidR="002174F8">
        <w:t>,</w:t>
      </w:r>
      <w:r w:rsidRPr="0022530C">
        <w:t xml:space="preserve"> 2018-2021</w:t>
      </w:r>
      <w:r>
        <w:t xml:space="preserve"> and </w:t>
      </w:r>
      <w:r w:rsidRPr="0022530C">
        <w:t>focuses on three int</w:t>
      </w:r>
      <w:r>
        <w:t xml:space="preserve">erlinked transformational paths: </w:t>
      </w:r>
      <w:r w:rsidRPr="0022530C">
        <w:t>(</w:t>
      </w:r>
      <w:r w:rsidR="002174F8">
        <w:t>a</w:t>
      </w:r>
      <w:r w:rsidRPr="0022530C">
        <w:t xml:space="preserve">) </w:t>
      </w:r>
      <w:r>
        <w:t>enhancing</w:t>
      </w:r>
      <w:r w:rsidRPr="0022530C">
        <w:t xml:space="preserve"> governance to improve citizen participation</w:t>
      </w:r>
      <w:r w:rsidR="002B3652">
        <w:t>;</w:t>
      </w:r>
      <w:r w:rsidRPr="0022530C">
        <w:t xml:space="preserve"> (</w:t>
      </w:r>
      <w:r w:rsidR="002174F8">
        <w:t>b</w:t>
      </w:r>
      <w:r w:rsidRPr="0022530C">
        <w:t xml:space="preserve">) promoting </w:t>
      </w:r>
      <w:r>
        <w:t>inclusive growth</w:t>
      </w:r>
      <w:r w:rsidRPr="0022530C">
        <w:t xml:space="preserve"> and access to basic services</w:t>
      </w:r>
      <w:r>
        <w:t>; and</w:t>
      </w:r>
      <w:r w:rsidRPr="0022530C">
        <w:t xml:space="preserve"> (</w:t>
      </w:r>
      <w:r w:rsidR="002174F8">
        <w:t>c</w:t>
      </w:r>
      <w:r w:rsidRPr="0022530C">
        <w:t>) strengthening sustainable natural resource management and resilience to climate change.</w:t>
      </w:r>
    </w:p>
    <w:p w14:paraId="11A066D1" w14:textId="04104D2A" w:rsidR="00B10059" w:rsidRDefault="008A5D27" w:rsidP="0086787D">
      <w:pPr>
        <w:numPr>
          <w:ilvl w:val="0"/>
          <w:numId w:val="2"/>
        </w:numPr>
        <w:tabs>
          <w:tab w:val="left" w:pos="1080"/>
        </w:tabs>
        <w:spacing w:after="120"/>
        <w:ind w:left="720" w:firstLine="0"/>
        <w:jc w:val="both"/>
      </w:pPr>
      <w:r>
        <w:t>T</w:t>
      </w:r>
      <w:r w:rsidR="00A04EB8">
        <w:t>he programme assumes</w:t>
      </w:r>
      <w:r w:rsidR="000068E8">
        <w:t xml:space="preserve"> that</w:t>
      </w:r>
      <w:r w:rsidR="001F26DB">
        <w:t xml:space="preserve">: </w:t>
      </w:r>
      <w:r w:rsidR="002174F8">
        <w:t>(a</w:t>
      </w:r>
      <w:r w:rsidR="00A04EB8">
        <w:t xml:space="preserve">) </w:t>
      </w:r>
      <w:r w:rsidR="00B10059" w:rsidRPr="0022530C">
        <w:t>strengthening inclusive governance</w:t>
      </w:r>
      <w:r w:rsidR="001F2D4B">
        <w:t xml:space="preserve"> and</w:t>
      </w:r>
      <w:r w:rsidR="00B10059" w:rsidRPr="0022530C">
        <w:t xml:space="preserve"> </w:t>
      </w:r>
      <w:r w:rsidR="00B10059">
        <w:t xml:space="preserve">reinforcing the </w:t>
      </w:r>
      <w:r w:rsidR="00B10059" w:rsidRPr="0022530C">
        <w:t>capacity of</w:t>
      </w:r>
      <w:r w:rsidR="00B10059">
        <w:t xml:space="preserve"> national</w:t>
      </w:r>
      <w:r w:rsidR="00B10059" w:rsidRPr="0022530C">
        <w:t xml:space="preserve"> institutions to deliver </w:t>
      </w:r>
      <w:r w:rsidR="00B10059">
        <w:t xml:space="preserve">improved </w:t>
      </w:r>
      <w:r w:rsidR="001F2D4B">
        <w:t xml:space="preserve">access to </w:t>
      </w:r>
      <w:r w:rsidR="00B10059" w:rsidRPr="0022530C">
        <w:t>basic services</w:t>
      </w:r>
      <w:r w:rsidR="00A04EB8">
        <w:t>,</w:t>
      </w:r>
      <w:r w:rsidR="001F2D4B">
        <w:t xml:space="preserve"> if combined with e</w:t>
      </w:r>
      <w:r w:rsidR="001F2D4B" w:rsidRPr="000B4EB5">
        <w:t>ffective</w:t>
      </w:r>
      <w:r w:rsidR="001F2D4B" w:rsidRPr="0022530C">
        <w:t xml:space="preserve"> and accountable institutions</w:t>
      </w:r>
      <w:r w:rsidR="001F2D4B">
        <w:t xml:space="preserve"> and</w:t>
      </w:r>
      <w:r w:rsidR="001F2D4B" w:rsidRPr="0022530C">
        <w:t xml:space="preserve"> mechanisms for the peaceful resolution of conflicts and for social cohesion</w:t>
      </w:r>
      <w:r w:rsidR="00A04EB8">
        <w:t>,</w:t>
      </w:r>
      <w:r w:rsidR="001F2D4B">
        <w:t xml:space="preserve"> will create the </w:t>
      </w:r>
      <w:r w:rsidR="001F2D4B" w:rsidRPr="00FB168D">
        <w:t xml:space="preserve">enabling environment to </w:t>
      </w:r>
      <w:r w:rsidR="007F3ADA">
        <w:t>en</w:t>
      </w:r>
      <w:r w:rsidR="007F3ADA" w:rsidRPr="00FB168D">
        <w:t xml:space="preserve">sure </w:t>
      </w:r>
      <w:r w:rsidR="001F2D4B" w:rsidRPr="00FB168D">
        <w:t>effective governance and peace</w:t>
      </w:r>
      <w:r w:rsidR="00A04EB8" w:rsidRPr="00FB168D">
        <w:t>;</w:t>
      </w:r>
      <w:r w:rsidR="001F2D4B" w:rsidRPr="00FB168D">
        <w:t xml:space="preserve"> </w:t>
      </w:r>
      <w:r w:rsidR="002174F8">
        <w:t>(b</w:t>
      </w:r>
      <w:r w:rsidR="00A04EB8" w:rsidRPr="00FB168D">
        <w:t xml:space="preserve">) </w:t>
      </w:r>
      <w:r w:rsidR="006F347C" w:rsidRPr="00FB168D">
        <w:t>an unobstructed vision</w:t>
      </w:r>
      <w:r w:rsidR="001F2D4B" w:rsidRPr="00FB168D">
        <w:t xml:space="preserve"> for sustainable management of natural resources and increased resilience of populations </w:t>
      </w:r>
      <w:r w:rsidR="006F347C" w:rsidRPr="00FB168D">
        <w:t xml:space="preserve">and ecosystems </w:t>
      </w:r>
      <w:r w:rsidR="001F2D4B" w:rsidRPr="00FB168D">
        <w:t>to climate change and disaster, particularly in rural areas, will create better conditions for lifting people out of poverty</w:t>
      </w:r>
      <w:r w:rsidR="00A04EB8" w:rsidRPr="00FB168D">
        <w:t xml:space="preserve">; </w:t>
      </w:r>
      <w:r w:rsidR="002174F8">
        <w:t>and (c</w:t>
      </w:r>
      <w:r w:rsidR="00A04EB8" w:rsidRPr="00FB168D">
        <w:t xml:space="preserve">) </w:t>
      </w:r>
      <w:r w:rsidR="006F347C" w:rsidRPr="00FB168D">
        <w:t>creating jobs</w:t>
      </w:r>
      <w:r w:rsidR="002174F8">
        <w:t xml:space="preserve"> and</w:t>
      </w:r>
      <w:r w:rsidR="002174F8" w:rsidRPr="00FB168D">
        <w:t xml:space="preserve"> </w:t>
      </w:r>
      <w:r w:rsidR="006F347C" w:rsidRPr="00FB168D">
        <w:t>innovative value</w:t>
      </w:r>
      <w:r w:rsidR="002174F8">
        <w:t xml:space="preserve"> </w:t>
      </w:r>
      <w:r w:rsidR="006F347C" w:rsidRPr="00FB168D">
        <w:t xml:space="preserve">chains, </w:t>
      </w:r>
      <w:r w:rsidR="00B10059" w:rsidRPr="00FB168D">
        <w:t>promoting youth and women</w:t>
      </w:r>
      <w:r w:rsidR="006F347C" w:rsidRPr="00FB168D">
        <w:t>’s</w:t>
      </w:r>
      <w:r w:rsidR="00B10059" w:rsidRPr="00FB168D">
        <w:t xml:space="preserve"> </w:t>
      </w:r>
      <w:r w:rsidR="006F347C" w:rsidRPr="00FB168D">
        <w:t>empowerment and participation in governance</w:t>
      </w:r>
      <w:r w:rsidR="006F347C">
        <w:t xml:space="preserve"> at all levels, and a peaceful resilien</w:t>
      </w:r>
      <w:r w:rsidR="00A04EB8">
        <w:t>t</w:t>
      </w:r>
      <w:r w:rsidR="006F347C">
        <w:t xml:space="preserve"> society</w:t>
      </w:r>
      <w:r w:rsidR="00B10059" w:rsidRPr="0022530C">
        <w:t xml:space="preserve"> will lead to strong, inclusive and sustainable growth for multidimensional poverty eradication. </w:t>
      </w:r>
      <w:r w:rsidR="00D10FC1">
        <w:t xml:space="preserve">UNDP will </w:t>
      </w:r>
      <w:r w:rsidR="0019430D">
        <w:t xml:space="preserve">adopt </w:t>
      </w:r>
      <w:r w:rsidR="00464055">
        <w:t>a human right</w:t>
      </w:r>
      <w:r w:rsidR="000603EE">
        <w:t>s-</w:t>
      </w:r>
      <w:r w:rsidR="0019430D">
        <w:t xml:space="preserve">based </w:t>
      </w:r>
      <w:r w:rsidR="00396254">
        <w:t>and</w:t>
      </w:r>
      <w:r w:rsidR="0019430D">
        <w:t xml:space="preserve"> gender</w:t>
      </w:r>
      <w:r w:rsidR="000603EE">
        <w:t>-</w:t>
      </w:r>
      <w:r w:rsidR="0019430D">
        <w:t>equ</w:t>
      </w:r>
      <w:r w:rsidR="00464055">
        <w:t>ity</w:t>
      </w:r>
      <w:r w:rsidR="0019430D">
        <w:t xml:space="preserve"> approach</w:t>
      </w:r>
      <w:r w:rsidR="00396254">
        <w:t xml:space="preserve"> and</w:t>
      </w:r>
      <w:r w:rsidR="0019430D">
        <w:t xml:space="preserve"> </w:t>
      </w:r>
      <w:r w:rsidR="002A506B">
        <w:t xml:space="preserve">will </w:t>
      </w:r>
      <w:r w:rsidR="008246F6">
        <w:t xml:space="preserve">involve all </w:t>
      </w:r>
      <w:r w:rsidR="00BE1D0E">
        <w:t xml:space="preserve">targeted groups </w:t>
      </w:r>
      <w:r w:rsidR="008246F6">
        <w:t xml:space="preserve">in the </w:t>
      </w:r>
      <w:r w:rsidR="00E65378">
        <w:t xml:space="preserve">planning, </w:t>
      </w:r>
      <w:r w:rsidR="008246F6">
        <w:t xml:space="preserve">implementation </w:t>
      </w:r>
      <w:r w:rsidR="00E65378">
        <w:t xml:space="preserve">and monitoring </w:t>
      </w:r>
      <w:r w:rsidR="008246F6">
        <w:t>of its programme</w:t>
      </w:r>
      <w:r w:rsidR="00D10FC1">
        <w:t>.</w:t>
      </w:r>
    </w:p>
    <w:p w14:paraId="51952575" w14:textId="3E5296B9" w:rsidR="009331EF" w:rsidRPr="0022530C" w:rsidRDefault="006F347C" w:rsidP="0086787D">
      <w:pPr>
        <w:numPr>
          <w:ilvl w:val="0"/>
          <w:numId w:val="2"/>
        </w:numPr>
        <w:tabs>
          <w:tab w:val="left" w:pos="1080"/>
        </w:tabs>
        <w:spacing w:after="120"/>
        <w:ind w:left="720" w:firstLine="0"/>
        <w:jc w:val="both"/>
      </w:pPr>
      <w:r>
        <w:t>T</w:t>
      </w:r>
      <w:r w:rsidR="00DC37CA" w:rsidRPr="0022530C">
        <w:t xml:space="preserve">he programme </w:t>
      </w:r>
      <w:r>
        <w:t xml:space="preserve">targets </w:t>
      </w:r>
      <w:r w:rsidR="007F3ADA">
        <w:t xml:space="preserve">the </w:t>
      </w:r>
      <w:r w:rsidR="000F1A65">
        <w:t>five</w:t>
      </w:r>
      <w:r>
        <w:t xml:space="preserve"> regions with </w:t>
      </w:r>
      <w:r w:rsidR="00C02E3E" w:rsidRPr="0022530C">
        <w:t xml:space="preserve">focus </w:t>
      </w:r>
      <w:r w:rsidR="002D0A99">
        <w:t xml:space="preserve">on </w:t>
      </w:r>
      <w:r w:rsidR="00C02E3E" w:rsidRPr="0022530C">
        <w:t>rural</w:t>
      </w:r>
      <w:r w:rsidR="00FB168D">
        <w:t xml:space="preserve"> and undeserved</w:t>
      </w:r>
      <w:r w:rsidR="00C02E3E" w:rsidRPr="0022530C">
        <w:t xml:space="preserve"> areas,</w:t>
      </w:r>
      <w:r w:rsidR="009F3205">
        <w:t xml:space="preserve"> </w:t>
      </w:r>
      <w:r w:rsidR="00C02E3E" w:rsidRPr="0022530C">
        <w:t xml:space="preserve">youth, </w:t>
      </w:r>
      <w:r w:rsidR="002174F8">
        <w:t>persons with a disability</w:t>
      </w:r>
      <w:r w:rsidR="00C02E3E" w:rsidRPr="0022530C">
        <w:t>, women and local</w:t>
      </w:r>
      <w:r>
        <w:t>/community</w:t>
      </w:r>
      <w:r w:rsidR="00C02E3E" w:rsidRPr="0022530C">
        <w:t xml:space="preserve"> institutions. </w:t>
      </w:r>
      <w:r w:rsidR="007F3ADA">
        <w:t>It</w:t>
      </w:r>
      <w:r w:rsidR="00C02E3E" w:rsidRPr="0022530C">
        <w:t xml:space="preserve"> will contribute to the achievement of </w:t>
      </w:r>
      <w:r w:rsidR="00D10FC1" w:rsidRPr="0022530C">
        <w:t xml:space="preserve">Togo’s prioritized </w:t>
      </w:r>
      <w:r w:rsidR="00F041E0">
        <w:t xml:space="preserve">targets for </w:t>
      </w:r>
      <w:r w:rsidR="002174F8">
        <w:t>Sustainable Development Goal</w:t>
      </w:r>
      <w:r w:rsidR="00F041E0">
        <w:t>s</w:t>
      </w:r>
      <w:r w:rsidR="002174F8" w:rsidRPr="0022530C">
        <w:t xml:space="preserve"> </w:t>
      </w:r>
      <w:r w:rsidR="00C02E3E" w:rsidRPr="0022530C">
        <w:t xml:space="preserve">1 </w:t>
      </w:r>
      <w:r>
        <w:t>to</w:t>
      </w:r>
      <w:r w:rsidR="00C02E3E" w:rsidRPr="0022530C">
        <w:t>10, 13, 15, 16</w:t>
      </w:r>
      <w:r>
        <w:t xml:space="preserve"> and</w:t>
      </w:r>
      <w:r w:rsidR="00C02E3E" w:rsidRPr="0022530C">
        <w:t xml:space="preserve"> 17</w:t>
      </w:r>
      <w:r w:rsidR="00D10FC1">
        <w:t xml:space="preserve"> and is </w:t>
      </w:r>
      <w:r w:rsidR="00C02E3E" w:rsidRPr="0022530C">
        <w:t xml:space="preserve">inspired by the </w:t>
      </w:r>
      <w:r w:rsidR="000F1A65">
        <w:t xml:space="preserve">Strategic Plan </w:t>
      </w:r>
      <w:r w:rsidR="002B502A">
        <w:t xml:space="preserve">six </w:t>
      </w:r>
      <w:r w:rsidR="002174F8">
        <w:t>signature s</w:t>
      </w:r>
      <w:r w:rsidR="002174F8" w:rsidRPr="0022530C">
        <w:t>olutions</w:t>
      </w:r>
      <w:r w:rsidR="002B502A">
        <w:t>.</w:t>
      </w:r>
    </w:p>
    <w:p w14:paraId="61CAE8EC" w14:textId="016D0E0E" w:rsidR="00162DD9" w:rsidRPr="0022530C" w:rsidRDefault="00A04EB8" w:rsidP="0086787D">
      <w:pPr>
        <w:numPr>
          <w:ilvl w:val="0"/>
          <w:numId w:val="2"/>
        </w:numPr>
        <w:tabs>
          <w:tab w:val="left" w:pos="1080"/>
        </w:tabs>
        <w:spacing w:after="120"/>
        <w:ind w:left="720" w:firstLine="0"/>
        <w:jc w:val="both"/>
      </w:pPr>
      <w:r>
        <w:t>Key p</w:t>
      </w:r>
      <w:r w:rsidR="00162DD9" w:rsidRPr="0022530C">
        <w:t xml:space="preserve">artnerships will be enhanced </w:t>
      </w:r>
      <w:r w:rsidR="00E87001">
        <w:t xml:space="preserve">and government financing will continue to be leveraged to accelerate achievement of </w:t>
      </w:r>
      <w:r w:rsidR="002D685C">
        <w:t>the Goals</w:t>
      </w:r>
      <w:r w:rsidR="00162DD9" w:rsidRPr="0022530C">
        <w:t>.</w:t>
      </w:r>
      <w:r w:rsidR="00162DD9" w:rsidRPr="009331EF">
        <w:t xml:space="preserve"> </w:t>
      </w:r>
      <w:r w:rsidR="00162DD9" w:rsidRPr="0022530C">
        <w:t xml:space="preserve">UNDP playing its </w:t>
      </w:r>
      <w:r w:rsidR="00433C20" w:rsidRPr="0022530C">
        <w:t xml:space="preserve">integrator </w:t>
      </w:r>
      <w:r w:rsidR="00162DD9" w:rsidRPr="0022530C">
        <w:t xml:space="preserve">role will </w:t>
      </w:r>
      <w:r w:rsidR="007F3ADA">
        <w:t>strengthen</w:t>
      </w:r>
      <w:r w:rsidR="007F3ADA" w:rsidRPr="0022530C">
        <w:t xml:space="preserve"> </w:t>
      </w:r>
      <w:r w:rsidR="00162DD9" w:rsidRPr="0022530C">
        <w:t>partnerships</w:t>
      </w:r>
      <w:r w:rsidR="00433C20" w:rsidRPr="0022530C">
        <w:t xml:space="preserve"> </w:t>
      </w:r>
      <w:r w:rsidR="00162DD9" w:rsidRPr="0022530C">
        <w:t>with U</w:t>
      </w:r>
      <w:r w:rsidR="002D685C">
        <w:t xml:space="preserve">nited </w:t>
      </w:r>
      <w:r w:rsidR="00162DD9" w:rsidRPr="0022530C">
        <w:t>N</w:t>
      </w:r>
      <w:r w:rsidR="002D685C">
        <w:t>ations</w:t>
      </w:r>
      <w:r w:rsidR="00162DD9" w:rsidRPr="0022530C">
        <w:t xml:space="preserve"> agencies, global financial institutions, </w:t>
      </w:r>
      <w:r w:rsidR="00F041E0">
        <w:t xml:space="preserve">the </w:t>
      </w:r>
      <w:r w:rsidR="00162DD9" w:rsidRPr="0022530C">
        <w:t xml:space="preserve">private sector and other key technical </w:t>
      </w:r>
      <w:r w:rsidR="00FB168D">
        <w:t>partners</w:t>
      </w:r>
      <w:r w:rsidR="00995FCA">
        <w:t>.</w:t>
      </w:r>
      <w:r w:rsidR="00162DD9" w:rsidRPr="0022530C">
        <w:t xml:space="preserve"> South-South and triangular cooperation will be promoted in the field</w:t>
      </w:r>
      <w:r w:rsidR="004B0D0C">
        <w:t>s</w:t>
      </w:r>
      <w:r w:rsidR="00162DD9" w:rsidRPr="0022530C">
        <w:t xml:space="preserve"> of decentralization, peace consolidation and gender equality. </w:t>
      </w:r>
      <w:r w:rsidR="00433C20" w:rsidRPr="0022530C">
        <w:t xml:space="preserve">UNDP will </w:t>
      </w:r>
      <w:r w:rsidR="00FB168D">
        <w:t>explore</w:t>
      </w:r>
      <w:r w:rsidR="00E87001">
        <w:t xml:space="preserve"> innovative </w:t>
      </w:r>
      <w:r w:rsidR="003E606E">
        <w:t>solutions</w:t>
      </w:r>
      <w:r w:rsidR="00E87001">
        <w:t xml:space="preserve"> and establish </w:t>
      </w:r>
      <w:r w:rsidR="004B0D0C">
        <w:t>c</w:t>
      </w:r>
      <w:r w:rsidR="00433C20" w:rsidRPr="0022530C">
        <w:t xml:space="preserve">ountry </w:t>
      </w:r>
      <w:r w:rsidR="004B0D0C">
        <w:t>s</w:t>
      </w:r>
      <w:r w:rsidR="00433C20" w:rsidRPr="0022530C">
        <w:t xml:space="preserve">upport </w:t>
      </w:r>
      <w:r w:rsidR="004B0D0C">
        <w:t>p</w:t>
      </w:r>
      <w:r w:rsidR="00433C20" w:rsidRPr="0022530C">
        <w:t>latforms for gender and youth promotion</w:t>
      </w:r>
      <w:r w:rsidR="00F6774B">
        <w:t xml:space="preserve"> using </w:t>
      </w:r>
      <w:r w:rsidR="004B0D0C">
        <w:t xml:space="preserve">new </w:t>
      </w:r>
      <w:r w:rsidR="00F6774B">
        <w:t>technology</w:t>
      </w:r>
      <w:r>
        <w:t xml:space="preserve"> and</w:t>
      </w:r>
      <w:r w:rsidR="00F6774B">
        <w:t xml:space="preserve"> social media</w:t>
      </w:r>
      <w:r w:rsidR="00433C20" w:rsidRPr="0022530C">
        <w:t>.</w:t>
      </w:r>
    </w:p>
    <w:p w14:paraId="40568365" w14:textId="2F6F141A" w:rsidR="00321731" w:rsidRPr="000B4EB5" w:rsidRDefault="00321731" w:rsidP="00530B46">
      <w:pPr>
        <w:pStyle w:val="Heading2"/>
        <w:tabs>
          <w:tab w:val="left" w:pos="1080"/>
        </w:tabs>
        <w:spacing w:after="120"/>
        <w:ind w:left="720" w:right="1203"/>
        <w:jc w:val="both"/>
        <w:rPr>
          <w:i w:val="0"/>
          <w:sz w:val="20"/>
        </w:rPr>
      </w:pPr>
      <w:bookmarkStart w:id="9" w:name="_Toc523818657"/>
      <w:r w:rsidRPr="000B4EB5">
        <w:rPr>
          <w:i w:val="0"/>
          <w:sz w:val="20"/>
        </w:rPr>
        <w:t>Pillar 1</w:t>
      </w:r>
      <w:r w:rsidR="004B0D0C">
        <w:rPr>
          <w:i w:val="0"/>
          <w:sz w:val="20"/>
        </w:rPr>
        <w:t>.</w:t>
      </w:r>
      <w:r w:rsidRPr="000B4EB5">
        <w:rPr>
          <w:i w:val="0"/>
          <w:sz w:val="20"/>
        </w:rPr>
        <w:t xml:space="preserve"> Enhancing governance, rule of law and </w:t>
      </w:r>
      <w:r w:rsidR="003E606E">
        <w:rPr>
          <w:i w:val="0"/>
          <w:sz w:val="20"/>
        </w:rPr>
        <w:t>peace consolidation</w:t>
      </w:r>
      <w:bookmarkEnd w:id="9"/>
      <w:r w:rsidR="003E606E" w:rsidRPr="000B4EB5" w:rsidDel="001377CE">
        <w:rPr>
          <w:i w:val="0"/>
          <w:sz w:val="20"/>
        </w:rPr>
        <w:t xml:space="preserve"> </w:t>
      </w:r>
    </w:p>
    <w:p w14:paraId="51FB957A" w14:textId="51530EBD" w:rsidR="00E76998" w:rsidRPr="000B4EB5" w:rsidRDefault="00A04EB8" w:rsidP="0086787D">
      <w:pPr>
        <w:numPr>
          <w:ilvl w:val="0"/>
          <w:numId w:val="2"/>
        </w:numPr>
        <w:shd w:val="clear" w:color="auto" w:fill="FFFFFF"/>
        <w:tabs>
          <w:tab w:val="left" w:pos="1080"/>
        </w:tabs>
        <w:spacing w:after="120"/>
        <w:ind w:left="720" w:firstLine="0"/>
        <w:jc w:val="both"/>
        <w:rPr>
          <w:lang w:val="en"/>
        </w:rPr>
      </w:pPr>
      <w:bookmarkStart w:id="10" w:name="_Toc507656657"/>
      <w:r>
        <w:rPr>
          <w:lang w:val="en"/>
        </w:rPr>
        <w:t>UNDP will build on the existing program</w:t>
      </w:r>
      <w:r w:rsidR="00F8585A">
        <w:rPr>
          <w:lang w:val="en"/>
        </w:rPr>
        <w:t>me</w:t>
      </w:r>
      <w:r>
        <w:rPr>
          <w:lang w:val="en"/>
        </w:rPr>
        <w:t xml:space="preserve"> to</w:t>
      </w:r>
      <w:r w:rsidR="009C0226" w:rsidRPr="000B4EB5">
        <w:rPr>
          <w:lang w:val="en"/>
        </w:rPr>
        <w:t xml:space="preserve"> </w:t>
      </w:r>
      <w:r w:rsidR="009239B0" w:rsidRPr="001033A7">
        <w:rPr>
          <w:lang w:val="en"/>
        </w:rPr>
        <w:t>enhanc</w:t>
      </w:r>
      <w:r>
        <w:rPr>
          <w:lang w:val="en"/>
        </w:rPr>
        <w:t>e</w:t>
      </w:r>
      <w:r w:rsidR="009239B0" w:rsidRPr="001033A7">
        <w:rPr>
          <w:lang w:val="en"/>
        </w:rPr>
        <w:t xml:space="preserve"> governance </w:t>
      </w:r>
      <w:r>
        <w:rPr>
          <w:lang w:val="en"/>
        </w:rPr>
        <w:t>by</w:t>
      </w:r>
      <w:r w:rsidR="004B0D0C">
        <w:rPr>
          <w:lang w:val="en"/>
        </w:rPr>
        <w:t>:</w:t>
      </w:r>
      <w:r w:rsidR="009239B0" w:rsidRPr="001033A7">
        <w:rPr>
          <w:lang w:val="en"/>
        </w:rPr>
        <w:t xml:space="preserve"> </w:t>
      </w:r>
      <w:r w:rsidR="004B0D0C">
        <w:rPr>
          <w:lang w:val="en"/>
        </w:rPr>
        <w:t>(a</w:t>
      </w:r>
      <w:r w:rsidR="009239B0" w:rsidRPr="001033A7">
        <w:rPr>
          <w:lang w:val="en"/>
        </w:rPr>
        <w:t>)</w:t>
      </w:r>
      <w:r w:rsidR="009C0226" w:rsidRPr="001033A7">
        <w:rPr>
          <w:lang w:val="en"/>
        </w:rPr>
        <w:t xml:space="preserve"> </w:t>
      </w:r>
      <w:r>
        <w:rPr>
          <w:lang w:val="en"/>
        </w:rPr>
        <w:t>using digital technologies to improve</w:t>
      </w:r>
      <w:r w:rsidRPr="000B4EB5">
        <w:rPr>
          <w:lang w:val="en"/>
        </w:rPr>
        <w:t xml:space="preserve"> </w:t>
      </w:r>
      <w:r w:rsidR="004B0D0C">
        <w:rPr>
          <w:lang w:val="en"/>
        </w:rPr>
        <w:t xml:space="preserve">the </w:t>
      </w:r>
      <w:r w:rsidR="009C0226" w:rsidRPr="000B4EB5">
        <w:rPr>
          <w:lang w:val="en"/>
        </w:rPr>
        <w:t xml:space="preserve">civil </w:t>
      </w:r>
      <w:r w:rsidR="003E606E">
        <w:rPr>
          <w:lang w:val="en"/>
        </w:rPr>
        <w:t>service</w:t>
      </w:r>
      <w:r w:rsidR="003E606E" w:rsidRPr="000B4EB5">
        <w:rPr>
          <w:lang w:val="en"/>
        </w:rPr>
        <w:t xml:space="preserve"> </w:t>
      </w:r>
      <w:r w:rsidR="009C0226" w:rsidRPr="000B4EB5">
        <w:rPr>
          <w:lang w:val="en"/>
        </w:rPr>
        <w:t>management system</w:t>
      </w:r>
      <w:r w:rsidR="004B0D0C">
        <w:rPr>
          <w:lang w:val="en"/>
        </w:rPr>
        <w:t>;</w:t>
      </w:r>
      <w:r w:rsidR="0002247D">
        <w:rPr>
          <w:color w:val="000000" w:themeColor="text1"/>
        </w:rPr>
        <w:t xml:space="preserve"> </w:t>
      </w:r>
      <w:r w:rsidR="004B0D0C">
        <w:rPr>
          <w:color w:val="000000" w:themeColor="text1"/>
        </w:rPr>
        <w:t>(b</w:t>
      </w:r>
      <w:r w:rsidR="009239B0" w:rsidRPr="001033A7">
        <w:rPr>
          <w:lang w:val="en"/>
        </w:rPr>
        <w:t>)</w:t>
      </w:r>
      <w:r w:rsidR="009C0226" w:rsidRPr="000B4EB5">
        <w:rPr>
          <w:lang w:val="en"/>
        </w:rPr>
        <w:t xml:space="preserve"> </w:t>
      </w:r>
      <w:r>
        <w:rPr>
          <w:lang w:val="en"/>
        </w:rPr>
        <w:t xml:space="preserve">introducing </w:t>
      </w:r>
      <w:r w:rsidR="004B0D0C">
        <w:rPr>
          <w:lang w:val="en"/>
        </w:rPr>
        <w:t xml:space="preserve">an </w:t>
      </w:r>
      <w:r w:rsidR="009C0226" w:rsidRPr="000B4EB5">
        <w:rPr>
          <w:lang w:val="en"/>
        </w:rPr>
        <w:t xml:space="preserve">integrated planning </w:t>
      </w:r>
      <w:r w:rsidR="0002247D">
        <w:rPr>
          <w:lang w:val="en"/>
        </w:rPr>
        <w:t xml:space="preserve">and monitoring </w:t>
      </w:r>
      <w:r w:rsidR="009C0226" w:rsidRPr="000B4EB5">
        <w:rPr>
          <w:lang w:val="en"/>
        </w:rPr>
        <w:t xml:space="preserve">system </w:t>
      </w:r>
      <w:r w:rsidR="00F041E0">
        <w:rPr>
          <w:lang w:val="en"/>
        </w:rPr>
        <w:t>for</w:t>
      </w:r>
      <w:r w:rsidR="00F041E0" w:rsidRPr="000B4EB5">
        <w:rPr>
          <w:lang w:val="en"/>
        </w:rPr>
        <w:t xml:space="preserve"> </w:t>
      </w:r>
      <w:r w:rsidR="004B0D0C">
        <w:rPr>
          <w:lang w:val="en"/>
        </w:rPr>
        <w:t>the Sustainable Development Goals</w:t>
      </w:r>
      <w:r w:rsidR="00D81BD2">
        <w:rPr>
          <w:lang w:val="en"/>
        </w:rPr>
        <w:t>;</w:t>
      </w:r>
      <w:r w:rsidR="009C0226" w:rsidRPr="000B4EB5">
        <w:rPr>
          <w:lang w:val="en"/>
        </w:rPr>
        <w:t xml:space="preserve"> </w:t>
      </w:r>
      <w:r w:rsidR="00A455CF">
        <w:rPr>
          <w:lang w:val="en"/>
        </w:rPr>
        <w:t>(c</w:t>
      </w:r>
      <w:r w:rsidR="0023266C" w:rsidRPr="00DA2ACF">
        <w:rPr>
          <w:lang w:val="en"/>
        </w:rPr>
        <w:t>)</w:t>
      </w:r>
      <w:r w:rsidR="0002247D">
        <w:rPr>
          <w:lang w:val="en"/>
        </w:rPr>
        <w:t xml:space="preserve"> </w:t>
      </w:r>
      <w:r w:rsidR="00DA2ACF">
        <w:rPr>
          <w:lang w:val="en"/>
        </w:rPr>
        <w:t xml:space="preserve">strengthening </w:t>
      </w:r>
      <w:r w:rsidR="00BC3F59">
        <w:rPr>
          <w:lang w:val="en"/>
        </w:rPr>
        <w:t xml:space="preserve">capacities of governance institutions and </w:t>
      </w:r>
      <w:r w:rsidR="00A455CF">
        <w:rPr>
          <w:lang w:val="en"/>
        </w:rPr>
        <w:t>electoral management bodies</w:t>
      </w:r>
      <w:r w:rsidR="00BC3F59">
        <w:rPr>
          <w:lang w:val="en"/>
        </w:rPr>
        <w:t xml:space="preserve"> to promote </w:t>
      </w:r>
      <w:r w:rsidR="00BC3F59" w:rsidRPr="000B4EB5">
        <w:rPr>
          <w:lang w:val="en"/>
        </w:rPr>
        <w:t>rule of law, human rights</w:t>
      </w:r>
      <w:r w:rsidR="00BC3F59">
        <w:rPr>
          <w:lang w:val="en"/>
        </w:rPr>
        <w:t>, justice</w:t>
      </w:r>
      <w:r w:rsidR="00BC3F59" w:rsidRPr="000B4EB5">
        <w:rPr>
          <w:lang w:val="en"/>
        </w:rPr>
        <w:t>, transparency</w:t>
      </w:r>
      <w:r w:rsidR="00BC3F59">
        <w:rPr>
          <w:lang w:val="en"/>
        </w:rPr>
        <w:t xml:space="preserve">, </w:t>
      </w:r>
      <w:r w:rsidR="00BC3F59" w:rsidRPr="000B4EB5">
        <w:rPr>
          <w:lang w:val="en"/>
        </w:rPr>
        <w:t xml:space="preserve">accountability </w:t>
      </w:r>
      <w:r w:rsidR="00BC3F59">
        <w:rPr>
          <w:lang w:val="en"/>
        </w:rPr>
        <w:t xml:space="preserve">and </w:t>
      </w:r>
      <w:r w:rsidR="009C0226" w:rsidRPr="000B4EB5">
        <w:rPr>
          <w:lang w:val="en"/>
        </w:rPr>
        <w:t>credible and inclusive elections</w:t>
      </w:r>
      <w:r w:rsidR="00D81BD2">
        <w:rPr>
          <w:lang w:val="en"/>
        </w:rPr>
        <w:t>;</w:t>
      </w:r>
      <w:r w:rsidR="009C0226" w:rsidRPr="000B4EB5">
        <w:rPr>
          <w:lang w:val="en"/>
        </w:rPr>
        <w:t xml:space="preserve"> </w:t>
      </w:r>
      <w:r w:rsidR="00DA2ACF">
        <w:rPr>
          <w:lang w:val="en"/>
        </w:rPr>
        <w:t>and</w:t>
      </w:r>
      <w:r w:rsidR="009C0226" w:rsidRPr="000B4EB5">
        <w:rPr>
          <w:lang w:val="en"/>
        </w:rPr>
        <w:t xml:space="preserve"> </w:t>
      </w:r>
      <w:r w:rsidR="00A455CF">
        <w:rPr>
          <w:lang w:val="en"/>
        </w:rPr>
        <w:t>(d</w:t>
      </w:r>
      <w:r w:rsidR="009239B0" w:rsidRPr="00DA2ACF">
        <w:rPr>
          <w:lang w:val="en"/>
        </w:rPr>
        <w:t>)</w:t>
      </w:r>
      <w:r w:rsidR="00BC3F59">
        <w:rPr>
          <w:lang w:val="en"/>
        </w:rPr>
        <w:t xml:space="preserve"> </w:t>
      </w:r>
      <w:r w:rsidR="00E76998">
        <w:rPr>
          <w:lang w:val="en"/>
        </w:rPr>
        <w:t>consolidating</w:t>
      </w:r>
      <w:r w:rsidR="009C0226" w:rsidRPr="000B4EB5">
        <w:rPr>
          <w:lang w:val="en"/>
        </w:rPr>
        <w:t xml:space="preserve"> </w:t>
      </w:r>
      <w:r w:rsidR="00E76998">
        <w:rPr>
          <w:lang w:val="en"/>
        </w:rPr>
        <w:t xml:space="preserve">the </w:t>
      </w:r>
      <w:r w:rsidR="009C0226" w:rsidRPr="000B4EB5">
        <w:rPr>
          <w:lang w:val="en"/>
        </w:rPr>
        <w:t>peace infrastructure.</w:t>
      </w:r>
      <w:r w:rsidR="009C0226" w:rsidRPr="00DA2ACF">
        <w:rPr>
          <w:lang w:val="en"/>
        </w:rPr>
        <w:t xml:space="preserve"> </w:t>
      </w:r>
      <w:r w:rsidR="00E76998">
        <w:rPr>
          <w:lang w:val="en"/>
        </w:rPr>
        <w:t>Varied</w:t>
      </w:r>
      <w:r w:rsidR="00E76998" w:rsidRPr="000B4EB5">
        <w:rPr>
          <w:lang w:val="en"/>
        </w:rPr>
        <w:t xml:space="preserve"> strategies such as advocacy, advisory services, capacity</w:t>
      </w:r>
      <w:r w:rsidR="00D81BD2">
        <w:rPr>
          <w:lang w:val="en"/>
        </w:rPr>
        <w:t>-</w:t>
      </w:r>
      <w:r w:rsidR="00E76998" w:rsidRPr="000B4EB5">
        <w:rPr>
          <w:lang w:val="en"/>
        </w:rPr>
        <w:t>building, enhancement of civil society engagement mechanism</w:t>
      </w:r>
      <w:r w:rsidR="00E76998">
        <w:rPr>
          <w:lang w:val="en"/>
        </w:rPr>
        <w:t>s</w:t>
      </w:r>
      <w:r w:rsidR="00E76998" w:rsidRPr="000B4EB5">
        <w:rPr>
          <w:lang w:val="en"/>
        </w:rPr>
        <w:t xml:space="preserve">, utilization of innovative solutions and </w:t>
      </w:r>
      <w:r w:rsidR="00A455CF">
        <w:rPr>
          <w:lang w:val="en"/>
        </w:rPr>
        <w:t>S</w:t>
      </w:r>
      <w:r w:rsidR="00E76998" w:rsidRPr="000B4EB5">
        <w:rPr>
          <w:lang w:val="en"/>
        </w:rPr>
        <w:t>outh</w:t>
      </w:r>
      <w:r w:rsidR="00A455CF">
        <w:rPr>
          <w:lang w:val="en"/>
        </w:rPr>
        <w:t>-S</w:t>
      </w:r>
      <w:r w:rsidR="00E76998" w:rsidRPr="000B4EB5">
        <w:rPr>
          <w:lang w:val="en"/>
        </w:rPr>
        <w:t>outh cooperation</w:t>
      </w:r>
      <w:r w:rsidR="00E76998">
        <w:rPr>
          <w:lang w:val="en"/>
        </w:rPr>
        <w:t xml:space="preserve"> will be employed </w:t>
      </w:r>
      <w:r w:rsidR="00FB168D">
        <w:rPr>
          <w:lang w:val="en"/>
        </w:rPr>
        <w:t xml:space="preserve">using </w:t>
      </w:r>
      <w:r w:rsidR="00A455CF">
        <w:rPr>
          <w:lang w:val="en"/>
        </w:rPr>
        <w:t>s</w:t>
      </w:r>
      <w:r w:rsidR="00A455CF" w:rsidRPr="000B4EB5">
        <w:rPr>
          <w:lang w:val="en"/>
        </w:rPr>
        <w:t xml:space="preserve">ignature </w:t>
      </w:r>
      <w:r w:rsidR="00A455CF">
        <w:rPr>
          <w:lang w:val="en"/>
        </w:rPr>
        <w:t>s</w:t>
      </w:r>
      <w:r w:rsidR="00A455CF" w:rsidRPr="000B4EB5">
        <w:rPr>
          <w:lang w:val="en"/>
        </w:rPr>
        <w:t xml:space="preserve">olutions </w:t>
      </w:r>
      <w:r w:rsidR="009C0226" w:rsidRPr="000B4EB5">
        <w:rPr>
          <w:lang w:val="en"/>
        </w:rPr>
        <w:t>2 and 6</w:t>
      </w:r>
      <w:r w:rsidR="00A455CF">
        <w:rPr>
          <w:lang w:val="en"/>
        </w:rPr>
        <w:t xml:space="preserve"> of the Strategic Plan </w:t>
      </w:r>
      <w:r w:rsidR="00E76998">
        <w:rPr>
          <w:lang w:val="en"/>
        </w:rPr>
        <w:t>to achieve</w:t>
      </w:r>
      <w:r w:rsidR="009C0226" w:rsidRPr="000B4EB5">
        <w:rPr>
          <w:lang w:val="en"/>
        </w:rPr>
        <w:t xml:space="preserve"> </w:t>
      </w:r>
      <w:r w:rsidR="00A455CF">
        <w:rPr>
          <w:lang w:val="en"/>
        </w:rPr>
        <w:t>Goals</w:t>
      </w:r>
      <w:r w:rsidR="00A455CF" w:rsidRPr="000B4EB5">
        <w:rPr>
          <w:lang w:val="en"/>
        </w:rPr>
        <w:t xml:space="preserve"> </w:t>
      </w:r>
      <w:r w:rsidR="009C0226" w:rsidRPr="000B4EB5">
        <w:rPr>
          <w:lang w:val="en"/>
        </w:rPr>
        <w:t>5, 8, 10,</w:t>
      </w:r>
      <w:r w:rsidR="00A455CF">
        <w:rPr>
          <w:lang w:val="en"/>
        </w:rPr>
        <w:t xml:space="preserve"> </w:t>
      </w:r>
      <w:r w:rsidR="009C0226" w:rsidRPr="000B4EB5">
        <w:rPr>
          <w:lang w:val="en"/>
        </w:rPr>
        <w:t>16 and 17</w:t>
      </w:r>
      <w:r w:rsidR="00E76998">
        <w:rPr>
          <w:lang w:val="en"/>
        </w:rPr>
        <w:t xml:space="preserve">. </w:t>
      </w:r>
      <w:r w:rsidR="009C0226" w:rsidRPr="000B4EB5">
        <w:rPr>
          <w:lang w:val="en"/>
        </w:rPr>
        <w:t xml:space="preserve">UNDP will </w:t>
      </w:r>
      <w:r w:rsidR="00641FC1">
        <w:rPr>
          <w:lang w:val="en"/>
        </w:rPr>
        <w:t xml:space="preserve">target local and national institutions as well </w:t>
      </w:r>
      <w:r w:rsidR="00E76998">
        <w:rPr>
          <w:lang w:val="en"/>
        </w:rPr>
        <w:t xml:space="preserve">as </w:t>
      </w:r>
      <w:r w:rsidR="009C0226" w:rsidRPr="000B4EB5">
        <w:rPr>
          <w:lang w:val="en"/>
        </w:rPr>
        <w:t xml:space="preserve">women, youth, </w:t>
      </w:r>
      <w:r w:rsidR="00A455CF">
        <w:rPr>
          <w:lang w:val="en"/>
        </w:rPr>
        <w:t>persons with disabilities and persons living with HIV and AIDS</w:t>
      </w:r>
      <w:r w:rsidR="009C0226" w:rsidRPr="000B4EB5">
        <w:rPr>
          <w:lang w:val="en"/>
        </w:rPr>
        <w:t xml:space="preserve">. </w:t>
      </w:r>
    </w:p>
    <w:p w14:paraId="3BA256B7" w14:textId="7B026BE9" w:rsidR="001033A7" w:rsidRDefault="00D802B2" w:rsidP="0086787D">
      <w:pPr>
        <w:numPr>
          <w:ilvl w:val="0"/>
          <w:numId w:val="2"/>
        </w:numPr>
        <w:shd w:val="clear" w:color="auto" w:fill="FFFFFF"/>
        <w:tabs>
          <w:tab w:val="left" w:pos="1080"/>
        </w:tabs>
        <w:spacing w:after="120"/>
        <w:ind w:left="720" w:firstLine="0"/>
        <w:jc w:val="both"/>
        <w:rPr>
          <w:lang w:val="en"/>
        </w:rPr>
      </w:pPr>
      <w:r w:rsidRPr="000E359A">
        <w:rPr>
          <w:lang w:val="en"/>
        </w:rPr>
        <w:t xml:space="preserve">Building on </w:t>
      </w:r>
      <w:r w:rsidR="000068E8">
        <w:rPr>
          <w:lang w:val="en"/>
        </w:rPr>
        <w:t xml:space="preserve">the </w:t>
      </w:r>
      <w:r>
        <w:rPr>
          <w:lang w:val="en"/>
        </w:rPr>
        <w:t>success</w:t>
      </w:r>
      <w:r w:rsidR="00377654">
        <w:rPr>
          <w:lang w:val="en"/>
        </w:rPr>
        <w:t>ful</w:t>
      </w:r>
      <w:r>
        <w:rPr>
          <w:lang w:val="en"/>
        </w:rPr>
        <w:t xml:space="preserve"> </w:t>
      </w:r>
      <w:r w:rsidRPr="000E359A">
        <w:rPr>
          <w:lang w:val="en"/>
        </w:rPr>
        <w:t xml:space="preserve">support provided to the modernization of </w:t>
      </w:r>
      <w:r>
        <w:rPr>
          <w:lang w:val="en"/>
        </w:rPr>
        <w:t>public administration</w:t>
      </w:r>
      <w:r w:rsidRPr="000E359A">
        <w:rPr>
          <w:lang w:val="en"/>
        </w:rPr>
        <w:t xml:space="preserve"> since 2008</w:t>
      </w:r>
      <w:r>
        <w:rPr>
          <w:lang w:val="en"/>
        </w:rPr>
        <w:t xml:space="preserve"> and </w:t>
      </w:r>
      <w:r w:rsidR="003057D4">
        <w:rPr>
          <w:lang w:val="en"/>
        </w:rPr>
        <w:t xml:space="preserve">in </w:t>
      </w:r>
      <w:r w:rsidR="003057D4" w:rsidRPr="000B4EB5">
        <w:rPr>
          <w:lang w:val="en"/>
        </w:rPr>
        <w:t>partnership</w:t>
      </w:r>
      <w:r w:rsidR="009C0226" w:rsidRPr="000B4EB5">
        <w:rPr>
          <w:lang w:val="en"/>
        </w:rPr>
        <w:t xml:space="preserve"> with </w:t>
      </w:r>
      <w:r w:rsidR="00A455CF">
        <w:rPr>
          <w:lang w:val="en"/>
        </w:rPr>
        <w:t>the United Nations Department of Economic and Social Affairs</w:t>
      </w:r>
      <w:r w:rsidR="009C0226" w:rsidRPr="000B4EB5">
        <w:rPr>
          <w:lang w:val="en"/>
        </w:rPr>
        <w:t>, E</w:t>
      </w:r>
      <w:r w:rsidR="00A455CF">
        <w:rPr>
          <w:lang w:val="en"/>
        </w:rPr>
        <w:t xml:space="preserve">uropean </w:t>
      </w:r>
      <w:r w:rsidR="0047751C">
        <w:rPr>
          <w:lang w:val="en"/>
        </w:rPr>
        <w:t>U</w:t>
      </w:r>
      <w:r w:rsidR="00A455CF">
        <w:rPr>
          <w:lang w:val="en"/>
        </w:rPr>
        <w:t>nion</w:t>
      </w:r>
      <w:r w:rsidR="009C0226" w:rsidRPr="000B4EB5">
        <w:rPr>
          <w:lang w:val="en"/>
        </w:rPr>
        <w:t xml:space="preserve"> and </w:t>
      </w:r>
      <w:r w:rsidR="00A455CF">
        <w:rPr>
          <w:lang w:val="en"/>
        </w:rPr>
        <w:t>World Bank</w:t>
      </w:r>
      <w:r w:rsidR="009C0226" w:rsidRPr="000B4EB5">
        <w:rPr>
          <w:lang w:val="en"/>
        </w:rPr>
        <w:t xml:space="preserve">, UNDP will assist the Government </w:t>
      </w:r>
      <w:r w:rsidR="00E76998">
        <w:rPr>
          <w:lang w:val="en"/>
        </w:rPr>
        <w:t xml:space="preserve">to implement the </w:t>
      </w:r>
      <w:r w:rsidR="00E76998">
        <w:rPr>
          <w:lang w:val="en"/>
        </w:rPr>
        <w:lastRenderedPageBreak/>
        <w:t xml:space="preserve">decentralization policy and </w:t>
      </w:r>
      <w:r w:rsidR="00D81BD2">
        <w:rPr>
          <w:lang w:val="en"/>
        </w:rPr>
        <w:t xml:space="preserve">ensure </w:t>
      </w:r>
      <w:r w:rsidR="00E76998">
        <w:rPr>
          <w:lang w:val="en"/>
        </w:rPr>
        <w:t>access to quality public services</w:t>
      </w:r>
      <w:r w:rsidR="000068E8">
        <w:rPr>
          <w:lang w:val="en"/>
        </w:rPr>
        <w:t>.</w:t>
      </w:r>
      <w:r w:rsidR="000E359A">
        <w:rPr>
          <w:lang w:val="en"/>
        </w:rPr>
        <w:t xml:space="preserve"> </w:t>
      </w:r>
      <w:r>
        <w:rPr>
          <w:lang w:val="en"/>
        </w:rPr>
        <w:t>The</w:t>
      </w:r>
      <w:r w:rsidR="00E76998">
        <w:rPr>
          <w:lang w:val="en"/>
        </w:rPr>
        <w:t xml:space="preserve"> </w:t>
      </w:r>
      <w:r w:rsidR="00377654">
        <w:rPr>
          <w:lang w:val="en"/>
        </w:rPr>
        <w:t xml:space="preserve">implementation </w:t>
      </w:r>
      <w:r w:rsidR="00E76998">
        <w:rPr>
          <w:lang w:val="en"/>
        </w:rPr>
        <w:t>of a</w:t>
      </w:r>
      <w:r w:rsidR="009C0226" w:rsidRPr="000B4EB5">
        <w:rPr>
          <w:lang w:val="en"/>
        </w:rPr>
        <w:t xml:space="preserve"> centralized management system </w:t>
      </w:r>
      <w:r w:rsidR="00E76998">
        <w:rPr>
          <w:lang w:val="en"/>
        </w:rPr>
        <w:t>for</w:t>
      </w:r>
      <w:r w:rsidR="00E76998" w:rsidRPr="000B4EB5">
        <w:rPr>
          <w:lang w:val="en"/>
        </w:rPr>
        <w:t xml:space="preserve"> </w:t>
      </w:r>
      <w:r w:rsidR="009C0226" w:rsidRPr="000B4EB5">
        <w:rPr>
          <w:lang w:val="en"/>
        </w:rPr>
        <w:t xml:space="preserve">civil servants and </w:t>
      </w:r>
      <w:r w:rsidR="00E76998">
        <w:rPr>
          <w:lang w:val="en"/>
        </w:rPr>
        <w:t>establishment of an</w:t>
      </w:r>
      <w:r w:rsidR="009C0226" w:rsidRPr="000B4EB5">
        <w:rPr>
          <w:lang w:val="en"/>
        </w:rPr>
        <w:t xml:space="preserve"> integrated</w:t>
      </w:r>
      <w:r w:rsidR="005A1073">
        <w:rPr>
          <w:lang w:val="en"/>
        </w:rPr>
        <w:t xml:space="preserve"> and </w:t>
      </w:r>
      <w:r w:rsidR="00E76998">
        <w:rPr>
          <w:lang w:val="en"/>
        </w:rPr>
        <w:t>participatory</w:t>
      </w:r>
      <w:r w:rsidR="009C0226" w:rsidRPr="000B4EB5">
        <w:rPr>
          <w:lang w:val="en"/>
        </w:rPr>
        <w:t xml:space="preserve"> planning, monitoring and evaluation mechanism</w:t>
      </w:r>
      <w:r w:rsidR="00E76998">
        <w:rPr>
          <w:lang w:val="en"/>
        </w:rPr>
        <w:t>s</w:t>
      </w:r>
      <w:r w:rsidR="009C0226" w:rsidRPr="000B4EB5">
        <w:rPr>
          <w:lang w:val="en"/>
        </w:rPr>
        <w:t xml:space="preserve"> for the NDP</w:t>
      </w:r>
      <w:r w:rsidR="005A1073">
        <w:rPr>
          <w:lang w:val="en"/>
        </w:rPr>
        <w:t xml:space="preserve"> </w:t>
      </w:r>
      <w:r w:rsidR="00E76998">
        <w:rPr>
          <w:lang w:val="en"/>
        </w:rPr>
        <w:t xml:space="preserve">will help improve </w:t>
      </w:r>
      <w:r w:rsidR="005A1073">
        <w:rPr>
          <w:lang w:val="en"/>
        </w:rPr>
        <w:t xml:space="preserve">the efficiency of </w:t>
      </w:r>
      <w:r w:rsidR="00E76998">
        <w:rPr>
          <w:lang w:val="en"/>
        </w:rPr>
        <w:t xml:space="preserve">public administration. </w:t>
      </w:r>
      <w:r w:rsidR="009C0226" w:rsidRPr="000B4EB5">
        <w:rPr>
          <w:lang w:val="en"/>
        </w:rPr>
        <w:t xml:space="preserve">UNDP </w:t>
      </w:r>
      <w:r w:rsidR="00E76998">
        <w:rPr>
          <w:lang w:val="en"/>
        </w:rPr>
        <w:t>will assist the</w:t>
      </w:r>
      <w:r w:rsidR="009C0226" w:rsidRPr="000B4EB5">
        <w:rPr>
          <w:lang w:val="en"/>
        </w:rPr>
        <w:t xml:space="preserve"> Ministry of Planning and Kara University to build </w:t>
      </w:r>
      <w:r w:rsidR="00E76998">
        <w:rPr>
          <w:lang w:val="en"/>
        </w:rPr>
        <w:t xml:space="preserve">the </w:t>
      </w:r>
      <w:r w:rsidR="009C0226" w:rsidRPr="000B4EB5">
        <w:rPr>
          <w:lang w:val="en"/>
        </w:rPr>
        <w:t>capacity</w:t>
      </w:r>
      <w:r w:rsidR="005A1073">
        <w:rPr>
          <w:lang w:val="en"/>
        </w:rPr>
        <w:t xml:space="preserve"> and </w:t>
      </w:r>
      <w:r w:rsidR="009D5C5C">
        <w:rPr>
          <w:lang w:val="en"/>
        </w:rPr>
        <w:t>cadre</w:t>
      </w:r>
      <w:r w:rsidR="009C0226" w:rsidRPr="000B4EB5">
        <w:rPr>
          <w:lang w:val="en"/>
        </w:rPr>
        <w:t xml:space="preserve"> of planning specialist</w:t>
      </w:r>
      <w:r w:rsidR="00E76998">
        <w:rPr>
          <w:lang w:val="en"/>
        </w:rPr>
        <w:t>s</w:t>
      </w:r>
      <w:r w:rsidR="00641FC1">
        <w:rPr>
          <w:lang w:val="en"/>
        </w:rPr>
        <w:t>.</w:t>
      </w:r>
      <w:r w:rsidR="009C0226" w:rsidRPr="000B4EB5">
        <w:rPr>
          <w:lang w:val="en"/>
        </w:rPr>
        <w:t xml:space="preserve"> </w:t>
      </w:r>
      <w:r w:rsidR="005A1073">
        <w:rPr>
          <w:lang w:val="en"/>
        </w:rPr>
        <w:t>I</w:t>
      </w:r>
      <w:r w:rsidR="009C0226" w:rsidRPr="000B4EB5">
        <w:rPr>
          <w:lang w:val="en"/>
        </w:rPr>
        <w:t xml:space="preserve">n collaboration with </w:t>
      </w:r>
      <w:r w:rsidR="005A1073">
        <w:rPr>
          <w:lang w:val="en"/>
        </w:rPr>
        <w:t>the United Nations Children’s Fund</w:t>
      </w:r>
      <w:r w:rsidR="009C0226" w:rsidRPr="000B4EB5">
        <w:rPr>
          <w:lang w:val="en"/>
        </w:rPr>
        <w:t xml:space="preserve"> </w:t>
      </w:r>
      <w:r w:rsidR="005A1073">
        <w:rPr>
          <w:lang w:val="en"/>
        </w:rPr>
        <w:t>United Nations Population Fund</w:t>
      </w:r>
      <w:r w:rsidR="009C0226" w:rsidRPr="000B4EB5">
        <w:rPr>
          <w:lang w:val="en"/>
        </w:rPr>
        <w:t>, W</w:t>
      </w:r>
      <w:r w:rsidR="005A1073">
        <w:rPr>
          <w:lang w:val="en"/>
        </w:rPr>
        <w:t xml:space="preserve">orld </w:t>
      </w:r>
      <w:r w:rsidR="0047751C">
        <w:rPr>
          <w:lang w:val="en"/>
        </w:rPr>
        <w:t>B</w:t>
      </w:r>
      <w:r w:rsidR="005A1073">
        <w:rPr>
          <w:lang w:val="en"/>
        </w:rPr>
        <w:t>ank</w:t>
      </w:r>
      <w:r w:rsidR="009C0226" w:rsidRPr="000B4EB5">
        <w:rPr>
          <w:lang w:val="en"/>
        </w:rPr>
        <w:t xml:space="preserve"> and </w:t>
      </w:r>
      <w:r w:rsidR="005A1073">
        <w:rPr>
          <w:lang w:val="en"/>
        </w:rPr>
        <w:t xml:space="preserve">European Union, UNDP </w:t>
      </w:r>
      <w:r w:rsidR="009C0226" w:rsidRPr="000B4EB5">
        <w:rPr>
          <w:lang w:val="en"/>
        </w:rPr>
        <w:t xml:space="preserve">will </w:t>
      </w:r>
      <w:r w:rsidR="00D81BD2">
        <w:rPr>
          <w:lang w:val="en"/>
        </w:rPr>
        <w:t>strengthen</w:t>
      </w:r>
      <w:r w:rsidR="00D81BD2" w:rsidRPr="000B4EB5">
        <w:rPr>
          <w:lang w:val="en"/>
        </w:rPr>
        <w:t xml:space="preserve"> </w:t>
      </w:r>
      <w:r w:rsidR="009C0226" w:rsidRPr="000B4EB5">
        <w:rPr>
          <w:lang w:val="en"/>
        </w:rPr>
        <w:t xml:space="preserve">its partnership with </w:t>
      </w:r>
      <w:bookmarkStart w:id="11" w:name="_Hlk518123433"/>
      <w:r w:rsidR="00483A17">
        <w:rPr>
          <w:lang w:val="en"/>
        </w:rPr>
        <w:t xml:space="preserve">the </w:t>
      </w:r>
      <w:r w:rsidR="00483A17" w:rsidRPr="00483A17">
        <w:rPr>
          <w:lang w:val="en"/>
        </w:rPr>
        <w:t xml:space="preserve">National Institute of Statistics and Economic and Demographic Studies (Institut National de la Statistique et des Etudes Economiques et Démographiques </w:t>
      </w:r>
      <w:r w:rsidR="00483A17">
        <w:rPr>
          <w:lang w:val="en"/>
        </w:rPr>
        <w:t>(</w:t>
      </w:r>
      <w:r w:rsidR="009D5C5C">
        <w:rPr>
          <w:lang w:val="en"/>
        </w:rPr>
        <w:t>INSEED</w:t>
      </w:r>
      <w:r w:rsidR="00483A17">
        <w:rPr>
          <w:lang w:val="en"/>
        </w:rPr>
        <w:t>))</w:t>
      </w:r>
      <w:r w:rsidR="009D5C5C">
        <w:rPr>
          <w:lang w:val="en"/>
        </w:rPr>
        <w:t xml:space="preserve"> </w:t>
      </w:r>
      <w:r w:rsidR="009D5C5C" w:rsidRPr="000B4EB5">
        <w:rPr>
          <w:lang w:val="en"/>
        </w:rPr>
        <w:t>to</w:t>
      </w:r>
      <w:r w:rsidR="009C0226" w:rsidRPr="000B4EB5">
        <w:rPr>
          <w:lang w:val="en"/>
        </w:rPr>
        <w:t xml:space="preserve"> improve </w:t>
      </w:r>
      <w:r w:rsidR="005A1073">
        <w:rPr>
          <w:lang w:val="en"/>
        </w:rPr>
        <w:t xml:space="preserve">the production of </w:t>
      </w:r>
      <w:r w:rsidR="009C0226" w:rsidRPr="000B4EB5">
        <w:rPr>
          <w:lang w:val="en"/>
        </w:rPr>
        <w:t>disaggregated data</w:t>
      </w:r>
      <w:bookmarkEnd w:id="11"/>
      <w:r w:rsidR="009C0226" w:rsidRPr="000B4EB5">
        <w:rPr>
          <w:lang w:val="en"/>
        </w:rPr>
        <w:t xml:space="preserve">. </w:t>
      </w:r>
      <w:r w:rsidR="009D5C5C">
        <w:rPr>
          <w:lang w:val="en"/>
        </w:rPr>
        <w:t>T</w:t>
      </w:r>
      <w:r w:rsidR="009C0226" w:rsidRPr="000B4EB5">
        <w:rPr>
          <w:lang w:val="en"/>
        </w:rPr>
        <w:t xml:space="preserve">he capacity to collect </w:t>
      </w:r>
      <w:r w:rsidR="00B81E4F" w:rsidRPr="000B4EB5">
        <w:rPr>
          <w:lang w:val="en"/>
        </w:rPr>
        <w:t xml:space="preserve">data </w:t>
      </w:r>
      <w:r w:rsidR="009C0226" w:rsidRPr="000B4EB5">
        <w:rPr>
          <w:lang w:val="en"/>
        </w:rPr>
        <w:t>and conduct analysis on gender</w:t>
      </w:r>
      <w:r w:rsidR="00641FC1">
        <w:rPr>
          <w:lang w:val="en"/>
        </w:rPr>
        <w:t xml:space="preserve"> </w:t>
      </w:r>
      <w:r w:rsidR="003E606E">
        <w:rPr>
          <w:lang w:val="en"/>
        </w:rPr>
        <w:t xml:space="preserve">issues </w:t>
      </w:r>
      <w:r w:rsidR="003E606E" w:rsidRPr="000B4EB5">
        <w:rPr>
          <w:lang w:val="en"/>
        </w:rPr>
        <w:t>will</w:t>
      </w:r>
      <w:r w:rsidR="009C0226" w:rsidRPr="000B4EB5">
        <w:rPr>
          <w:lang w:val="en"/>
        </w:rPr>
        <w:t xml:space="preserve"> be strengthened. </w:t>
      </w:r>
      <w:r w:rsidR="009D5C5C">
        <w:rPr>
          <w:lang w:val="en"/>
        </w:rPr>
        <w:t>I</w:t>
      </w:r>
      <w:r w:rsidR="009C0226" w:rsidRPr="000B4EB5">
        <w:rPr>
          <w:lang w:val="en"/>
        </w:rPr>
        <w:t>n collaboration w</w:t>
      </w:r>
      <w:r w:rsidR="00B81E4F" w:rsidRPr="000B4EB5">
        <w:rPr>
          <w:lang w:val="en"/>
        </w:rPr>
        <w:t xml:space="preserve">ith </w:t>
      </w:r>
      <w:r w:rsidR="005A1073">
        <w:rPr>
          <w:lang w:val="en"/>
        </w:rPr>
        <w:t>the European Union</w:t>
      </w:r>
      <w:r w:rsidR="00B81E4F" w:rsidRPr="000B4EB5">
        <w:rPr>
          <w:lang w:val="en"/>
        </w:rPr>
        <w:t xml:space="preserve">, </w:t>
      </w:r>
      <w:r w:rsidR="00F041E0">
        <w:rPr>
          <w:lang w:val="en"/>
        </w:rPr>
        <w:t>German Agency for International Cooperation</w:t>
      </w:r>
      <w:r w:rsidR="009C0226" w:rsidRPr="00663D89">
        <w:rPr>
          <w:lang w:val="en"/>
        </w:rPr>
        <w:t xml:space="preserve"> and </w:t>
      </w:r>
      <w:r w:rsidR="005A1073">
        <w:rPr>
          <w:lang w:val="en"/>
        </w:rPr>
        <w:t>the World Bank</w:t>
      </w:r>
      <w:r w:rsidR="009C0226" w:rsidRPr="00663D89">
        <w:rPr>
          <w:lang w:val="en"/>
        </w:rPr>
        <w:t xml:space="preserve">, </w:t>
      </w:r>
      <w:r w:rsidR="005A1073">
        <w:rPr>
          <w:lang w:val="en"/>
        </w:rPr>
        <w:t xml:space="preserve">UNDP will continue to </w:t>
      </w:r>
      <w:r w:rsidR="009C0226" w:rsidRPr="00663D89">
        <w:rPr>
          <w:lang w:val="en"/>
        </w:rPr>
        <w:t xml:space="preserve">support </w:t>
      </w:r>
      <w:r w:rsidR="00F041E0">
        <w:rPr>
          <w:lang w:val="en"/>
        </w:rPr>
        <w:t xml:space="preserve">the </w:t>
      </w:r>
      <w:r w:rsidR="009C0226" w:rsidRPr="00663D89">
        <w:rPr>
          <w:lang w:val="en"/>
        </w:rPr>
        <w:t xml:space="preserve">decentralization process </w:t>
      </w:r>
      <w:r w:rsidR="00F27A1B" w:rsidRPr="001D119C">
        <w:rPr>
          <w:lang w:val="en"/>
        </w:rPr>
        <w:t>through</w:t>
      </w:r>
      <w:r w:rsidR="009C0226" w:rsidRPr="001D119C">
        <w:rPr>
          <w:lang w:val="en"/>
        </w:rPr>
        <w:t xml:space="preserve"> advocacy and advisory services</w:t>
      </w:r>
      <w:r w:rsidR="009D5C5C">
        <w:rPr>
          <w:lang w:val="en"/>
        </w:rPr>
        <w:t>, l</w:t>
      </w:r>
      <w:r w:rsidR="00F27A1B" w:rsidRPr="001D119C">
        <w:rPr>
          <w:lang w:val="en"/>
        </w:rPr>
        <w:t xml:space="preserve">ocal government </w:t>
      </w:r>
      <w:r w:rsidR="009D5C5C">
        <w:rPr>
          <w:lang w:val="en"/>
        </w:rPr>
        <w:t>capacity</w:t>
      </w:r>
      <w:r w:rsidR="005A1073">
        <w:rPr>
          <w:lang w:val="en"/>
        </w:rPr>
        <w:t>-</w:t>
      </w:r>
      <w:r w:rsidR="009D5C5C">
        <w:rPr>
          <w:lang w:val="en"/>
        </w:rPr>
        <w:t>building and</w:t>
      </w:r>
      <w:r w:rsidR="0023266C" w:rsidRPr="001D119C">
        <w:rPr>
          <w:lang w:val="en"/>
        </w:rPr>
        <w:t xml:space="preserve"> </w:t>
      </w:r>
      <w:r w:rsidR="0002247D">
        <w:rPr>
          <w:lang w:val="en"/>
        </w:rPr>
        <w:t>leveraging</w:t>
      </w:r>
      <w:r w:rsidR="0023266C" w:rsidRPr="00584CF7">
        <w:rPr>
          <w:lang w:val="en"/>
        </w:rPr>
        <w:t xml:space="preserve"> </w:t>
      </w:r>
      <w:r w:rsidR="00FB2AC5" w:rsidRPr="00584CF7">
        <w:rPr>
          <w:lang w:val="en"/>
        </w:rPr>
        <w:t xml:space="preserve">innovative technologies </w:t>
      </w:r>
      <w:r w:rsidR="000068E8" w:rsidRPr="00584CF7">
        <w:rPr>
          <w:lang w:val="en"/>
        </w:rPr>
        <w:t>and</w:t>
      </w:r>
      <w:r w:rsidR="000068E8" w:rsidRPr="0019430D">
        <w:t xml:space="preserve"> </w:t>
      </w:r>
      <w:r w:rsidR="000068E8">
        <w:t>South-S</w:t>
      </w:r>
      <w:r w:rsidR="0019430D">
        <w:t xml:space="preserve">outh </w:t>
      </w:r>
      <w:r w:rsidR="0019430D" w:rsidRPr="0019430D">
        <w:rPr>
          <w:lang w:val="en"/>
        </w:rPr>
        <w:t xml:space="preserve">opportunities with countries such as </w:t>
      </w:r>
      <w:r w:rsidR="0019430D" w:rsidRPr="000259CB">
        <w:rPr>
          <w:lang w:val="en"/>
        </w:rPr>
        <w:t>Benin</w:t>
      </w:r>
      <w:r w:rsidR="0019430D">
        <w:rPr>
          <w:lang w:val="en"/>
        </w:rPr>
        <w:t>,</w:t>
      </w:r>
      <w:r w:rsidR="0019430D" w:rsidRPr="0019430D">
        <w:rPr>
          <w:lang w:val="en"/>
        </w:rPr>
        <w:t xml:space="preserve"> </w:t>
      </w:r>
      <w:r w:rsidR="0040445A">
        <w:rPr>
          <w:lang w:val="en"/>
        </w:rPr>
        <w:t xml:space="preserve">Burkina Faso, </w:t>
      </w:r>
      <w:r w:rsidR="0019430D" w:rsidRPr="0019430D">
        <w:rPr>
          <w:lang w:val="en"/>
        </w:rPr>
        <w:t>Ghana</w:t>
      </w:r>
      <w:r w:rsidR="0019430D">
        <w:rPr>
          <w:lang w:val="en"/>
        </w:rPr>
        <w:t xml:space="preserve">, </w:t>
      </w:r>
      <w:r w:rsidR="000068E8" w:rsidRPr="0019430D">
        <w:rPr>
          <w:lang w:val="en"/>
        </w:rPr>
        <w:t>Nigeria</w:t>
      </w:r>
      <w:r w:rsidR="0019430D">
        <w:rPr>
          <w:lang w:val="en"/>
        </w:rPr>
        <w:t xml:space="preserve"> and Senegal</w:t>
      </w:r>
      <w:r w:rsidR="009D5C5C">
        <w:rPr>
          <w:lang w:val="en"/>
        </w:rPr>
        <w:t>.</w:t>
      </w:r>
      <w:r w:rsidR="001033A7" w:rsidRPr="00A75AEB">
        <w:rPr>
          <w:rFonts w:ascii="inherit" w:hAnsi="inherit"/>
          <w:color w:val="212121"/>
          <w:lang w:val="en"/>
        </w:rPr>
        <w:t xml:space="preserve"> </w:t>
      </w:r>
      <w:r w:rsidR="001033A7" w:rsidRPr="002C210D">
        <w:rPr>
          <w:lang w:val="en"/>
        </w:rPr>
        <w:t xml:space="preserve">UNDP will facilitate the creation of collaborative platforms to ensure </w:t>
      </w:r>
      <w:r w:rsidR="00C130B9" w:rsidRPr="002C210D">
        <w:rPr>
          <w:lang w:val="en"/>
        </w:rPr>
        <w:t xml:space="preserve">civic engagement </w:t>
      </w:r>
      <w:r w:rsidR="009D5C5C">
        <w:rPr>
          <w:lang w:val="en"/>
        </w:rPr>
        <w:t>and</w:t>
      </w:r>
      <w:r w:rsidR="001033A7" w:rsidRPr="002C210D">
        <w:rPr>
          <w:lang w:val="en"/>
        </w:rPr>
        <w:t xml:space="preserve"> participation</w:t>
      </w:r>
      <w:r w:rsidR="009D5C5C">
        <w:rPr>
          <w:lang w:val="en"/>
        </w:rPr>
        <w:t xml:space="preserve">, particularly </w:t>
      </w:r>
      <w:r w:rsidR="005A1073">
        <w:rPr>
          <w:lang w:val="en"/>
        </w:rPr>
        <w:t>of</w:t>
      </w:r>
      <w:r w:rsidR="009D5C5C">
        <w:rPr>
          <w:lang w:val="en"/>
        </w:rPr>
        <w:t xml:space="preserve"> </w:t>
      </w:r>
      <w:r w:rsidR="001033A7" w:rsidRPr="002C210D">
        <w:rPr>
          <w:lang w:val="en"/>
        </w:rPr>
        <w:t xml:space="preserve">women, youth and </w:t>
      </w:r>
      <w:r w:rsidR="005A1073">
        <w:rPr>
          <w:lang w:val="en"/>
        </w:rPr>
        <w:t>persons with disabilities</w:t>
      </w:r>
      <w:r w:rsidR="001033A7" w:rsidRPr="002C210D">
        <w:rPr>
          <w:lang w:val="en"/>
        </w:rPr>
        <w:t>.</w:t>
      </w:r>
    </w:p>
    <w:p w14:paraId="5DE58BD0" w14:textId="2D350D3F" w:rsidR="009C0226" w:rsidRPr="00AB3FE9" w:rsidRDefault="00F45EC7" w:rsidP="0086787D">
      <w:pPr>
        <w:numPr>
          <w:ilvl w:val="0"/>
          <w:numId w:val="2"/>
        </w:numPr>
        <w:shd w:val="clear" w:color="auto" w:fill="FFFFFF"/>
        <w:tabs>
          <w:tab w:val="left" w:pos="1080"/>
        </w:tabs>
        <w:spacing w:after="120"/>
        <w:ind w:left="720" w:firstLine="0"/>
        <w:jc w:val="both"/>
        <w:rPr>
          <w:rFonts w:cs="Courier New"/>
          <w:snapToGrid/>
          <w:lang w:val="en" w:eastAsia="en-ZA"/>
        </w:rPr>
      </w:pPr>
      <w:r w:rsidRPr="001A6EDE">
        <w:rPr>
          <w:lang w:val="en"/>
        </w:rPr>
        <w:t>I</w:t>
      </w:r>
      <w:r w:rsidR="009C0226" w:rsidRPr="002C210D">
        <w:rPr>
          <w:rFonts w:cs="Courier New"/>
          <w:snapToGrid/>
          <w:lang w:val="en" w:eastAsia="en-ZA"/>
        </w:rPr>
        <w:t>n line with the recommendations</w:t>
      </w:r>
      <w:r w:rsidR="005A1073">
        <w:rPr>
          <w:rFonts w:cs="Courier New"/>
          <w:snapToGrid/>
          <w:lang w:val="en" w:eastAsia="en-ZA"/>
        </w:rPr>
        <w:t xml:space="preserve"> of the universal periodic review</w:t>
      </w:r>
      <w:r w:rsidR="009C0226" w:rsidRPr="002C210D">
        <w:rPr>
          <w:rFonts w:cs="Courier New"/>
          <w:snapToGrid/>
          <w:lang w:val="en" w:eastAsia="en-ZA"/>
        </w:rPr>
        <w:t>, UNDP</w:t>
      </w:r>
      <w:r w:rsidR="003E140D">
        <w:rPr>
          <w:rFonts w:cs="Courier New"/>
          <w:snapToGrid/>
          <w:lang w:val="en" w:eastAsia="en-ZA"/>
        </w:rPr>
        <w:t xml:space="preserve"> with other pa</w:t>
      </w:r>
      <w:r w:rsidR="00361F9B">
        <w:rPr>
          <w:rFonts w:cs="Courier New"/>
          <w:snapToGrid/>
          <w:lang w:val="en" w:eastAsia="en-ZA"/>
        </w:rPr>
        <w:t>r</w:t>
      </w:r>
      <w:r w:rsidR="003E140D">
        <w:rPr>
          <w:rFonts w:cs="Courier New"/>
          <w:snapToGrid/>
          <w:lang w:val="en" w:eastAsia="en-ZA"/>
        </w:rPr>
        <w:t>tners</w:t>
      </w:r>
      <w:r w:rsidR="009C0226" w:rsidRPr="002C210D">
        <w:rPr>
          <w:rFonts w:cs="Courier New"/>
          <w:snapToGrid/>
          <w:lang w:val="en" w:eastAsia="en-ZA"/>
        </w:rPr>
        <w:t xml:space="preserve"> will strengthen </w:t>
      </w:r>
      <w:r w:rsidR="009D5C5C">
        <w:rPr>
          <w:rFonts w:cs="Courier New"/>
          <w:snapToGrid/>
          <w:lang w:val="en" w:eastAsia="en-ZA"/>
        </w:rPr>
        <w:t xml:space="preserve">institutional </w:t>
      </w:r>
      <w:r w:rsidR="009C0226" w:rsidRPr="002C210D">
        <w:rPr>
          <w:rFonts w:cs="Courier New"/>
          <w:snapToGrid/>
          <w:lang w:val="en" w:eastAsia="en-ZA"/>
        </w:rPr>
        <w:t>capacit</w:t>
      </w:r>
      <w:r w:rsidR="009D5C5C">
        <w:rPr>
          <w:rFonts w:cs="Courier New"/>
          <w:snapToGrid/>
          <w:lang w:val="en" w:eastAsia="en-ZA"/>
        </w:rPr>
        <w:t xml:space="preserve">ies </w:t>
      </w:r>
      <w:r w:rsidR="0014143C">
        <w:rPr>
          <w:rFonts w:cs="Courier New"/>
          <w:snapToGrid/>
          <w:lang w:val="en" w:eastAsia="en-ZA"/>
        </w:rPr>
        <w:t xml:space="preserve">related to </w:t>
      </w:r>
      <w:r w:rsidR="009D5C5C">
        <w:rPr>
          <w:rFonts w:cs="Courier New"/>
          <w:snapToGrid/>
          <w:lang w:val="en" w:eastAsia="en-ZA"/>
        </w:rPr>
        <w:t xml:space="preserve">the </w:t>
      </w:r>
      <w:r w:rsidR="009D5C5C" w:rsidRPr="002C210D">
        <w:rPr>
          <w:rFonts w:cs="Courier New"/>
          <w:snapToGrid/>
          <w:lang w:val="en" w:eastAsia="en-ZA"/>
        </w:rPr>
        <w:t>ju</w:t>
      </w:r>
      <w:r w:rsidR="009D5C5C">
        <w:rPr>
          <w:rFonts w:cs="Courier New"/>
          <w:snapToGrid/>
          <w:lang w:val="en" w:eastAsia="en-ZA"/>
        </w:rPr>
        <w:t>stice</w:t>
      </w:r>
      <w:r w:rsidR="009D5C5C" w:rsidRPr="002C210D">
        <w:rPr>
          <w:rFonts w:cs="Courier New"/>
          <w:snapToGrid/>
          <w:lang w:val="en" w:eastAsia="en-ZA"/>
        </w:rPr>
        <w:t xml:space="preserve"> </w:t>
      </w:r>
      <w:r w:rsidR="009D5C5C">
        <w:rPr>
          <w:rFonts w:cs="Courier New"/>
          <w:snapToGrid/>
          <w:lang w:val="en" w:eastAsia="en-ZA"/>
        </w:rPr>
        <w:t>sector,</w:t>
      </w:r>
      <w:r w:rsidR="009C0226" w:rsidRPr="002C210D">
        <w:rPr>
          <w:rFonts w:cs="Courier New"/>
          <w:snapToGrid/>
          <w:lang w:val="en" w:eastAsia="en-ZA"/>
        </w:rPr>
        <w:t xml:space="preserve"> human rights </w:t>
      </w:r>
      <w:r w:rsidR="009D5C5C">
        <w:rPr>
          <w:rFonts w:cs="Courier New"/>
          <w:snapToGrid/>
          <w:lang w:val="en" w:eastAsia="en-ZA"/>
        </w:rPr>
        <w:t xml:space="preserve">and </w:t>
      </w:r>
      <w:r w:rsidR="009C0226" w:rsidRPr="002C210D">
        <w:rPr>
          <w:rFonts w:cs="Courier New"/>
          <w:snapToGrid/>
          <w:lang w:val="en" w:eastAsia="en-ZA"/>
        </w:rPr>
        <w:t>civil society</w:t>
      </w:r>
      <w:r w:rsidR="009D5C5C">
        <w:rPr>
          <w:rFonts w:cs="Courier New"/>
          <w:snapToGrid/>
          <w:lang w:val="en" w:eastAsia="en-ZA"/>
        </w:rPr>
        <w:t>,</w:t>
      </w:r>
      <w:r w:rsidR="009C0226" w:rsidRPr="002C210D" w:rsidDel="00002977">
        <w:rPr>
          <w:rFonts w:cs="Courier New"/>
          <w:snapToGrid/>
          <w:lang w:val="en" w:eastAsia="en-ZA"/>
        </w:rPr>
        <w:t xml:space="preserve"> </w:t>
      </w:r>
      <w:r w:rsidR="009C0226" w:rsidRPr="002C210D">
        <w:rPr>
          <w:rFonts w:cs="Courier New"/>
          <w:snapToGrid/>
          <w:lang w:val="en" w:eastAsia="en-ZA"/>
        </w:rPr>
        <w:t xml:space="preserve">to consolidate </w:t>
      </w:r>
      <w:r w:rsidR="0014143C">
        <w:rPr>
          <w:rFonts w:cs="Courier New"/>
          <w:snapToGrid/>
          <w:lang w:val="en" w:eastAsia="en-ZA"/>
        </w:rPr>
        <w:t xml:space="preserve">the </w:t>
      </w:r>
      <w:r w:rsidR="009C0226" w:rsidRPr="002C210D">
        <w:rPr>
          <w:rFonts w:cs="Courier New"/>
          <w:snapToGrid/>
          <w:lang w:val="en" w:eastAsia="en-ZA"/>
        </w:rPr>
        <w:t>rule of law</w:t>
      </w:r>
      <w:r w:rsidR="00955027">
        <w:rPr>
          <w:rFonts w:cs="Courier New"/>
          <w:snapToGrid/>
          <w:lang w:val="en" w:eastAsia="en-ZA"/>
        </w:rPr>
        <w:t xml:space="preserve"> and</w:t>
      </w:r>
      <w:r w:rsidR="009C0226" w:rsidRPr="002C210D">
        <w:rPr>
          <w:rFonts w:cs="Courier New"/>
          <w:snapToGrid/>
          <w:lang w:val="en" w:eastAsia="en-ZA"/>
        </w:rPr>
        <w:t xml:space="preserve"> </w:t>
      </w:r>
      <w:r w:rsidR="00D5640F">
        <w:rPr>
          <w:rFonts w:cs="Courier New"/>
          <w:snapToGrid/>
          <w:lang w:val="en" w:eastAsia="en-ZA"/>
        </w:rPr>
        <w:t xml:space="preserve">promote </w:t>
      </w:r>
      <w:r w:rsidR="009C0226" w:rsidRPr="002C210D">
        <w:rPr>
          <w:rFonts w:cs="Courier New"/>
          <w:snapToGrid/>
          <w:lang w:val="en" w:eastAsia="en-ZA"/>
        </w:rPr>
        <w:t>human rights and equal access to justice</w:t>
      </w:r>
      <w:r w:rsidR="00D5640F">
        <w:rPr>
          <w:rFonts w:cs="Courier New"/>
          <w:snapToGrid/>
          <w:lang w:val="en" w:eastAsia="en-ZA"/>
        </w:rPr>
        <w:t>. C</w:t>
      </w:r>
      <w:r w:rsidR="009C0226" w:rsidRPr="002C210D">
        <w:rPr>
          <w:rFonts w:cs="Courier New"/>
          <w:snapToGrid/>
          <w:lang w:val="en" w:eastAsia="en-ZA"/>
        </w:rPr>
        <w:t>apacity</w:t>
      </w:r>
      <w:r w:rsidR="00D81BD2">
        <w:rPr>
          <w:rFonts w:cs="Courier New"/>
          <w:snapToGrid/>
          <w:lang w:val="en" w:eastAsia="en-ZA"/>
        </w:rPr>
        <w:t>-</w:t>
      </w:r>
      <w:r w:rsidR="009C0226" w:rsidRPr="002C210D">
        <w:rPr>
          <w:rFonts w:cs="Courier New"/>
          <w:snapToGrid/>
          <w:lang w:val="en" w:eastAsia="en-ZA"/>
        </w:rPr>
        <w:t xml:space="preserve">building </w:t>
      </w:r>
      <w:r w:rsidR="00D5640F">
        <w:rPr>
          <w:rFonts w:cs="Courier New"/>
          <w:snapToGrid/>
          <w:lang w:val="en" w:eastAsia="en-ZA"/>
        </w:rPr>
        <w:t xml:space="preserve">will seek to fulfil </w:t>
      </w:r>
      <w:r w:rsidR="009C0226" w:rsidRPr="002C210D">
        <w:rPr>
          <w:rFonts w:cs="Courier New"/>
          <w:snapToGrid/>
          <w:lang w:val="en" w:eastAsia="en-ZA"/>
        </w:rPr>
        <w:t>national and international obligations</w:t>
      </w:r>
      <w:r w:rsidR="0014143C">
        <w:rPr>
          <w:rFonts w:cs="Courier New"/>
          <w:snapToGrid/>
          <w:lang w:val="en" w:eastAsia="en-ZA"/>
        </w:rPr>
        <w:t xml:space="preserve"> for </w:t>
      </w:r>
      <w:r w:rsidR="0014143C" w:rsidRPr="002C210D">
        <w:rPr>
          <w:rFonts w:cs="Courier New"/>
          <w:snapToGrid/>
          <w:lang w:val="en" w:eastAsia="en-ZA"/>
        </w:rPr>
        <w:t>ratified human rights</w:t>
      </w:r>
      <w:r w:rsidR="0014143C">
        <w:rPr>
          <w:rFonts w:cs="Courier New"/>
          <w:snapToGrid/>
          <w:lang w:val="en" w:eastAsia="en-ZA"/>
        </w:rPr>
        <w:t xml:space="preserve"> instruments</w:t>
      </w:r>
      <w:r w:rsidR="009C0226" w:rsidRPr="002C210D">
        <w:rPr>
          <w:rFonts w:cs="Courier New"/>
          <w:snapToGrid/>
          <w:lang w:val="en" w:eastAsia="en-ZA"/>
        </w:rPr>
        <w:t>. Emphasis will be given to the improvement of access to justice for you</w:t>
      </w:r>
      <w:r w:rsidR="003E140D">
        <w:rPr>
          <w:rFonts w:cs="Courier New"/>
          <w:snapToGrid/>
          <w:lang w:val="en" w:eastAsia="en-ZA"/>
        </w:rPr>
        <w:t>th</w:t>
      </w:r>
      <w:r w:rsidR="009C0226" w:rsidRPr="002C210D">
        <w:rPr>
          <w:rFonts w:cs="Courier New"/>
          <w:snapToGrid/>
          <w:lang w:val="en" w:eastAsia="en-ZA"/>
        </w:rPr>
        <w:t xml:space="preserve">, women, </w:t>
      </w:r>
      <w:r w:rsidR="00D5640F">
        <w:rPr>
          <w:rFonts w:cs="Courier New"/>
          <w:snapToGrid/>
          <w:lang w:val="en" w:eastAsia="en-ZA"/>
        </w:rPr>
        <w:t xml:space="preserve">GBV </w:t>
      </w:r>
      <w:r w:rsidR="00D5640F" w:rsidRPr="002C210D">
        <w:rPr>
          <w:rFonts w:cs="Courier New"/>
          <w:snapToGrid/>
          <w:lang w:val="en" w:eastAsia="en-ZA"/>
        </w:rPr>
        <w:t>victims</w:t>
      </w:r>
      <w:r w:rsidR="00D5640F">
        <w:rPr>
          <w:rFonts w:cs="Courier New"/>
          <w:snapToGrid/>
          <w:lang w:val="en" w:eastAsia="en-ZA"/>
        </w:rPr>
        <w:t xml:space="preserve">, </w:t>
      </w:r>
      <w:r w:rsidR="0014143C">
        <w:rPr>
          <w:rFonts w:cs="Courier New"/>
          <w:snapToGrid/>
          <w:lang w:val="en" w:eastAsia="en-ZA"/>
        </w:rPr>
        <w:t>persons with disabilities and persons living with HIV and AIDS</w:t>
      </w:r>
      <w:r w:rsidR="005D52B6" w:rsidRPr="002C210D">
        <w:rPr>
          <w:rFonts w:cs="Courier New"/>
          <w:snapToGrid/>
          <w:lang w:val="en" w:eastAsia="en-ZA"/>
        </w:rPr>
        <w:t>.</w:t>
      </w:r>
      <w:r w:rsidR="001C1BB8" w:rsidRPr="002C210D">
        <w:rPr>
          <w:rFonts w:cs="Courier New"/>
          <w:snapToGrid/>
          <w:lang w:val="en" w:eastAsia="en-ZA"/>
        </w:rPr>
        <w:t xml:space="preserve"> Technical support to the Ministry of Justice </w:t>
      </w:r>
      <w:r w:rsidR="00705AD5">
        <w:rPr>
          <w:rFonts w:cs="Courier New"/>
          <w:snapToGrid/>
          <w:lang w:val="en" w:eastAsia="en-ZA"/>
        </w:rPr>
        <w:t>will help implement the</w:t>
      </w:r>
      <w:r w:rsidR="001C1BB8" w:rsidRPr="002C210D">
        <w:rPr>
          <w:rFonts w:cs="Courier New"/>
          <w:snapToGrid/>
          <w:lang w:val="en" w:eastAsia="en-ZA"/>
        </w:rPr>
        <w:t xml:space="preserve"> </w:t>
      </w:r>
      <w:r w:rsidR="005A36CD">
        <w:rPr>
          <w:rFonts w:cs="Courier New"/>
          <w:snapToGrid/>
          <w:lang w:val="en" w:eastAsia="en-ZA"/>
        </w:rPr>
        <w:t xml:space="preserve">National </w:t>
      </w:r>
      <w:r w:rsidR="001C1BB8" w:rsidRPr="002C210D">
        <w:rPr>
          <w:rFonts w:cs="Courier New"/>
          <w:snapToGrid/>
          <w:lang w:val="en" w:eastAsia="en-ZA"/>
        </w:rPr>
        <w:t xml:space="preserve">Justice </w:t>
      </w:r>
      <w:r w:rsidR="00361F9B">
        <w:rPr>
          <w:rFonts w:cs="Courier New"/>
          <w:snapToGrid/>
          <w:lang w:val="en" w:eastAsia="en-ZA"/>
        </w:rPr>
        <w:t>P</w:t>
      </w:r>
      <w:r w:rsidR="001C1BB8" w:rsidRPr="002C210D">
        <w:rPr>
          <w:rFonts w:cs="Courier New"/>
          <w:snapToGrid/>
          <w:lang w:val="en" w:eastAsia="en-ZA"/>
        </w:rPr>
        <w:t>olicy</w:t>
      </w:r>
      <w:r w:rsidR="001A6EDE" w:rsidRPr="00AB3FE9">
        <w:rPr>
          <w:rFonts w:cs="Courier New"/>
          <w:snapToGrid/>
          <w:lang w:val="en" w:eastAsia="en-ZA"/>
        </w:rPr>
        <w:t>,</w:t>
      </w:r>
      <w:r w:rsidR="001C1BB8" w:rsidRPr="002C210D">
        <w:rPr>
          <w:rFonts w:cs="Courier New"/>
          <w:snapToGrid/>
          <w:lang w:val="en" w:eastAsia="en-ZA"/>
        </w:rPr>
        <w:t xml:space="preserve"> the </w:t>
      </w:r>
      <w:r w:rsidR="00705AD5">
        <w:rPr>
          <w:rFonts w:cs="Courier New"/>
          <w:snapToGrid/>
          <w:lang w:val="en" w:eastAsia="en-ZA"/>
        </w:rPr>
        <w:t xml:space="preserve">new </w:t>
      </w:r>
      <w:r w:rsidR="001C1BB8" w:rsidRPr="002C210D">
        <w:rPr>
          <w:rFonts w:cs="Courier New"/>
          <w:snapToGrid/>
          <w:lang w:val="en" w:eastAsia="en-ZA"/>
        </w:rPr>
        <w:t xml:space="preserve">Legal Aid </w:t>
      </w:r>
      <w:r w:rsidR="001A6EDE" w:rsidRPr="00AB3FE9">
        <w:rPr>
          <w:rFonts w:cs="Courier New"/>
          <w:snapToGrid/>
          <w:lang w:val="en" w:eastAsia="en-ZA"/>
        </w:rPr>
        <w:t>Act</w:t>
      </w:r>
      <w:r w:rsidR="001D119C" w:rsidRPr="00AB3FE9">
        <w:rPr>
          <w:rFonts w:cs="Courier New"/>
          <w:snapToGrid/>
          <w:lang w:val="en" w:eastAsia="en-ZA"/>
        </w:rPr>
        <w:t xml:space="preserve"> and </w:t>
      </w:r>
      <w:r w:rsidR="001C1BB8" w:rsidRPr="002C210D">
        <w:rPr>
          <w:rFonts w:cs="Courier New"/>
          <w:snapToGrid/>
          <w:lang w:val="en" w:eastAsia="en-ZA"/>
        </w:rPr>
        <w:t>the management of newly established “</w:t>
      </w:r>
      <w:r w:rsidR="003C07F0">
        <w:rPr>
          <w:rFonts w:cs="Courier New"/>
          <w:snapToGrid/>
          <w:lang w:val="en" w:eastAsia="en-ZA"/>
        </w:rPr>
        <w:t>Justice</w:t>
      </w:r>
      <w:r w:rsidR="00BD1DA8">
        <w:rPr>
          <w:rFonts w:cs="Courier New"/>
          <w:snapToGrid/>
          <w:lang w:val="en" w:eastAsia="en-ZA"/>
        </w:rPr>
        <w:t xml:space="preserve"> Houses</w:t>
      </w:r>
      <w:r w:rsidR="001C1BB8" w:rsidRPr="002C210D">
        <w:rPr>
          <w:rFonts w:cs="Courier New"/>
          <w:snapToGrid/>
          <w:lang w:val="en" w:eastAsia="en-ZA"/>
        </w:rPr>
        <w:t>”</w:t>
      </w:r>
      <w:r w:rsidR="00705AD5">
        <w:rPr>
          <w:rFonts w:cs="Courier New"/>
          <w:snapToGrid/>
          <w:lang w:val="en" w:eastAsia="en-ZA"/>
        </w:rPr>
        <w:t xml:space="preserve">. </w:t>
      </w:r>
      <w:r w:rsidR="00705AD5" w:rsidRPr="00AB3FE9">
        <w:rPr>
          <w:rFonts w:cs="Courier New"/>
          <w:snapToGrid/>
          <w:lang w:val="en" w:eastAsia="en-ZA"/>
        </w:rPr>
        <w:t>J</w:t>
      </w:r>
      <w:r w:rsidR="001C1BB8" w:rsidRPr="002C210D">
        <w:rPr>
          <w:rFonts w:cs="Courier New"/>
          <w:snapToGrid/>
          <w:lang w:val="en" w:eastAsia="en-ZA"/>
        </w:rPr>
        <w:t xml:space="preserve">ustice </w:t>
      </w:r>
      <w:r w:rsidR="00705AD5">
        <w:rPr>
          <w:rFonts w:cs="Courier New"/>
          <w:snapToGrid/>
          <w:lang w:val="en" w:eastAsia="en-ZA"/>
        </w:rPr>
        <w:t xml:space="preserve">will be brought </w:t>
      </w:r>
      <w:r w:rsidR="001C1BB8" w:rsidRPr="002C210D">
        <w:rPr>
          <w:rFonts w:cs="Courier New"/>
          <w:snapToGrid/>
          <w:lang w:val="en" w:eastAsia="en-ZA"/>
        </w:rPr>
        <w:t xml:space="preserve">closer to citizens </w:t>
      </w:r>
      <w:r w:rsidR="009B384B" w:rsidRPr="00AB3FE9">
        <w:rPr>
          <w:rFonts w:cs="Courier New"/>
          <w:snapToGrid/>
          <w:lang w:val="en" w:eastAsia="en-ZA"/>
        </w:rPr>
        <w:t>using</w:t>
      </w:r>
      <w:r w:rsidR="001D119C" w:rsidRPr="00AB3FE9">
        <w:rPr>
          <w:rFonts w:cs="Courier New"/>
          <w:snapToGrid/>
          <w:lang w:val="en" w:eastAsia="en-ZA"/>
        </w:rPr>
        <w:t xml:space="preserve"> </w:t>
      </w:r>
      <w:r w:rsidR="001C1BB8" w:rsidRPr="002C210D">
        <w:rPr>
          <w:rFonts w:cs="Courier New"/>
          <w:snapToGrid/>
          <w:lang w:val="en" w:eastAsia="en-ZA"/>
        </w:rPr>
        <w:t>traditional approaches to mediation.</w:t>
      </w:r>
      <w:r w:rsidRPr="00AB3FE9">
        <w:rPr>
          <w:rFonts w:cs="Courier New"/>
          <w:snapToGrid/>
          <w:lang w:val="en" w:eastAsia="en-ZA"/>
        </w:rPr>
        <w:t xml:space="preserve"> UNDP will support strengthening of the justice information system </w:t>
      </w:r>
      <w:r w:rsidR="00705AD5" w:rsidRPr="00AB3FE9">
        <w:rPr>
          <w:rFonts w:cs="Courier New"/>
          <w:snapToGrid/>
          <w:lang w:val="en" w:eastAsia="en-ZA"/>
        </w:rPr>
        <w:t>and define</w:t>
      </w:r>
      <w:r w:rsidRPr="00AB3FE9">
        <w:rPr>
          <w:rFonts w:cs="Courier New"/>
          <w:snapToGrid/>
          <w:lang w:val="en" w:eastAsia="en-ZA"/>
        </w:rPr>
        <w:t xml:space="preserve"> indicators </w:t>
      </w:r>
      <w:r w:rsidR="00705AD5" w:rsidRPr="00AB3FE9">
        <w:rPr>
          <w:rFonts w:cs="Courier New"/>
          <w:snapToGrid/>
          <w:lang w:val="en" w:eastAsia="en-ZA"/>
        </w:rPr>
        <w:t>to improve</w:t>
      </w:r>
      <w:r w:rsidR="001A6EDE" w:rsidRPr="00AB3FE9">
        <w:rPr>
          <w:rFonts w:cs="Courier New"/>
          <w:snapToGrid/>
          <w:lang w:val="en" w:eastAsia="en-ZA"/>
        </w:rPr>
        <w:t xml:space="preserve"> </w:t>
      </w:r>
      <w:r w:rsidR="0014143C">
        <w:rPr>
          <w:rFonts w:cs="Courier New"/>
          <w:snapToGrid/>
          <w:lang w:val="en" w:eastAsia="en-ZA"/>
        </w:rPr>
        <w:t>the</w:t>
      </w:r>
      <w:r w:rsidR="001A6EDE" w:rsidRPr="00AB3FE9">
        <w:rPr>
          <w:rFonts w:cs="Courier New"/>
          <w:snapToGrid/>
          <w:lang w:val="en" w:eastAsia="en-ZA"/>
        </w:rPr>
        <w:t xml:space="preserve"> efficiency</w:t>
      </w:r>
      <w:r w:rsidR="00705AD5" w:rsidRPr="00AB3FE9">
        <w:rPr>
          <w:rFonts w:cs="Courier New"/>
          <w:snapToGrid/>
          <w:lang w:val="en" w:eastAsia="en-ZA"/>
        </w:rPr>
        <w:t xml:space="preserve">, accountability and </w:t>
      </w:r>
      <w:r w:rsidR="0014143C">
        <w:rPr>
          <w:rFonts w:cs="Courier New"/>
          <w:snapToGrid/>
          <w:lang w:val="en" w:eastAsia="en-ZA"/>
        </w:rPr>
        <w:t xml:space="preserve">citizen </w:t>
      </w:r>
      <w:r w:rsidR="00705AD5" w:rsidRPr="00AB3FE9">
        <w:rPr>
          <w:rFonts w:cs="Courier New"/>
          <w:snapToGrid/>
          <w:lang w:val="en" w:eastAsia="en-ZA"/>
        </w:rPr>
        <w:t>access</w:t>
      </w:r>
      <w:r w:rsidR="0014143C">
        <w:rPr>
          <w:rFonts w:cs="Courier New"/>
          <w:snapToGrid/>
          <w:lang w:val="en" w:eastAsia="en-ZA"/>
        </w:rPr>
        <w:t xml:space="preserve"> to the justice system</w:t>
      </w:r>
      <w:r w:rsidR="00705AD5" w:rsidRPr="00AB3FE9">
        <w:rPr>
          <w:rFonts w:cs="Courier New"/>
          <w:snapToGrid/>
          <w:lang w:val="en" w:eastAsia="en-ZA"/>
        </w:rPr>
        <w:t>.</w:t>
      </w:r>
    </w:p>
    <w:p w14:paraId="4A318287" w14:textId="7BDD31DC" w:rsidR="00F45EC7" w:rsidRPr="00B56845" w:rsidRDefault="00705AD5" w:rsidP="0086787D">
      <w:pPr>
        <w:numPr>
          <w:ilvl w:val="0"/>
          <w:numId w:val="2"/>
        </w:numPr>
        <w:shd w:val="clear" w:color="auto" w:fill="FFFFFF"/>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firstLine="0"/>
        <w:jc w:val="both"/>
        <w:rPr>
          <w:lang w:val="en-GB"/>
        </w:rPr>
      </w:pPr>
      <w:r>
        <w:rPr>
          <w:lang w:val="en"/>
        </w:rPr>
        <w:t xml:space="preserve">To consolidate </w:t>
      </w:r>
      <w:r w:rsidR="0014143C">
        <w:rPr>
          <w:lang w:val="en"/>
        </w:rPr>
        <w:t xml:space="preserve">its </w:t>
      </w:r>
      <w:r>
        <w:rPr>
          <w:lang w:val="en-GB"/>
        </w:rPr>
        <w:t>niche</w:t>
      </w:r>
      <w:r w:rsidR="005D5FC4">
        <w:rPr>
          <w:lang w:val="en-GB"/>
        </w:rPr>
        <w:t xml:space="preserve"> in supporting </w:t>
      </w:r>
      <w:r w:rsidR="000F1A65">
        <w:rPr>
          <w:lang w:val="en-GB"/>
        </w:rPr>
        <w:t>democratic</w:t>
      </w:r>
      <w:r w:rsidR="005D5FC4">
        <w:rPr>
          <w:lang w:val="en-GB"/>
        </w:rPr>
        <w:t xml:space="preserve"> processes</w:t>
      </w:r>
      <w:r>
        <w:rPr>
          <w:lang w:val="en-GB"/>
        </w:rPr>
        <w:t>,</w:t>
      </w:r>
      <w:r w:rsidR="005D5FC4">
        <w:rPr>
          <w:lang w:val="en-GB"/>
        </w:rPr>
        <w:t xml:space="preserve"> </w:t>
      </w:r>
      <w:r w:rsidR="000F1A65">
        <w:rPr>
          <w:lang w:val="en-GB"/>
        </w:rPr>
        <w:t>t</w:t>
      </w:r>
      <w:r w:rsidR="00487B71" w:rsidRPr="00F45EC7">
        <w:rPr>
          <w:lang w:val="en"/>
        </w:rPr>
        <w:t>echnical</w:t>
      </w:r>
      <w:r w:rsidR="00F45EC7" w:rsidRPr="00F45EC7">
        <w:rPr>
          <w:lang w:val="en"/>
        </w:rPr>
        <w:t xml:space="preserve"> assistance </w:t>
      </w:r>
      <w:r>
        <w:rPr>
          <w:lang w:val="en"/>
        </w:rPr>
        <w:t>will help</w:t>
      </w:r>
      <w:r w:rsidR="00F45EC7" w:rsidRPr="00F45EC7">
        <w:rPr>
          <w:lang w:val="en"/>
        </w:rPr>
        <w:t xml:space="preserve"> </w:t>
      </w:r>
      <w:r w:rsidR="0014143C">
        <w:rPr>
          <w:lang w:val="en"/>
        </w:rPr>
        <w:t>P</w:t>
      </w:r>
      <w:r w:rsidR="0014143C" w:rsidRPr="00F45EC7">
        <w:rPr>
          <w:lang w:val="en"/>
        </w:rPr>
        <w:t xml:space="preserve">arliament </w:t>
      </w:r>
      <w:r>
        <w:rPr>
          <w:lang w:val="en"/>
        </w:rPr>
        <w:t xml:space="preserve">to adopt </w:t>
      </w:r>
      <w:r w:rsidR="00F45EC7" w:rsidRPr="00F45EC7">
        <w:rPr>
          <w:lang w:val="en"/>
        </w:rPr>
        <w:t xml:space="preserve">laws in line with </w:t>
      </w:r>
      <w:r w:rsidR="0014143C">
        <w:rPr>
          <w:lang w:val="en"/>
        </w:rPr>
        <w:t>the Goals</w:t>
      </w:r>
      <w:r w:rsidR="00F45EC7">
        <w:rPr>
          <w:lang w:val="en"/>
        </w:rPr>
        <w:t>,</w:t>
      </w:r>
      <w:r w:rsidR="00F45EC7" w:rsidRPr="00F45EC7">
        <w:rPr>
          <w:lang w:val="en"/>
        </w:rPr>
        <w:t xml:space="preserve"> the </w:t>
      </w:r>
      <w:r w:rsidR="00A82F1A" w:rsidRPr="00F45EC7">
        <w:rPr>
          <w:lang w:val="en"/>
        </w:rPr>
        <w:t>HA</w:t>
      </w:r>
      <w:r w:rsidR="00A82F1A">
        <w:rPr>
          <w:lang w:val="en"/>
        </w:rPr>
        <w:t>P</w:t>
      </w:r>
      <w:r w:rsidR="00A82F1A" w:rsidRPr="00F45EC7">
        <w:rPr>
          <w:lang w:val="en"/>
        </w:rPr>
        <w:t>L</w:t>
      </w:r>
      <w:r w:rsidR="00A82F1A">
        <w:rPr>
          <w:lang w:val="en"/>
        </w:rPr>
        <w:t>U</w:t>
      </w:r>
      <w:r w:rsidR="00A82F1A" w:rsidRPr="00F45EC7">
        <w:rPr>
          <w:lang w:val="en"/>
        </w:rPr>
        <w:t>C</w:t>
      </w:r>
      <w:r w:rsidR="00A82F1A">
        <w:rPr>
          <w:lang w:val="en"/>
        </w:rPr>
        <w:t>IA</w:t>
      </w:r>
      <w:r w:rsidR="001E3744">
        <w:rPr>
          <w:lang w:val="en"/>
        </w:rPr>
        <w:t xml:space="preserve"> to fight corruption</w:t>
      </w:r>
      <w:r>
        <w:rPr>
          <w:lang w:val="en"/>
        </w:rPr>
        <w:t>,</w:t>
      </w:r>
      <w:r w:rsidR="00F45EC7" w:rsidRPr="00F45EC7">
        <w:rPr>
          <w:lang w:val="en"/>
        </w:rPr>
        <w:t xml:space="preserve"> </w:t>
      </w:r>
      <w:r w:rsidR="00F45EC7" w:rsidRPr="00B56845">
        <w:rPr>
          <w:lang w:val="en-GB"/>
        </w:rPr>
        <w:t xml:space="preserve">HAAC </w:t>
      </w:r>
      <w:r w:rsidRPr="00B56845">
        <w:rPr>
          <w:lang w:val="en-GB"/>
        </w:rPr>
        <w:t>to professionalize the</w:t>
      </w:r>
      <w:r w:rsidR="00F45EC7" w:rsidRPr="00B56845">
        <w:rPr>
          <w:lang w:val="en-GB"/>
        </w:rPr>
        <w:t xml:space="preserve"> media landscape, </w:t>
      </w:r>
      <w:r w:rsidR="001B71EC" w:rsidRPr="00CD738A">
        <w:rPr>
          <w:lang w:val="en"/>
        </w:rPr>
        <w:t xml:space="preserve">High </w:t>
      </w:r>
      <w:r w:rsidR="001B71EC">
        <w:rPr>
          <w:lang w:val="en"/>
        </w:rPr>
        <w:t xml:space="preserve">Commission </w:t>
      </w:r>
      <w:r w:rsidR="001B71EC" w:rsidRPr="00CD738A">
        <w:rPr>
          <w:lang w:val="en"/>
        </w:rPr>
        <w:t xml:space="preserve">for </w:t>
      </w:r>
      <w:r w:rsidR="001B71EC">
        <w:rPr>
          <w:lang w:val="en"/>
        </w:rPr>
        <w:t>R</w:t>
      </w:r>
      <w:r w:rsidR="001B71EC" w:rsidRPr="00CD738A">
        <w:rPr>
          <w:lang w:val="en"/>
        </w:rPr>
        <w:t>econciliation</w:t>
      </w:r>
      <w:r w:rsidR="001B71EC">
        <w:rPr>
          <w:lang w:val="en"/>
        </w:rPr>
        <w:t xml:space="preserve"> and National Unity (</w:t>
      </w:r>
      <w:r w:rsidR="00361F9B" w:rsidRPr="00361F9B">
        <w:rPr>
          <w:lang w:val="en"/>
        </w:rPr>
        <w:t>Haut-Commissariat à la Réconciliation et au Renforcement de l’Unité Nationale</w:t>
      </w:r>
      <w:r w:rsidR="00361F9B">
        <w:rPr>
          <w:lang w:val="en"/>
        </w:rPr>
        <w:t xml:space="preserve"> (</w:t>
      </w:r>
      <w:r w:rsidR="00F45EC7" w:rsidRPr="00B56845">
        <w:rPr>
          <w:lang w:val="en-GB"/>
        </w:rPr>
        <w:t>HCCRUN</w:t>
      </w:r>
      <w:r w:rsidR="001B71EC">
        <w:rPr>
          <w:lang w:val="en-GB"/>
        </w:rPr>
        <w:t>)</w:t>
      </w:r>
      <w:r w:rsidR="00361F9B">
        <w:rPr>
          <w:lang w:val="en-GB"/>
        </w:rPr>
        <w:t>)</w:t>
      </w:r>
      <w:r w:rsidR="00F45EC7" w:rsidRPr="00B56845">
        <w:rPr>
          <w:lang w:val="en-GB"/>
        </w:rPr>
        <w:t xml:space="preserve"> to promote national cohesion</w:t>
      </w:r>
      <w:r w:rsidR="00C25666" w:rsidRPr="00B56845">
        <w:rPr>
          <w:lang w:val="en-GB"/>
        </w:rPr>
        <w:t xml:space="preserve">, </w:t>
      </w:r>
      <w:r w:rsidR="00F45EC7" w:rsidRPr="00B56845">
        <w:rPr>
          <w:lang w:val="en-GB"/>
        </w:rPr>
        <w:t xml:space="preserve">and the </w:t>
      </w:r>
      <w:r w:rsidR="00487B71" w:rsidRPr="00B56845">
        <w:rPr>
          <w:lang w:val="en-GB"/>
        </w:rPr>
        <w:t>N</w:t>
      </w:r>
      <w:r w:rsidR="00F45EC7" w:rsidRPr="00B56845">
        <w:rPr>
          <w:lang w:val="en-GB"/>
        </w:rPr>
        <w:t xml:space="preserve">ational </w:t>
      </w:r>
      <w:r w:rsidR="00487B71" w:rsidRPr="00B56845">
        <w:rPr>
          <w:lang w:val="en-GB"/>
        </w:rPr>
        <w:t>I</w:t>
      </w:r>
      <w:r w:rsidR="00F45EC7" w:rsidRPr="00B56845">
        <w:rPr>
          <w:lang w:val="en-GB"/>
        </w:rPr>
        <w:t xml:space="preserve">ndependent </w:t>
      </w:r>
      <w:r w:rsidR="00487B71" w:rsidRPr="00B56845">
        <w:rPr>
          <w:lang w:val="en-GB"/>
        </w:rPr>
        <w:t>E</w:t>
      </w:r>
      <w:r w:rsidR="00F45EC7" w:rsidRPr="00B56845">
        <w:rPr>
          <w:lang w:val="en-GB"/>
        </w:rPr>
        <w:t xml:space="preserve">lectoral </w:t>
      </w:r>
      <w:r w:rsidR="00487B71" w:rsidRPr="00B56845">
        <w:rPr>
          <w:lang w:val="en-GB"/>
        </w:rPr>
        <w:t>C</w:t>
      </w:r>
      <w:r w:rsidR="00F45EC7" w:rsidRPr="00B56845">
        <w:rPr>
          <w:lang w:val="en-GB"/>
        </w:rPr>
        <w:t>ommission</w:t>
      </w:r>
      <w:r w:rsidR="00AC1B12">
        <w:rPr>
          <w:lang w:val="en-GB"/>
        </w:rPr>
        <w:t xml:space="preserve"> </w:t>
      </w:r>
      <w:r w:rsidR="00C25666" w:rsidRPr="00B56845">
        <w:rPr>
          <w:lang w:val="en-GB"/>
        </w:rPr>
        <w:t xml:space="preserve">to </w:t>
      </w:r>
      <w:r w:rsidR="00DC4C87">
        <w:rPr>
          <w:lang w:val="en-GB"/>
        </w:rPr>
        <w:t>en</w:t>
      </w:r>
      <w:r w:rsidR="00DC4C87" w:rsidRPr="00B56845">
        <w:rPr>
          <w:lang w:val="en-GB"/>
        </w:rPr>
        <w:t xml:space="preserve">sure </w:t>
      </w:r>
      <w:r w:rsidR="00F45EC7" w:rsidRPr="00B56845">
        <w:rPr>
          <w:lang w:val="en-GB"/>
        </w:rPr>
        <w:t xml:space="preserve">democratic and transparent elections. </w:t>
      </w:r>
      <w:r w:rsidR="0041233F" w:rsidRPr="00B56845">
        <w:rPr>
          <w:lang w:val="en-GB"/>
        </w:rPr>
        <w:t>Based on</w:t>
      </w:r>
      <w:r w:rsidR="00F45EC7" w:rsidRPr="00B56845">
        <w:rPr>
          <w:lang w:val="en-GB"/>
        </w:rPr>
        <w:t xml:space="preserve"> successful initiatives in conflict prevention</w:t>
      </w:r>
      <w:r w:rsidR="00334A7F">
        <w:rPr>
          <w:lang w:val="en-GB"/>
        </w:rPr>
        <w:t>/</w:t>
      </w:r>
      <w:r w:rsidR="00F45EC7" w:rsidRPr="00B56845">
        <w:rPr>
          <w:lang w:val="en-GB"/>
        </w:rPr>
        <w:t xml:space="preserve">resolution such as </w:t>
      </w:r>
      <w:r w:rsidR="0037700E" w:rsidRPr="00B56845">
        <w:rPr>
          <w:lang w:val="en-GB"/>
        </w:rPr>
        <w:t>LPCs</w:t>
      </w:r>
      <w:r w:rsidR="00F45EC7" w:rsidRPr="00B56845">
        <w:rPr>
          <w:lang w:val="en-GB"/>
        </w:rPr>
        <w:t xml:space="preserve"> and support to the </w:t>
      </w:r>
      <w:r w:rsidR="00C25666" w:rsidRPr="00B56845">
        <w:rPr>
          <w:lang w:val="en-GB"/>
        </w:rPr>
        <w:t>HCCRUN</w:t>
      </w:r>
      <w:r w:rsidR="00F45EC7" w:rsidRPr="00B56845">
        <w:rPr>
          <w:lang w:val="en-GB"/>
        </w:rPr>
        <w:t xml:space="preserve">, UNDP will </w:t>
      </w:r>
      <w:r w:rsidR="00C25666" w:rsidRPr="00B56845">
        <w:rPr>
          <w:lang w:val="en-GB"/>
        </w:rPr>
        <w:t>increase</w:t>
      </w:r>
      <w:r w:rsidR="00F45EC7" w:rsidRPr="00B56845">
        <w:rPr>
          <w:lang w:val="en-GB"/>
        </w:rPr>
        <w:t xml:space="preserve"> support </w:t>
      </w:r>
      <w:r w:rsidR="00334A7F">
        <w:rPr>
          <w:lang w:val="en-GB"/>
        </w:rPr>
        <w:t>to address</w:t>
      </w:r>
      <w:r w:rsidR="00F45EC7" w:rsidRPr="00B56845">
        <w:rPr>
          <w:lang w:val="en-GB"/>
        </w:rPr>
        <w:t xml:space="preserve"> recurrent </w:t>
      </w:r>
      <w:r w:rsidR="00334A7F">
        <w:rPr>
          <w:lang w:val="en-GB"/>
        </w:rPr>
        <w:t>conflict</w:t>
      </w:r>
      <w:r w:rsidR="00F45EC7" w:rsidRPr="00B56845">
        <w:rPr>
          <w:lang w:val="en-GB"/>
        </w:rPr>
        <w:t xml:space="preserve"> related to political and constitutional issues through capacity</w:t>
      </w:r>
      <w:r w:rsidR="00DC4C87">
        <w:rPr>
          <w:lang w:val="en-GB"/>
        </w:rPr>
        <w:t>-</w:t>
      </w:r>
      <w:r w:rsidR="00F45EC7" w:rsidRPr="00B56845">
        <w:rPr>
          <w:lang w:val="en-GB"/>
        </w:rPr>
        <w:t>building</w:t>
      </w:r>
      <w:r w:rsidR="00C25666" w:rsidRPr="00B56845">
        <w:rPr>
          <w:lang w:val="en-GB"/>
        </w:rPr>
        <w:t>, dialogue and mediation</w:t>
      </w:r>
      <w:r w:rsidR="00F45EC7" w:rsidRPr="00B56845">
        <w:rPr>
          <w:lang w:val="en-GB"/>
        </w:rPr>
        <w:t xml:space="preserve"> at the national and community level</w:t>
      </w:r>
      <w:r w:rsidR="00C25666" w:rsidRPr="00B56845">
        <w:rPr>
          <w:lang w:val="en-GB"/>
        </w:rPr>
        <w:t>s</w:t>
      </w:r>
      <w:r w:rsidR="00F45EC7" w:rsidRPr="00B56845">
        <w:rPr>
          <w:lang w:val="en-GB"/>
        </w:rPr>
        <w:t>.</w:t>
      </w:r>
    </w:p>
    <w:p w14:paraId="68695852" w14:textId="23450684" w:rsidR="00321731" w:rsidRPr="000B4EB5" w:rsidRDefault="00321731" w:rsidP="005A2DBF">
      <w:pPr>
        <w:pStyle w:val="Heading2"/>
        <w:tabs>
          <w:tab w:val="left" w:pos="1080"/>
        </w:tabs>
        <w:spacing w:before="120" w:after="120"/>
        <w:ind w:left="720" w:right="1203"/>
        <w:jc w:val="both"/>
        <w:rPr>
          <w:i w:val="0"/>
          <w:sz w:val="20"/>
        </w:rPr>
      </w:pPr>
      <w:bookmarkStart w:id="12" w:name="_Toc523818658"/>
      <w:r w:rsidRPr="000B4EB5">
        <w:rPr>
          <w:i w:val="0"/>
          <w:sz w:val="20"/>
        </w:rPr>
        <w:t>Pillar 2</w:t>
      </w:r>
      <w:r w:rsidR="00DC4C87">
        <w:rPr>
          <w:i w:val="0"/>
          <w:sz w:val="20"/>
        </w:rPr>
        <w:t>.</w:t>
      </w:r>
      <w:r w:rsidR="00DC4C87" w:rsidRPr="000B4EB5">
        <w:rPr>
          <w:i w:val="0"/>
          <w:sz w:val="20"/>
        </w:rPr>
        <w:t xml:space="preserve"> </w:t>
      </w:r>
      <w:r w:rsidRPr="000B4EB5">
        <w:rPr>
          <w:i w:val="0"/>
          <w:sz w:val="20"/>
        </w:rPr>
        <w:t>P</w:t>
      </w:r>
      <w:r w:rsidR="00C02E3E" w:rsidRPr="000B4EB5">
        <w:rPr>
          <w:i w:val="0"/>
          <w:sz w:val="20"/>
        </w:rPr>
        <w:t xml:space="preserve">romoting </w:t>
      </w:r>
      <w:r w:rsidR="002B502A">
        <w:rPr>
          <w:i w:val="0"/>
          <w:sz w:val="20"/>
        </w:rPr>
        <w:t>inclusive growth</w:t>
      </w:r>
      <w:r w:rsidR="00C02E3E" w:rsidRPr="000B4EB5">
        <w:rPr>
          <w:i w:val="0"/>
          <w:sz w:val="20"/>
        </w:rPr>
        <w:t xml:space="preserve"> and access to basic services</w:t>
      </w:r>
      <w:bookmarkEnd w:id="10"/>
      <w:bookmarkEnd w:id="12"/>
    </w:p>
    <w:p w14:paraId="2C6E357B" w14:textId="518BDC91" w:rsidR="00FF43D9" w:rsidRPr="00FF43D9" w:rsidRDefault="0045078A" w:rsidP="0086787D">
      <w:pPr>
        <w:numPr>
          <w:ilvl w:val="0"/>
          <w:numId w:val="2"/>
        </w:numPr>
        <w:shd w:val="clear" w:color="auto" w:fill="FFFFFF"/>
        <w:tabs>
          <w:tab w:val="left" w:pos="1080"/>
        </w:tabs>
        <w:spacing w:after="120"/>
        <w:ind w:left="720" w:firstLine="0"/>
        <w:jc w:val="both"/>
        <w:rPr>
          <w:lang w:val="en"/>
        </w:rPr>
      </w:pPr>
      <w:r>
        <w:rPr>
          <w:lang w:val="en"/>
        </w:rPr>
        <w:t xml:space="preserve">To </w:t>
      </w:r>
      <w:r w:rsidRPr="00FF43D9">
        <w:rPr>
          <w:lang w:val="en"/>
        </w:rPr>
        <w:t xml:space="preserve">contribute to the achievement of </w:t>
      </w:r>
      <w:r w:rsidR="00DC4C87">
        <w:rPr>
          <w:lang w:val="en"/>
        </w:rPr>
        <w:t>Sustainable Development Goals</w:t>
      </w:r>
      <w:r w:rsidR="00DC4C87" w:rsidRPr="00FF43D9">
        <w:rPr>
          <w:lang w:val="en"/>
        </w:rPr>
        <w:t xml:space="preserve"> </w:t>
      </w:r>
      <w:r w:rsidRPr="00FF43D9">
        <w:rPr>
          <w:lang w:val="en"/>
        </w:rPr>
        <w:t xml:space="preserve">1, 3, 4, 5, 6, 8, 10 and </w:t>
      </w:r>
      <w:r w:rsidR="00334A7F" w:rsidRPr="00FF43D9">
        <w:rPr>
          <w:lang w:val="en"/>
        </w:rPr>
        <w:t>17</w:t>
      </w:r>
      <w:r w:rsidR="00334A7F">
        <w:rPr>
          <w:lang w:val="en"/>
        </w:rPr>
        <w:t>,</w:t>
      </w:r>
      <w:r w:rsidR="00334A7F" w:rsidRPr="00FF43D9">
        <w:rPr>
          <w:lang w:val="en"/>
        </w:rPr>
        <w:t xml:space="preserve"> based</w:t>
      </w:r>
      <w:r w:rsidRPr="00FF43D9">
        <w:rPr>
          <w:lang w:val="en"/>
        </w:rPr>
        <w:t xml:space="preserve"> on </w:t>
      </w:r>
      <w:r w:rsidR="00DC4C87">
        <w:rPr>
          <w:lang w:val="en"/>
        </w:rPr>
        <w:t>s</w:t>
      </w:r>
      <w:r w:rsidR="00DC4C87" w:rsidRPr="00FF43D9">
        <w:rPr>
          <w:lang w:val="en"/>
        </w:rPr>
        <w:t xml:space="preserve">ignature </w:t>
      </w:r>
      <w:r w:rsidR="00DC4C87">
        <w:rPr>
          <w:lang w:val="en"/>
        </w:rPr>
        <w:t>s</w:t>
      </w:r>
      <w:r w:rsidR="00DC4C87" w:rsidRPr="00FF43D9">
        <w:rPr>
          <w:lang w:val="en"/>
        </w:rPr>
        <w:t xml:space="preserve">olutions </w:t>
      </w:r>
      <w:r w:rsidRPr="00FF43D9">
        <w:rPr>
          <w:lang w:val="en"/>
        </w:rPr>
        <w:t>1, 5 and 6</w:t>
      </w:r>
      <w:r>
        <w:rPr>
          <w:lang w:val="en"/>
        </w:rPr>
        <w:t>, t</w:t>
      </w:r>
      <w:r w:rsidR="00FF43D9" w:rsidRPr="00FF43D9">
        <w:rPr>
          <w:lang w:val="en"/>
        </w:rPr>
        <w:t>his pillar</w:t>
      </w:r>
      <w:r w:rsidR="000752F8" w:rsidRPr="000752F8">
        <w:t xml:space="preserve"> </w:t>
      </w:r>
      <w:r w:rsidR="00FF43D9" w:rsidRPr="00FF43D9">
        <w:rPr>
          <w:lang w:val="en"/>
        </w:rPr>
        <w:t>aims to create conditions for strong sustainable growth with job creation and improv</w:t>
      </w:r>
      <w:r>
        <w:rPr>
          <w:lang w:val="en"/>
        </w:rPr>
        <w:t>ing</w:t>
      </w:r>
      <w:r w:rsidR="00FF43D9" w:rsidRPr="00FF43D9">
        <w:rPr>
          <w:lang w:val="en"/>
        </w:rPr>
        <w:t xml:space="preserve"> access to </w:t>
      </w:r>
      <w:r w:rsidR="00FF43D9">
        <w:rPr>
          <w:lang w:val="en"/>
        </w:rPr>
        <w:t>basic</w:t>
      </w:r>
      <w:r w:rsidR="00FF43D9" w:rsidRPr="00FF43D9">
        <w:rPr>
          <w:lang w:val="en"/>
        </w:rPr>
        <w:t xml:space="preserve"> services for the most disadvantaged. UNDP will strengthen: (</w:t>
      </w:r>
      <w:r w:rsidR="00DC4C87">
        <w:rPr>
          <w:lang w:val="en"/>
        </w:rPr>
        <w:t>a</w:t>
      </w:r>
      <w:r w:rsidR="00FF43D9" w:rsidRPr="00FF43D9">
        <w:rPr>
          <w:lang w:val="en"/>
        </w:rPr>
        <w:t>) the capacity of public institutions in charge of employment promotion</w:t>
      </w:r>
      <w:r w:rsidR="00DC4C87">
        <w:rPr>
          <w:lang w:val="en"/>
        </w:rPr>
        <w:t>;</w:t>
      </w:r>
      <w:r w:rsidR="00DC4C87" w:rsidRPr="00FF43D9">
        <w:rPr>
          <w:lang w:val="en"/>
        </w:rPr>
        <w:t xml:space="preserve"> </w:t>
      </w:r>
      <w:r w:rsidR="00FF43D9" w:rsidRPr="00FF43D9">
        <w:rPr>
          <w:lang w:val="en"/>
        </w:rPr>
        <w:t>(</w:t>
      </w:r>
      <w:r w:rsidR="00DC4C87">
        <w:rPr>
          <w:lang w:val="en"/>
        </w:rPr>
        <w:t>b</w:t>
      </w:r>
      <w:r w:rsidR="00FF43D9" w:rsidRPr="00FF43D9">
        <w:rPr>
          <w:lang w:val="en"/>
        </w:rPr>
        <w:t>) the entrepreneurial capacities of professional organizations</w:t>
      </w:r>
      <w:r w:rsidR="00DC4C87">
        <w:rPr>
          <w:lang w:val="en"/>
        </w:rPr>
        <w:t xml:space="preserve">, </w:t>
      </w:r>
      <w:r w:rsidR="00FF43D9" w:rsidRPr="00FF43D9">
        <w:rPr>
          <w:lang w:val="en"/>
        </w:rPr>
        <w:t>cooperatives</w:t>
      </w:r>
      <w:r w:rsidR="00DC4C87">
        <w:rPr>
          <w:lang w:val="en"/>
        </w:rPr>
        <w:t xml:space="preserve"> and </w:t>
      </w:r>
      <w:r w:rsidR="00FF43D9" w:rsidRPr="00FF43D9">
        <w:rPr>
          <w:lang w:val="en"/>
        </w:rPr>
        <w:t>associations and innovation in the private sector</w:t>
      </w:r>
      <w:r w:rsidR="00DC4C87">
        <w:rPr>
          <w:lang w:val="en"/>
        </w:rPr>
        <w:t>;</w:t>
      </w:r>
      <w:r w:rsidR="00DC4C87" w:rsidRPr="00FF43D9">
        <w:rPr>
          <w:lang w:val="en"/>
        </w:rPr>
        <w:t xml:space="preserve"> </w:t>
      </w:r>
      <w:r w:rsidR="00FF43D9" w:rsidRPr="00FF43D9">
        <w:rPr>
          <w:lang w:val="en"/>
        </w:rPr>
        <w:t>and (</w:t>
      </w:r>
      <w:r w:rsidR="00DC4C87">
        <w:rPr>
          <w:lang w:val="en"/>
        </w:rPr>
        <w:t>c</w:t>
      </w:r>
      <w:r w:rsidR="00FF43D9" w:rsidRPr="00FF43D9">
        <w:rPr>
          <w:lang w:val="en"/>
        </w:rPr>
        <w:t>) access</w:t>
      </w:r>
      <w:r w:rsidR="00DC4C87">
        <w:rPr>
          <w:lang w:val="en"/>
        </w:rPr>
        <w:t xml:space="preserve"> to </w:t>
      </w:r>
      <w:r w:rsidR="00FF43D9">
        <w:rPr>
          <w:lang w:val="en"/>
        </w:rPr>
        <w:t>basic</w:t>
      </w:r>
      <w:r w:rsidR="00FF43D9" w:rsidRPr="00FF43D9">
        <w:rPr>
          <w:lang w:val="en"/>
        </w:rPr>
        <w:t xml:space="preserve"> services </w:t>
      </w:r>
      <w:r>
        <w:rPr>
          <w:lang w:val="en"/>
        </w:rPr>
        <w:t>through the</w:t>
      </w:r>
      <w:r w:rsidR="00FF43D9" w:rsidRPr="00FF43D9">
        <w:rPr>
          <w:lang w:val="en"/>
        </w:rPr>
        <w:t xml:space="preserve"> PUDC.</w:t>
      </w:r>
      <w:r w:rsidR="00334A7F" w:rsidRPr="00334A7F">
        <w:rPr>
          <w:lang w:val="en"/>
        </w:rPr>
        <w:t xml:space="preserve"> </w:t>
      </w:r>
    </w:p>
    <w:p w14:paraId="1B06748C" w14:textId="07AAB440" w:rsidR="00FF43D9" w:rsidRPr="00FF43D9" w:rsidRDefault="00FF43D9" w:rsidP="0086787D">
      <w:pPr>
        <w:numPr>
          <w:ilvl w:val="0"/>
          <w:numId w:val="2"/>
        </w:numPr>
        <w:shd w:val="clear" w:color="auto" w:fill="FFFFFF"/>
        <w:tabs>
          <w:tab w:val="left" w:pos="1080"/>
        </w:tabs>
        <w:spacing w:after="120"/>
        <w:ind w:left="720" w:firstLine="0"/>
        <w:jc w:val="both"/>
        <w:rPr>
          <w:lang w:val="en"/>
        </w:rPr>
      </w:pPr>
      <w:r w:rsidRPr="00FF43D9">
        <w:rPr>
          <w:lang w:val="en"/>
        </w:rPr>
        <w:t xml:space="preserve">In collaboration with the </w:t>
      </w:r>
      <w:r w:rsidR="00DC4C87">
        <w:rPr>
          <w:lang w:val="en"/>
        </w:rPr>
        <w:t>International Labour Organization</w:t>
      </w:r>
      <w:r w:rsidRPr="00FF43D9">
        <w:rPr>
          <w:lang w:val="en"/>
        </w:rPr>
        <w:t xml:space="preserve">, </w:t>
      </w:r>
      <w:r w:rsidR="00DC4C87">
        <w:rPr>
          <w:lang w:val="en"/>
        </w:rPr>
        <w:t>United Nations Educational, Scientific and Cultural Organization</w:t>
      </w:r>
      <w:r w:rsidRPr="00FF43D9">
        <w:rPr>
          <w:lang w:val="en"/>
        </w:rPr>
        <w:t xml:space="preserve">, </w:t>
      </w:r>
      <w:r w:rsidR="00743C0A">
        <w:rPr>
          <w:lang w:val="en"/>
        </w:rPr>
        <w:t>W</w:t>
      </w:r>
      <w:r w:rsidR="00DC4C87">
        <w:rPr>
          <w:lang w:val="en"/>
        </w:rPr>
        <w:t xml:space="preserve">orld </w:t>
      </w:r>
      <w:r w:rsidR="00743C0A">
        <w:rPr>
          <w:lang w:val="en"/>
        </w:rPr>
        <w:t>B</w:t>
      </w:r>
      <w:r w:rsidR="00DC4C87">
        <w:rPr>
          <w:lang w:val="en"/>
        </w:rPr>
        <w:t>ank</w:t>
      </w:r>
      <w:r w:rsidRPr="00FF43D9">
        <w:rPr>
          <w:lang w:val="en"/>
        </w:rPr>
        <w:t xml:space="preserve"> and </w:t>
      </w:r>
      <w:r w:rsidR="00F041E0">
        <w:rPr>
          <w:lang w:val="en"/>
        </w:rPr>
        <w:t>African Development Bank</w:t>
      </w:r>
      <w:r w:rsidRPr="00FF43D9">
        <w:rPr>
          <w:lang w:val="en"/>
        </w:rPr>
        <w:t xml:space="preserve">, UNDP will facilitate strategic partnerships in vocational and technical training </w:t>
      </w:r>
      <w:r w:rsidR="00100016">
        <w:rPr>
          <w:lang w:val="en"/>
        </w:rPr>
        <w:t>among</w:t>
      </w:r>
      <w:r w:rsidR="00100016" w:rsidRPr="00FF43D9">
        <w:rPr>
          <w:lang w:val="en"/>
        </w:rPr>
        <w:t xml:space="preserve"> </w:t>
      </w:r>
      <w:r w:rsidRPr="00FF43D9">
        <w:rPr>
          <w:lang w:val="en"/>
        </w:rPr>
        <w:t>the public and private sectors to ensure</w:t>
      </w:r>
      <w:r w:rsidR="005A36CD">
        <w:rPr>
          <w:lang w:val="en"/>
        </w:rPr>
        <w:t xml:space="preserve"> skills alignment to the needs of </w:t>
      </w:r>
      <w:r w:rsidR="00361F9B">
        <w:rPr>
          <w:lang w:val="en"/>
        </w:rPr>
        <w:t xml:space="preserve">the </w:t>
      </w:r>
      <w:r w:rsidR="005A36CD">
        <w:rPr>
          <w:lang w:val="en"/>
        </w:rPr>
        <w:t>labo</w:t>
      </w:r>
      <w:r w:rsidR="00361F9B">
        <w:rPr>
          <w:lang w:val="en"/>
        </w:rPr>
        <w:t>u</w:t>
      </w:r>
      <w:r w:rsidR="005A36CD">
        <w:rPr>
          <w:lang w:val="en"/>
        </w:rPr>
        <w:t>r market</w:t>
      </w:r>
      <w:r w:rsidRPr="00FF43D9">
        <w:rPr>
          <w:lang w:val="en"/>
        </w:rPr>
        <w:t>,</w:t>
      </w:r>
      <w:r>
        <w:rPr>
          <w:lang w:val="en"/>
        </w:rPr>
        <w:t xml:space="preserve"> </w:t>
      </w:r>
      <w:r w:rsidRPr="00FF43D9">
        <w:rPr>
          <w:lang w:val="en"/>
        </w:rPr>
        <w:t xml:space="preserve">improve the legal and regulatory framework </w:t>
      </w:r>
      <w:r w:rsidR="00FD1D3C">
        <w:rPr>
          <w:lang w:val="en"/>
        </w:rPr>
        <w:t>for</w:t>
      </w:r>
      <w:r w:rsidRPr="00FF43D9">
        <w:rPr>
          <w:lang w:val="en"/>
        </w:rPr>
        <w:t xml:space="preserve"> employment</w:t>
      </w:r>
      <w:r w:rsidR="00100016">
        <w:rPr>
          <w:lang w:val="en"/>
        </w:rPr>
        <w:t xml:space="preserve">, </w:t>
      </w:r>
      <w:r w:rsidRPr="00FF43D9">
        <w:rPr>
          <w:lang w:val="en"/>
        </w:rPr>
        <w:t xml:space="preserve">enhance the production of essential information </w:t>
      </w:r>
      <w:r>
        <w:rPr>
          <w:lang w:val="en"/>
        </w:rPr>
        <w:t>and analys</w:t>
      </w:r>
      <w:r w:rsidR="00334A7F">
        <w:rPr>
          <w:lang w:val="en"/>
        </w:rPr>
        <w:t>e</w:t>
      </w:r>
      <w:r>
        <w:rPr>
          <w:lang w:val="en"/>
        </w:rPr>
        <w:t xml:space="preserve">s </w:t>
      </w:r>
      <w:r w:rsidRPr="00FF43D9">
        <w:rPr>
          <w:lang w:val="en"/>
        </w:rPr>
        <w:t>for smooth functioning</w:t>
      </w:r>
      <w:r w:rsidR="0045078A">
        <w:rPr>
          <w:lang w:val="en"/>
        </w:rPr>
        <w:t xml:space="preserve"> </w:t>
      </w:r>
      <w:r w:rsidRPr="00FF43D9">
        <w:rPr>
          <w:lang w:val="en"/>
        </w:rPr>
        <w:t>of the labo</w:t>
      </w:r>
      <w:r w:rsidR="00FD1D3C">
        <w:rPr>
          <w:lang w:val="en"/>
        </w:rPr>
        <w:t>u</w:t>
      </w:r>
      <w:r w:rsidRPr="00FF43D9">
        <w:rPr>
          <w:lang w:val="en"/>
        </w:rPr>
        <w:t xml:space="preserve">r market and improve the business environment. </w:t>
      </w:r>
      <w:r w:rsidR="00FD1D3C">
        <w:rPr>
          <w:lang w:val="en"/>
        </w:rPr>
        <w:t>South-South cooperation will</w:t>
      </w:r>
      <w:r w:rsidR="00FD1D3C" w:rsidRPr="00FF43D9">
        <w:rPr>
          <w:lang w:val="en"/>
        </w:rPr>
        <w:t xml:space="preserve"> </w:t>
      </w:r>
      <w:r w:rsidRPr="00FF43D9">
        <w:rPr>
          <w:lang w:val="en"/>
        </w:rPr>
        <w:t xml:space="preserve">encourage </w:t>
      </w:r>
      <w:r w:rsidR="00335972" w:rsidRPr="00A469A3">
        <w:rPr>
          <w:rFonts w:cstheme="minorHAnsi"/>
        </w:rPr>
        <w:t>technology transfer</w:t>
      </w:r>
      <w:r w:rsidR="00FD1D3C">
        <w:rPr>
          <w:rFonts w:cstheme="minorHAnsi"/>
        </w:rPr>
        <w:t xml:space="preserve"> and</w:t>
      </w:r>
      <w:r w:rsidR="00FD1D3C" w:rsidRPr="00FF43D9">
        <w:rPr>
          <w:lang w:val="en"/>
        </w:rPr>
        <w:t xml:space="preserve"> </w:t>
      </w:r>
      <w:r w:rsidRPr="00FF43D9">
        <w:rPr>
          <w:lang w:val="en"/>
        </w:rPr>
        <w:t xml:space="preserve">innovation in the </w:t>
      </w:r>
      <w:r w:rsidR="001E3744">
        <w:rPr>
          <w:lang w:val="en"/>
        </w:rPr>
        <w:t>public</w:t>
      </w:r>
      <w:r w:rsidRPr="00FF43D9">
        <w:rPr>
          <w:lang w:val="en"/>
        </w:rPr>
        <w:t xml:space="preserve"> and private sector</w:t>
      </w:r>
      <w:r w:rsidR="00FD1D3C">
        <w:rPr>
          <w:lang w:val="en"/>
        </w:rPr>
        <w:t>s,</w:t>
      </w:r>
      <w:r w:rsidR="00361787">
        <w:rPr>
          <w:lang w:val="en"/>
        </w:rPr>
        <w:t xml:space="preserve"> </w:t>
      </w:r>
      <w:r w:rsidRPr="00FF43D9">
        <w:rPr>
          <w:lang w:val="en"/>
        </w:rPr>
        <w:t>particularly among youth through mentoring and the creation of innovation platforms.</w:t>
      </w:r>
    </w:p>
    <w:p w14:paraId="61B1CF90" w14:textId="1A452D93" w:rsidR="00FF43D9" w:rsidRPr="00FF43D9" w:rsidRDefault="00FF43D9" w:rsidP="0086787D">
      <w:pPr>
        <w:numPr>
          <w:ilvl w:val="0"/>
          <w:numId w:val="2"/>
        </w:numPr>
        <w:shd w:val="clear" w:color="auto" w:fill="FFFFFF"/>
        <w:tabs>
          <w:tab w:val="left" w:pos="1080"/>
        </w:tabs>
        <w:spacing w:after="120"/>
        <w:ind w:left="720" w:firstLine="0"/>
        <w:jc w:val="both"/>
      </w:pPr>
      <w:r w:rsidRPr="00FF43D9">
        <w:rPr>
          <w:lang w:val="en"/>
        </w:rPr>
        <w:t xml:space="preserve">In partnership with </w:t>
      </w:r>
      <w:r w:rsidR="00FD1D3C">
        <w:rPr>
          <w:lang w:val="en"/>
        </w:rPr>
        <w:t>World Food Programme</w:t>
      </w:r>
      <w:r w:rsidRPr="00FF43D9">
        <w:rPr>
          <w:lang w:val="en"/>
        </w:rPr>
        <w:t xml:space="preserve">, </w:t>
      </w:r>
      <w:r w:rsidR="00FD1D3C">
        <w:rPr>
          <w:lang w:val="en"/>
        </w:rPr>
        <w:t xml:space="preserve">United Nations Capital Development Fund </w:t>
      </w:r>
      <w:r w:rsidRPr="00FF43D9">
        <w:rPr>
          <w:lang w:val="en"/>
        </w:rPr>
        <w:t xml:space="preserve">and </w:t>
      </w:r>
      <w:r w:rsidR="00FD1D3C">
        <w:rPr>
          <w:lang w:val="en"/>
        </w:rPr>
        <w:t>the World Bank</w:t>
      </w:r>
      <w:r w:rsidRPr="00FF43D9">
        <w:rPr>
          <w:lang w:val="en"/>
        </w:rPr>
        <w:t xml:space="preserve">, UNDP will promote rural agricultural entrepreneurship through the empowerment </w:t>
      </w:r>
      <w:r w:rsidRPr="00FF43D9">
        <w:rPr>
          <w:lang w:val="en"/>
        </w:rPr>
        <w:lastRenderedPageBreak/>
        <w:t xml:space="preserve">of professional organizations </w:t>
      </w:r>
      <w:r w:rsidR="00057608" w:rsidRPr="00A75AEB">
        <w:t>for us</w:t>
      </w:r>
      <w:r w:rsidR="00FE38B8">
        <w:t>ing</w:t>
      </w:r>
      <w:r w:rsidR="00057608" w:rsidRPr="00A75AEB">
        <w:t xml:space="preserve"> new technology</w:t>
      </w:r>
      <w:r w:rsidR="00FD1D3C">
        <w:t xml:space="preserve"> and </w:t>
      </w:r>
      <w:r w:rsidR="00057608" w:rsidRPr="00A75AEB">
        <w:t xml:space="preserve">enhanced processes and value chain analysis </w:t>
      </w:r>
      <w:r w:rsidRPr="00A75AEB">
        <w:t xml:space="preserve">to improve </w:t>
      </w:r>
      <w:r w:rsidR="00057608">
        <w:t>a</w:t>
      </w:r>
      <w:r w:rsidRPr="00A75AEB">
        <w:t>gro-business</w:t>
      </w:r>
      <w:r w:rsidR="00057608" w:rsidRPr="00A75AEB">
        <w:t>, increase productivity</w:t>
      </w:r>
      <w:r w:rsidR="00FD1D3C">
        <w:t xml:space="preserve"> and </w:t>
      </w:r>
      <w:r w:rsidR="00057608" w:rsidRPr="00A75AEB">
        <w:t>competitiveness and enable</w:t>
      </w:r>
      <w:r w:rsidRPr="00A75AEB">
        <w:t xml:space="preserve"> transformation in the agricultural sector.</w:t>
      </w:r>
    </w:p>
    <w:p w14:paraId="7D74A3B2" w14:textId="62FCC8A8" w:rsidR="00FF43D9" w:rsidRPr="00A75AEB" w:rsidRDefault="00FF43D9" w:rsidP="0086787D">
      <w:pPr>
        <w:numPr>
          <w:ilvl w:val="0"/>
          <w:numId w:val="2"/>
        </w:numPr>
        <w:shd w:val="clear" w:color="auto" w:fill="FFFFFF"/>
        <w:tabs>
          <w:tab w:val="left" w:pos="1080"/>
        </w:tabs>
        <w:spacing w:after="120"/>
        <w:ind w:left="720" w:firstLine="0"/>
        <w:jc w:val="both"/>
      </w:pPr>
      <w:r w:rsidRPr="00FF43D9">
        <w:t xml:space="preserve">UNDP, </w:t>
      </w:r>
      <w:r w:rsidR="00057608" w:rsidRPr="00FF43D9">
        <w:rPr>
          <w:lang w:val="en"/>
        </w:rPr>
        <w:t>anchored</w:t>
      </w:r>
      <w:r w:rsidRPr="00FF43D9">
        <w:rPr>
          <w:lang w:val="en"/>
        </w:rPr>
        <w:t xml:space="preserve"> by PUDC, will </w:t>
      </w:r>
      <w:r w:rsidR="00057608">
        <w:rPr>
          <w:lang w:val="en"/>
        </w:rPr>
        <w:t>complement</w:t>
      </w:r>
      <w:r>
        <w:rPr>
          <w:lang w:val="en"/>
        </w:rPr>
        <w:t xml:space="preserve"> </w:t>
      </w:r>
      <w:r w:rsidRPr="00FF43D9">
        <w:rPr>
          <w:lang w:val="en"/>
        </w:rPr>
        <w:t>the Government's efforts for improved access to and quality of health</w:t>
      </w:r>
      <w:r w:rsidR="00F56D1B">
        <w:rPr>
          <w:lang w:val="en"/>
        </w:rPr>
        <w:t>-</w:t>
      </w:r>
      <w:r w:rsidRPr="00FF43D9">
        <w:rPr>
          <w:lang w:val="en"/>
        </w:rPr>
        <w:t xml:space="preserve">care and educational services, clean water and energy through efficient service delivery </w:t>
      </w:r>
      <w:r w:rsidR="00334A7F">
        <w:rPr>
          <w:lang w:val="en"/>
        </w:rPr>
        <w:t xml:space="preserve">and </w:t>
      </w:r>
      <w:r w:rsidRPr="00FF43D9">
        <w:rPr>
          <w:lang w:val="en"/>
        </w:rPr>
        <w:t>construction</w:t>
      </w:r>
      <w:r w:rsidR="00F56D1B">
        <w:rPr>
          <w:lang w:val="en"/>
        </w:rPr>
        <w:t xml:space="preserve">, </w:t>
      </w:r>
      <w:r w:rsidR="00334A7F">
        <w:rPr>
          <w:lang w:val="en"/>
        </w:rPr>
        <w:t>provision</w:t>
      </w:r>
      <w:r w:rsidR="00F56D1B">
        <w:rPr>
          <w:lang w:val="en"/>
        </w:rPr>
        <w:t xml:space="preserve"> and </w:t>
      </w:r>
      <w:r w:rsidR="00334A7F">
        <w:rPr>
          <w:lang w:val="en"/>
        </w:rPr>
        <w:t>installation</w:t>
      </w:r>
      <w:r w:rsidRPr="00FF43D9">
        <w:rPr>
          <w:lang w:val="en"/>
        </w:rPr>
        <w:t xml:space="preserve"> of infrastructure</w:t>
      </w:r>
      <w:r w:rsidR="00334A7F">
        <w:rPr>
          <w:lang w:val="en"/>
        </w:rPr>
        <w:t>/</w:t>
      </w:r>
      <w:r w:rsidRPr="00FF43D9">
        <w:rPr>
          <w:lang w:val="en"/>
        </w:rPr>
        <w:t xml:space="preserve">equipment. </w:t>
      </w:r>
      <w:r w:rsidR="001E3744" w:rsidRPr="00A75AEB">
        <w:t>New jobs</w:t>
      </w:r>
      <w:r w:rsidR="001E3744" w:rsidRPr="00FF43D9">
        <w:rPr>
          <w:lang w:val="en"/>
        </w:rPr>
        <w:t xml:space="preserve"> created </w:t>
      </w:r>
      <w:r w:rsidR="001E3744">
        <w:rPr>
          <w:lang w:val="en"/>
        </w:rPr>
        <w:t>based on</w:t>
      </w:r>
      <w:r w:rsidR="001E3744" w:rsidRPr="00FF43D9">
        <w:rPr>
          <w:lang w:val="en"/>
        </w:rPr>
        <w:t xml:space="preserve"> </w:t>
      </w:r>
      <w:r w:rsidR="001E3744">
        <w:rPr>
          <w:lang w:val="en"/>
        </w:rPr>
        <w:t>installation</w:t>
      </w:r>
      <w:r w:rsidR="00F56D1B">
        <w:rPr>
          <w:lang w:val="en"/>
        </w:rPr>
        <w:t xml:space="preserve"> and </w:t>
      </w:r>
      <w:r w:rsidR="001E3744" w:rsidRPr="00FF43D9">
        <w:rPr>
          <w:lang w:val="en"/>
        </w:rPr>
        <w:t>maintenance of infrastructure</w:t>
      </w:r>
      <w:r w:rsidR="00F56D1B">
        <w:rPr>
          <w:lang w:val="en"/>
        </w:rPr>
        <w:t xml:space="preserve"> or </w:t>
      </w:r>
      <w:r w:rsidR="001E3744" w:rsidRPr="00FF43D9">
        <w:rPr>
          <w:lang w:val="en"/>
        </w:rPr>
        <w:t xml:space="preserve">new equipment will </w:t>
      </w:r>
      <w:r w:rsidR="001E3744">
        <w:rPr>
          <w:lang w:val="en"/>
        </w:rPr>
        <w:t>generate</w:t>
      </w:r>
      <w:r w:rsidR="001E3744" w:rsidRPr="00FF43D9">
        <w:rPr>
          <w:lang w:val="en"/>
        </w:rPr>
        <w:t xml:space="preserve"> economic dynam</w:t>
      </w:r>
      <w:r w:rsidR="001E3744">
        <w:rPr>
          <w:lang w:val="en"/>
        </w:rPr>
        <w:t>ism</w:t>
      </w:r>
      <w:r w:rsidR="001E3744" w:rsidRPr="00FF43D9">
        <w:rPr>
          <w:lang w:val="en"/>
        </w:rPr>
        <w:t xml:space="preserve"> </w:t>
      </w:r>
      <w:r w:rsidR="001E3744">
        <w:rPr>
          <w:lang w:val="en"/>
        </w:rPr>
        <w:t>and increase</w:t>
      </w:r>
      <w:r w:rsidR="001E3744" w:rsidRPr="00FF43D9">
        <w:rPr>
          <w:lang w:val="en"/>
        </w:rPr>
        <w:t xml:space="preserve"> income </w:t>
      </w:r>
      <w:r w:rsidR="00100016">
        <w:rPr>
          <w:lang w:val="en"/>
        </w:rPr>
        <w:t>f</w:t>
      </w:r>
      <w:r w:rsidR="001E3744" w:rsidRPr="00FF43D9">
        <w:rPr>
          <w:lang w:val="en"/>
        </w:rPr>
        <w:t>o</w:t>
      </w:r>
      <w:r w:rsidR="00100016">
        <w:rPr>
          <w:lang w:val="en"/>
        </w:rPr>
        <w:t>r</w:t>
      </w:r>
      <w:r w:rsidR="001E3744" w:rsidRPr="00FF43D9">
        <w:rPr>
          <w:lang w:val="en"/>
        </w:rPr>
        <w:t xml:space="preserve"> </w:t>
      </w:r>
      <w:r w:rsidR="001E3744">
        <w:rPr>
          <w:lang w:val="en"/>
        </w:rPr>
        <w:t>youth</w:t>
      </w:r>
      <w:r w:rsidR="001E3744" w:rsidRPr="00FF43D9">
        <w:rPr>
          <w:lang w:val="en"/>
        </w:rPr>
        <w:t xml:space="preserve">, women, farmers and </w:t>
      </w:r>
      <w:r w:rsidR="001E3744">
        <w:rPr>
          <w:lang w:val="en"/>
        </w:rPr>
        <w:t>artisans</w:t>
      </w:r>
      <w:r w:rsidR="001E3744" w:rsidRPr="00FF43D9">
        <w:rPr>
          <w:lang w:val="en"/>
        </w:rPr>
        <w:t>.</w:t>
      </w:r>
      <w:r w:rsidR="001E3744">
        <w:rPr>
          <w:lang w:val="en"/>
        </w:rPr>
        <w:t xml:space="preserve"> </w:t>
      </w:r>
      <w:r w:rsidR="00F56D1B">
        <w:rPr>
          <w:lang w:val="en"/>
        </w:rPr>
        <w:t>A</w:t>
      </w:r>
      <w:r w:rsidRPr="00FF43D9">
        <w:rPr>
          <w:lang w:val="en"/>
        </w:rPr>
        <w:t xml:space="preserve">s an integrator of solutions, </w:t>
      </w:r>
      <w:r w:rsidR="00F56D1B">
        <w:rPr>
          <w:lang w:val="en"/>
        </w:rPr>
        <w:t xml:space="preserve">UNDP </w:t>
      </w:r>
      <w:r w:rsidRPr="00FF43D9">
        <w:rPr>
          <w:lang w:val="en"/>
        </w:rPr>
        <w:t>will consolidate partnerships with U</w:t>
      </w:r>
      <w:r w:rsidR="00F56D1B">
        <w:rPr>
          <w:lang w:val="en"/>
        </w:rPr>
        <w:t xml:space="preserve">nited </w:t>
      </w:r>
      <w:r w:rsidRPr="00FF43D9">
        <w:rPr>
          <w:lang w:val="en"/>
        </w:rPr>
        <w:t>N</w:t>
      </w:r>
      <w:r w:rsidR="00F56D1B">
        <w:rPr>
          <w:lang w:val="en"/>
        </w:rPr>
        <w:t>ations</w:t>
      </w:r>
      <w:r w:rsidRPr="00FF43D9">
        <w:rPr>
          <w:lang w:val="en"/>
        </w:rPr>
        <w:t xml:space="preserve"> agencies for the delivery of their services in the same</w:t>
      </w:r>
      <w:r w:rsidR="00F56D1B">
        <w:rPr>
          <w:lang w:val="en"/>
        </w:rPr>
        <w:t xml:space="preserve"> or </w:t>
      </w:r>
      <w:r w:rsidR="001E3744">
        <w:rPr>
          <w:lang w:val="en"/>
        </w:rPr>
        <w:t>complementary</w:t>
      </w:r>
      <w:r w:rsidRPr="00FF43D9">
        <w:rPr>
          <w:lang w:val="en"/>
        </w:rPr>
        <w:t xml:space="preserve"> localities. </w:t>
      </w:r>
      <w:r w:rsidR="00DE14FA">
        <w:rPr>
          <w:lang w:val="en"/>
        </w:rPr>
        <w:t xml:space="preserve">UNDP in collaboration with the Government </w:t>
      </w:r>
      <w:r w:rsidR="00334A7F">
        <w:rPr>
          <w:lang w:val="en"/>
        </w:rPr>
        <w:t>w</w:t>
      </w:r>
      <w:r w:rsidR="00334A7F">
        <w:t>ill</w:t>
      </w:r>
      <w:r w:rsidR="00DE14FA">
        <w:t xml:space="preserve"> also explore public-private partnership in infrastructure. </w:t>
      </w:r>
      <w:r w:rsidRPr="00FF43D9">
        <w:t>UNDP will work to build the capacity of grass</w:t>
      </w:r>
      <w:r w:rsidR="00F56D1B">
        <w:t>-</w:t>
      </w:r>
      <w:r w:rsidRPr="00FF43D9">
        <w:t xml:space="preserve">roots communities and civil society groups </w:t>
      </w:r>
      <w:r w:rsidR="00334A7F">
        <w:t>with</w:t>
      </w:r>
      <w:r w:rsidRPr="00FF43D9">
        <w:t>in the context of decentralization to achieve more effective management of these investments for their sustainability</w:t>
      </w:r>
      <w:r w:rsidRPr="00A75AEB">
        <w:t>.</w:t>
      </w:r>
    </w:p>
    <w:p w14:paraId="7EB8E270" w14:textId="7471097E" w:rsidR="00321731" w:rsidRPr="000B4EB5" w:rsidRDefault="00321731" w:rsidP="005A2DBF">
      <w:pPr>
        <w:pStyle w:val="Heading2"/>
        <w:tabs>
          <w:tab w:val="left" w:pos="1080"/>
        </w:tabs>
        <w:spacing w:before="120" w:after="120"/>
        <w:ind w:left="720" w:right="1203"/>
        <w:jc w:val="both"/>
        <w:rPr>
          <w:b w:val="0"/>
          <w:i w:val="0"/>
          <w:sz w:val="20"/>
          <w:lang w:val="en"/>
        </w:rPr>
      </w:pPr>
      <w:bookmarkStart w:id="13" w:name="_Toc523818659"/>
      <w:r w:rsidRPr="000B4EB5">
        <w:rPr>
          <w:i w:val="0"/>
          <w:sz w:val="20"/>
        </w:rPr>
        <w:t>Pillar 3</w:t>
      </w:r>
      <w:r w:rsidR="00F56D1B">
        <w:rPr>
          <w:i w:val="0"/>
          <w:sz w:val="20"/>
        </w:rPr>
        <w:t>.</w:t>
      </w:r>
      <w:r w:rsidR="00F56D1B" w:rsidRPr="000B4EB5">
        <w:rPr>
          <w:i w:val="0"/>
          <w:sz w:val="20"/>
        </w:rPr>
        <w:t xml:space="preserve"> </w:t>
      </w:r>
      <w:r w:rsidRPr="000B4EB5">
        <w:rPr>
          <w:i w:val="0"/>
          <w:sz w:val="20"/>
        </w:rPr>
        <w:t>Promoting sustainable management of natural resources, resilience to climate change and disasters</w:t>
      </w:r>
      <w:bookmarkEnd w:id="13"/>
      <w:r w:rsidRPr="000B4EB5">
        <w:rPr>
          <w:b w:val="0"/>
          <w:i w:val="0"/>
          <w:sz w:val="20"/>
          <w:lang w:val="en"/>
        </w:rPr>
        <w:t xml:space="preserve"> </w:t>
      </w:r>
    </w:p>
    <w:p w14:paraId="15D3EFC8" w14:textId="08A3FEDF" w:rsidR="000B4EB5" w:rsidRPr="00A75AEB" w:rsidRDefault="00F56D1B" w:rsidP="0086787D">
      <w:pPr>
        <w:numPr>
          <w:ilvl w:val="0"/>
          <w:numId w:val="2"/>
        </w:numPr>
        <w:shd w:val="clear" w:color="auto" w:fill="FFFFFF"/>
        <w:tabs>
          <w:tab w:val="left" w:pos="1080"/>
        </w:tabs>
        <w:spacing w:after="120"/>
        <w:ind w:left="720" w:firstLine="0"/>
        <w:jc w:val="both"/>
        <w:rPr>
          <w:lang w:val="en"/>
        </w:rPr>
      </w:pPr>
      <w:r w:rsidRPr="00A75AEB">
        <w:rPr>
          <w:lang w:val="en"/>
        </w:rPr>
        <w:t>Priorit</w:t>
      </w:r>
      <w:r>
        <w:rPr>
          <w:lang w:val="en"/>
        </w:rPr>
        <w:t>y</w:t>
      </w:r>
      <w:r w:rsidRPr="00A75AEB">
        <w:rPr>
          <w:lang w:val="en"/>
        </w:rPr>
        <w:t xml:space="preserve"> </w:t>
      </w:r>
      <w:r w:rsidR="000B4EB5" w:rsidRPr="00A75AEB">
        <w:rPr>
          <w:lang w:val="en"/>
        </w:rPr>
        <w:t xml:space="preserve">will be given to support the implementation of </w:t>
      </w:r>
      <w:r w:rsidR="003057D4">
        <w:rPr>
          <w:lang w:val="en"/>
        </w:rPr>
        <w:t>relevant international</w:t>
      </w:r>
      <w:r w:rsidR="003057D4" w:rsidRPr="00A75AEB">
        <w:rPr>
          <w:lang w:val="en"/>
        </w:rPr>
        <w:t xml:space="preserve"> agreements</w:t>
      </w:r>
      <w:r w:rsidR="003057D4">
        <w:rPr>
          <w:lang w:val="en"/>
        </w:rPr>
        <w:t xml:space="preserve"> notably, the </w:t>
      </w:r>
      <w:r w:rsidR="000B4EB5" w:rsidRPr="00A75AEB">
        <w:rPr>
          <w:lang w:val="en"/>
        </w:rPr>
        <w:t>Paris Agreement on Climate Change</w:t>
      </w:r>
      <w:r>
        <w:rPr>
          <w:lang w:val="en"/>
        </w:rPr>
        <w:t>, the</w:t>
      </w:r>
      <w:r w:rsidR="000B4EB5" w:rsidRPr="00A75AEB">
        <w:rPr>
          <w:lang w:val="en"/>
        </w:rPr>
        <w:t xml:space="preserve"> Convention </w:t>
      </w:r>
      <w:r>
        <w:rPr>
          <w:lang w:val="en"/>
        </w:rPr>
        <w:t xml:space="preserve">to Combat </w:t>
      </w:r>
      <w:r w:rsidR="003057D4">
        <w:rPr>
          <w:lang w:val="en"/>
        </w:rPr>
        <w:t>D</w:t>
      </w:r>
      <w:r w:rsidR="000B4EB5" w:rsidRPr="00A75AEB">
        <w:rPr>
          <w:lang w:val="en"/>
        </w:rPr>
        <w:t xml:space="preserve">esertification and </w:t>
      </w:r>
      <w:r>
        <w:rPr>
          <w:lang w:val="en"/>
        </w:rPr>
        <w:t>Convention on Biological D</w:t>
      </w:r>
      <w:r w:rsidRPr="00A75AEB">
        <w:rPr>
          <w:lang w:val="en"/>
        </w:rPr>
        <w:t>iversity</w:t>
      </w:r>
      <w:r w:rsidR="003057D4">
        <w:rPr>
          <w:lang w:val="en"/>
        </w:rPr>
        <w:t xml:space="preserve">. </w:t>
      </w:r>
      <w:r w:rsidR="00D265E3" w:rsidRPr="00A75AEB">
        <w:rPr>
          <w:lang w:val="en"/>
        </w:rPr>
        <w:t>To achieve</w:t>
      </w:r>
      <w:r w:rsidR="000B4EB5" w:rsidRPr="00A75AEB">
        <w:rPr>
          <w:lang w:val="en"/>
        </w:rPr>
        <w:t xml:space="preserve"> </w:t>
      </w:r>
      <w:r>
        <w:rPr>
          <w:lang w:val="en"/>
        </w:rPr>
        <w:t>Goals</w:t>
      </w:r>
      <w:r w:rsidRPr="00A75AEB">
        <w:rPr>
          <w:lang w:val="en"/>
        </w:rPr>
        <w:t> </w:t>
      </w:r>
      <w:r w:rsidR="000B4EB5" w:rsidRPr="00A75AEB">
        <w:rPr>
          <w:lang w:val="en"/>
        </w:rPr>
        <w:t>7, 13 and 15 and</w:t>
      </w:r>
      <w:r w:rsidR="00E51101" w:rsidRPr="00A75AEB">
        <w:rPr>
          <w:lang w:val="en"/>
        </w:rPr>
        <w:t xml:space="preserve"> using</w:t>
      </w:r>
      <w:r w:rsidR="000B4EB5" w:rsidRPr="00A75AEB">
        <w:rPr>
          <w:lang w:val="en"/>
        </w:rPr>
        <w:t xml:space="preserve"> </w:t>
      </w:r>
      <w:r>
        <w:rPr>
          <w:lang w:val="en"/>
        </w:rPr>
        <w:t>s</w:t>
      </w:r>
      <w:r w:rsidRPr="00A75AEB">
        <w:rPr>
          <w:lang w:val="en"/>
        </w:rPr>
        <w:t xml:space="preserve">ignature </w:t>
      </w:r>
      <w:r>
        <w:rPr>
          <w:lang w:val="en"/>
        </w:rPr>
        <w:t>s</w:t>
      </w:r>
      <w:r w:rsidRPr="00A75AEB">
        <w:rPr>
          <w:lang w:val="en"/>
        </w:rPr>
        <w:t xml:space="preserve">olutions </w:t>
      </w:r>
      <w:r w:rsidR="000B4EB5" w:rsidRPr="00A75AEB">
        <w:rPr>
          <w:lang w:val="en"/>
        </w:rPr>
        <w:t>3, 4, 5 and 6, UNDP interventions will focus on: (</w:t>
      </w:r>
      <w:r>
        <w:rPr>
          <w:lang w:val="en"/>
        </w:rPr>
        <w:t>a</w:t>
      </w:r>
      <w:r w:rsidR="000B4EB5" w:rsidRPr="00A75AEB">
        <w:rPr>
          <w:lang w:val="en"/>
        </w:rPr>
        <w:t xml:space="preserve">) improving access </w:t>
      </w:r>
      <w:r w:rsidR="00E51101" w:rsidRPr="00A75AEB">
        <w:rPr>
          <w:lang w:val="en"/>
        </w:rPr>
        <w:t xml:space="preserve">to sustainable domestic energy and </w:t>
      </w:r>
      <w:r>
        <w:rPr>
          <w:lang w:val="en"/>
        </w:rPr>
        <w:t xml:space="preserve">a </w:t>
      </w:r>
      <w:r w:rsidR="00E51101" w:rsidRPr="00A75AEB">
        <w:rPr>
          <w:lang w:val="en"/>
        </w:rPr>
        <w:t xml:space="preserve">decent living environment, </w:t>
      </w:r>
      <w:r w:rsidR="000B4EB5" w:rsidRPr="00A75AEB">
        <w:rPr>
          <w:lang w:val="en"/>
        </w:rPr>
        <w:t xml:space="preserve">especially </w:t>
      </w:r>
      <w:r w:rsidR="00E51101" w:rsidRPr="00A75AEB">
        <w:rPr>
          <w:lang w:val="en"/>
        </w:rPr>
        <w:t xml:space="preserve">in </w:t>
      </w:r>
      <w:r w:rsidR="000B4EB5" w:rsidRPr="00A75AEB">
        <w:rPr>
          <w:lang w:val="en"/>
        </w:rPr>
        <w:t>the poorest rural areas</w:t>
      </w:r>
      <w:r w:rsidR="00481538">
        <w:rPr>
          <w:lang w:val="en"/>
        </w:rPr>
        <w:t>;</w:t>
      </w:r>
      <w:r w:rsidR="000B4EB5" w:rsidRPr="00A75AEB">
        <w:rPr>
          <w:lang w:val="en"/>
        </w:rPr>
        <w:t xml:space="preserve"> (</w:t>
      </w:r>
      <w:r>
        <w:rPr>
          <w:lang w:val="en"/>
        </w:rPr>
        <w:t>b</w:t>
      </w:r>
      <w:r w:rsidR="000B4EB5" w:rsidRPr="00A75AEB">
        <w:rPr>
          <w:lang w:val="en"/>
        </w:rPr>
        <w:t xml:space="preserve">) increasing </w:t>
      </w:r>
      <w:r w:rsidRPr="00A75AEB">
        <w:rPr>
          <w:lang w:val="en"/>
        </w:rPr>
        <w:t>communit</w:t>
      </w:r>
      <w:r>
        <w:rPr>
          <w:lang w:val="en"/>
        </w:rPr>
        <w:t>y</w:t>
      </w:r>
      <w:r w:rsidRPr="00A75AEB">
        <w:rPr>
          <w:lang w:val="en"/>
        </w:rPr>
        <w:t xml:space="preserve"> </w:t>
      </w:r>
      <w:r w:rsidR="000B4EB5" w:rsidRPr="00A75AEB">
        <w:rPr>
          <w:lang w:val="en"/>
        </w:rPr>
        <w:t>resilience to climate change and disasters</w:t>
      </w:r>
      <w:r w:rsidR="00481538">
        <w:rPr>
          <w:lang w:val="en"/>
        </w:rPr>
        <w:t>;</w:t>
      </w:r>
      <w:r w:rsidR="000B4EB5" w:rsidRPr="00A75AEB">
        <w:rPr>
          <w:lang w:val="en"/>
        </w:rPr>
        <w:t xml:space="preserve"> and </w:t>
      </w:r>
      <w:r w:rsidR="004C79FD" w:rsidRPr="00A75AEB">
        <w:rPr>
          <w:lang w:val="en"/>
        </w:rPr>
        <w:t>(</w:t>
      </w:r>
      <w:r>
        <w:rPr>
          <w:lang w:val="en"/>
        </w:rPr>
        <w:t>c</w:t>
      </w:r>
      <w:r w:rsidR="004C79FD" w:rsidRPr="00A75AEB">
        <w:rPr>
          <w:lang w:val="en"/>
        </w:rPr>
        <w:t xml:space="preserve">) </w:t>
      </w:r>
      <w:r w:rsidR="00301DE7" w:rsidRPr="00584CF7">
        <w:t xml:space="preserve">strengthening low-carbon initiatives in villages </w:t>
      </w:r>
      <w:r w:rsidR="003057D4">
        <w:t>by</w:t>
      </w:r>
      <w:r w:rsidR="00301DE7" w:rsidRPr="00584CF7">
        <w:t xml:space="preserve"> scal</w:t>
      </w:r>
      <w:r w:rsidR="003057D4">
        <w:t>ing</w:t>
      </w:r>
      <w:r>
        <w:t xml:space="preserve"> </w:t>
      </w:r>
      <w:r w:rsidR="00301DE7" w:rsidRPr="00584CF7">
        <w:t>up the ecovillage initiative</w:t>
      </w:r>
      <w:r w:rsidR="00301DE7" w:rsidRPr="00A75AEB">
        <w:rPr>
          <w:lang w:val="en"/>
        </w:rPr>
        <w:t xml:space="preserve"> while promoting</w:t>
      </w:r>
      <w:r w:rsidR="004C79FD" w:rsidRPr="00A75AEB">
        <w:rPr>
          <w:lang w:val="en"/>
        </w:rPr>
        <w:t xml:space="preserve"> </w:t>
      </w:r>
      <w:r w:rsidR="004C79FD" w:rsidRPr="002C210D">
        <w:t>sustainable management of ecosystem goods</w:t>
      </w:r>
      <w:r w:rsidR="004C79FD" w:rsidRPr="00A75AEB">
        <w:t xml:space="preserve"> and </w:t>
      </w:r>
      <w:r w:rsidR="00301DE7" w:rsidRPr="002C210D">
        <w:t>services</w:t>
      </w:r>
      <w:r w:rsidR="000B4EB5" w:rsidRPr="00A75AEB">
        <w:rPr>
          <w:lang w:val="en"/>
        </w:rPr>
        <w:t>. To achieve this, increased</w:t>
      </w:r>
      <w:r w:rsidR="001D119C" w:rsidRPr="00A75AEB">
        <w:rPr>
          <w:color w:val="FF0000"/>
          <w:lang w:val="en"/>
        </w:rPr>
        <w:t xml:space="preserve"> </w:t>
      </w:r>
      <w:r w:rsidR="000B4EB5" w:rsidRPr="00A75AEB">
        <w:rPr>
          <w:lang w:val="en"/>
        </w:rPr>
        <w:t>access to renewable and alternative energies will be improved for households</w:t>
      </w:r>
      <w:r w:rsidR="00746334" w:rsidRPr="00A75AEB">
        <w:rPr>
          <w:lang w:val="en"/>
        </w:rPr>
        <w:t>,</w:t>
      </w:r>
      <w:r w:rsidR="000B4EB5" w:rsidRPr="00A75AEB">
        <w:rPr>
          <w:lang w:val="en"/>
        </w:rPr>
        <w:t xml:space="preserve"> particularly women</w:t>
      </w:r>
      <w:r w:rsidR="00481538">
        <w:rPr>
          <w:lang w:val="en"/>
        </w:rPr>
        <w:t>-</w:t>
      </w:r>
      <w:r w:rsidR="000B4EB5" w:rsidRPr="00A75AEB">
        <w:rPr>
          <w:lang w:val="en"/>
        </w:rPr>
        <w:t>headed households</w:t>
      </w:r>
      <w:r w:rsidR="000B4EB5" w:rsidRPr="00D46B15">
        <w:rPr>
          <w:lang w:val="en"/>
        </w:rPr>
        <w:t>.</w:t>
      </w:r>
      <w:r w:rsidR="000B4EB5" w:rsidRPr="00A75AEB">
        <w:rPr>
          <w:lang w:val="en"/>
        </w:rPr>
        <w:t xml:space="preserve"> </w:t>
      </w:r>
      <w:r w:rsidR="00100016" w:rsidRPr="00E5698A">
        <w:rPr>
          <w:lang w:val="en"/>
        </w:rPr>
        <w:t xml:space="preserve">Women </w:t>
      </w:r>
      <w:r w:rsidR="00100016">
        <w:rPr>
          <w:lang w:val="en"/>
        </w:rPr>
        <w:t>c</w:t>
      </w:r>
      <w:r w:rsidR="003729CF">
        <w:rPr>
          <w:lang w:val="en"/>
        </w:rPr>
        <w:t>harc</w:t>
      </w:r>
      <w:r w:rsidR="008A6550" w:rsidRPr="00E5698A">
        <w:rPr>
          <w:lang w:val="en"/>
        </w:rPr>
        <w:t>oal</w:t>
      </w:r>
      <w:r>
        <w:rPr>
          <w:lang w:val="en"/>
        </w:rPr>
        <w:t xml:space="preserve"> </w:t>
      </w:r>
      <w:r w:rsidR="008A6550" w:rsidRPr="00E5698A">
        <w:rPr>
          <w:lang w:val="en"/>
        </w:rPr>
        <w:t>produc</w:t>
      </w:r>
      <w:r w:rsidR="00100016">
        <w:rPr>
          <w:lang w:val="en"/>
        </w:rPr>
        <w:t xml:space="preserve">ers </w:t>
      </w:r>
      <w:r w:rsidR="008A6550" w:rsidRPr="00E5698A">
        <w:rPr>
          <w:lang w:val="en"/>
        </w:rPr>
        <w:t xml:space="preserve">will be supported in identifying and </w:t>
      </w:r>
      <w:r w:rsidR="009663FD">
        <w:rPr>
          <w:lang w:val="en"/>
        </w:rPr>
        <w:t>implement</w:t>
      </w:r>
      <w:r w:rsidR="008A6550" w:rsidRPr="00E5698A">
        <w:rPr>
          <w:lang w:val="en"/>
        </w:rPr>
        <w:t>ing high-income substitution initiatives.</w:t>
      </w:r>
      <w:r w:rsidR="008A6550">
        <w:rPr>
          <w:lang w:val="en"/>
        </w:rPr>
        <w:t xml:space="preserve"> </w:t>
      </w:r>
      <w:r w:rsidR="003216C4" w:rsidRPr="00A75AEB">
        <w:rPr>
          <w:lang w:val="en"/>
        </w:rPr>
        <w:t>N</w:t>
      </w:r>
      <w:r w:rsidR="000B4EB5" w:rsidRPr="00A75AEB">
        <w:rPr>
          <w:lang w:val="en"/>
        </w:rPr>
        <w:t>ational</w:t>
      </w:r>
      <w:r>
        <w:rPr>
          <w:lang w:val="en"/>
        </w:rPr>
        <w:t xml:space="preserve"> and </w:t>
      </w:r>
      <w:r w:rsidR="003216C4">
        <w:rPr>
          <w:lang w:val="en"/>
        </w:rPr>
        <w:t>regional</w:t>
      </w:r>
      <w:r w:rsidR="000B4EB5" w:rsidRPr="00A75AEB">
        <w:rPr>
          <w:lang w:val="en"/>
        </w:rPr>
        <w:t xml:space="preserve"> institutions </w:t>
      </w:r>
      <w:r w:rsidR="003216C4" w:rsidRPr="00A75AEB">
        <w:rPr>
          <w:lang w:val="en"/>
        </w:rPr>
        <w:t>capacity strengthening</w:t>
      </w:r>
      <w:r w:rsidR="003216C4">
        <w:rPr>
          <w:lang w:val="en"/>
        </w:rPr>
        <w:t xml:space="preserve">, including </w:t>
      </w:r>
      <w:r w:rsidR="003216C4" w:rsidRPr="00A75AEB">
        <w:rPr>
          <w:lang w:val="en"/>
        </w:rPr>
        <w:t>the</w:t>
      </w:r>
      <w:r w:rsidR="003216C4">
        <w:rPr>
          <w:lang w:val="en"/>
        </w:rPr>
        <w:t xml:space="preserve"> </w:t>
      </w:r>
      <w:r w:rsidR="003216C4" w:rsidRPr="00116859">
        <w:rPr>
          <w:lang w:val="en"/>
        </w:rPr>
        <w:t>National Civil Protection Agency</w:t>
      </w:r>
      <w:r w:rsidR="00140C03">
        <w:rPr>
          <w:lang w:val="en"/>
        </w:rPr>
        <w:t xml:space="preserve"> (NCPA)</w:t>
      </w:r>
      <w:r w:rsidR="003216C4">
        <w:rPr>
          <w:lang w:val="en"/>
        </w:rPr>
        <w:t>,</w:t>
      </w:r>
      <w:r w:rsidR="003216C4" w:rsidRPr="00116859">
        <w:rPr>
          <w:lang w:val="en"/>
        </w:rPr>
        <w:t xml:space="preserve"> </w:t>
      </w:r>
      <w:r w:rsidR="003216C4" w:rsidRPr="00A75AEB">
        <w:rPr>
          <w:lang w:val="en"/>
        </w:rPr>
        <w:t>will</w:t>
      </w:r>
      <w:r w:rsidR="000B4EB5" w:rsidRPr="00A75AEB">
        <w:rPr>
          <w:lang w:val="en"/>
        </w:rPr>
        <w:t xml:space="preserve"> enable formulation of climate, risk</w:t>
      </w:r>
      <w:r w:rsidR="003216C4" w:rsidRPr="00A75AEB">
        <w:rPr>
          <w:lang w:val="en"/>
        </w:rPr>
        <w:t xml:space="preserve"> </w:t>
      </w:r>
      <w:r w:rsidR="000B4EB5" w:rsidRPr="00A75AEB">
        <w:rPr>
          <w:lang w:val="en"/>
        </w:rPr>
        <w:t>and gender-responsive plans and policies</w:t>
      </w:r>
      <w:r w:rsidR="007E43E4">
        <w:rPr>
          <w:lang w:val="en"/>
        </w:rPr>
        <w:t>. R</w:t>
      </w:r>
      <w:r w:rsidR="006F4D6D">
        <w:rPr>
          <w:lang w:val="en"/>
        </w:rPr>
        <w:t>egional contingency plan</w:t>
      </w:r>
      <w:r w:rsidR="003057D4">
        <w:rPr>
          <w:lang w:val="en"/>
        </w:rPr>
        <w:t>s</w:t>
      </w:r>
      <w:r w:rsidR="006F4D6D">
        <w:rPr>
          <w:lang w:val="en"/>
        </w:rPr>
        <w:t xml:space="preserve"> will enable</w:t>
      </w:r>
      <w:r w:rsidR="003216C4" w:rsidRPr="00F75D05">
        <w:rPr>
          <w:lang w:val="en"/>
        </w:rPr>
        <w:t xml:space="preserve"> adequate response</w:t>
      </w:r>
      <w:r w:rsidR="006F4D6D">
        <w:rPr>
          <w:lang w:val="en"/>
        </w:rPr>
        <w:t>s</w:t>
      </w:r>
      <w:r w:rsidR="003216C4" w:rsidRPr="00F75D05">
        <w:rPr>
          <w:lang w:val="en"/>
        </w:rPr>
        <w:t xml:space="preserve"> </w:t>
      </w:r>
      <w:r w:rsidR="002F054C" w:rsidRPr="00F75D05">
        <w:rPr>
          <w:lang w:val="en"/>
        </w:rPr>
        <w:t xml:space="preserve">to disaster </w:t>
      </w:r>
      <w:r w:rsidR="002F054C">
        <w:rPr>
          <w:lang w:val="en"/>
        </w:rPr>
        <w:t>f</w:t>
      </w:r>
      <w:r w:rsidR="003216C4" w:rsidRPr="00F75D05">
        <w:rPr>
          <w:lang w:val="en"/>
        </w:rPr>
        <w:t>o</w:t>
      </w:r>
      <w:r w:rsidR="002F054C">
        <w:rPr>
          <w:lang w:val="en"/>
        </w:rPr>
        <w:t>r</w:t>
      </w:r>
      <w:r w:rsidR="003216C4" w:rsidRPr="00F75D05">
        <w:rPr>
          <w:lang w:val="en"/>
        </w:rPr>
        <w:t xml:space="preserve"> vulnerable populations, particularly women</w:t>
      </w:r>
      <w:r>
        <w:rPr>
          <w:lang w:val="en"/>
        </w:rPr>
        <w:t xml:space="preserve">, </w:t>
      </w:r>
      <w:r w:rsidR="003216C4" w:rsidRPr="00F75D05">
        <w:rPr>
          <w:lang w:val="en"/>
        </w:rPr>
        <w:t>children</w:t>
      </w:r>
      <w:r>
        <w:rPr>
          <w:lang w:val="en"/>
        </w:rPr>
        <w:t xml:space="preserve">, </w:t>
      </w:r>
      <w:r w:rsidR="003216C4" w:rsidRPr="00F75D05">
        <w:rPr>
          <w:lang w:val="en"/>
        </w:rPr>
        <w:t>the elderly</w:t>
      </w:r>
      <w:r>
        <w:rPr>
          <w:lang w:val="en"/>
        </w:rPr>
        <w:t xml:space="preserve"> and persons with disabilities</w:t>
      </w:r>
      <w:r w:rsidR="003216C4" w:rsidRPr="00F75D05">
        <w:rPr>
          <w:lang w:val="en"/>
        </w:rPr>
        <w:t>.</w:t>
      </w:r>
      <w:r w:rsidR="000B4EB5" w:rsidRPr="00A75AEB">
        <w:rPr>
          <w:lang w:val="en"/>
        </w:rPr>
        <w:t xml:space="preserve"> </w:t>
      </w:r>
      <w:r>
        <w:rPr>
          <w:lang w:val="en"/>
        </w:rPr>
        <w:t>The operational capacities of v</w:t>
      </w:r>
      <w:r w:rsidRPr="00A75AEB">
        <w:rPr>
          <w:lang w:val="en"/>
        </w:rPr>
        <w:t xml:space="preserve">ulnerable </w:t>
      </w:r>
      <w:r w:rsidR="000B4EB5" w:rsidRPr="00A75AEB">
        <w:rPr>
          <w:lang w:val="en"/>
        </w:rPr>
        <w:t xml:space="preserve">communities in areas </w:t>
      </w:r>
      <w:r>
        <w:rPr>
          <w:lang w:val="en"/>
        </w:rPr>
        <w:t>with high</w:t>
      </w:r>
      <w:r w:rsidRPr="00A75AEB">
        <w:rPr>
          <w:lang w:val="en"/>
        </w:rPr>
        <w:t xml:space="preserve"> expos</w:t>
      </w:r>
      <w:r>
        <w:rPr>
          <w:lang w:val="en"/>
        </w:rPr>
        <w:t>ure</w:t>
      </w:r>
      <w:r w:rsidRPr="00A75AEB">
        <w:rPr>
          <w:lang w:val="en"/>
        </w:rPr>
        <w:t xml:space="preserve"> </w:t>
      </w:r>
      <w:r w:rsidR="000B4EB5" w:rsidRPr="00A75AEB">
        <w:rPr>
          <w:lang w:val="en"/>
        </w:rPr>
        <w:t>to natural hazards will be strengthened.</w:t>
      </w:r>
    </w:p>
    <w:p w14:paraId="7EA28054" w14:textId="29AA17BB" w:rsidR="000B4EB5" w:rsidRPr="000B4EB5" w:rsidRDefault="000B4EB5" w:rsidP="0086787D">
      <w:pPr>
        <w:numPr>
          <w:ilvl w:val="0"/>
          <w:numId w:val="2"/>
        </w:numPr>
        <w:shd w:val="clear" w:color="auto" w:fill="FFFFFF"/>
        <w:tabs>
          <w:tab w:val="left" w:pos="1080"/>
        </w:tabs>
        <w:spacing w:after="200"/>
        <w:ind w:left="720" w:firstLine="0"/>
        <w:jc w:val="both"/>
        <w:rPr>
          <w:lang w:val="en"/>
        </w:rPr>
      </w:pPr>
      <w:r w:rsidRPr="00AA3121">
        <w:rPr>
          <w:lang w:val="en"/>
        </w:rPr>
        <w:t xml:space="preserve">UNDP will strengthen its partnership with the </w:t>
      </w:r>
      <w:r w:rsidR="0040445A">
        <w:rPr>
          <w:lang w:val="en"/>
        </w:rPr>
        <w:t xml:space="preserve">GEF, </w:t>
      </w:r>
      <w:r w:rsidR="00A81CD3">
        <w:rPr>
          <w:lang w:val="en"/>
        </w:rPr>
        <w:t>Green Climate Fund</w:t>
      </w:r>
      <w:r w:rsidRPr="00AA3121">
        <w:rPr>
          <w:lang w:val="en"/>
        </w:rPr>
        <w:t xml:space="preserve"> </w:t>
      </w:r>
      <w:r w:rsidR="00D46B15">
        <w:rPr>
          <w:lang w:val="en"/>
        </w:rPr>
        <w:t xml:space="preserve">and </w:t>
      </w:r>
      <w:r w:rsidRPr="00AA3121">
        <w:rPr>
          <w:lang w:val="en"/>
        </w:rPr>
        <w:t>the Adaptation Fund to mobilize resources to implement innovative projects.</w:t>
      </w:r>
      <w:r w:rsidRPr="007015CC">
        <w:rPr>
          <w:lang w:val="en"/>
        </w:rPr>
        <w:t xml:space="preserve"> </w:t>
      </w:r>
      <w:r w:rsidRPr="000B4EB5">
        <w:rPr>
          <w:lang w:val="en"/>
        </w:rPr>
        <w:t xml:space="preserve">UNDP will seek synergies with partners </w:t>
      </w:r>
      <w:r w:rsidR="00EB5EC6">
        <w:rPr>
          <w:lang w:val="en"/>
        </w:rPr>
        <w:t xml:space="preserve">working </w:t>
      </w:r>
      <w:r w:rsidR="003057D4">
        <w:rPr>
          <w:lang w:val="en"/>
        </w:rPr>
        <w:t>o</w:t>
      </w:r>
      <w:r w:rsidR="003057D4" w:rsidRPr="000B4EB5">
        <w:rPr>
          <w:lang w:val="en"/>
        </w:rPr>
        <w:t>n environment</w:t>
      </w:r>
      <w:r w:rsidRPr="000B4EB5">
        <w:rPr>
          <w:lang w:val="en"/>
        </w:rPr>
        <w:t xml:space="preserve">, climate change and </w:t>
      </w:r>
      <w:r w:rsidR="00016D54">
        <w:rPr>
          <w:lang w:val="en"/>
        </w:rPr>
        <w:t xml:space="preserve">disaster risk reduction </w:t>
      </w:r>
      <w:r w:rsidR="00D67B91">
        <w:rPr>
          <w:lang w:val="en"/>
        </w:rPr>
        <w:t>including</w:t>
      </w:r>
      <w:r w:rsidRPr="000B4EB5">
        <w:rPr>
          <w:lang w:val="en"/>
        </w:rPr>
        <w:t xml:space="preserve"> </w:t>
      </w:r>
      <w:r w:rsidR="00016D54">
        <w:rPr>
          <w:lang w:val="en"/>
        </w:rPr>
        <w:t>the p</w:t>
      </w:r>
      <w:r w:rsidR="00016D54" w:rsidRPr="000B4EB5">
        <w:rPr>
          <w:lang w:val="en"/>
        </w:rPr>
        <w:t xml:space="preserve">rivate </w:t>
      </w:r>
      <w:r w:rsidRPr="000B4EB5">
        <w:rPr>
          <w:lang w:val="en"/>
        </w:rPr>
        <w:t>sector and CSO</w:t>
      </w:r>
      <w:r w:rsidR="00396347">
        <w:rPr>
          <w:lang w:val="en"/>
        </w:rPr>
        <w:t>s</w:t>
      </w:r>
      <w:r w:rsidRPr="000B4EB5">
        <w:rPr>
          <w:lang w:val="en"/>
        </w:rPr>
        <w:t xml:space="preserve">. Technical cooperation will be promoted with research </w:t>
      </w:r>
      <w:r w:rsidR="003057D4" w:rsidRPr="000B4EB5">
        <w:rPr>
          <w:lang w:val="en"/>
        </w:rPr>
        <w:t>institut</w:t>
      </w:r>
      <w:r w:rsidR="003057D4">
        <w:rPr>
          <w:lang w:val="en"/>
        </w:rPr>
        <w:t>ions</w:t>
      </w:r>
      <w:r w:rsidRPr="000B4EB5">
        <w:rPr>
          <w:lang w:val="en"/>
        </w:rPr>
        <w:t xml:space="preserve"> and universities on cutting-edge technologies.</w:t>
      </w:r>
      <w:r w:rsidR="00770457">
        <w:rPr>
          <w:lang w:val="en"/>
        </w:rPr>
        <w:t xml:space="preserve"> </w:t>
      </w:r>
      <w:r w:rsidR="00396347">
        <w:rPr>
          <w:lang w:val="en-GB"/>
        </w:rPr>
        <w:t>South-South cooperation will be explored on</w:t>
      </w:r>
      <w:r w:rsidR="00770457" w:rsidRPr="00584CF7">
        <w:rPr>
          <w:lang w:val="en-GB"/>
        </w:rPr>
        <w:t xml:space="preserve"> </w:t>
      </w:r>
      <w:r w:rsidR="00016D54" w:rsidRPr="00584CF7">
        <w:rPr>
          <w:lang w:val="en-GB"/>
        </w:rPr>
        <w:t xml:space="preserve">best practices and lessons </w:t>
      </w:r>
      <w:r w:rsidR="00016D54">
        <w:rPr>
          <w:lang w:val="en-GB"/>
        </w:rPr>
        <w:t xml:space="preserve">learned about access to </w:t>
      </w:r>
      <w:r w:rsidR="00770457" w:rsidRPr="00584CF7">
        <w:rPr>
          <w:lang w:val="en-GB"/>
        </w:rPr>
        <w:t>clean energy.</w:t>
      </w:r>
    </w:p>
    <w:p w14:paraId="3B220AF4" w14:textId="77777777" w:rsidR="006E0451" w:rsidRPr="00530B46" w:rsidRDefault="00876D4B" w:rsidP="00DE7E37">
      <w:pPr>
        <w:pStyle w:val="Heading1"/>
        <w:keepLines/>
        <w:widowControl/>
        <w:numPr>
          <w:ilvl w:val="0"/>
          <w:numId w:val="5"/>
        </w:numPr>
        <w:tabs>
          <w:tab w:val="left" w:pos="1080"/>
        </w:tabs>
        <w:suppressAutoHyphens w:val="0"/>
        <w:spacing w:after="240"/>
        <w:ind w:left="720" w:hanging="540"/>
        <w:rPr>
          <w:spacing w:val="0"/>
          <w:szCs w:val="24"/>
          <w:lang w:val="en-GB"/>
        </w:rPr>
      </w:pPr>
      <w:bookmarkStart w:id="14" w:name="_Toc523818660"/>
      <w:r w:rsidRPr="00530B46">
        <w:rPr>
          <w:spacing w:val="0"/>
          <w:szCs w:val="24"/>
          <w:lang w:val="en-GB"/>
        </w:rPr>
        <w:t>Programme</w:t>
      </w:r>
      <w:r w:rsidR="00310D26" w:rsidRPr="00530B46">
        <w:rPr>
          <w:spacing w:val="0"/>
          <w:szCs w:val="24"/>
          <w:lang w:val="en-GB"/>
        </w:rPr>
        <w:t xml:space="preserve"> and risk management</w:t>
      </w:r>
      <w:bookmarkEnd w:id="8"/>
      <w:bookmarkEnd w:id="14"/>
    </w:p>
    <w:p w14:paraId="240B16F9" w14:textId="2F676541" w:rsidR="00321731" w:rsidRPr="000B4EB5" w:rsidRDefault="00321731" w:rsidP="0086787D">
      <w:pPr>
        <w:numPr>
          <w:ilvl w:val="0"/>
          <w:numId w:val="2"/>
        </w:numPr>
        <w:shd w:val="clear" w:color="auto" w:fill="FFFFFF"/>
        <w:tabs>
          <w:tab w:val="left" w:pos="1080"/>
        </w:tabs>
        <w:spacing w:after="120"/>
        <w:ind w:left="720" w:firstLine="0"/>
        <w:jc w:val="both"/>
        <w:rPr>
          <w:lang w:val="en"/>
        </w:rPr>
      </w:pPr>
      <w:r w:rsidRPr="000B4EB5">
        <w:rPr>
          <w:lang w:val="en"/>
        </w:rPr>
        <w:t xml:space="preserve">This </w:t>
      </w:r>
      <w:r w:rsidR="00016D54">
        <w:rPr>
          <w:lang w:val="en"/>
        </w:rPr>
        <w:t>country programme document</w:t>
      </w:r>
      <w:r w:rsidR="00016D54" w:rsidRPr="000B4EB5">
        <w:rPr>
          <w:lang w:val="en"/>
        </w:rPr>
        <w:t xml:space="preserve"> </w:t>
      </w:r>
      <w:r w:rsidRPr="000B4EB5">
        <w:rPr>
          <w:lang w:val="en"/>
        </w:rPr>
        <w:t xml:space="preserve">outlines </w:t>
      </w:r>
      <w:r w:rsidR="00016D54">
        <w:rPr>
          <w:lang w:val="en"/>
        </w:rPr>
        <w:t xml:space="preserve">the </w:t>
      </w:r>
      <w:r w:rsidRPr="000B4EB5">
        <w:rPr>
          <w:lang w:val="en"/>
        </w:rPr>
        <w:t xml:space="preserve">UNDP contributions to national results and serves as the primary unit of accountability to the Executive Board for results alignment and resources assigned to the programme at country level. Accountabilities of management at the country, regional and headquarter levels with respect to country programmes is prescribed in the organization’s </w:t>
      </w:r>
      <w:hyperlink r:id="rId12" w:history="1">
        <w:r w:rsidR="00016D54">
          <w:rPr>
            <w:lang w:val="en"/>
          </w:rPr>
          <w:t>p</w:t>
        </w:r>
        <w:r w:rsidR="00016D54" w:rsidRPr="000B4EB5">
          <w:rPr>
            <w:lang w:val="en"/>
          </w:rPr>
          <w:t xml:space="preserve">rogramme and </w:t>
        </w:r>
        <w:r w:rsidR="00016D54">
          <w:rPr>
            <w:lang w:val="en"/>
          </w:rPr>
          <w:t>o</w:t>
        </w:r>
        <w:r w:rsidR="00016D54" w:rsidRPr="000B4EB5">
          <w:rPr>
            <w:lang w:val="en"/>
          </w:rPr>
          <w:t xml:space="preserve">perations </w:t>
        </w:r>
        <w:r w:rsidR="00016D54">
          <w:rPr>
            <w:lang w:val="en"/>
          </w:rPr>
          <w:t>p</w:t>
        </w:r>
        <w:r w:rsidR="00016D54" w:rsidRPr="000B4EB5">
          <w:rPr>
            <w:lang w:val="en"/>
          </w:rPr>
          <w:t xml:space="preserve">olicies and </w:t>
        </w:r>
        <w:r w:rsidR="00016D54">
          <w:rPr>
            <w:lang w:val="en"/>
          </w:rPr>
          <w:t>p</w:t>
        </w:r>
        <w:r w:rsidR="00016D54" w:rsidRPr="000B4EB5">
          <w:rPr>
            <w:lang w:val="en"/>
          </w:rPr>
          <w:t>rocedures</w:t>
        </w:r>
      </w:hyperlink>
      <w:r w:rsidRPr="000B4EB5">
        <w:rPr>
          <w:lang w:val="en"/>
        </w:rPr>
        <w:t xml:space="preserve"> and the </w:t>
      </w:r>
      <w:r w:rsidR="00016D54">
        <w:rPr>
          <w:lang w:val="en"/>
        </w:rPr>
        <w:t>i</w:t>
      </w:r>
      <w:hyperlink r:id="rId13" w:history="1">
        <w:r w:rsidR="00016D54" w:rsidRPr="000B4EB5">
          <w:rPr>
            <w:lang w:val="en"/>
          </w:rPr>
          <w:t xml:space="preserve">nternal </w:t>
        </w:r>
        <w:r w:rsidR="00016D54">
          <w:rPr>
            <w:lang w:val="en"/>
          </w:rPr>
          <w:t>c</w:t>
        </w:r>
        <w:r w:rsidR="00016D54" w:rsidRPr="000B4EB5">
          <w:rPr>
            <w:lang w:val="en"/>
          </w:rPr>
          <w:t xml:space="preserve">ontrol </w:t>
        </w:r>
        <w:r w:rsidR="00016D54">
          <w:rPr>
            <w:lang w:val="en"/>
          </w:rPr>
          <w:t>f</w:t>
        </w:r>
        <w:r w:rsidR="00016D54" w:rsidRPr="000B4EB5">
          <w:rPr>
            <w:lang w:val="en"/>
          </w:rPr>
          <w:t>ramework</w:t>
        </w:r>
      </w:hyperlink>
      <w:r w:rsidRPr="000B4EB5">
        <w:rPr>
          <w:lang w:val="en"/>
        </w:rPr>
        <w:t xml:space="preserve">. In accordance with Executive Board decision </w:t>
      </w:r>
      <w:r w:rsidR="008B0D6A" w:rsidRPr="000B4EB5">
        <w:rPr>
          <w:lang w:val="en"/>
        </w:rPr>
        <w:t>2013/9</w:t>
      </w:r>
      <w:r w:rsidRPr="000B4EB5">
        <w:rPr>
          <w:lang w:val="en"/>
        </w:rPr>
        <w:t xml:space="preserve">, all </w:t>
      </w:r>
      <w:r w:rsidR="008B0D6A" w:rsidRPr="000B4EB5">
        <w:rPr>
          <w:lang w:val="en"/>
        </w:rPr>
        <w:t>d</w:t>
      </w:r>
      <w:r w:rsidRPr="000B4EB5">
        <w:rPr>
          <w:lang w:val="en"/>
        </w:rPr>
        <w:t xml:space="preserve">irect </w:t>
      </w:r>
      <w:r w:rsidR="008B0D6A" w:rsidRPr="000B4EB5">
        <w:rPr>
          <w:lang w:val="en"/>
        </w:rPr>
        <w:t>c</w:t>
      </w:r>
      <w:r w:rsidRPr="000B4EB5">
        <w:rPr>
          <w:lang w:val="en"/>
        </w:rPr>
        <w:t>osts associated with project implementation will be charged to the concerned projects.</w:t>
      </w:r>
    </w:p>
    <w:p w14:paraId="587D0A40" w14:textId="3589FB47" w:rsidR="00321731" w:rsidRPr="00A75AEB" w:rsidRDefault="00EA49C7" w:rsidP="0086787D">
      <w:pPr>
        <w:numPr>
          <w:ilvl w:val="0"/>
          <w:numId w:val="2"/>
        </w:numPr>
        <w:shd w:val="clear" w:color="auto" w:fill="FFFFFF"/>
        <w:tabs>
          <w:tab w:val="left" w:pos="1080"/>
        </w:tabs>
        <w:spacing w:after="120"/>
        <w:ind w:left="720" w:firstLine="0"/>
        <w:jc w:val="both"/>
        <w:rPr>
          <w:lang w:val="en"/>
        </w:rPr>
      </w:pPr>
      <w:r>
        <w:rPr>
          <w:lang w:val="en"/>
        </w:rPr>
        <w:t xml:space="preserve">Appropriate </w:t>
      </w:r>
      <w:r w:rsidR="00321731" w:rsidRPr="00A75AEB">
        <w:rPr>
          <w:lang w:val="en"/>
        </w:rPr>
        <w:t xml:space="preserve">implementation </w:t>
      </w:r>
      <w:r w:rsidR="00016D54" w:rsidRPr="00A75AEB">
        <w:rPr>
          <w:lang w:val="en"/>
        </w:rPr>
        <w:t>modalit</w:t>
      </w:r>
      <w:r w:rsidR="00016D54">
        <w:rPr>
          <w:lang w:val="en"/>
        </w:rPr>
        <w:t>ies</w:t>
      </w:r>
      <w:r w:rsidR="00016D54" w:rsidRPr="00A75AEB">
        <w:rPr>
          <w:lang w:val="en"/>
        </w:rPr>
        <w:t xml:space="preserve"> </w:t>
      </w:r>
      <w:r w:rsidR="00321731" w:rsidRPr="00A75AEB">
        <w:rPr>
          <w:lang w:val="en"/>
        </w:rPr>
        <w:t xml:space="preserve">will be </w:t>
      </w:r>
      <w:r>
        <w:rPr>
          <w:lang w:val="en"/>
        </w:rPr>
        <w:t xml:space="preserve">used based on </w:t>
      </w:r>
      <w:r w:rsidR="003057D4">
        <w:rPr>
          <w:lang w:val="en"/>
        </w:rPr>
        <w:t xml:space="preserve">the assessment of </w:t>
      </w:r>
      <w:r>
        <w:rPr>
          <w:lang w:val="en"/>
        </w:rPr>
        <w:t xml:space="preserve">national capacities </w:t>
      </w:r>
      <w:r w:rsidR="00321731" w:rsidRPr="00A75AEB">
        <w:rPr>
          <w:lang w:val="en"/>
        </w:rPr>
        <w:t>to ensure national ownership and accountability</w:t>
      </w:r>
      <w:r w:rsidR="00BF35A6" w:rsidRPr="00A75AEB">
        <w:rPr>
          <w:lang w:val="en"/>
        </w:rPr>
        <w:t>.</w:t>
      </w:r>
      <w:r w:rsidR="00321731" w:rsidRPr="00A75AEB">
        <w:rPr>
          <w:lang w:val="en"/>
        </w:rPr>
        <w:t xml:space="preserve"> </w:t>
      </w:r>
      <w:r w:rsidR="007671F2">
        <w:rPr>
          <w:rFonts w:cstheme="minorHAnsi"/>
        </w:rPr>
        <w:t>UNDP will c</w:t>
      </w:r>
      <w:r w:rsidR="007671F2" w:rsidRPr="00A469A3">
        <w:rPr>
          <w:rFonts w:cstheme="minorHAnsi"/>
        </w:rPr>
        <w:t>reate a benchmark for delivery to ensure sustainability, indicating internal capacity needs</w:t>
      </w:r>
      <w:r w:rsidR="007671F2">
        <w:rPr>
          <w:rFonts w:cstheme="minorHAnsi"/>
        </w:rPr>
        <w:t>.</w:t>
      </w:r>
      <w:r w:rsidR="007671F2">
        <w:rPr>
          <w:lang w:val="en"/>
        </w:rPr>
        <w:t xml:space="preserve"> </w:t>
      </w:r>
      <w:r w:rsidR="00321731" w:rsidRPr="00A75AEB">
        <w:rPr>
          <w:lang w:val="en"/>
        </w:rPr>
        <w:t xml:space="preserve">The financial sustainability plan will be </w:t>
      </w:r>
      <w:r w:rsidR="00873835" w:rsidRPr="005F2714">
        <w:rPr>
          <w:lang w:val="en"/>
        </w:rPr>
        <w:t xml:space="preserve">reviewed </w:t>
      </w:r>
      <w:r w:rsidR="003B1F9F" w:rsidRPr="00A75AEB">
        <w:rPr>
          <w:lang w:val="en"/>
        </w:rPr>
        <w:t>regularly</w:t>
      </w:r>
      <w:r w:rsidR="00321731" w:rsidRPr="00A75AEB">
        <w:rPr>
          <w:lang w:val="en"/>
        </w:rPr>
        <w:t xml:space="preserve"> for optimal </w:t>
      </w:r>
      <w:r w:rsidR="00383D6B">
        <w:rPr>
          <w:lang w:val="en"/>
        </w:rPr>
        <w:t>use of resources</w:t>
      </w:r>
      <w:r w:rsidR="00B14383">
        <w:rPr>
          <w:lang w:val="en"/>
        </w:rPr>
        <w:t xml:space="preserve"> and </w:t>
      </w:r>
      <w:r w:rsidR="00321731" w:rsidRPr="00A75AEB">
        <w:rPr>
          <w:lang w:val="en"/>
        </w:rPr>
        <w:t xml:space="preserve">management ratios </w:t>
      </w:r>
      <w:r w:rsidR="00D46B15">
        <w:rPr>
          <w:lang w:val="en"/>
        </w:rPr>
        <w:t>to adjust the structure of the o</w:t>
      </w:r>
      <w:r w:rsidR="00321731" w:rsidRPr="00A75AEB">
        <w:rPr>
          <w:lang w:val="en"/>
        </w:rPr>
        <w:t>ffice</w:t>
      </w:r>
      <w:r w:rsidR="00383D6B">
        <w:rPr>
          <w:lang w:val="en"/>
        </w:rPr>
        <w:t xml:space="preserve">, </w:t>
      </w:r>
      <w:r w:rsidR="00321731" w:rsidRPr="00A75AEB">
        <w:rPr>
          <w:lang w:val="en"/>
        </w:rPr>
        <w:t>meet operational requirements and mitigate operational risks.</w:t>
      </w:r>
    </w:p>
    <w:p w14:paraId="4FFF1124" w14:textId="27432221" w:rsidR="00321731" w:rsidRPr="000B4EB5" w:rsidRDefault="00383D6B" w:rsidP="0086787D">
      <w:pPr>
        <w:numPr>
          <w:ilvl w:val="0"/>
          <w:numId w:val="2"/>
        </w:numPr>
        <w:shd w:val="clear" w:color="auto" w:fill="FFFFFF"/>
        <w:tabs>
          <w:tab w:val="left" w:pos="1080"/>
        </w:tabs>
        <w:spacing w:after="120"/>
        <w:ind w:left="720" w:firstLine="0"/>
        <w:jc w:val="both"/>
        <w:rPr>
          <w:lang w:val="en"/>
        </w:rPr>
      </w:pPr>
      <w:r>
        <w:rPr>
          <w:lang w:val="en"/>
        </w:rPr>
        <w:lastRenderedPageBreak/>
        <w:t xml:space="preserve">Programme </w:t>
      </w:r>
      <w:r w:rsidR="00321731" w:rsidRPr="000B4EB5">
        <w:rPr>
          <w:lang w:val="en"/>
        </w:rPr>
        <w:t xml:space="preserve">implementation will be aligned with the </w:t>
      </w:r>
      <w:r w:rsidR="00B14383">
        <w:rPr>
          <w:lang w:val="en"/>
        </w:rPr>
        <w:t>Delivering as One</w:t>
      </w:r>
      <w:r w:rsidR="00B14383" w:rsidRPr="000B4EB5">
        <w:rPr>
          <w:lang w:val="en"/>
        </w:rPr>
        <w:t xml:space="preserve"> </w:t>
      </w:r>
      <w:r w:rsidR="00321731" w:rsidRPr="000B4EB5">
        <w:rPr>
          <w:lang w:val="en"/>
        </w:rPr>
        <w:t>initiative. UNDP, in collaboration with the U</w:t>
      </w:r>
      <w:r w:rsidR="00B14383">
        <w:rPr>
          <w:lang w:val="en"/>
        </w:rPr>
        <w:t xml:space="preserve">nited </w:t>
      </w:r>
      <w:r w:rsidR="00321731" w:rsidRPr="000B4EB5">
        <w:rPr>
          <w:lang w:val="en"/>
        </w:rPr>
        <w:t>N</w:t>
      </w:r>
      <w:r w:rsidR="00B14383">
        <w:rPr>
          <w:lang w:val="en"/>
        </w:rPr>
        <w:t>ations</w:t>
      </w:r>
      <w:r w:rsidR="00321731" w:rsidRPr="000B4EB5">
        <w:rPr>
          <w:lang w:val="en"/>
        </w:rPr>
        <w:t xml:space="preserve"> Country Team, will continue </w:t>
      </w:r>
      <w:r>
        <w:rPr>
          <w:lang w:val="en"/>
        </w:rPr>
        <w:t>assessing</w:t>
      </w:r>
      <w:r w:rsidR="00321731" w:rsidRPr="000B4EB5">
        <w:rPr>
          <w:lang w:val="en"/>
        </w:rPr>
        <w:t xml:space="preserve"> implementing partners</w:t>
      </w:r>
      <w:r w:rsidR="008779D2">
        <w:rPr>
          <w:lang w:val="en"/>
        </w:rPr>
        <w:t>’</w:t>
      </w:r>
      <w:r w:rsidR="00321731" w:rsidRPr="000B4EB5">
        <w:rPr>
          <w:lang w:val="en"/>
        </w:rPr>
        <w:t xml:space="preserve"> </w:t>
      </w:r>
      <w:r w:rsidR="00D46B15">
        <w:rPr>
          <w:lang w:val="en"/>
        </w:rPr>
        <w:t xml:space="preserve">capacities </w:t>
      </w:r>
      <w:r w:rsidR="00321731" w:rsidRPr="000B4EB5">
        <w:rPr>
          <w:lang w:val="en"/>
        </w:rPr>
        <w:t xml:space="preserve">under the </w:t>
      </w:r>
      <w:r w:rsidR="00B14383">
        <w:rPr>
          <w:lang w:val="en"/>
        </w:rPr>
        <w:t>h</w:t>
      </w:r>
      <w:r w:rsidR="00B14383" w:rsidRPr="000B4EB5">
        <w:rPr>
          <w:lang w:val="en"/>
        </w:rPr>
        <w:t xml:space="preserve">armonized </w:t>
      </w:r>
      <w:r w:rsidR="00B14383">
        <w:rPr>
          <w:lang w:val="en"/>
        </w:rPr>
        <w:t>a</w:t>
      </w:r>
      <w:r w:rsidR="00B14383" w:rsidRPr="000B4EB5">
        <w:rPr>
          <w:lang w:val="en"/>
        </w:rPr>
        <w:t xml:space="preserve">pproach </w:t>
      </w:r>
      <w:r w:rsidR="00321731" w:rsidRPr="000B4EB5">
        <w:rPr>
          <w:lang w:val="en"/>
        </w:rPr>
        <w:t xml:space="preserve">to </w:t>
      </w:r>
      <w:r w:rsidR="00B14383">
        <w:rPr>
          <w:lang w:val="en"/>
        </w:rPr>
        <w:t>c</w:t>
      </w:r>
      <w:r w:rsidR="00B14383" w:rsidRPr="000B4EB5">
        <w:rPr>
          <w:lang w:val="en"/>
        </w:rPr>
        <w:t xml:space="preserve">ash </w:t>
      </w:r>
      <w:r w:rsidR="00B14383">
        <w:rPr>
          <w:lang w:val="en"/>
        </w:rPr>
        <w:t>t</w:t>
      </w:r>
      <w:r w:rsidR="00B14383" w:rsidRPr="000B4EB5">
        <w:rPr>
          <w:lang w:val="en"/>
        </w:rPr>
        <w:t>ransfers</w:t>
      </w:r>
      <w:r w:rsidR="00321731" w:rsidRPr="000B4EB5">
        <w:rPr>
          <w:lang w:val="en"/>
        </w:rPr>
        <w:t xml:space="preserve">. </w:t>
      </w:r>
      <w:r>
        <w:rPr>
          <w:lang w:val="en"/>
        </w:rPr>
        <w:t>O</w:t>
      </w:r>
      <w:r w:rsidR="00321731" w:rsidRPr="000B4EB5">
        <w:rPr>
          <w:lang w:val="en"/>
        </w:rPr>
        <w:t xml:space="preserve">ther harmonized and collective programming instruments associated with the </w:t>
      </w:r>
      <w:r w:rsidR="00B14383">
        <w:rPr>
          <w:lang w:val="en"/>
        </w:rPr>
        <w:t>s</w:t>
      </w:r>
      <w:r w:rsidR="00B14383" w:rsidRPr="000B4EB5">
        <w:rPr>
          <w:lang w:val="en"/>
        </w:rPr>
        <w:t xml:space="preserve">ingle </w:t>
      </w:r>
      <w:r w:rsidR="00B14383">
        <w:rPr>
          <w:lang w:val="en"/>
        </w:rPr>
        <w:t>p</w:t>
      </w:r>
      <w:r w:rsidR="00B14383" w:rsidRPr="000B4EB5">
        <w:rPr>
          <w:lang w:val="en"/>
        </w:rPr>
        <w:t xml:space="preserve">rogramming </w:t>
      </w:r>
      <w:r w:rsidR="00B14383">
        <w:rPr>
          <w:lang w:val="en"/>
        </w:rPr>
        <w:t>f</w:t>
      </w:r>
      <w:r w:rsidR="00B14383" w:rsidRPr="000B4EB5">
        <w:rPr>
          <w:lang w:val="en"/>
        </w:rPr>
        <w:t xml:space="preserve">ramework </w:t>
      </w:r>
      <w:r w:rsidR="00321731" w:rsidRPr="000B4EB5">
        <w:rPr>
          <w:lang w:val="en"/>
        </w:rPr>
        <w:t>will also be promoted, including joint inter</w:t>
      </w:r>
      <w:r w:rsidR="00B14383">
        <w:rPr>
          <w:lang w:val="en"/>
        </w:rPr>
        <w:t>-</w:t>
      </w:r>
      <w:r w:rsidR="00321731" w:rsidRPr="000B4EB5">
        <w:rPr>
          <w:lang w:val="en"/>
        </w:rPr>
        <w:t xml:space="preserve">agency programmes and </w:t>
      </w:r>
      <w:r w:rsidR="00D46B15">
        <w:rPr>
          <w:lang w:val="en"/>
        </w:rPr>
        <w:t xml:space="preserve">the </w:t>
      </w:r>
      <w:r w:rsidR="00B14383">
        <w:rPr>
          <w:lang w:val="en"/>
        </w:rPr>
        <w:t>b</w:t>
      </w:r>
      <w:r w:rsidR="00B14383" w:rsidRPr="000B4EB5">
        <w:rPr>
          <w:lang w:val="en"/>
        </w:rPr>
        <w:t xml:space="preserve">usiness </w:t>
      </w:r>
      <w:r w:rsidR="00B14383">
        <w:rPr>
          <w:lang w:val="en"/>
        </w:rPr>
        <w:t>o</w:t>
      </w:r>
      <w:r w:rsidR="00B14383" w:rsidRPr="000B4EB5">
        <w:rPr>
          <w:lang w:val="en"/>
        </w:rPr>
        <w:t xml:space="preserve">perations </w:t>
      </w:r>
      <w:r w:rsidR="00B14383">
        <w:rPr>
          <w:lang w:val="en"/>
        </w:rPr>
        <w:t>s</w:t>
      </w:r>
      <w:r w:rsidR="00B14383" w:rsidRPr="000B4EB5">
        <w:rPr>
          <w:lang w:val="en"/>
        </w:rPr>
        <w:t>trategy</w:t>
      </w:r>
      <w:r w:rsidR="00321731" w:rsidRPr="000B4EB5">
        <w:rPr>
          <w:lang w:val="en"/>
        </w:rPr>
        <w:t>.</w:t>
      </w:r>
    </w:p>
    <w:p w14:paraId="07416E65" w14:textId="2462BBF3" w:rsidR="00321731" w:rsidRPr="000B4EB5" w:rsidRDefault="00B14383" w:rsidP="0086787D">
      <w:pPr>
        <w:numPr>
          <w:ilvl w:val="0"/>
          <w:numId w:val="2"/>
        </w:numPr>
        <w:shd w:val="clear" w:color="auto" w:fill="FFFFFF"/>
        <w:tabs>
          <w:tab w:val="left" w:pos="1080"/>
        </w:tabs>
        <w:spacing w:after="120"/>
        <w:ind w:left="720" w:firstLine="0"/>
        <w:jc w:val="both"/>
        <w:rPr>
          <w:lang w:val="en"/>
        </w:rPr>
      </w:pPr>
      <w:r>
        <w:t>A p</w:t>
      </w:r>
      <w:r w:rsidRPr="000B4EB5">
        <w:t xml:space="preserve">artnerships </w:t>
      </w:r>
      <w:r w:rsidR="00CD5092" w:rsidRPr="000B4EB5">
        <w:t xml:space="preserve">and </w:t>
      </w:r>
      <w:r>
        <w:t>c</w:t>
      </w:r>
      <w:r w:rsidRPr="000B4EB5">
        <w:t xml:space="preserve">ommunication </w:t>
      </w:r>
      <w:r>
        <w:t>s</w:t>
      </w:r>
      <w:r w:rsidRPr="000B4EB5">
        <w:t xml:space="preserve">trategy </w:t>
      </w:r>
      <w:r w:rsidR="00CD5092" w:rsidRPr="000B4EB5">
        <w:t xml:space="preserve">and </w:t>
      </w:r>
      <w:r>
        <w:t>a</w:t>
      </w:r>
      <w:r w:rsidRPr="000B4EB5">
        <w:t xml:space="preserve">ction </w:t>
      </w:r>
      <w:r>
        <w:t>p</w:t>
      </w:r>
      <w:r w:rsidRPr="000B4EB5">
        <w:t>lan</w:t>
      </w:r>
      <w:r w:rsidRPr="000B4EB5">
        <w:rPr>
          <w:lang w:val="en"/>
        </w:rPr>
        <w:t xml:space="preserve"> </w:t>
      </w:r>
      <w:r w:rsidR="00321731" w:rsidRPr="000B4EB5">
        <w:rPr>
          <w:lang w:val="en"/>
        </w:rPr>
        <w:t xml:space="preserve">will be developed to underpin the programme. UNDP will consider social and environmental sustainability issues in the design and management of all portfolios and will focus on gender issues, </w:t>
      </w:r>
      <w:r w:rsidR="000807BB">
        <w:rPr>
          <w:lang w:val="en"/>
        </w:rPr>
        <w:t>disaster</w:t>
      </w:r>
      <w:r w:rsidR="00A81CD3">
        <w:rPr>
          <w:lang w:val="en"/>
        </w:rPr>
        <w:t xml:space="preserve"> risk reduction</w:t>
      </w:r>
      <w:r w:rsidR="00321731" w:rsidRPr="000B4EB5">
        <w:rPr>
          <w:lang w:val="en"/>
        </w:rPr>
        <w:t xml:space="preserve"> and human rights.</w:t>
      </w:r>
    </w:p>
    <w:p w14:paraId="7434C3C6" w14:textId="48779326" w:rsidR="00321731" w:rsidRPr="000B4EB5" w:rsidRDefault="00321731" w:rsidP="0086787D">
      <w:pPr>
        <w:numPr>
          <w:ilvl w:val="0"/>
          <w:numId w:val="2"/>
        </w:numPr>
        <w:shd w:val="clear" w:color="auto" w:fill="FFFFFF"/>
        <w:tabs>
          <w:tab w:val="left" w:pos="1080"/>
        </w:tabs>
        <w:spacing w:after="120"/>
        <w:ind w:left="720" w:firstLine="0"/>
        <w:jc w:val="both"/>
        <w:rPr>
          <w:lang w:val="en"/>
        </w:rPr>
      </w:pPr>
      <w:r w:rsidRPr="000B4EB5">
        <w:rPr>
          <w:lang w:val="en"/>
        </w:rPr>
        <w:t xml:space="preserve">The anticipated risks to </w:t>
      </w:r>
      <w:r w:rsidR="00D46B15">
        <w:rPr>
          <w:lang w:val="en"/>
        </w:rPr>
        <w:t>the programme</w:t>
      </w:r>
      <w:r w:rsidRPr="000B4EB5">
        <w:rPr>
          <w:lang w:val="en"/>
        </w:rPr>
        <w:t xml:space="preserve"> are related to: (</w:t>
      </w:r>
      <w:r w:rsidR="00B14383">
        <w:rPr>
          <w:lang w:val="en"/>
        </w:rPr>
        <w:t>a</w:t>
      </w:r>
      <w:r w:rsidRPr="000B4EB5">
        <w:rPr>
          <w:lang w:val="en"/>
        </w:rPr>
        <w:t xml:space="preserve">) </w:t>
      </w:r>
      <w:r w:rsidR="00383D6B">
        <w:rPr>
          <w:lang w:val="en"/>
        </w:rPr>
        <w:t>r</w:t>
      </w:r>
      <w:r w:rsidRPr="000B4EB5">
        <w:rPr>
          <w:lang w:val="en"/>
        </w:rPr>
        <w:t>esource mobilization constraints; (</w:t>
      </w:r>
      <w:r w:rsidR="00B14383">
        <w:rPr>
          <w:lang w:val="en"/>
        </w:rPr>
        <w:t>b</w:t>
      </w:r>
      <w:r w:rsidRPr="000B4EB5">
        <w:rPr>
          <w:lang w:val="en"/>
        </w:rPr>
        <w:t xml:space="preserve">) socio-political instability; and </w:t>
      </w:r>
      <w:r w:rsidR="00B14383">
        <w:rPr>
          <w:lang w:val="en"/>
        </w:rPr>
        <w:t>(c</w:t>
      </w:r>
      <w:r w:rsidRPr="000B4EB5">
        <w:rPr>
          <w:lang w:val="en"/>
        </w:rPr>
        <w:t xml:space="preserve">) weak national ownership. Resource mobilization constraints are inherent to the </w:t>
      </w:r>
      <w:r w:rsidR="00B14383">
        <w:rPr>
          <w:lang w:val="en"/>
        </w:rPr>
        <w:t xml:space="preserve">limited number </w:t>
      </w:r>
      <w:r w:rsidRPr="000B4EB5">
        <w:rPr>
          <w:lang w:val="en"/>
        </w:rPr>
        <w:t xml:space="preserve">of partners having direct cooperation with Togo. In addition, despite the high level of resources mobilized </w:t>
      </w:r>
      <w:r w:rsidR="0085633F">
        <w:rPr>
          <w:lang w:val="en"/>
        </w:rPr>
        <w:t>through government financing</w:t>
      </w:r>
      <w:r w:rsidRPr="000B4EB5">
        <w:rPr>
          <w:lang w:val="en"/>
        </w:rPr>
        <w:t>, the</w:t>
      </w:r>
      <w:r w:rsidR="004D31AD">
        <w:rPr>
          <w:lang w:val="en"/>
        </w:rPr>
        <w:t>ir</w:t>
      </w:r>
      <w:r w:rsidRPr="000B4EB5">
        <w:rPr>
          <w:lang w:val="en"/>
        </w:rPr>
        <w:t xml:space="preserve"> disbursement remains a major challenge. The political divide can adversely impact implementation.</w:t>
      </w:r>
    </w:p>
    <w:p w14:paraId="27476DC7" w14:textId="0A0E530F" w:rsidR="00186271" w:rsidRPr="000B4EB5" w:rsidRDefault="00186271" w:rsidP="0086787D">
      <w:pPr>
        <w:numPr>
          <w:ilvl w:val="0"/>
          <w:numId w:val="2"/>
        </w:numPr>
        <w:shd w:val="clear" w:color="auto" w:fill="FFFFFF"/>
        <w:tabs>
          <w:tab w:val="left" w:pos="1080"/>
        </w:tabs>
        <w:spacing w:after="200"/>
        <w:ind w:left="720" w:firstLine="0"/>
        <w:jc w:val="both"/>
        <w:rPr>
          <w:lang w:val="en"/>
        </w:rPr>
      </w:pPr>
      <w:r w:rsidRPr="000B4EB5">
        <w:rPr>
          <w:lang w:val="en"/>
        </w:rPr>
        <w:t>To mitigate these risks, UNDP will: (</w:t>
      </w:r>
      <w:r w:rsidR="00B14383">
        <w:rPr>
          <w:lang w:val="en"/>
        </w:rPr>
        <w:t>a</w:t>
      </w:r>
      <w:r w:rsidRPr="000B4EB5">
        <w:rPr>
          <w:lang w:val="en"/>
        </w:rPr>
        <w:t xml:space="preserve">) take a proactive approach to government </w:t>
      </w:r>
      <w:r>
        <w:rPr>
          <w:lang w:val="en"/>
        </w:rPr>
        <w:t>financing</w:t>
      </w:r>
      <w:r w:rsidR="00AA0C3A">
        <w:rPr>
          <w:lang w:val="en"/>
        </w:rPr>
        <w:t xml:space="preserve">, </w:t>
      </w:r>
      <w:r w:rsidR="007671F2">
        <w:rPr>
          <w:lang w:val="en"/>
        </w:rPr>
        <w:t>explore public</w:t>
      </w:r>
      <w:r w:rsidR="00B14383">
        <w:rPr>
          <w:lang w:val="en"/>
        </w:rPr>
        <w:t>-</w:t>
      </w:r>
      <w:r w:rsidR="007671F2">
        <w:rPr>
          <w:lang w:val="en"/>
        </w:rPr>
        <w:t>private partnership opportunities</w:t>
      </w:r>
      <w:r w:rsidR="00AA0C3A">
        <w:rPr>
          <w:lang w:val="en"/>
        </w:rPr>
        <w:t xml:space="preserve"> and assist </w:t>
      </w:r>
      <w:r w:rsidR="00B14383">
        <w:rPr>
          <w:lang w:val="en"/>
        </w:rPr>
        <w:t>the G</w:t>
      </w:r>
      <w:r w:rsidR="00AA0C3A">
        <w:rPr>
          <w:lang w:val="en"/>
        </w:rPr>
        <w:t xml:space="preserve">overnment in </w:t>
      </w:r>
      <w:r w:rsidR="00466B1D">
        <w:rPr>
          <w:lang w:val="en"/>
        </w:rPr>
        <w:t xml:space="preserve">fiscal space analysis for </w:t>
      </w:r>
      <w:r w:rsidR="00AA0C3A">
        <w:rPr>
          <w:lang w:val="en"/>
        </w:rPr>
        <w:t xml:space="preserve">domestic revenue </w:t>
      </w:r>
      <w:r w:rsidR="00466B1D">
        <w:rPr>
          <w:lang w:val="en"/>
        </w:rPr>
        <w:t>mobili</w:t>
      </w:r>
      <w:r w:rsidR="00AA0C3A">
        <w:rPr>
          <w:lang w:val="en"/>
        </w:rPr>
        <w:t>zation</w:t>
      </w:r>
      <w:r w:rsidRPr="000B4EB5">
        <w:rPr>
          <w:lang w:val="en"/>
        </w:rPr>
        <w:t>; (</w:t>
      </w:r>
      <w:r w:rsidR="00B14383">
        <w:rPr>
          <w:lang w:val="en"/>
        </w:rPr>
        <w:t>b</w:t>
      </w:r>
      <w:r w:rsidRPr="000B4EB5">
        <w:rPr>
          <w:lang w:val="en"/>
        </w:rPr>
        <w:t>) develop donor intelligence towards partners supporting achievement</w:t>
      </w:r>
      <w:r w:rsidR="00B14383">
        <w:rPr>
          <w:lang w:val="en"/>
        </w:rPr>
        <w:t xml:space="preserve"> of the Sustainable Development Goals</w:t>
      </w:r>
      <w:r w:rsidRPr="000B4EB5">
        <w:rPr>
          <w:lang w:val="en"/>
        </w:rPr>
        <w:t>, including the private sector, foundations, international financial institutions, and non-traditional donors</w:t>
      </w:r>
      <w:r w:rsidR="008779D2">
        <w:rPr>
          <w:lang w:val="en"/>
        </w:rPr>
        <w:t>;</w:t>
      </w:r>
      <w:r w:rsidRPr="000B4EB5">
        <w:rPr>
          <w:lang w:val="en"/>
        </w:rPr>
        <w:t xml:space="preserve"> (</w:t>
      </w:r>
      <w:r w:rsidR="00B14383">
        <w:rPr>
          <w:lang w:val="en"/>
        </w:rPr>
        <w:t>c</w:t>
      </w:r>
      <w:r w:rsidRPr="000B4EB5">
        <w:rPr>
          <w:lang w:val="en"/>
        </w:rPr>
        <w:t>) support political and social dialogue and advocate for successful reforms; (</w:t>
      </w:r>
      <w:r w:rsidR="00B14383">
        <w:rPr>
          <w:lang w:val="en"/>
        </w:rPr>
        <w:t>d</w:t>
      </w:r>
      <w:r w:rsidRPr="000B4EB5">
        <w:rPr>
          <w:lang w:val="en"/>
        </w:rPr>
        <w:t xml:space="preserve">) hold regular consultations </w:t>
      </w:r>
      <w:r w:rsidR="002F054C">
        <w:rPr>
          <w:lang w:val="en"/>
        </w:rPr>
        <w:t xml:space="preserve">and build capacities of </w:t>
      </w:r>
      <w:r w:rsidRPr="000B4EB5">
        <w:rPr>
          <w:lang w:val="en"/>
        </w:rPr>
        <w:t xml:space="preserve">the </w:t>
      </w:r>
      <w:r w:rsidR="00B14383">
        <w:rPr>
          <w:lang w:val="en"/>
        </w:rPr>
        <w:t>G</w:t>
      </w:r>
      <w:r w:rsidRPr="000B4EB5">
        <w:rPr>
          <w:lang w:val="en"/>
        </w:rPr>
        <w:t xml:space="preserve">overnment, local communities and CSOs to rationalize </w:t>
      </w:r>
      <w:r w:rsidR="00C906FF" w:rsidRPr="000B4EB5">
        <w:rPr>
          <w:lang w:val="en"/>
        </w:rPr>
        <w:t xml:space="preserve">resources </w:t>
      </w:r>
      <w:r w:rsidRPr="000B4EB5">
        <w:rPr>
          <w:lang w:val="en"/>
        </w:rPr>
        <w:t>us</w:t>
      </w:r>
      <w:r w:rsidR="003057D4">
        <w:rPr>
          <w:lang w:val="en"/>
        </w:rPr>
        <w:t>age</w:t>
      </w:r>
      <w:r w:rsidR="008779D2">
        <w:rPr>
          <w:lang w:val="en"/>
        </w:rPr>
        <w:t>;</w:t>
      </w:r>
      <w:r w:rsidRPr="000B4EB5">
        <w:rPr>
          <w:lang w:val="en"/>
        </w:rPr>
        <w:t xml:space="preserve"> (</w:t>
      </w:r>
      <w:r w:rsidR="00B14383">
        <w:rPr>
          <w:lang w:val="en"/>
        </w:rPr>
        <w:t>e</w:t>
      </w:r>
      <w:r w:rsidRPr="000B4EB5">
        <w:rPr>
          <w:lang w:val="en"/>
        </w:rPr>
        <w:t xml:space="preserve">) </w:t>
      </w:r>
      <w:r>
        <w:rPr>
          <w:lang w:val="en"/>
        </w:rPr>
        <w:t>establish an</w:t>
      </w:r>
      <w:r w:rsidRPr="000B4EB5">
        <w:rPr>
          <w:lang w:val="en"/>
        </w:rPr>
        <w:t xml:space="preserve"> exit strategy </w:t>
      </w:r>
      <w:r w:rsidR="007671F2">
        <w:rPr>
          <w:lang w:val="en"/>
        </w:rPr>
        <w:t xml:space="preserve">based on the </w:t>
      </w:r>
      <w:r w:rsidR="002F054C">
        <w:rPr>
          <w:lang w:val="en"/>
        </w:rPr>
        <w:t>type</w:t>
      </w:r>
      <w:r w:rsidR="007671F2">
        <w:rPr>
          <w:lang w:val="en"/>
        </w:rPr>
        <w:t xml:space="preserve"> of project</w:t>
      </w:r>
      <w:r w:rsidR="008779D2">
        <w:rPr>
          <w:lang w:val="en"/>
        </w:rPr>
        <w:t>;</w:t>
      </w:r>
      <w:r w:rsidRPr="000B4EB5">
        <w:rPr>
          <w:lang w:val="en"/>
        </w:rPr>
        <w:t xml:space="preserve"> </w:t>
      </w:r>
      <w:r w:rsidR="00D46B15">
        <w:rPr>
          <w:lang w:val="en"/>
        </w:rPr>
        <w:t xml:space="preserve">and </w:t>
      </w:r>
      <w:r w:rsidRPr="000B4EB5">
        <w:rPr>
          <w:lang w:val="en"/>
        </w:rPr>
        <w:t>(</w:t>
      </w:r>
      <w:r w:rsidR="00B14383">
        <w:rPr>
          <w:lang w:val="en"/>
        </w:rPr>
        <w:t>f</w:t>
      </w:r>
      <w:r w:rsidRPr="000B4EB5">
        <w:rPr>
          <w:lang w:val="en"/>
        </w:rPr>
        <w:t xml:space="preserve">) enhance </w:t>
      </w:r>
      <w:r>
        <w:rPr>
          <w:lang w:val="en"/>
        </w:rPr>
        <w:t xml:space="preserve">the </w:t>
      </w:r>
      <w:r w:rsidRPr="000B4EB5">
        <w:rPr>
          <w:lang w:val="en"/>
        </w:rPr>
        <w:t xml:space="preserve">coordination framework. </w:t>
      </w:r>
      <w:r w:rsidR="00B14383">
        <w:rPr>
          <w:lang w:val="en"/>
        </w:rPr>
        <w:t xml:space="preserve">The </w:t>
      </w:r>
      <w:r w:rsidRPr="000B4EB5">
        <w:rPr>
          <w:lang w:val="en"/>
        </w:rPr>
        <w:t xml:space="preserve">UNDP quality assurance, social and environmental standards will be applied to all projects along with gender mainstreaming. </w:t>
      </w:r>
      <w:r>
        <w:rPr>
          <w:lang w:val="en"/>
        </w:rPr>
        <w:t xml:space="preserve">The </w:t>
      </w:r>
      <w:r w:rsidR="00B14383">
        <w:rPr>
          <w:lang w:val="en"/>
        </w:rPr>
        <w:t>c</w:t>
      </w:r>
      <w:r>
        <w:rPr>
          <w:lang w:val="en"/>
        </w:rPr>
        <w:t xml:space="preserve">ountry </w:t>
      </w:r>
      <w:r w:rsidR="00B14383">
        <w:rPr>
          <w:lang w:val="en"/>
        </w:rPr>
        <w:t>o</w:t>
      </w:r>
      <w:r>
        <w:rPr>
          <w:lang w:val="en"/>
        </w:rPr>
        <w:t>ffice will aim</w:t>
      </w:r>
      <w:r w:rsidRPr="000B4EB5">
        <w:rPr>
          <w:lang w:val="en"/>
        </w:rPr>
        <w:t xml:space="preserve"> to achieve the </w:t>
      </w:r>
      <w:r w:rsidR="00B14383">
        <w:rPr>
          <w:lang w:val="en"/>
        </w:rPr>
        <w:t>G</w:t>
      </w:r>
      <w:r w:rsidRPr="000B4EB5">
        <w:rPr>
          <w:lang w:val="en"/>
        </w:rPr>
        <w:t xml:space="preserve">ender </w:t>
      </w:r>
      <w:r w:rsidR="00B14383">
        <w:rPr>
          <w:lang w:val="en"/>
        </w:rPr>
        <w:t>S</w:t>
      </w:r>
      <w:r w:rsidRPr="000B4EB5">
        <w:rPr>
          <w:lang w:val="en"/>
        </w:rPr>
        <w:t xml:space="preserve">eal </w:t>
      </w:r>
      <w:r>
        <w:rPr>
          <w:lang w:val="en"/>
        </w:rPr>
        <w:t>g</w:t>
      </w:r>
      <w:r w:rsidRPr="000B4EB5">
        <w:rPr>
          <w:lang w:val="en"/>
        </w:rPr>
        <w:t xml:space="preserve">old </w:t>
      </w:r>
      <w:r w:rsidR="00D46B15">
        <w:rPr>
          <w:lang w:val="en"/>
        </w:rPr>
        <w:t>certification.</w:t>
      </w:r>
    </w:p>
    <w:p w14:paraId="7A4B4607" w14:textId="77777777" w:rsidR="00186271" w:rsidRPr="00530B46" w:rsidRDefault="00186271" w:rsidP="0086787D">
      <w:pPr>
        <w:pStyle w:val="Heading1"/>
        <w:keepLines/>
        <w:widowControl/>
        <w:numPr>
          <w:ilvl w:val="0"/>
          <w:numId w:val="5"/>
        </w:numPr>
        <w:tabs>
          <w:tab w:val="left" w:pos="720"/>
        </w:tabs>
        <w:suppressAutoHyphens w:val="0"/>
        <w:spacing w:before="120" w:after="240"/>
        <w:ind w:hanging="1170"/>
        <w:rPr>
          <w:spacing w:val="0"/>
          <w:szCs w:val="24"/>
          <w:lang w:val="en-GB"/>
        </w:rPr>
      </w:pPr>
      <w:bookmarkStart w:id="15" w:name="_Toc523818661"/>
      <w:r w:rsidRPr="00530B46">
        <w:rPr>
          <w:spacing w:val="0"/>
          <w:szCs w:val="24"/>
          <w:lang w:val="en-GB"/>
        </w:rPr>
        <w:t>Monitoring and evaluation</w:t>
      </w:r>
      <w:bookmarkEnd w:id="15"/>
    </w:p>
    <w:p w14:paraId="34CA7979" w14:textId="04BE4F7B" w:rsidR="00186271" w:rsidRPr="000B4EB5" w:rsidRDefault="00186271" w:rsidP="0086787D">
      <w:pPr>
        <w:numPr>
          <w:ilvl w:val="0"/>
          <w:numId w:val="2"/>
        </w:numPr>
        <w:shd w:val="clear" w:color="auto" w:fill="FFFFFF"/>
        <w:tabs>
          <w:tab w:val="left" w:pos="1080"/>
        </w:tabs>
        <w:spacing w:after="120"/>
        <w:ind w:left="720" w:firstLine="0"/>
        <w:jc w:val="both"/>
        <w:rPr>
          <w:lang w:val="en"/>
        </w:rPr>
      </w:pPr>
      <w:r w:rsidRPr="000B4EB5">
        <w:rPr>
          <w:lang w:val="en"/>
        </w:rPr>
        <w:t xml:space="preserve">Improved monitoring and evaluation of </w:t>
      </w:r>
      <w:r>
        <w:rPr>
          <w:lang w:val="en"/>
        </w:rPr>
        <w:t>programme</w:t>
      </w:r>
      <w:r w:rsidRPr="000B4EB5">
        <w:rPr>
          <w:lang w:val="en"/>
        </w:rPr>
        <w:t xml:space="preserve"> outcomes will be a priority with the programme indicators aligned with </w:t>
      </w:r>
      <w:r w:rsidR="00B14383">
        <w:rPr>
          <w:lang w:val="en"/>
        </w:rPr>
        <w:t>the Goals,</w:t>
      </w:r>
      <w:r w:rsidRPr="000B4EB5">
        <w:rPr>
          <w:lang w:val="en"/>
        </w:rPr>
        <w:t xml:space="preserve"> NDP, UNDAF and </w:t>
      </w:r>
      <w:r w:rsidR="00B14383">
        <w:rPr>
          <w:lang w:val="en"/>
        </w:rPr>
        <w:t>Strategic Plan</w:t>
      </w:r>
      <w:r w:rsidRPr="000B4EB5">
        <w:rPr>
          <w:lang w:val="en"/>
        </w:rPr>
        <w:t xml:space="preserve"> indicators. UNDP will set up a </w:t>
      </w:r>
      <w:r w:rsidR="00B14383">
        <w:rPr>
          <w:lang w:val="en"/>
        </w:rPr>
        <w:t xml:space="preserve">monitoring and evaluation </w:t>
      </w:r>
      <w:r w:rsidRPr="000B4EB5">
        <w:rPr>
          <w:lang w:val="en"/>
        </w:rPr>
        <w:t xml:space="preserve">framework aligned with the NDP and </w:t>
      </w:r>
      <w:r w:rsidR="00E43E42">
        <w:rPr>
          <w:lang w:val="en"/>
        </w:rPr>
        <w:t>S</w:t>
      </w:r>
      <w:r w:rsidRPr="000B4EB5">
        <w:rPr>
          <w:lang w:val="en"/>
        </w:rPr>
        <w:t xml:space="preserve">trategic </w:t>
      </w:r>
      <w:r w:rsidR="00E43E42">
        <w:rPr>
          <w:lang w:val="en"/>
        </w:rPr>
        <w:t xml:space="preserve">Plan </w:t>
      </w:r>
      <w:r w:rsidRPr="000B4EB5">
        <w:rPr>
          <w:lang w:val="en"/>
        </w:rPr>
        <w:t xml:space="preserve">monitoring frameworks. </w:t>
      </w:r>
      <w:r w:rsidR="00E43E42">
        <w:rPr>
          <w:lang w:val="en"/>
        </w:rPr>
        <w:t>A</w:t>
      </w:r>
      <w:r w:rsidRPr="000B4EB5">
        <w:rPr>
          <w:lang w:val="en"/>
        </w:rPr>
        <w:t>t least 5</w:t>
      </w:r>
      <w:r w:rsidR="00716E4F">
        <w:rPr>
          <w:lang w:val="en"/>
        </w:rPr>
        <w:t xml:space="preserve"> per cent</w:t>
      </w:r>
      <w:r w:rsidRPr="000B4EB5">
        <w:rPr>
          <w:lang w:val="en"/>
        </w:rPr>
        <w:t xml:space="preserve"> of the budget will be </w:t>
      </w:r>
      <w:r w:rsidR="00E43E42">
        <w:rPr>
          <w:lang w:val="en"/>
        </w:rPr>
        <w:t>allocated</w:t>
      </w:r>
      <w:r w:rsidR="00E43E42" w:rsidRPr="000B4EB5">
        <w:rPr>
          <w:lang w:val="en"/>
        </w:rPr>
        <w:t xml:space="preserve"> </w:t>
      </w:r>
      <w:r w:rsidRPr="000B4EB5">
        <w:rPr>
          <w:lang w:val="en"/>
        </w:rPr>
        <w:t xml:space="preserve">to monitoring, evaluation and data collection activities and indicators </w:t>
      </w:r>
      <w:r w:rsidR="00E43E42">
        <w:rPr>
          <w:lang w:val="en"/>
        </w:rPr>
        <w:t xml:space="preserve">will be tracked </w:t>
      </w:r>
      <w:r w:rsidRPr="000B4EB5">
        <w:rPr>
          <w:lang w:val="en"/>
        </w:rPr>
        <w:t xml:space="preserve">during project implementation </w:t>
      </w:r>
      <w:r w:rsidR="00E43E42">
        <w:rPr>
          <w:lang w:val="en"/>
        </w:rPr>
        <w:t xml:space="preserve">via </w:t>
      </w:r>
      <w:r w:rsidRPr="000B4EB5">
        <w:rPr>
          <w:lang w:val="en"/>
        </w:rPr>
        <w:t>regular field visits</w:t>
      </w:r>
      <w:r w:rsidR="00886024">
        <w:rPr>
          <w:lang w:val="en"/>
        </w:rPr>
        <w:t xml:space="preserve">, </w:t>
      </w:r>
      <w:r w:rsidR="00886024" w:rsidRPr="000B4EB5">
        <w:rPr>
          <w:lang w:val="en"/>
        </w:rPr>
        <w:t xml:space="preserve">jointly organized with </w:t>
      </w:r>
      <w:r w:rsidR="00886024">
        <w:rPr>
          <w:lang w:val="en"/>
        </w:rPr>
        <w:t xml:space="preserve">all </w:t>
      </w:r>
      <w:r w:rsidR="00886024" w:rsidRPr="000B4EB5">
        <w:rPr>
          <w:lang w:val="en"/>
        </w:rPr>
        <w:t>partners</w:t>
      </w:r>
      <w:r w:rsidRPr="000B4EB5">
        <w:rPr>
          <w:lang w:val="en"/>
        </w:rPr>
        <w:t xml:space="preserve">. Quarterly and annual reports will be produced. The </w:t>
      </w:r>
      <w:r w:rsidR="00E43E42">
        <w:rPr>
          <w:lang w:val="en"/>
        </w:rPr>
        <w:t>monitoring and evaluation</w:t>
      </w:r>
      <w:r w:rsidRPr="000B4EB5">
        <w:rPr>
          <w:lang w:val="en"/>
        </w:rPr>
        <w:t xml:space="preserve"> system will be based on the 2019-2023 </w:t>
      </w:r>
      <w:r w:rsidR="00E43E42">
        <w:rPr>
          <w:lang w:val="en"/>
        </w:rPr>
        <w:t>j</w:t>
      </w:r>
      <w:r w:rsidR="00E43E42" w:rsidRPr="000B4EB5">
        <w:rPr>
          <w:lang w:val="en"/>
        </w:rPr>
        <w:t xml:space="preserve">oint </w:t>
      </w:r>
      <w:r w:rsidR="00E43E42">
        <w:rPr>
          <w:lang w:val="en"/>
        </w:rPr>
        <w:t>p</w:t>
      </w:r>
      <w:r w:rsidR="00E43E42" w:rsidRPr="000B4EB5">
        <w:rPr>
          <w:lang w:val="en"/>
        </w:rPr>
        <w:t xml:space="preserve">rogramming </w:t>
      </w:r>
      <w:r w:rsidR="00E43E42">
        <w:rPr>
          <w:lang w:val="en"/>
        </w:rPr>
        <w:t>f</w:t>
      </w:r>
      <w:r w:rsidR="00E43E42" w:rsidRPr="000B4EB5">
        <w:rPr>
          <w:lang w:val="en"/>
        </w:rPr>
        <w:t>ramework</w:t>
      </w:r>
      <w:r w:rsidRPr="000B4EB5">
        <w:rPr>
          <w:lang w:val="en"/>
        </w:rPr>
        <w:t xml:space="preserve">, </w:t>
      </w:r>
      <w:r w:rsidR="009F643D">
        <w:rPr>
          <w:lang w:val="en"/>
        </w:rPr>
        <w:t>considering</w:t>
      </w:r>
      <w:r w:rsidR="00E43E42">
        <w:rPr>
          <w:lang w:val="en"/>
        </w:rPr>
        <w:t xml:space="preserve"> the recommendations of the evaluation of the previous country programme</w:t>
      </w:r>
      <w:r w:rsidR="00AA3121" w:rsidRPr="000B4EB5">
        <w:rPr>
          <w:lang w:val="en"/>
        </w:rPr>
        <w:t>.</w:t>
      </w:r>
    </w:p>
    <w:p w14:paraId="56A2E568" w14:textId="669C5997" w:rsidR="00186271" w:rsidRPr="000B4EB5" w:rsidRDefault="00186271" w:rsidP="0086787D">
      <w:pPr>
        <w:numPr>
          <w:ilvl w:val="0"/>
          <w:numId w:val="2"/>
        </w:numPr>
        <w:shd w:val="clear" w:color="auto" w:fill="FFFFFF"/>
        <w:tabs>
          <w:tab w:val="left" w:pos="1080"/>
        </w:tabs>
        <w:spacing w:after="120"/>
        <w:ind w:left="720" w:firstLine="0"/>
        <w:jc w:val="both"/>
        <w:rPr>
          <w:lang w:val="en"/>
        </w:rPr>
      </w:pPr>
      <w:r w:rsidRPr="000B4EB5">
        <w:rPr>
          <w:lang w:val="en"/>
        </w:rPr>
        <w:t>In collaboration with U</w:t>
      </w:r>
      <w:r w:rsidR="00E43E42">
        <w:rPr>
          <w:lang w:val="en"/>
        </w:rPr>
        <w:t xml:space="preserve">nited </w:t>
      </w:r>
      <w:r w:rsidRPr="000B4EB5">
        <w:rPr>
          <w:lang w:val="en"/>
        </w:rPr>
        <w:t>N</w:t>
      </w:r>
      <w:r w:rsidR="00E43E42">
        <w:rPr>
          <w:lang w:val="en"/>
        </w:rPr>
        <w:t>ations</w:t>
      </w:r>
      <w:r w:rsidRPr="000B4EB5">
        <w:rPr>
          <w:lang w:val="en"/>
        </w:rPr>
        <w:t xml:space="preserve"> agencies and INSEED, UNDP will support domestication</w:t>
      </w:r>
      <w:r>
        <w:rPr>
          <w:lang w:val="en"/>
        </w:rPr>
        <w:t xml:space="preserve"> and localization</w:t>
      </w:r>
      <w:r w:rsidRPr="000B4EB5">
        <w:rPr>
          <w:lang w:val="en"/>
        </w:rPr>
        <w:t xml:space="preserve"> </w:t>
      </w:r>
      <w:r w:rsidR="00E43E42">
        <w:rPr>
          <w:lang w:val="en"/>
        </w:rPr>
        <w:t xml:space="preserve">of the </w:t>
      </w:r>
      <w:r w:rsidR="00361F9B">
        <w:rPr>
          <w:lang w:val="en"/>
        </w:rPr>
        <w:t>Goals</w:t>
      </w:r>
      <w:r w:rsidR="009F643D">
        <w:rPr>
          <w:lang w:val="en"/>
        </w:rPr>
        <w:t xml:space="preserve"> </w:t>
      </w:r>
      <w:r w:rsidRPr="000B4EB5">
        <w:rPr>
          <w:lang w:val="en"/>
        </w:rPr>
        <w:t xml:space="preserve">with better targeting of beneficiaries and </w:t>
      </w:r>
      <w:r w:rsidR="00E43E42" w:rsidRPr="000B4EB5">
        <w:rPr>
          <w:lang w:val="en"/>
        </w:rPr>
        <w:t>disaggregat</w:t>
      </w:r>
      <w:r w:rsidR="00E43E42">
        <w:rPr>
          <w:lang w:val="en"/>
        </w:rPr>
        <w:t>ion of</w:t>
      </w:r>
      <w:r w:rsidR="00E43E42" w:rsidRPr="000B4EB5">
        <w:rPr>
          <w:lang w:val="en"/>
        </w:rPr>
        <w:t xml:space="preserve"> </w:t>
      </w:r>
      <w:r w:rsidRPr="000B4EB5">
        <w:rPr>
          <w:lang w:val="en"/>
        </w:rPr>
        <w:t>data. Emphasis will be placed on building the capacity of partners for results-based management and the data collected will feed the UNDP monitoring and knowledge-sharing system and communication for visibility.</w:t>
      </w:r>
    </w:p>
    <w:p w14:paraId="4247A770" w14:textId="25C515FA" w:rsidR="00186271" w:rsidRDefault="00186271" w:rsidP="0086787D">
      <w:pPr>
        <w:numPr>
          <w:ilvl w:val="0"/>
          <w:numId w:val="2"/>
        </w:numPr>
        <w:shd w:val="clear" w:color="auto" w:fill="FFFFFF"/>
        <w:tabs>
          <w:tab w:val="left" w:pos="1080"/>
        </w:tabs>
        <w:spacing w:after="120"/>
        <w:ind w:left="720" w:firstLine="0"/>
        <w:jc w:val="both"/>
        <w:rPr>
          <w:lang w:val="en"/>
        </w:rPr>
      </w:pPr>
      <w:r w:rsidRPr="000B4EB5">
        <w:rPr>
          <w:lang w:val="en"/>
        </w:rPr>
        <w:t>UNDP will use a participatory approach, including programme steering committees</w:t>
      </w:r>
      <w:r w:rsidR="00E43E42">
        <w:rPr>
          <w:lang w:val="en"/>
        </w:rPr>
        <w:t xml:space="preserve"> and established mechanisms for monitoring the</w:t>
      </w:r>
      <w:r w:rsidRPr="000B4EB5">
        <w:rPr>
          <w:lang w:val="en"/>
        </w:rPr>
        <w:t xml:space="preserve"> UNDAF, NDP and </w:t>
      </w:r>
      <w:r w:rsidR="00E43E42">
        <w:rPr>
          <w:lang w:val="en"/>
        </w:rPr>
        <w:t>Goals</w:t>
      </w:r>
      <w:r w:rsidR="00E43E42" w:rsidRPr="000B4EB5">
        <w:rPr>
          <w:lang w:val="en"/>
        </w:rPr>
        <w:t xml:space="preserve"> </w:t>
      </w:r>
      <w:r w:rsidRPr="000B4EB5">
        <w:rPr>
          <w:lang w:val="en"/>
        </w:rPr>
        <w:t xml:space="preserve">and </w:t>
      </w:r>
      <w:r w:rsidR="00E43E42">
        <w:rPr>
          <w:lang w:val="en"/>
        </w:rPr>
        <w:t xml:space="preserve">the participation of </w:t>
      </w:r>
      <w:r w:rsidRPr="000B4EB5">
        <w:rPr>
          <w:lang w:val="en"/>
        </w:rPr>
        <w:t>beneficiaries to monitor and evaluate programme</w:t>
      </w:r>
      <w:r>
        <w:rPr>
          <w:lang w:val="en"/>
        </w:rPr>
        <w:t xml:space="preserve"> results</w:t>
      </w:r>
      <w:r w:rsidRPr="000B4EB5">
        <w:rPr>
          <w:lang w:val="en"/>
        </w:rPr>
        <w:t>. UNDP will continually oversee and track its contributions towards achievement of UNDAF outcomes. UNDP will conduct evaluations, in accordance with the evaluation plan, to determine progress, identify lessons and challenges and proffer solutions. To further mitigate risks, projects will undergo systematic reviews to ensure environmental and social safeguards.</w:t>
      </w:r>
    </w:p>
    <w:p w14:paraId="51EF59AA" w14:textId="180C06AB" w:rsidR="00186271" w:rsidRDefault="00186271" w:rsidP="0086787D">
      <w:pPr>
        <w:numPr>
          <w:ilvl w:val="0"/>
          <w:numId w:val="2"/>
        </w:numPr>
        <w:shd w:val="clear" w:color="auto" w:fill="FFFFFF"/>
        <w:tabs>
          <w:tab w:val="left" w:pos="1080"/>
        </w:tabs>
        <w:spacing w:after="120"/>
        <w:ind w:left="720" w:firstLine="0"/>
        <w:jc w:val="both"/>
        <w:rPr>
          <w:lang w:val="en"/>
        </w:rPr>
      </w:pPr>
      <w:r w:rsidRPr="00A75AEB">
        <w:rPr>
          <w:lang w:val="en"/>
        </w:rPr>
        <w:t>Systematic monitoring of the UNDP gender</w:t>
      </w:r>
      <w:r w:rsidR="00E43E42">
        <w:rPr>
          <w:lang w:val="en"/>
        </w:rPr>
        <w:t xml:space="preserve"> </w:t>
      </w:r>
      <w:r w:rsidRPr="00A75AEB">
        <w:rPr>
          <w:lang w:val="en"/>
        </w:rPr>
        <w:t xml:space="preserve">marker will ensure that gender issues are mainstreamed into programmes and will be a tool for allocating resources to support targeted initiatives designed to address these issues. </w:t>
      </w:r>
    </w:p>
    <w:p w14:paraId="664FB0C3" w14:textId="77777777" w:rsidR="00530B46" w:rsidRDefault="00530B46" w:rsidP="00530B46">
      <w:pPr>
        <w:shd w:val="clear" w:color="auto" w:fill="FFFFFF"/>
        <w:tabs>
          <w:tab w:val="left" w:pos="1080"/>
        </w:tabs>
        <w:spacing w:after="120"/>
        <w:jc w:val="both"/>
        <w:rPr>
          <w:lang w:val="en"/>
        </w:rPr>
      </w:pPr>
    </w:p>
    <w:p w14:paraId="1A3D1929" w14:textId="77777777" w:rsidR="00530B46" w:rsidRPr="00A75AEB" w:rsidRDefault="00530B46" w:rsidP="00530B46">
      <w:pPr>
        <w:shd w:val="clear" w:color="auto" w:fill="FFFFFF"/>
        <w:tabs>
          <w:tab w:val="left" w:pos="1080"/>
        </w:tabs>
        <w:spacing w:after="120"/>
        <w:jc w:val="both"/>
        <w:rPr>
          <w:lang w:val="en"/>
        </w:rPr>
        <w:sectPr w:rsidR="00530B46" w:rsidRPr="00A75AEB" w:rsidSect="005A2DBF">
          <w:headerReference w:type="even" r:id="rId14"/>
          <w:headerReference w:type="default" r:id="rId15"/>
          <w:footerReference w:type="default" r:id="rId16"/>
          <w:pgSz w:w="12240" w:h="15840"/>
          <w:pgMar w:top="1152" w:right="2160" w:bottom="1152" w:left="1440" w:header="720" w:footer="720" w:gutter="0"/>
          <w:cols w:space="720"/>
          <w:docGrid w:linePitch="272"/>
        </w:sectPr>
      </w:pPr>
    </w:p>
    <w:p w14:paraId="34FAF816" w14:textId="77777777" w:rsidR="00D51E04" w:rsidRPr="007A798A" w:rsidRDefault="00AD5D44" w:rsidP="00D51E04">
      <w:pPr>
        <w:pStyle w:val="Heading2"/>
        <w:jc w:val="left"/>
        <w:rPr>
          <w:i w:val="0"/>
          <w:snapToGrid/>
          <w:szCs w:val="24"/>
          <w:lang w:eastAsia="en-US"/>
        </w:rPr>
      </w:pPr>
      <w:bookmarkStart w:id="16" w:name="_Toc509578037"/>
      <w:bookmarkStart w:id="17" w:name="_Toc523818662"/>
      <w:r w:rsidRPr="007A798A">
        <w:rPr>
          <w:i w:val="0"/>
          <w:snapToGrid/>
          <w:szCs w:val="24"/>
          <w:lang w:eastAsia="en-US"/>
        </w:rPr>
        <w:lastRenderedPageBreak/>
        <w:t>Annex:</w:t>
      </w:r>
      <w:r w:rsidR="00D51E04" w:rsidRPr="007A798A">
        <w:rPr>
          <w:i w:val="0"/>
          <w:snapToGrid/>
          <w:szCs w:val="24"/>
          <w:lang w:eastAsia="en-US"/>
        </w:rPr>
        <w:t xml:space="preserve"> </w:t>
      </w:r>
      <w:bookmarkStart w:id="18" w:name="_Hlk500835920"/>
      <w:r w:rsidR="007A798A" w:rsidRPr="007A798A">
        <w:rPr>
          <w:i w:val="0"/>
          <w:snapToGrid/>
          <w:szCs w:val="24"/>
          <w:lang w:eastAsia="en-US"/>
        </w:rPr>
        <w:t>R</w:t>
      </w:r>
      <w:r w:rsidRPr="007A798A">
        <w:rPr>
          <w:i w:val="0"/>
          <w:snapToGrid/>
          <w:szCs w:val="24"/>
          <w:lang w:eastAsia="en-US"/>
        </w:rPr>
        <w:t xml:space="preserve">esults and </w:t>
      </w:r>
      <w:r w:rsidR="007A798A" w:rsidRPr="007A798A">
        <w:rPr>
          <w:i w:val="0"/>
          <w:snapToGrid/>
          <w:szCs w:val="24"/>
          <w:lang w:eastAsia="en-US"/>
        </w:rPr>
        <w:t>r</w:t>
      </w:r>
      <w:r w:rsidRPr="007A798A">
        <w:rPr>
          <w:i w:val="0"/>
          <w:snapToGrid/>
          <w:szCs w:val="24"/>
          <w:lang w:eastAsia="en-US"/>
        </w:rPr>
        <w:t xml:space="preserve">esources </w:t>
      </w:r>
      <w:r w:rsidR="007A798A" w:rsidRPr="007A798A">
        <w:rPr>
          <w:i w:val="0"/>
          <w:snapToGrid/>
          <w:szCs w:val="24"/>
          <w:lang w:eastAsia="en-US"/>
        </w:rPr>
        <w:t>f</w:t>
      </w:r>
      <w:r w:rsidRPr="007A798A">
        <w:rPr>
          <w:i w:val="0"/>
          <w:snapToGrid/>
          <w:szCs w:val="24"/>
          <w:lang w:eastAsia="en-US"/>
        </w:rPr>
        <w:t>ramework</w:t>
      </w:r>
      <w:r w:rsidR="00D51E04" w:rsidRPr="007A798A">
        <w:rPr>
          <w:i w:val="0"/>
          <w:snapToGrid/>
          <w:szCs w:val="24"/>
          <w:lang w:eastAsia="en-US"/>
        </w:rPr>
        <w:t xml:space="preserve"> </w:t>
      </w:r>
      <w:r w:rsidR="007A798A" w:rsidRPr="007A798A">
        <w:rPr>
          <w:i w:val="0"/>
          <w:snapToGrid/>
          <w:szCs w:val="24"/>
          <w:lang w:eastAsia="en-US"/>
        </w:rPr>
        <w:t xml:space="preserve">for Togo </w:t>
      </w:r>
      <w:r w:rsidR="00D51E04" w:rsidRPr="007A798A">
        <w:rPr>
          <w:i w:val="0"/>
          <w:snapToGrid/>
          <w:szCs w:val="24"/>
          <w:lang w:eastAsia="en-US"/>
        </w:rPr>
        <w:t>(2019–2023)</w:t>
      </w:r>
      <w:bookmarkEnd w:id="16"/>
      <w:bookmarkEnd w:id="17"/>
      <w:bookmarkEnd w:id="18"/>
      <w:r w:rsidR="00D51E04" w:rsidRPr="007A798A">
        <w:rPr>
          <w:i w:val="0"/>
          <w:snapToGrid/>
          <w:szCs w:val="24"/>
          <w:lang w:eastAsia="en-US"/>
        </w:rPr>
        <w:t xml:space="preserve"> </w:t>
      </w:r>
    </w:p>
    <w:p w14:paraId="1B0C34B1" w14:textId="77777777" w:rsidR="00D51E04" w:rsidRPr="000B4EB5" w:rsidRDefault="00D51E04" w:rsidP="00D51E04">
      <w:pPr>
        <w:rPr>
          <w:lang w:eastAsia="en-US"/>
        </w:rPr>
      </w:pPr>
    </w:p>
    <w:tbl>
      <w:tblPr>
        <w:tblpPr w:leftFromText="180" w:rightFromText="180" w:vertAnchor="text" w:tblpY="1"/>
        <w:tblOverlap w:val="neve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358"/>
        <w:gridCol w:w="2491"/>
        <w:gridCol w:w="4516"/>
        <w:gridCol w:w="2680"/>
        <w:gridCol w:w="1841"/>
      </w:tblGrid>
      <w:tr w:rsidR="007A48FF" w:rsidRPr="000B4EB5" w14:paraId="5973E373" w14:textId="77777777" w:rsidTr="00C52FF6">
        <w:tc>
          <w:tcPr>
            <w:tcW w:w="5000" w:type="pct"/>
            <w:gridSpan w:val="5"/>
            <w:shd w:val="clear" w:color="auto" w:fill="auto"/>
            <w:tcMar>
              <w:top w:w="72" w:type="dxa"/>
              <w:left w:w="144" w:type="dxa"/>
              <w:bottom w:w="72" w:type="dxa"/>
              <w:right w:w="144" w:type="dxa"/>
            </w:tcMar>
          </w:tcPr>
          <w:p w14:paraId="3E4E35D4" w14:textId="76668EB6" w:rsidR="007A48FF" w:rsidRPr="002805B6" w:rsidRDefault="002B264D" w:rsidP="005A2DBF">
            <w:pPr>
              <w:rPr>
                <w:snapToGrid/>
                <w:sz w:val="18"/>
                <w:szCs w:val="18"/>
                <w:lang w:eastAsia="en-US"/>
              </w:rPr>
            </w:pPr>
            <w:r w:rsidRPr="002805B6">
              <w:rPr>
                <w:b/>
                <w:bCs/>
                <w:snapToGrid/>
                <w:sz w:val="18"/>
                <w:szCs w:val="18"/>
                <w:lang w:val="en-GB" w:eastAsia="en-US"/>
              </w:rPr>
              <w:t>NATIONAL PRIORITY</w:t>
            </w:r>
            <w:r w:rsidR="007A48FF" w:rsidRPr="002805B6">
              <w:rPr>
                <w:b/>
                <w:bCs/>
                <w:snapToGrid/>
                <w:sz w:val="18"/>
                <w:szCs w:val="18"/>
                <w:lang w:val="en-GB" w:eastAsia="en-US"/>
              </w:rPr>
              <w:t xml:space="preserve">: </w:t>
            </w:r>
            <w:r w:rsidR="00186271" w:rsidRPr="002805B6">
              <w:rPr>
                <w:b/>
                <w:bCs/>
                <w:iCs/>
                <w:snapToGrid/>
                <w:sz w:val="18"/>
                <w:szCs w:val="18"/>
                <w:lang w:val="en-GB" w:eastAsia="en-US"/>
              </w:rPr>
              <w:t>NDP</w:t>
            </w:r>
            <w:r w:rsidR="00186271" w:rsidRPr="002805B6">
              <w:rPr>
                <w:b/>
                <w:bCs/>
                <w:iCs/>
                <w:snapToGrid/>
                <w:sz w:val="18"/>
                <w:szCs w:val="18"/>
                <w:lang w:val="en-ZA" w:eastAsia="en-US"/>
              </w:rPr>
              <w:t xml:space="preserve"> </w:t>
            </w:r>
            <w:r w:rsidR="0083746E" w:rsidRPr="002805B6">
              <w:rPr>
                <w:b/>
                <w:bCs/>
                <w:iCs/>
                <w:snapToGrid/>
                <w:sz w:val="18"/>
                <w:szCs w:val="18"/>
                <w:lang w:val="en-ZA" w:eastAsia="en-US"/>
              </w:rPr>
              <w:t>Pillar</w:t>
            </w:r>
            <w:r w:rsidR="007A48FF" w:rsidRPr="002805B6">
              <w:rPr>
                <w:b/>
                <w:bCs/>
                <w:iCs/>
                <w:snapToGrid/>
                <w:sz w:val="18"/>
                <w:szCs w:val="18"/>
                <w:lang w:val="en-GB" w:eastAsia="en-US"/>
              </w:rPr>
              <w:t xml:space="preserve"> 3: </w:t>
            </w:r>
            <w:r w:rsidR="00A31AA8" w:rsidRPr="002805B6">
              <w:rPr>
                <w:rFonts w:eastAsia="Arial Unicode MS"/>
                <w:b/>
                <w:caps/>
                <w:sz w:val="18"/>
                <w:szCs w:val="18"/>
                <w:u w:color="000000"/>
                <w:lang w:val="en" w:eastAsia="ko-KR"/>
              </w:rPr>
              <w:t>C</w:t>
            </w:r>
            <w:r w:rsidR="00277EBC" w:rsidRPr="002805B6">
              <w:rPr>
                <w:rFonts w:eastAsia="Arial Unicode MS"/>
                <w:b/>
                <w:sz w:val="18"/>
                <w:szCs w:val="18"/>
                <w:u w:color="000000"/>
                <w:lang w:val="en" w:eastAsia="ko-KR"/>
              </w:rPr>
              <w:t>onsolidate social development and strengthen mechanisms for inclusion</w:t>
            </w:r>
          </w:p>
        </w:tc>
      </w:tr>
      <w:tr w:rsidR="007A48FF" w:rsidRPr="000B4EB5" w14:paraId="16ACD994" w14:textId="77777777" w:rsidTr="00C52FF6">
        <w:tc>
          <w:tcPr>
            <w:tcW w:w="5000" w:type="pct"/>
            <w:gridSpan w:val="5"/>
            <w:shd w:val="clear" w:color="auto" w:fill="auto"/>
            <w:tcMar>
              <w:top w:w="72" w:type="dxa"/>
              <w:left w:w="144" w:type="dxa"/>
              <w:bottom w:w="72" w:type="dxa"/>
              <w:right w:w="144" w:type="dxa"/>
            </w:tcMar>
          </w:tcPr>
          <w:p w14:paraId="4DE9A006" w14:textId="77777777" w:rsidR="002B264D" w:rsidRPr="002805B6" w:rsidRDefault="007A48FF" w:rsidP="005A2DBF">
            <w:pPr>
              <w:rPr>
                <w:snapToGrid/>
                <w:sz w:val="18"/>
                <w:szCs w:val="18"/>
                <w:lang w:eastAsia="en-US"/>
              </w:rPr>
            </w:pPr>
            <w:r w:rsidRPr="002805B6">
              <w:rPr>
                <w:b/>
                <w:bCs/>
                <w:snapToGrid/>
                <w:sz w:val="18"/>
                <w:szCs w:val="18"/>
                <w:lang w:val="en-GB" w:eastAsia="en-US"/>
              </w:rPr>
              <w:t xml:space="preserve">UNDAF OUTCOME </w:t>
            </w:r>
            <w:r w:rsidR="002B264D" w:rsidRPr="002805B6">
              <w:rPr>
                <w:b/>
                <w:bCs/>
                <w:snapToGrid/>
                <w:sz w:val="18"/>
                <w:szCs w:val="18"/>
                <w:lang w:val="en-GB" w:eastAsia="en-US"/>
              </w:rPr>
              <w:t>4</w:t>
            </w:r>
            <w:r w:rsidR="00186271" w:rsidRPr="002805B6">
              <w:rPr>
                <w:b/>
                <w:bCs/>
                <w:snapToGrid/>
                <w:sz w:val="18"/>
                <w:szCs w:val="18"/>
                <w:lang w:val="en-GB" w:eastAsia="en-US"/>
              </w:rPr>
              <w:t xml:space="preserve">: </w:t>
            </w:r>
            <w:r w:rsidR="002B264D" w:rsidRPr="002805B6">
              <w:rPr>
                <w:b/>
                <w:snapToGrid/>
                <w:sz w:val="18"/>
                <w:szCs w:val="18"/>
                <w:lang w:val="en" w:eastAsia="en-US"/>
              </w:rPr>
              <w:t>By 2023, public institutions at central and local levels increasingly apply principles of inclusive governance with a focus on accountability, citizen participation, equitable access to quality public services and social cohesion.</w:t>
            </w:r>
          </w:p>
        </w:tc>
      </w:tr>
      <w:tr w:rsidR="007A48FF" w:rsidRPr="000B4EB5" w14:paraId="76078F33" w14:textId="77777777" w:rsidTr="00C52FF6">
        <w:tc>
          <w:tcPr>
            <w:tcW w:w="5000" w:type="pct"/>
            <w:gridSpan w:val="5"/>
            <w:shd w:val="clear" w:color="auto" w:fill="auto"/>
            <w:tcMar>
              <w:top w:w="72" w:type="dxa"/>
              <w:left w:w="144" w:type="dxa"/>
              <w:bottom w:w="72" w:type="dxa"/>
              <w:right w:w="144" w:type="dxa"/>
            </w:tcMar>
          </w:tcPr>
          <w:p w14:paraId="0023BC9D" w14:textId="18459C99" w:rsidR="007A48FF" w:rsidRPr="002805B6" w:rsidRDefault="007A48FF" w:rsidP="005A2DBF">
            <w:pPr>
              <w:rPr>
                <w:b/>
                <w:bCs/>
                <w:snapToGrid/>
                <w:sz w:val="18"/>
                <w:szCs w:val="18"/>
                <w:lang w:val="en-GB" w:eastAsia="en-US"/>
              </w:rPr>
            </w:pPr>
            <w:r w:rsidRPr="002805B6">
              <w:rPr>
                <w:b/>
                <w:bCs/>
                <w:snapToGrid/>
                <w:sz w:val="18"/>
                <w:szCs w:val="18"/>
                <w:lang w:val="en-GB" w:eastAsia="en-US"/>
              </w:rPr>
              <w:t>R</w:t>
            </w:r>
            <w:r w:rsidR="0083644A" w:rsidRPr="002805B6">
              <w:rPr>
                <w:b/>
                <w:bCs/>
                <w:snapToGrid/>
                <w:sz w:val="18"/>
                <w:szCs w:val="18"/>
                <w:lang w:val="en-GB" w:eastAsia="en-US"/>
              </w:rPr>
              <w:t xml:space="preserve">ELATED STRATEGIC PLAN OUTCOME: </w:t>
            </w:r>
            <w:r w:rsidR="00A31AA8" w:rsidRPr="002805B6">
              <w:rPr>
                <w:rFonts w:eastAsia="Arial Unicode MS"/>
                <w:b/>
                <w:caps/>
                <w:sz w:val="18"/>
                <w:szCs w:val="18"/>
                <w:u w:color="000000"/>
                <w:lang w:eastAsia="ko-KR"/>
              </w:rPr>
              <w:t>A</w:t>
            </w:r>
            <w:r w:rsidR="00277EBC" w:rsidRPr="002805B6">
              <w:rPr>
                <w:rFonts w:eastAsia="Arial Unicode MS"/>
                <w:b/>
                <w:sz w:val="18"/>
                <w:szCs w:val="18"/>
                <w:u w:color="000000"/>
                <w:lang w:eastAsia="ko-KR"/>
              </w:rPr>
              <w:t>ccelerate the structural reforms conducive to sustainable development</w:t>
            </w:r>
          </w:p>
        </w:tc>
      </w:tr>
      <w:tr w:rsidR="007A48FF" w:rsidRPr="000B4EB5" w14:paraId="675D2C44" w14:textId="77777777" w:rsidTr="00853585">
        <w:tc>
          <w:tcPr>
            <w:tcW w:w="849" w:type="pct"/>
            <w:shd w:val="clear" w:color="auto" w:fill="auto"/>
            <w:tcMar>
              <w:top w:w="72" w:type="dxa"/>
              <w:left w:w="144" w:type="dxa"/>
              <w:bottom w:w="72" w:type="dxa"/>
              <w:right w:w="144" w:type="dxa"/>
            </w:tcMar>
            <w:vAlign w:val="center"/>
          </w:tcPr>
          <w:p w14:paraId="1B0D9244" w14:textId="77777777" w:rsidR="007A48FF" w:rsidRPr="002805B6" w:rsidRDefault="002805B6" w:rsidP="005A2DBF">
            <w:pPr>
              <w:jc w:val="center"/>
              <w:rPr>
                <w:snapToGrid/>
                <w:sz w:val="18"/>
                <w:szCs w:val="18"/>
                <w:lang w:eastAsia="en-US"/>
              </w:rPr>
            </w:pPr>
            <w:r>
              <w:rPr>
                <w:b/>
                <w:bCs/>
                <w:snapToGrid/>
                <w:sz w:val="18"/>
                <w:szCs w:val="18"/>
                <w:lang w:val="en-GB" w:eastAsia="en-US"/>
              </w:rPr>
              <w:t>UNDA</w:t>
            </w:r>
            <w:r w:rsidR="007939C6">
              <w:rPr>
                <w:b/>
                <w:bCs/>
                <w:snapToGrid/>
                <w:sz w:val="18"/>
                <w:szCs w:val="18"/>
                <w:lang w:val="en-GB" w:eastAsia="en-US"/>
              </w:rPr>
              <w:t>F</w:t>
            </w:r>
            <w:r w:rsidRPr="002805B6">
              <w:rPr>
                <w:b/>
                <w:bCs/>
                <w:snapToGrid/>
                <w:sz w:val="18"/>
                <w:szCs w:val="18"/>
                <w:lang w:val="en-GB" w:eastAsia="en-US"/>
              </w:rPr>
              <w:t xml:space="preserve"> outcome indicator(s), baselines, target(s)</w:t>
            </w:r>
          </w:p>
        </w:tc>
        <w:tc>
          <w:tcPr>
            <w:tcW w:w="897" w:type="pct"/>
            <w:shd w:val="clear" w:color="auto" w:fill="auto"/>
            <w:vAlign w:val="center"/>
          </w:tcPr>
          <w:p w14:paraId="72B0EA6E" w14:textId="77777777" w:rsidR="007A48FF" w:rsidRPr="002805B6" w:rsidRDefault="007939C6" w:rsidP="005A2DBF">
            <w:pPr>
              <w:jc w:val="center"/>
              <w:rPr>
                <w:b/>
                <w:snapToGrid/>
                <w:sz w:val="18"/>
                <w:szCs w:val="18"/>
                <w:lang w:eastAsia="en-US"/>
              </w:rPr>
            </w:pPr>
            <w:r>
              <w:rPr>
                <w:b/>
                <w:snapToGrid/>
                <w:sz w:val="18"/>
                <w:szCs w:val="18"/>
                <w:lang w:eastAsia="en-US"/>
              </w:rPr>
              <w:t>D</w:t>
            </w:r>
            <w:r w:rsidR="002805B6" w:rsidRPr="002805B6">
              <w:rPr>
                <w:b/>
                <w:snapToGrid/>
                <w:sz w:val="18"/>
                <w:szCs w:val="18"/>
                <w:lang w:eastAsia="en-US"/>
              </w:rPr>
              <w:t>ata source/ frequency of data collection, and responsibilities</w:t>
            </w:r>
          </w:p>
        </w:tc>
        <w:tc>
          <w:tcPr>
            <w:tcW w:w="1626" w:type="pct"/>
            <w:shd w:val="clear" w:color="auto" w:fill="auto"/>
            <w:tcMar>
              <w:top w:w="72" w:type="dxa"/>
              <w:left w:w="144" w:type="dxa"/>
              <w:bottom w:w="72" w:type="dxa"/>
              <w:right w:w="144" w:type="dxa"/>
            </w:tcMar>
            <w:vAlign w:val="center"/>
          </w:tcPr>
          <w:p w14:paraId="081E72DA" w14:textId="77777777" w:rsidR="007A48FF" w:rsidRPr="002805B6" w:rsidRDefault="007939C6" w:rsidP="005A2DBF">
            <w:pPr>
              <w:jc w:val="center"/>
              <w:rPr>
                <w:snapToGrid/>
                <w:sz w:val="18"/>
                <w:szCs w:val="18"/>
                <w:lang w:eastAsia="en-US"/>
              </w:rPr>
            </w:pPr>
            <w:r>
              <w:rPr>
                <w:b/>
                <w:bCs/>
                <w:snapToGrid/>
                <w:sz w:val="18"/>
                <w:szCs w:val="18"/>
                <w:lang w:eastAsia="en-US"/>
              </w:rPr>
              <w:t>I</w:t>
            </w:r>
            <w:r w:rsidR="002805B6" w:rsidRPr="002805B6">
              <w:rPr>
                <w:b/>
                <w:bCs/>
                <w:snapToGrid/>
                <w:sz w:val="18"/>
                <w:szCs w:val="18"/>
                <w:lang w:val="en-GB" w:eastAsia="en-US"/>
              </w:rPr>
              <w:t xml:space="preserve">ndicative country programme outputs </w:t>
            </w:r>
            <w:r w:rsidR="002805B6" w:rsidRPr="002805B6">
              <w:rPr>
                <w:b/>
                <w:bCs/>
                <w:i/>
                <w:snapToGrid/>
                <w:sz w:val="18"/>
                <w:szCs w:val="18"/>
                <w:lang w:val="en-GB" w:eastAsia="en-US"/>
              </w:rPr>
              <w:t>(including indicators, baselines targets)</w:t>
            </w:r>
          </w:p>
        </w:tc>
        <w:tc>
          <w:tcPr>
            <w:tcW w:w="965" w:type="pct"/>
            <w:shd w:val="clear" w:color="auto" w:fill="auto"/>
            <w:vAlign w:val="center"/>
          </w:tcPr>
          <w:p w14:paraId="1328D676" w14:textId="77777777" w:rsidR="007A48FF" w:rsidRPr="002805B6" w:rsidRDefault="007939C6" w:rsidP="005A2DBF">
            <w:pPr>
              <w:jc w:val="center"/>
              <w:rPr>
                <w:b/>
                <w:bCs/>
                <w:snapToGrid/>
                <w:sz w:val="18"/>
                <w:szCs w:val="18"/>
                <w:lang w:val="en-GB" w:eastAsia="en-US"/>
              </w:rPr>
            </w:pPr>
            <w:r>
              <w:rPr>
                <w:b/>
                <w:bCs/>
                <w:snapToGrid/>
                <w:sz w:val="18"/>
                <w:szCs w:val="18"/>
                <w:lang w:val="en-GB" w:eastAsia="en-US"/>
              </w:rPr>
              <w:t>M</w:t>
            </w:r>
            <w:r w:rsidR="002805B6" w:rsidRPr="002805B6">
              <w:rPr>
                <w:b/>
                <w:bCs/>
                <w:snapToGrid/>
                <w:sz w:val="18"/>
                <w:szCs w:val="18"/>
                <w:lang w:val="en-GB" w:eastAsia="en-US"/>
              </w:rPr>
              <w:t>ajor partners / partnerships</w:t>
            </w:r>
          </w:p>
          <w:p w14:paraId="20B8285D" w14:textId="77777777" w:rsidR="007A48FF" w:rsidRPr="002805B6" w:rsidRDefault="002805B6" w:rsidP="005A2DBF">
            <w:pPr>
              <w:jc w:val="center"/>
              <w:rPr>
                <w:b/>
                <w:bCs/>
                <w:snapToGrid/>
                <w:sz w:val="18"/>
                <w:szCs w:val="18"/>
                <w:lang w:val="en-GB" w:eastAsia="en-US"/>
              </w:rPr>
            </w:pPr>
            <w:r w:rsidRPr="002805B6">
              <w:rPr>
                <w:b/>
                <w:bCs/>
                <w:snapToGrid/>
                <w:sz w:val="18"/>
                <w:szCs w:val="18"/>
                <w:lang w:val="en-GB" w:eastAsia="en-US"/>
              </w:rPr>
              <w:t>frameworks</w:t>
            </w:r>
          </w:p>
        </w:tc>
        <w:tc>
          <w:tcPr>
            <w:tcW w:w="663" w:type="pct"/>
            <w:shd w:val="clear" w:color="auto" w:fill="auto"/>
            <w:tcMar>
              <w:top w:w="15" w:type="dxa"/>
              <w:left w:w="108" w:type="dxa"/>
              <w:bottom w:w="0" w:type="dxa"/>
              <w:right w:w="108" w:type="dxa"/>
            </w:tcMar>
            <w:vAlign w:val="center"/>
          </w:tcPr>
          <w:p w14:paraId="53F133CD" w14:textId="77777777" w:rsidR="007A48FF" w:rsidRPr="002805B6" w:rsidRDefault="00C265BE" w:rsidP="005A2DBF">
            <w:pPr>
              <w:jc w:val="center"/>
              <w:rPr>
                <w:i/>
                <w:snapToGrid/>
                <w:sz w:val="18"/>
                <w:szCs w:val="18"/>
                <w:lang w:eastAsia="en-US"/>
              </w:rPr>
            </w:pPr>
            <w:r>
              <w:rPr>
                <w:b/>
                <w:bCs/>
                <w:snapToGrid/>
                <w:sz w:val="18"/>
                <w:szCs w:val="18"/>
                <w:lang w:val="en-GB" w:eastAsia="en-US"/>
              </w:rPr>
              <w:t>I</w:t>
            </w:r>
            <w:r w:rsidR="002805B6" w:rsidRPr="002805B6">
              <w:rPr>
                <w:b/>
                <w:bCs/>
                <w:snapToGrid/>
                <w:sz w:val="18"/>
                <w:szCs w:val="18"/>
                <w:lang w:val="en-GB" w:eastAsia="en-US"/>
              </w:rPr>
              <w:t>ndicative resources by outcome ($)</w:t>
            </w:r>
          </w:p>
        </w:tc>
      </w:tr>
      <w:tr w:rsidR="007B6947" w:rsidRPr="000B4EB5" w14:paraId="7EF30703" w14:textId="77777777" w:rsidTr="00C52FF6">
        <w:tc>
          <w:tcPr>
            <w:tcW w:w="849" w:type="pct"/>
            <w:vMerge w:val="restart"/>
            <w:tcMar>
              <w:top w:w="72" w:type="dxa"/>
              <w:left w:w="144" w:type="dxa"/>
              <w:bottom w:w="72" w:type="dxa"/>
              <w:right w:w="144" w:type="dxa"/>
            </w:tcMar>
          </w:tcPr>
          <w:p w14:paraId="565978D5" w14:textId="77777777" w:rsidR="0018233B" w:rsidRPr="0018233B" w:rsidRDefault="0018233B" w:rsidP="0018233B">
            <w:pPr>
              <w:rPr>
                <w:rFonts w:eastAsia="Arial Unicode MS"/>
                <w:bCs/>
                <w:sz w:val="18"/>
                <w:szCs w:val="18"/>
                <w:u w:color="000000"/>
                <w:lang w:eastAsia="ko-KR"/>
              </w:rPr>
            </w:pPr>
            <w:r w:rsidRPr="0018233B">
              <w:rPr>
                <w:rFonts w:eastAsia="Arial Unicode MS"/>
                <w:b/>
                <w:bCs/>
                <w:sz w:val="18"/>
                <w:szCs w:val="18"/>
                <w:u w:color="000000"/>
                <w:lang w:eastAsia="ko-KR"/>
              </w:rPr>
              <w:t xml:space="preserve">Indicator 1.1. </w:t>
            </w:r>
            <w:r w:rsidRPr="0018233B">
              <w:rPr>
                <w:rFonts w:eastAsia="Arial Unicode MS"/>
                <w:bCs/>
                <w:sz w:val="18"/>
                <w:szCs w:val="18"/>
                <w:u w:color="000000"/>
                <w:lang w:eastAsia="ko-KR"/>
              </w:rPr>
              <w:t>Proportion of population satisfied with their last experience of public services</w:t>
            </w:r>
          </w:p>
          <w:p w14:paraId="417D5700" w14:textId="77777777" w:rsidR="0018233B" w:rsidRPr="0018233B" w:rsidRDefault="0018233B" w:rsidP="0018233B">
            <w:pPr>
              <w:rPr>
                <w:rFonts w:eastAsia="Arial Unicode MS"/>
                <w:bCs/>
                <w:sz w:val="18"/>
                <w:szCs w:val="18"/>
                <w:u w:color="000000"/>
                <w:lang w:eastAsia="ko-KR"/>
              </w:rPr>
            </w:pPr>
          </w:p>
          <w:p w14:paraId="007F69C1" w14:textId="77777777" w:rsidR="0018233B" w:rsidRPr="0018233B" w:rsidRDefault="0018233B" w:rsidP="0018233B">
            <w:pPr>
              <w:rPr>
                <w:rFonts w:eastAsia="Arial Unicode MS"/>
                <w:bCs/>
                <w:sz w:val="18"/>
                <w:szCs w:val="18"/>
                <w:u w:color="000000"/>
                <w:lang w:eastAsia="ko-KR"/>
              </w:rPr>
            </w:pPr>
            <w:r w:rsidRPr="005204A7">
              <w:rPr>
                <w:rFonts w:eastAsia="Arial Unicode MS"/>
                <w:b/>
                <w:bCs/>
                <w:sz w:val="18"/>
                <w:szCs w:val="18"/>
                <w:u w:color="000000"/>
                <w:lang w:eastAsia="ko-KR"/>
              </w:rPr>
              <w:t>Baseline</w:t>
            </w:r>
            <w:r w:rsidRPr="0018233B">
              <w:rPr>
                <w:rFonts w:eastAsia="Arial Unicode MS"/>
                <w:bCs/>
                <w:sz w:val="18"/>
                <w:szCs w:val="18"/>
                <w:u w:color="000000"/>
                <w:lang w:eastAsia="ko-KR"/>
              </w:rPr>
              <w:t xml:space="preserve"> (2018): To be determined</w:t>
            </w:r>
          </w:p>
          <w:p w14:paraId="71DDCCDD" w14:textId="77777777" w:rsidR="0018233B" w:rsidRPr="0018233B" w:rsidRDefault="0018233B" w:rsidP="0018233B">
            <w:pPr>
              <w:rPr>
                <w:rFonts w:eastAsia="Arial Unicode MS"/>
                <w:bCs/>
                <w:sz w:val="18"/>
                <w:szCs w:val="18"/>
                <w:u w:color="000000"/>
                <w:lang w:eastAsia="ko-KR"/>
              </w:rPr>
            </w:pPr>
            <w:r w:rsidRPr="0018233B">
              <w:rPr>
                <w:rFonts w:eastAsia="Arial Unicode MS"/>
                <w:bCs/>
                <w:sz w:val="18"/>
                <w:szCs w:val="18"/>
                <w:u w:color="000000"/>
                <w:lang w:eastAsia="ko-KR"/>
              </w:rPr>
              <w:t xml:space="preserve">Men: TBD </w:t>
            </w:r>
          </w:p>
          <w:p w14:paraId="6509294A" w14:textId="77777777" w:rsidR="0018233B" w:rsidRPr="0018233B" w:rsidRDefault="0018233B" w:rsidP="0018233B">
            <w:pPr>
              <w:rPr>
                <w:rFonts w:eastAsia="Arial Unicode MS"/>
                <w:bCs/>
                <w:sz w:val="18"/>
                <w:szCs w:val="18"/>
                <w:u w:color="000000"/>
                <w:lang w:eastAsia="ko-KR"/>
              </w:rPr>
            </w:pPr>
            <w:r w:rsidRPr="0018233B">
              <w:rPr>
                <w:rFonts w:eastAsia="Arial Unicode MS"/>
                <w:bCs/>
                <w:sz w:val="18"/>
                <w:szCs w:val="18"/>
                <w:u w:color="000000"/>
                <w:lang w:eastAsia="ko-KR"/>
              </w:rPr>
              <w:t>Women: TBD</w:t>
            </w:r>
          </w:p>
          <w:p w14:paraId="3266440C" w14:textId="77777777" w:rsidR="0018233B" w:rsidRPr="0018233B" w:rsidRDefault="0018233B" w:rsidP="0018233B">
            <w:pPr>
              <w:rPr>
                <w:rFonts w:eastAsia="Arial Unicode MS"/>
                <w:bCs/>
                <w:sz w:val="18"/>
                <w:szCs w:val="18"/>
                <w:u w:color="000000"/>
                <w:lang w:eastAsia="ko-KR"/>
              </w:rPr>
            </w:pPr>
            <w:r w:rsidRPr="005204A7">
              <w:rPr>
                <w:rFonts w:eastAsia="Arial Unicode MS"/>
                <w:b/>
                <w:bCs/>
                <w:sz w:val="18"/>
                <w:szCs w:val="18"/>
                <w:u w:color="000000"/>
                <w:lang w:eastAsia="ko-KR"/>
              </w:rPr>
              <w:t>Target</w:t>
            </w:r>
            <w:r w:rsidRPr="0018233B">
              <w:rPr>
                <w:rFonts w:eastAsia="Arial Unicode MS"/>
                <w:bCs/>
                <w:sz w:val="18"/>
                <w:szCs w:val="18"/>
                <w:u w:color="000000"/>
                <w:lang w:eastAsia="ko-KR"/>
              </w:rPr>
              <w:t>:</w:t>
            </w:r>
          </w:p>
          <w:p w14:paraId="184D5674" w14:textId="77777777" w:rsidR="0018233B" w:rsidRPr="0018233B" w:rsidRDefault="0018233B" w:rsidP="0018233B">
            <w:pPr>
              <w:rPr>
                <w:rFonts w:eastAsia="Arial Unicode MS"/>
                <w:bCs/>
                <w:sz w:val="18"/>
                <w:szCs w:val="18"/>
                <w:u w:color="000000"/>
                <w:lang w:eastAsia="ko-KR"/>
              </w:rPr>
            </w:pPr>
            <w:r w:rsidRPr="0018233B">
              <w:rPr>
                <w:rFonts w:eastAsia="Arial Unicode MS"/>
                <w:bCs/>
                <w:sz w:val="18"/>
                <w:szCs w:val="18"/>
                <w:u w:color="000000"/>
                <w:lang w:eastAsia="ko-KR"/>
              </w:rPr>
              <w:t xml:space="preserve">Men: 10% Increase </w:t>
            </w:r>
          </w:p>
          <w:p w14:paraId="37ECA381" w14:textId="69FA6EAA" w:rsidR="0018233B" w:rsidRPr="0018233B" w:rsidRDefault="0018233B" w:rsidP="0018233B">
            <w:pPr>
              <w:rPr>
                <w:rFonts w:eastAsia="Arial Unicode MS"/>
                <w:bCs/>
                <w:sz w:val="18"/>
                <w:szCs w:val="18"/>
                <w:u w:color="000000"/>
                <w:lang w:eastAsia="ko-KR"/>
              </w:rPr>
            </w:pPr>
            <w:r w:rsidRPr="0018233B">
              <w:rPr>
                <w:rFonts w:eastAsia="Arial Unicode MS"/>
                <w:bCs/>
                <w:sz w:val="18"/>
                <w:szCs w:val="18"/>
                <w:u w:color="000000"/>
                <w:lang w:eastAsia="ko-KR"/>
              </w:rPr>
              <w:t>Women: 10% Increase</w:t>
            </w:r>
          </w:p>
          <w:p w14:paraId="74D872B1" w14:textId="1D356239" w:rsidR="0018233B" w:rsidRDefault="0018233B" w:rsidP="005A2DBF">
            <w:pPr>
              <w:rPr>
                <w:rFonts w:eastAsia="Arial Unicode MS"/>
                <w:bCs/>
                <w:sz w:val="18"/>
                <w:szCs w:val="18"/>
                <w:u w:color="000000"/>
                <w:lang w:eastAsia="ko-KR"/>
              </w:rPr>
            </w:pPr>
          </w:p>
          <w:p w14:paraId="2405D7BC" w14:textId="0F321586" w:rsidR="005204A7" w:rsidRDefault="005204A7" w:rsidP="005A2DBF">
            <w:pPr>
              <w:rPr>
                <w:rFonts w:eastAsia="Arial Unicode MS"/>
                <w:bCs/>
                <w:sz w:val="18"/>
                <w:szCs w:val="18"/>
                <w:u w:color="000000"/>
                <w:lang w:eastAsia="ko-KR"/>
              </w:rPr>
            </w:pPr>
          </w:p>
          <w:p w14:paraId="0F70816F" w14:textId="6A224B4D" w:rsidR="005204A7" w:rsidRDefault="005204A7" w:rsidP="005A2DBF">
            <w:pPr>
              <w:rPr>
                <w:rFonts w:eastAsia="Arial Unicode MS"/>
                <w:bCs/>
                <w:sz w:val="18"/>
                <w:szCs w:val="18"/>
                <w:u w:color="000000"/>
                <w:lang w:eastAsia="ko-KR"/>
              </w:rPr>
            </w:pPr>
          </w:p>
          <w:p w14:paraId="40AFA9DB" w14:textId="77777777" w:rsidR="005204A7" w:rsidRPr="0018233B" w:rsidRDefault="005204A7" w:rsidP="005A2DBF">
            <w:pPr>
              <w:rPr>
                <w:rFonts w:eastAsia="Arial Unicode MS"/>
                <w:bCs/>
                <w:sz w:val="18"/>
                <w:szCs w:val="18"/>
                <w:u w:color="000000"/>
                <w:lang w:eastAsia="ko-KR"/>
              </w:rPr>
            </w:pPr>
          </w:p>
          <w:p w14:paraId="7203A549" w14:textId="0C495898" w:rsidR="00B24E2F" w:rsidRPr="0018233B" w:rsidRDefault="00B24E2F" w:rsidP="005A2DBF">
            <w:pPr>
              <w:rPr>
                <w:rFonts w:eastAsia="Arial Unicode MS"/>
                <w:b/>
                <w:bCs/>
                <w:sz w:val="18"/>
                <w:szCs w:val="18"/>
                <w:u w:color="000000"/>
                <w:lang w:eastAsia="ko-KR"/>
              </w:rPr>
            </w:pPr>
            <w:r w:rsidRPr="0018233B">
              <w:rPr>
                <w:rFonts w:eastAsia="Arial Unicode MS"/>
                <w:b/>
                <w:bCs/>
                <w:sz w:val="18"/>
                <w:szCs w:val="18"/>
                <w:u w:color="000000"/>
                <w:lang w:eastAsia="ko-KR"/>
              </w:rPr>
              <w:t>Indicator 1.2</w:t>
            </w:r>
          </w:p>
          <w:p w14:paraId="10E8E52C" w14:textId="7FD6B99B" w:rsidR="00B24E2F" w:rsidRPr="0018233B" w:rsidRDefault="00B24E2F" w:rsidP="005A2DBF">
            <w:pPr>
              <w:rPr>
                <w:rFonts w:eastAsia="Arial Unicode MS"/>
                <w:bCs/>
                <w:sz w:val="18"/>
                <w:szCs w:val="18"/>
                <w:u w:color="000000"/>
                <w:lang w:eastAsia="ko-KR"/>
              </w:rPr>
            </w:pPr>
            <w:r w:rsidRPr="0018233B">
              <w:rPr>
                <w:rFonts w:eastAsia="Arial Unicode MS"/>
                <w:bCs/>
                <w:sz w:val="18"/>
                <w:szCs w:val="18"/>
                <w:u w:color="000000"/>
                <w:lang w:eastAsia="ko-KR"/>
              </w:rPr>
              <w:t>Ibrahim Index</w:t>
            </w:r>
          </w:p>
          <w:p w14:paraId="51AC8201" w14:textId="77777777" w:rsidR="00B24E2F" w:rsidRPr="0018233B" w:rsidRDefault="00B24E2F" w:rsidP="005A2DBF">
            <w:pPr>
              <w:rPr>
                <w:rFonts w:eastAsia="Arial Unicode MS"/>
                <w:bCs/>
                <w:sz w:val="18"/>
                <w:szCs w:val="18"/>
                <w:u w:color="000000"/>
                <w:lang w:eastAsia="ko-KR"/>
              </w:rPr>
            </w:pPr>
            <w:r w:rsidRPr="005204A7">
              <w:rPr>
                <w:rFonts w:eastAsia="Arial Unicode MS"/>
                <w:b/>
                <w:bCs/>
                <w:sz w:val="18"/>
                <w:szCs w:val="18"/>
                <w:u w:color="000000"/>
                <w:lang w:eastAsia="ko-KR"/>
              </w:rPr>
              <w:t>Baseline</w:t>
            </w:r>
            <w:r w:rsidRPr="0018233B">
              <w:rPr>
                <w:rFonts w:eastAsia="Arial Unicode MS"/>
                <w:bCs/>
                <w:sz w:val="18"/>
                <w:szCs w:val="18"/>
                <w:u w:color="000000"/>
                <w:lang w:eastAsia="ko-KR"/>
              </w:rPr>
              <w:t xml:space="preserve"> (2016): 51.7%</w:t>
            </w:r>
          </w:p>
          <w:p w14:paraId="620442F8" w14:textId="77777777" w:rsidR="007B6947" w:rsidRPr="002805B6" w:rsidRDefault="00B24E2F" w:rsidP="005A2DBF">
            <w:pPr>
              <w:rPr>
                <w:rFonts w:eastAsia="Arial Unicode MS"/>
                <w:b/>
                <w:bCs/>
                <w:sz w:val="18"/>
                <w:szCs w:val="18"/>
                <w:u w:color="000000"/>
                <w:lang w:eastAsia="ko-KR"/>
              </w:rPr>
            </w:pPr>
            <w:r w:rsidRPr="005204A7">
              <w:rPr>
                <w:rFonts w:eastAsia="Arial Unicode MS"/>
                <w:b/>
                <w:bCs/>
                <w:sz w:val="18"/>
                <w:szCs w:val="18"/>
                <w:u w:color="000000"/>
                <w:lang w:eastAsia="ko-KR"/>
              </w:rPr>
              <w:t xml:space="preserve">Target </w:t>
            </w:r>
            <w:r w:rsidRPr="0018233B">
              <w:rPr>
                <w:rFonts w:eastAsia="Arial Unicode MS"/>
                <w:bCs/>
                <w:sz w:val="18"/>
                <w:szCs w:val="18"/>
                <w:u w:color="000000"/>
                <w:lang w:eastAsia="ko-KR"/>
              </w:rPr>
              <w:t>level (2023): 60%</w:t>
            </w:r>
            <w:r w:rsidRPr="002805B6">
              <w:rPr>
                <w:rFonts w:eastAsia="Arial Unicode MS"/>
                <w:bCs/>
                <w:sz w:val="18"/>
                <w:szCs w:val="18"/>
                <w:u w:color="000000"/>
                <w:lang w:eastAsia="ko-KR"/>
              </w:rPr>
              <w:t xml:space="preserve"> </w:t>
            </w:r>
          </w:p>
        </w:tc>
        <w:tc>
          <w:tcPr>
            <w:tcW w:w="897" w:type="pct"/>
            <w:vMerge w:val="restart"/>
          </w:tcPr>
          <w:p w14:paraId="3663EDEC" w14:textId="77777777" w:rsidR="0018233B" w:rsidRPr="0018233B" w:rsidRDefault="0018233B" w:rsidP="0018233B">
            <w:pPr>
              <w:rPr>
                <w:rFonts w:eastAsia="Arial Unicode MS"/>
                <w:b/>
                <w:sz w:val="18"/>
                <w:szCs w:val="18"/>
                <w:u w:color="000000"/>
                <w:lang w:eastAsia="ko-KR"/>
              </w:rPr>
            </w:pPr>
            <w:r w:rsidRPr="0018233B">
              <w:rPr>
                <w:rFonts w:eastAsia="Arial Unicode MS"/>
                <w:b/>
                <w:sz w:val="18"/>
                <w:szCs w:val="18"/>
                <w:u w:color="000000"/>
                <w:lang w:eastAsia="ko-KR"/>
              </w:rPr>
              <w:t xml:space="preserve">Data source: </w:t>
            </w:r>
          </w:p>
          <w:p w14:paraId="32AB3E84" w14:textId="77777777" w:rsidR="0018233B" w:rsidRPr="0018233B" w:rsidRDefault="0018233B" w:rsidP="0018233B">
            <w:pPr>
              <w:rPr>
                <w:rFonts w:eastAsia="Arial Unicode MS"/>
                <w:sz w:val="18"/>
                <w:szCs w:val="18"/>
                <w:u w:color="000000"/>
                <w:lang w:eastAsia="ko-KR"/>
              </w:rPr>
            </w:pPr>
            <w:r w:rsidRPr="0018233B">
              <w:rPr>
                <w:rFonts w:eastAsia="Arial Unicode MS"/>
                <w:sz w:val="18"/>
                <w:szCs w:val="18"/>
                <w:u w:color="000000"/>
                <w:lang w:eastAsia="ko-KR"/>
              </w:rPr>
              <w:t xml:space="preserve">Public service users’ satisfaction surveys </w:t>
            </w:r>
          </w:p>
          <w:p w14:paraId="24945A7F" w14:textId="6E8A283D" w:rsidR="0018233B" w:rsidRPr="0018233B" w:rsidRDefault="0018233B" w:rsidP="0018233B">
            <w:pPr>
              <w:rPr>
                <w:rFonts w:eastAsia="Arial Unicode MS"/>
                <w:sz w:val="18"/>
                <w:szCs w:val="18"/>
                <w:u w:color="000000"/>
                <w:lang w:eastAsia="ko-KR"/>
              </w:rPr>
            </w:pPr>
            <w:r w:rsidRPr="0018233B">
              <w:rPr>
                <w:rFonts w:eastAsia="Arial Unicode MS"/>
                <w:sz w:val="18"/>
                <w:szCs w:val="18"/>
                <w:u w:color="000000"/>
                <w:lang w:eastAsia="ko-KR"/>
              </w:rPr>
              <w:t>Frequency: Every 3 years</w:t>
            </w:r>
          </w:p>
          <w:p w14:paraId="4B22A20C" w14:textId="0AAF829A" w:rsidR="0018233B" w:rsidRDefault="0018233B" w:rsidP="005A2DBF">
            <w:pPr>
              <w:rPr>
                <w:rFonts w:eastAsia="Arial Unicode MS"/>
                <w:b/>
                <w:sz w:val="18"/>
                <w:szCs w:val="18"/>
                <w:u w:color="000000"/>
                <w:lang w:eastAsia="ko-KR"/>
              </w:rPr>
            </w:pPr>
          </w:p>
          <w:p w14:paraId="0A31F210" w14:textId="77777777" w:rsidR="0018233B" w:rsidRDefault="0018233B" w:rsidP="005A2DBF">
            <w:pPr>
              <w:rPr>
                <w:rFonts w:eastAsia="Arial Unicode MS"/>
                <w:b/>
                <w:sz w:val="18"/>
                <w:szCs w:val="18"/>
                <w:u w:color="000000"/>
                <w:lang w:eastAsia="ko-KR"/>
              </w:rPr>
            </w:pPr>
          </w:p>
          <w:p w14:paraId="21352D53" w14:textId="6126B255" w:rsidR="00B24E2F" w:rsidRPr="002805B6" w:rsidRDefault="00B24E2F" w:rsidP="005A2DBF">
            <w:pPr>
              <w:rPr>
                <w:rFonts w:eastAsia="Arial Unicode MS"/>
                <w:sz w:val="18"/>
                <w:szCs w:val="18"/>
                <w:u w:color="000000"/>
                <w:lang w:eastAsia="ko-KR"/>
              </w:rPr>
            </w:pPr>
            <w:r w:rsidRPr="002805B6">
              <w:rPr>
                <w:rFonts w:eastAsia="Arial Unicode MS"/>
                <w:b/>
                <w:sz w:val="18"/>
                <w:szCs w:val="18"/>
                <w:u w:color="000000"/>
                <w:lang w:eastAsia="ko-KR"/>
              </w:rPr>
              <w:t xml:space="preserve">Responsible entity: </w:t>
            </w:r>
            <w:r w:rsidRPr="002805B6">
              <w:rPr>
                <w:rFonts w:eastAsia="Arial Unicode MS"/>
                <w:sz w:val="18"/>
                <w:szCs w:val="18"/>
                <w:u w:color="000000"/>
                <w:lang w:eastAsia="ko-KR"/>
              </w:rPr>
              <w:t>Ministry of Administrative Reform</w:t>
            </w:r>
          </w:p>
          <w:p w14:paraId="10189B34" w14:textId="77777777" w:rsidR="00B24E2F" w:rsidRPr="002805B6" w:rsidRDefault="00B24E2F" w:rsidP="005A2DBF">
            <w:pPr>
              <w:rPr>
                <w:rFonts w:eastAsia="Arial Unicode MS"/>
                <w:sz w:val="18"/>
                <w:szCs w:val="18"/>
                <w:u w:color="000000"/>
                <w:lang w:eastAsia="ko-KR"/>
              </w:rPr>
            </w:pPr>
          </w:p>
          <w:p w14:paraId="1B06C966" w14:textId="77777777" w:rsidR="00B24E2F" w:rsidRPr="002805B6" w:rsidRDefault="00B24E2F" w:rsidP="005A2DBF">
            <w:pPr>
              <w:rPr>
                <w:rFonts w:eastAsia="Arial Unicode MS"/>
                <w:sz w:val="18"/>
                <w:szCs w:val="18"/>
                <w:u w:color="000000"/>
                <w:lang w:eastAsia="ko-KR"/>
              </w:rPr>
            </w:pPr>
          </w:p>
          <w:p w14:paraId="6E6907AC" w14:textId="77777777" w:rsidR="00B24E2F" w:rsidRPr="002805B6" w:rsidRDefault="00B24E2F" w:rsidP="005A2DBF">
            <w:pPr>
              <w:rPr>
                <w:rFonts w:eastAsia="Arial Unicode MS"/>
                <w:sz w:val="18"/>
                <w:szCs w:val="18"/>
                <w:u w:color="000000"/>
                <w:lang w:eastAsia="ko-KR"/>
              </w:rPr>
            </w:pPr>
          </w:p>
          <w:p w14:paraId="4E584579" w14:textId="77777777" w:rsidR="00B24E2F" w:rsidRPr="002805B6" w:rsidRDefault="00B24E2F" w:rsidP="005A2DBF">
            <w:pPr>
              <w:rPr>
                <w:rFonts w:eastAsia="Arial Unicode MS"/>
                <w:sz w:val="18"/>
                <w:szCs w:val="18"/>
                <w:u w:color="000000"/>
                <w:lang w:eastAsia="ko-KR"/>
              </w:rPr>
            </w:pPr>
          </w:p>
          <w:p w14:paraId="2B6E13B1" w14:textId="77777777" w:rsidR="00B24E2F" w:rsidRPr="002805B6" w:rsidRDefault="00B24E2F" w:rsidP="005A2DBF">
            <w:pPr>
              <w:rPr>
                <w:rFonts w:eastAsia="Arial Unicode MS"/>
                <w:sz w:val="18"/>
                <w:szCs w:val="18"/>
                <w:u w:color="000000"/>
                <w:lang w:eastAsia="ko-KR"/>
              </w:rPr>
            </w:pPr>
          </w:p>
          <w:p w14:paraId="38F633E2" w14:textId="77777777" w:rsidR="00B24E2F" w:rsidRPr="002805B6" w:rsidRDefault="00B24E2F" w:rsidP="005A2DBF">
            <w:pPr>
              <w:rPr>
                <w:rFonts w:eastAsia="Arial Unicode MS"/>
                <w:sz w:val="18"/>
                <w:szCs w:val="18"/>
                <w:u w:color="000000"/>
                <w:lang w:eastAsia="ko-KR"/>
              </w:rPr>
            </w:pPr>
          </w:p>
          <w:p w14:paraId="583142FC" w14:textId="77777777" w:rsidR="00B24E2F" w:rsidRPr="002805B6" w:rsidRDefault="00B24E2F" w:rsidP="005A2DBF">
            <w:pPr>
              <w:rPr>
                <w:rFonts w:eastAsia="Arial Unicode MS"/>
                <w:sz w:val="18"/>
                <w:szCs w:val="18"/>
                <w:u w:color="000000"/>
                <w:lang w:eastAsia="ko-KR"/>
              </w:rPr>
            </w:pPr>
          </w:p>
          <w:p w14:paraId="74E3AE3C" w14:textId="77777777" w:rsidR="00B24E2F" w:rsidRPr="002805B6" w:rsidRDefault="00B24E2F" w:rsidP="005A2DBF">
            <w:pPr>
              <w:rPr>
                <w:rFonts w:eastAsia="Arial Unicode MS"/>
                <w:sz w:val="18"/>
                <w:szCs w:val="18"/>
                <w:u w:color="000000"/>
                <w:lang w:eastAsia="ko-KR"/>
              </w:rPr>
            </w:pPr>
          </w:p>
          <w:p w14:paraId="6EE66DFA" w14:textId="5CCA259A" w:rsidR="00B24E2F" w:rsidRPr="002805B6" w:rsidRDefault="0018233B" w:rsidP="005A2DBF">
            <w:pPr>
              <w:rPr>
                <w:rFonts w:eastAsia="Arial Unicode MS"/>
                <w:sz w:val="18"/>
                <w:szCs w:val="18"/>
                <w:u w:color="000000"/>
                <w:lang w:eastAsia="ko-KR"/>
              </w:rPr>
            </w:pPr>
            <w:r>
              <w:rPr>
                <w:rFonts w:eastAsia="Arial Unicode MS"/>
                <w:b/>
                <w:sz w:val="18"/>
                <w:szCs w:val="18"/>
                <w:u w:color="000000"/>
                <w:lang w:eastAsia="ko-KR"/>
              </w:rPr>
              <w:t>D</w:t>
            </w:r>
            <w:r w:rsidR="00B24E2F" w:rsidRPr="002805B6">
              <w:rPr>
                <w:rFonts w:eastAsia="Arial Unicode MS"/>
                <w:b/>
                <w:sz w:val="18"/>
                <w:szCs w:val="18"/>
                <w:u w:color="000000"/>
                <w:lang w:eastAsia="ko-KR"/>
              </w:rPr>
              <w:t xml:space="preserve">ata </w:t>
            </w:r>
            <w:r w:rsidR="00D82F97">
              <w:rPr>
                <w:rFonts w:eastAsia="Arial Unicode MS"/>
                <w:b/>
                <w:sz w:val="18"/>
                <w:szCs w:val="18"/>
                <w:u w:color="000000"/>
                <w:lang w:eastAsia="ko-KR"/>
              </w:rPr>
              <w:t>s</w:t>
            </w:r>
            <w:r w:rsidR="00B24E2F" w:rsidRPr="002805B6">
              <w:rPr>
                <w:rFonts w:eastAsia="Arial Unicode MS"/>
                <w:b/>
                <w:sz w:val="18"/>
                <w:szCs w:val="18"/>
                <w:u w:color="000000"/>
                <w:lang w:eastAsia="ko-KR"/>
              </w:rPr>
              <w:t>ource:</w:t>
            </w:r>
            <w:r w:rsidR="00B24E2F" w:rsidRPr="002805B6">
              <w:rPr>
                <w:rFonts w:eastAsia="Arial Unicode MS"/>
                <w:sz w:val="18"/>
                <w:szCs w:val="18"/>
                <w:u w:color="000000"/>
                <w:lang w:eastAsia="ko-KR"/>
              </w:rPr>
              <w:t xml:space="preserve"> </w:t>
            </w:r>
            <w:r w:rsidR="00363D3D" w:rsidRPr="002805B6">
              <w:rPr>
                <w:rFonts w:eastAsia="Arial Unicode MS"/>
                <w:sz w:val="18"/>
                <w:szCs w:val="18"/>
                <w:u w:color="000000"/>
                <w:lang w:eastAsia="ko-KR"/>
              </w:rPr>
              <w:t>TI</w:t>
            </w:r>
            <w:r w:rsidR="00B24E2F" w:rsidRPr="002805B6">
              <w:rPr>
                <w:rFonts w:eastAsia="Arial Unicode MS"/>
                <w:sz w:val="18"/>
                <w:szCs w:val="18"/>
                <w:u w:color="000000"/>
                <w:lang w:eastAsia="ko-KR"/>
              </w:rPr>
              <w:t xml:space="preserve"> Report</w:t>
            </w:r>
          </w:p>
          <w:p w14:paraId="19160A2E" w14:textId="77777777" w:rsidR="00B24E2F" w:rsidRPr="002805B6" w:rsidRDefault="00B24E2F" w:rsidP="005A2DBF">
            <w:pPr>
              <w:rPr>
                <w:rFonts w:eastAsia="Arial Unicode MS"/>
                <w:sz w:val="18"/>
                <w:szCs w:val="18"/>
                <w:u w:color="000000"/>
                <w:lang w:eastAsia="ko-KR"/>
              </w:rPr>
            </w:pPr>
          </w:p>
          <w:p w14:paraId="7D915203" w14:textId="77777777" w:rsidR="00B24E2F" w:rsidRPr="002805B6" w:rsidRDefault="00B24E2F" w:rsidP="005A2DBF">
            <w:pPr>
              <w:rPr>
                <w:rFonts w:eastAsia="Arial Unicode MS"/>
                <w:sz w:val="18"/>
                <w:szCs w:val="18"/>
                <w:u w:color="000000"/>
                <w:lang w:eastAsia="ko-KR"/>
              </w:rPr>
            </w:pPr>
          </w:p>
          <w:p w14:paraId="4B042BFC" w14:textId="77777777" w:rsidR="00B24E2F" w:rsidRPr="002805B6" w:rsidRDefault="00B24E2F" w:rsidP="005A2DBF">
            <w:pPr>
              <w:rPr>
                <w:rFonts w:eastAsia="Arial Unicode MS"/>
                <w:sz w:val="18"/>
                <w:szCs w:val="18"/>
                <w:u w:color="000000"/>
                <w:lang w:eastAsia="ko-KR"/>
              </w:rPr>
            </w:pPr>
          </w:p>
          <w:p w14:paraId="7A1835CA" w14:textId="77777777" w:rsidR="00B24E2F" w:rsidRPr="002805B6" w:rsidRDefault="00B24E2F" w:rsidP="005A2DBF">
            <w:pPr>
              <w:rPr>
                <w:rFonts w:eastAsia="Arial Unicode MS"/>
                <w:sz w:val="18"/>
                <w:szCs w:val="18"/>
                <w:u w:color="000000"/>
                <w:lang w:eastAsia="ko-KR"/>
              </w:rPr>
            </w:pPr>
          </w:p>
          <w:p w14:paraId="0DD47F05" w14:textId="77777777" w:rsidR="00B24E2F" w:rsidRPr="002805B6" w:rsidRDefault="00B24E2F" w:rsidP="005A2DBF">
            <w:pPr>
              <w:rPr>
                <w:rFonts w:eastAsia="Arial Unicode MS"/>
                <w:sz w:val="18"/>
                <w:szCs w:val="18"/>
                <w:u w:color="000000"/>
                <w:lang w:eastAsia="ko-KR"/>
              </w:rPr>
            </w:pPr>
          </w:p>
          <w:p w14:paraId="2C19A761" w14:textId="77777777" w:rsidR="00B24E2F" w:rsidRPr="002805B6" w:rsidRDefault="00B24E2F" w:rsidP="005A2DBF">
            <w:pPr>
              <w:rPr>
                <w:rFonts w:eastAsia="Arial Unicode MS"/>
                <w:sz w:val="18"/>
                <w:szCs w:val="18"/>
                <w:u w:color="000000"/>
                <w:lang w:eastAsia="ko-KR"/>
              </w:rPr>
            </w:pPr>
          </w:p>
          <w:p w14:paraId="6F36EF6E" w14:textId="77777777" w:rsidR="00B24E2F" w:rsidRPr="002805B6" w:rsidRDefault="00B24E2F" w:rsidP="005A2DBF">
            <w:pPr>
              <w:rPr>
                <w:rFonts w:eastAsia="Arial Unicode MS"/>
                <w:sz w:val="18"/>
                <w:szCs w:val="18"/>
                <w:u w:color="000000"/>
                <w:lang w:eastAsia="ko-KR"/>
              </w:rPr>
            </w:pPr>
          </w:p>
          <w:p w14:paraId="298C3BD5" w14:textId="77777777" w:rsidR="00B24E2F" w:rsidRPr="002805B6" w:rsidRDefault="00B24E2F" w:rsidP="005A2DBF">
            <w:pPr>
              <w:rPr>
                <w:rFonts w:eastAsia="Arial Unicode MS"/>
                <w:sz w:val="18"/>
                <w:szCs w:val="18"/>
                <w:u w:color="000000"/>
                <w:lang w:eastAsia="ko-KR"/>
              </w:rPr>
            </w:pPr>
          </w:p>
          <w:p w14:paraId="03E03160" w14:textId="77777777" w:rsidR="00B24E2F" w:rsidRPr="002805B6" w:rsidRDefault="00B24E2F" w:rsidP="005A2DBF">
            <w:pPr>
              <w:rPr>
                <w:rFonts w:eastAsia="Arial Unicode MS"/>
                <w:sz w:val="18"/>
                <w:szCs w:val="18"/>
                <w:u w:color="000000"/>
                <w:lang w:eastAsia="ko-KR"/>
              </w:rPr>
            </w:pPr>
          </w:p>
          <w:p w14:paraId="4AD2DEEE" w14:textId="77777777" w:rsidR="00B24E2F" w:rsidRPr="002805B6" w:rsidRDefault="00B24E2F" w:rsidP="005A2DBF">
            <w:pPr>
              <w:rPr>
                <w:rFonts w:eastAsia="Arial Unicode MS"/>
                <w:sz w:val="18"/>
                <w:szCs w:val="18"/>
                <w:u w:color="000000"/>
                <w:lang w:eastAsia="ko-KR"/>
              </w:rPr>
            </w:pPr>
          </w:p>
          <w:p w14:paraId="16BF2D00" w14:textId="77777777" w:rsidR="00B24E2F" w:rsidRPr="002805B6" w:rsidRDefault="00B24E2F" w:rsidP="005A2DBF">
            <w:pPr>
              <w:rPr>
                <w:rFonts w:eastAsia="Arial Unicode MS"/>
                <w:sz w:val="18"/>
                <w:szCs w:val="18"/>
                <w:u w:color="000000"/>
                <w:lang w:eastAsia="ko-KR"/>
              </w:rPr>
            </w:pPr>
          </w:p>
          <w:p w14:paraId="3F2E18FD" w14:textId="77777777" w:rsidR="00B24E2F" w:rsidRPr="002805B6" w:rsidRDefault="00B24E2F" w:rsidP="005A2DBF">
            <w:pPr>
              <w:rPr>
                <w:rFonts w:eastAsia="Arial Unicode MS"/>
                <w:sz w:val="18"/>
                <w:szCs w:val="18"/>
                <w:u w:color="000000"/>
                <w:lang w:eastAsia="ko-KR"/>
              </w:rPr>
            </w:pPr>
          </w:p>
          <w:p w14:paraId="66818065" w14:textId="77777777" w:rsidR="00B24E2F" w:rsidRPr="002805B6" w:rsidRDefault="00B24E2F" w:rsidP="005A2DBF">
            <w:pPr>
              <w:rPr>
                <w:rFonts w:eastAsia="Arial Unicode MS"/>
                <w:sz w:val="18"/>
                <w:szCs w:val="18"/>
                <w:u w:color="000000"/>
                <w:lang w:eastAsia="ko-KR"/>
              </w:rPr>
            </w:pPr>
          </w:p>
          <w:p w14:paraId="11277E68" w14:textId="77777777" w:rsidR="00B24E2F" w:rsidRPr="002805B6" w:rsidRDefault="00B24E2F" w:rsidP="005A2DBF">
            <w:pPr>
              <w:rPr>
                <w:rFonts w:eastAsia="Arial Unicode MS"/>
                <w:sz w:val="18"/>
                <w:szCs w:val="18"/>
                <w:u w:color="000000"/>
                <w:lang w:eastAsia="ko-KR"/>
              </w:rPr>
            </w:pPr>
          </w:p>
          <w:p w14:paraId="33291BD9" w14:textId="77777777" w:rsidR="00B24E2F" w:rsidRPr="002805B6" w:rsidRDefault="00B24E2F" w:rsidP="005A2DBF">
            <w:pPr>
              <w:rPr>
                <w:rFonts w:eastAsia="Arial Unicode MS"/>
                <w:sz w:val="18"/>
                <w:szCs w:val="18"/>
                <w:u w:color="000000"/>
                <w:lang w:eastAsia="ko-KR"/>
              </w:rPr>
            </w:pPr>
          </w:p>
          <w:p w14:paraId="4B1E12EC" w14:textId="77777777" w:rsidR="00B24E2F" w:rsidRPr="002805B6" w:rsidRDefault="00B24E2F" w:rsidP="005A2DBF">
            <w:pPr>
              <w:rPr>
                <w:rFonts w:eastAsia="Arial Unicode MS"/>
                <w:sz w:val="18"/>
                <w:szCs w:val="18"/>
                <w:u w:color="000000"/>
                <w:lang w:eastAsia="ko-KR"/>
              </w:rPr>
            </w:pPr>
          </w:p>
          <w:p w14:paraId="5BC8BF53" w14:textId="77777777" w:rsidR="00B24E2F" w:rsidRPr="002805B6" w:rsidRDefault="00B24E2F" w:rsidP="005A2DBF">
            <w:pPr>
              <w:rPr>
                <w:rFonts w:eastAsia="Arial Unicode MS"/>
                <w:sz w:val="18"/>
                <w:szCs w:val="18"/>
                <w:u w:color="000000"/>
                <w:lang w:eastAsia="ko-KR"/>
              </w:rPr>
            </w:pPr>
          </w:p>
          <w:p w14:paraId="3F60B9F4" w14:textId="77777777" w:rsidR="00B24E2F" w:rsidRPr="002805B6" w:rsidRDefault="00B24E2F" w:rsidP="005A2DBF">
            <w:pPr>
              <w:rPr>
                <w:rFonts w:eastAsia="Arial Unicode MS"/>
                <w:sz w:val="18"/>
                <w:szCs w:val="18"/>
                <w:u w:color="000000"/>
                <w:lang w:eastAsia="ko-KR"/>
              </w:rPr>
            </w:pPr>
          </w:p>
          <w:p w14:paraId="7CCAA792" w14:textId="77777777" w:rsidR="00B24E2F" w:rsidRPr="002805B6" w:rsidRDefault="00B24E2F" w:rsidP="005A2DBF">
            <w:pPr>
              <w:rPr>
                <w:rFonts w:eastAsia="Arial Unicode MS"/>
                <w:sz w:val="18"/>
                <w:szCs w:val="18"/>
                <w:u w:color="000000"/>
                <w:lang w:eastAsia="ko-KR"/>
              </w:rPr>
            </w:pPr>
          </w:p>
          <w:p w14:paraId="058B7564" w14:textId="77777777" w:rsidR="00B24E2F" w:rsidRPr="002805B6" w:rsidRDefault="00B24E2F" w:rsidP="005A2DBF">
            <w:pPr>
              <w:rPr>
                <w:rFonts w:eastAsia="Arial Unicode MS"/>
                <w:sz w:val="18"/>
                <w:szCs w:val="18"/>
                <w:u w:color="000000"/>
                <w:lang w:eastAsia="ko-KR"/>
              </w:rPr>
            </w:pPr>
          </w:p>
          <w:p w14:paraId="52233FCA" w14:textId="77777777" w:rsidR="00B24E2F" w:rsidRPr="002805B6" w:rsidRDefault="00B24E2F" w:rsidP="005A2DBF">
            <w:pPr>
              <w:rPr>
                <w:rFonts w:eastAsia="Arial Unicode MS"/>
                <w:sz w:val="18"/>
                <w:szCs w:val="18"/>
                <w:u w:color="000000"/>
                <w:lang w:eastAsia="ko-KR"/>
              </w:rPr>
            </w:pPr>
          </w:p>
          <w:p w14:paraId="2D5306A5" w14:textId="77777777" w:rsidR="00B24E2F" w:rsidRPr="002805B6" w:rsidRDefault="00B24E2F" w:rsidP="005A2DBF">
            <w:pPr>
              <w:rPr>
                <w:rFonts w:eastAsia="Arial Unicode MS"/>
                <w:sz w:val="18"/>
                <w:szCs w:val="18"/>
                <w:u w:color="000000"/>
                <w:lang w:eastAsia="ko-KR"/>
              </w:rPr>
            </w:pPr>
          </w:p>
          <w:p w14:paraId="6532AEBF" w14:textId="77777777" w:rsidR="00B24E2F" w:rsidRPr="002805B6" w:rsidRDefault="00B24E2F" w:rsidP="005A2DBF">
            <w:pPr>
              <w:rPr>
                <w:rFonts w:eastAsia="Arial Unicode MS"/>
                <w:sz w:val="18"/>
                <w:szCs w:val="18"/>
                <w:u w:color="000000"/>
                <w:lang w:eastAsia="ko-KR"/>
              </w:rPr>
            </w:pPr>
          </w:p>
          <w:p w14:paraId="6466C82D" w14:textId="77777777" w:rsidR="00B24E2F" w:rsidRPr="002805B6" w:rsidRDefault="00B24E2F" w:rsidP="005A2DBF">
            <w:pPr>
              <w:rPr>
                <w:rFonts w:eastAsia="Arial Unicode MS"/>
                <w:sz w:val="18"/>
                <w:szCs w:val="18"/>
                <w:u w:color="000000"/>
                <w:lang w:eastAsia="ko-KR"/>
              </w:rPr>
            </w:pPr>
          </w:p>
          <w:p w14:paraId="561A4AAD" w14:textId="77777777" w:rsidR="00B24E2F" w:rsidRPr="002805B6" w:rsidRDefault="00B24E2F" w:rsidP="005A2DBF">
            <w:pPr>
              <w:rPr>
                <w:rFonts w:eastAsia="Arial Unicode MS"/>
                <w:sz w:val="18"/>
                <w:szCs w:val="18"/>
                <w:u w:color="000000"/>
                <w:lang w:eastAsia="ko-KR"/>
              </w:rPr>
            </w:pPr>
          </w:p>
          <w:p w14:paraId="49AFB101" w14:textId="77777777" w:rsidR="00B24E2F" w:rsidRPr="002805B6" w:rsidRDefault="00B24E2F" w:rsidP="005A2DBF">
            <w:pPr>
              <w:rPr>
                <w:rFonts w:eastAsia="Arial Unicode MS"/>
                <w:sz w:val="18"/>
                <w:szCs w:val="18"/>
                <w:u w:color="000000"/>
                <w:lang w:eastAsia="ko-KR"/>
              </w:rPr>
            </w:pPr>
          </w:p>
          <w:p w14:paraId="74264B40" w14:textId="77777777" w:rsidR="00B24E2F" w:rsidRPr="002805B6" w:rsidRDefault="00B24E2F" w:rsidP="005A2DBF">
            <w:pPr>
              <w:rPr>
                <w:rFonts w:eastAsia="Arial Unicode MS"/>
                <w:sz w:val="18"/>
                <w:szCs w:val="18"/>
                <w:u w:color="000000"/>
                <w:lang w:eastAsia="ko-KR"/>
              </w:rPr>
            </w:pPr>
          </w:p>
          <w:p w14:paraId="7C21D8EC" w14:textId="77777777" w:rsidR="00B24E2F" w:rsidRPr="002805B6" w:rsidRDefault="00B24E2F" w:rsidP="005A2DBF">
            <w:pPr>
              <w:rPr>
                <w:rFonts w:eastAsia="Arial Unicode MS"/>
                <w:sz w:val="18"/>
                <w:szCs w:val="18"/>
                <w:u w:color="000000"/>
                <w:lang w:eastAsia="ko-KR"/>
              </w:rPr>
            </w:pPr>
          </w:p>
          <w:p w14:paraId="398BCD8C" w14:textId="77777777" w:rsidR="00B24E2F" w:rsidRPr="002805B6" w:rsidRDefault="00B24E2F" w:rsidP="005A2DBF">
            <w:pPr>
              <w:rPr>
                <w:rFonts w:eastAsia="Arial Unicode MS"/>
                <w:sz w:val="18"/>
                <w:szCs w:val="18"/>
                <w:u w:color="000000"/>
                <w:lang w:eastAsia="ko-KR"/>
              </w:rPr>
            </w:pPr>
          </w:p>
          <w:p w14:paraId="4359386B" w14:textId="77777777" w:rsidR="00B24E2F" w:rsidRPr="002805B6" w:rsidRDefault="00B24E2F" w:rsidP="005A2DBF">
            <w:pPr>
              <w:rPr>
                <w:rFonts w:eastAsia="Arial Unicode MS"/>
                <w:sz w:val="18"/>
                <w:szCs w:val="18"/>
                <w:u w:color="000000"/>
                <w:lang w:eastAsia="ko-KR"/>
              </w:rPr>
            </w:pPr>
          </w:p>
          <w:p w14:paraId="50D6426D" w14:textId="77777777" w:rsidR="00B24E2F" w:rsidRPr="002805B6" w:rsidRDefault="00B24E2F" w:rsidP="005A2DBF">
            <w:pPr>
              <w:rPr>
                <w:rFonts w:eastAsia="Arial Unicode MS"/>
                <w:sz w:val="18"/>
                <w:szCs w:val="18"/>
                <w:u w:color="000000"/>
                <w:lang w:eastAsia="ko-KR"/>
              </w:rPr>
            </w:pPr>
          </w:p>
          <w:p w14:paraId="46BF3C78" w14:textId="77777777" w:rsidR="00B24E2F" w:rsidRPr="002805B6" w:rsidRDefault="00B24E2F" w:rsidP="005A2DBF">
            <w:pPr>
              <w:rPr>
                <w:rFonts w:eastAsia="Arial Unicode MS"/>
                <w:sz w:val="18"/>
                <w:szCs w:val="18"/>
                <w:u w:color="000000"/>
                <w:lang w:eastAsia="ko-KR"/>
              </w:rPr>
            </w:pPr>
          </w:p>
          <w:p w14:paraId="317F9E83" w14:textId="77777777" w:rsidR="00B24E2F" w:rsidRPr="002805B6" w:rsidRDefault="00B24E2F" w:rsidP="005A2DBF">
            <w:pPr>
              <w:rPr>
                <w:rFonts w:eastAsia="Arial Unicode MS"/>
                <w:sz w:val="18"/>
                <w:szCs w:val="18"/>
                <w:u w:color="000000"/>
                <w:lang w:eastAsia="ko-KR"/>
              </w:rPr>
            </w:pPr>
          </w:p>
          <w:p w14:paraId="07F0D60B" w14:textId="77777777" w:rsidR="00B24E2F" w:rsidRPr="002805B6" w:rsidRDefault="00B24E2F" w:rsidP="005A2DBF">
            <w:pPr>
              <w:rPr>
                <w:rFonts w:eastAsia="Arial Unicode MS"/>
                <w:sz w:val="18"/>
                <w:szCs w:val="18"/>
                <w:u w:color="000000"/>
                <w:lang w:eastAsia="ko-KR"/>
              </w:rPr>
            </w:pPr>
          </w:p>
          <w:p w14:paraId="3D501E4A" w14:textId="77777777" w:rsidR="00B24E2F" w:rsidRPr="002805B6" w:rsidRDefault="00B24E2F" w:rsidP="005A2DBF">
            <w:pPr>
              <w:rPr>
                <w:rFonts w:eastAsia="Arial Unicode MS"/>
                <w:sz w:val="18"/>
                <w:szCs w:val="18"/>
                <w:u w:color="000000"/>
                <w:lang w:eastAsia="ko-KR"/>
              </w:rPr>
            </w:pPr>
          </w:p>
          <w:p w14:paraId="45A6E2DC" w14:textId="77777777" w:rsidR="00B24E2F" w:rsidRPr="002805B6" w:rsidRDefault="00B24E2F" w:rsidP="005A2DBF">
            <w:pPr>
              <w:rPr>
                <w:rFonts w:eastAsia="Arial Unicode MS"/>
                <w:sz w:val="18"/>
                <w:szCs w:val="18"/>
                <w:u w:color="000000"/>
                <w:lang w:eastAsia="ko-KR"/>
              </w:rPr>
            </w:pPr>
          </w:p>
          <w:p w14:paraId="2E59F3EE" w14:textId="77777777" w:rsidR="00B24E2F" w:rsidRPr="002805B6" w:rsidRDefault="00B24E2F" w:rsidP="005A2DBF">
            <w:pPr>
              <w:rPr>
                <w:rFonts w:eastAsia="Arial Unicode MS"/>
                <w:sz w:val="18"/>
                <w:szCs w:val="18"/>
                <w:u w:color="000000"/>
                <w:lang w:eastAsia="ko-KR"/>
              </w:rPr>
            </w:pPr>
          </w:p>
          <w:p w14:paraId="4BEFBB6A" w14:textId="77777777" w:rsidR="00B24E2F" w:rsidRPr="002805B6" w:rsidRDefault="00B24E2F" w:rsidP="005A2DBF">
            <w:pPr>
              <w:rPr>
                <w:rFonts w:eastAsia="Arial Unicode MS"/>
                <w:sz w:val="18"/>
                <w:szCs w:val="18"/>
                <w:u w:color="000000"/>
                <w:lang w:eastAsia="ko-KR"/>
              </w:rPr>
            </w:pPr>
          </w:p>
          <w:p w14:paraId="46F5B610" w14:textId="77777777" w:rsidR="00B24E2F" w:rsidRPr="002805B6" w:rsidRDefault="00B24E2F" w:rsidP="005A2DBF">
            <w:pPr>
              <w:rPr>
                <w:rFonts w:eastAsia="Arial Unicode MS"/>
                <w:sz w:val="18"/>
                <w:szCs w:val="18"/>
                <w:u w:color="000000"/>
                <w:lang w:eastAsia="ko-KR"/>
              </w:rPr>
            </w:pPr>
          </w:p>
          <w:p w14:paraId="5B565482" w14:textId="77777777" w:rsidR="00B24E2F" w:rsidRPr="002805B6" w:rsidRDefault="00B24E2F" w:rsidP="005A2DBF">
            <w:pPr>
              <w:rPr>
                <w:rFonts w:eastAsia="Arial Unicode MS"/>
                <w:sz w:val="18"/>
                <w:szCs w:val="18"/>
                <w:u w:color="000000"/>
                <w:lang w:eastAsia="ko-KR"/>
              </w:rPr>
            </w:pPr>
          </w:p>
          <w:p w14:paraId="19F4F11F" w14:textId="77777777" w:rsidR="00B24E2F" w:rsidRPr="002805B6" w:rsidRDefault="00B24E2F" w:rsidP="005A2DBF">
            <w:pPr>
              <w:rPr>
                <w:rFonts w:eastAsia="Arial Unicode MS"/>
                <w:sz w:val="18"/>
                <w:szCs w:val="18"/>
                <w:u w:color="000000"/>
                <w:lang w:eastAsia="ko-KR"/>
              </w:rPr>
            </w:pPr>
          </w:p>
          <w:p w14:paraId="64D2E955" w14:textId="77777777" w:rsidR="00B24E2F" w:rsidRPr="002805B6" w:rsidRDefault="00B24E2F" w:rsidP="005A2DBF">
            <w:pPr>
              <w:rPr>
                <w:rFonts w:eastAsia="Arial Unicode MS"/>
                <w:sz w:val="18"/>
                <w:szCs w:val="18"/>
                <w:u w:color="000000"/>
                <w:lang w:eastAsia="ko-KR"/>
              </w:rPr>
            </w:pPr>
          </w:p>
          <w:p w14:paraId="0A4E4F21" w14:textId="77777777" w:rsidR="00B24E2F" w:rsidRPr="002805B6" w:rsidRDefault="00B24E2F" w:rsidP="005A2DBF">
            <w:pPr>
              <w:rPr>
                <w:rFonts w:eastAsia="Arial Unicode MS"/>
                <w:sz w:val="18"/>
                <w:szCs w:val="18"/>
                <w:u w:color="000000"/>
                <w:lang w:eastAsia="ko-KR"/>
              </w:rPr>
            </w:pPr>
          </w:p>
          <w:p w14:paraId="793E5204" w14:textId="77777777" w:rsidR="00B24E2F" w:rsidRPr="002805B6" w:rsidRDefault="00B24E2F" w:rsidP="005A2DBF">
            <w:pPr>
              <w:rPr>
                <w:rFonts w:eastAsia="Arial Unicode MS"/>
                <w:sz w:val="18"/>
                <w:szCs w:val="18"/>
                <w:u w:color="000000"/>
                <w:lang w:eastAsia="ko-KR"/>
              </w:rPr>
            </w:pPr>
          </w:p>
          <w:p w14:paraId="66DD6A06" w14:textId="77777777" w:rsidR="00B24E2F" w:rsidRPr="002805B6" w:rsidRDefault="00B24E2F" w:rsidP="005A2DBF">
            <w:pPr>
              <w:rPr>
                <w:rFonts w:eastAsia="Arial Unicode MS"/>
                <w:sz w:val="18"/>
                <w:szCs w:val="18"/>
                <w:u w:color="000000"/>
                <w:lang w:eastAsia="ko-KR"/>
              </w:rPr>
            </w:pPr>
          </w:p>
          <w:p w14:paraId="57394AB6" w14:textId="77777777" w:rsidR="00B24E2F" w:rsidRPr="002805B6" w:rsidRDefault="00B24E2F" w:rsidP="005A2DBF">
            <w:pPr>
              <w:rPr>
                <w:rFonts w:eastAsia="Arial Unicode MS"/>
                <w:sz w:val="18"/>
                <w:szCs w:val="18"/>
                <w:u w:color="000000"/>
                <w:lang w:eastAsia="ko-KR"/>
              </w:rPr>
            </w:pPr>
          </w:p>
          <w:p w14:paraId="4BF3FC7C" w14:textId="77777777" w:rsidR="00B24E2F" w:rsidRPr="002805B6" w:rsidRDefault="00B24E2F" w:rsidP="005A2DBF">
            <w:pPr>
              <w:rPr>
                <w:rFonts w:eastAsia="Arial Unicode MS"/>
                <w:sz w:val="18"/>
                <w:szCs w:val="18"/>
                <w:u w:color="000000"/>
                <w:lang w:eastAsia="ko-KR"/>
              </w:rPr>
            </w:pPr>
          </w:p>
          <w:p w14:paraId="6A2A0F1D" w14:textId="77777777" w:rsidR="00B24E2F" w:rsidRPr="002805B6" w:rsidRDefault="00B24E2F" w:rsidP="005A2DBF">
            <w:pPr>
              <w:rPr>
                <w:rFonts w:eastAsia="Arial Unicode MS"/>
                <w:sz w:val="18"/>
                <w:szCs w:val="18"/>
                <w:u w:color="000000"/>
                <w:lang w:eastAsia="ko-KR"/>
              </w:rPr>
            </w:pPr>
          </w:p>
          <w:p w14:paraId="6A92C537" w14:textId="77777777" w:rsidR="00B24E2F" w:rsidRPr="002805B6" w:rsidRDefault="00B24E2F" w:rsidP="005A2DBF">
            <w:pPr>
              <w:rPr>
                <w:rFonts w:eastAsia="Arial Unicode MS"/>
                <w:sz w:val="18"/>
                <w:szCs w:val="18"/>
                <w:u w:color="000000"/>
                <w:lang w:eastAsia="ko-KR"/>
              </w:rPr>
            </w:pPr>
          </w:p>
          <w:p w14:paraId="1BA4CE96" w14:textId="77777777" w:rsidR="00B24E2F" w:rsidRPr="002805B6" w:rsidRDefault="00B24E2F" w:rsidP="005A2DBF">
            <w:pPr>
              <w:rPr>
                <w:rFonts w:eastAsia="Arial Unicode MS"/>
                <w:sz w:val="18"/>
                <w:szCs w:val="18"/>
                <w:u w:color="000000"/>
                <w:lang w:eastAsia="ko-KR"/>
              </w:rPr>
            </w:pPr>
          </w:p>
          <w:p w14:paraId="1C9610C8" w14:textId="77777777" w:rsidR="00B24E2F" w:rsidRPr="002805B6" w:rsidRDefault="00B24E2F" w:rsidP="005A2DBF">
            <w:pPr>
              <w:rPr>
                <w:rFonts w:eastAsia="Arial Unicode MS"/>
                <w:sz w:val="18"/>
                <w:szCs w:val="18"/>
                <w:u w:color="000000"/>
                <w:lang w:eastAsia="ko-KR"/>
              </w:rPr>
            </w:pPr>
          </w:p>
          <w:p w14:paraId="440E9CA7" w14:textId="77777777" w:rsidR="00B24E2F" w:rsidRPr="002805B6" w:rsidRDefault="00B24E2F" w:rsidP="005A2DBF">
            <w:pPr>
              <w:rPr>
                <w:rFonts w:eastAsia="Arial Unicode MS"/>
                <w:sz w:val="18"/>
                <w:szCs w:val="18"/>
                <w:u w:color="000000"/>
                <w:lang w:eastAsia="ko-KR"/>
              </w:rPr>
            </w:pPr>
          </w:p>
          <w:p w14:paraId="7F9C7DE4" w14:textId="77777777" w:rsidR="00B24E2F" w:rsidRPr="002805B6" w:rsidRDefault="00B24E2F" w:rsidP="005A2DBF">
            <w:pPr>
              <w:rPr>
                <w:rFonts w:eastAsia="Arial Unicode MS"/>
                <w:sz w:val="18"/>
                <w:szCs w:val="18"/>
                <w:u w:color="000000"/>
                <w:lang w:eastAsia="ko-KR"/>
              </w:rPr>
            </w:pPr>
          </w:p>
          <w:p w14:paraId="3196A21E" w14:textId="77777777" w:rsidR="00B24E2F" w:rsidRPr="002805B6" w:rsidRDefault="00B24E2F" w:rsidP="005A2DBF">
            <w:pPr>
              <w:rPr>
                <w:rFonts w:eastAsia="Arial Unicode MS"/>
                <w:sz w:val="18"/>
                <w:szCs w:val="18"/>
                <w:u w:color="000000"/>
                <w:lang w:eastAsia="ko-KR"/>
              </w:rPr>
            </w:pPr>
          </w:p>
          <w:p w14:paraId="7AD63056" w14:textId="77777777" w:rsidR="00B24E2F" w:rsidRPr="002805B6" w:rsidRDefault="00B24E2F" w:rsidP="005A2DBF">
            <w:pPr>
              <w:rPr>
                <w:rFonts w:eastAsia="Arial Unicode MS"/>
                <w:sz w:val="18"/>
                <w:szCs w:val="18"/>
                <w:u w:color="000000"/>
                <w:lang w:eastAsia="ko-KR"/>
              </w:rPr>
            </w:pPr>
          </w:p>
          <w:p w14:paraId="06095279" w14:textId="77777777" w:rsidR="00B24E2F" w:rsidRPr="002805B6" w:rsidRDefault="00B24E2F" w:rsidP="005A2DBF">
            <w:pPr>
              <w:rPr>
                <w:rFonts w:eastAsia="Arial Unicode MS"/>
                <w:sz w:val="18"/>
                <w:szCs w:val="18"/>
                <w:u w:color="000000"/>
                <w:lang w:eastAsia="ko-KR"/>
              </w:rPr>
            </w:pPr>
          </w:p>
          <w:p w14:paraId="2EADAFEB" w14:textId="77777777" w:rsidR="00B24E2F" w:rsidRPr="002805B6" w:rsidRDefault="00B24E2F" w:rsidP="005A2DBF">
            <w:pPr>
              <w:rPr>
                <w:rFonts w:eastAsia="Arial Unicode MS"/>
                <w:sz w:val="18"/>
                <w:szCs w:val="18"/>
                <w:u w:color="000000"/>
                <w:lang w:eastAsia="ko-KR"/>
              </w:rPr>
            </w:pPr>
          </w:p>
          <w:p w14:paraId="58429A8B" w14:textId="77777777" w:rsidR="00B24E2F" w:rsidRPr="002805B6" w:rsidRDefault="00B24E2F" w:rsidP="005A2DBF">
            <w:pPr>
              <w:rPr>
                <w:rFonts w:eastAsia="Arial Unicode MS"/>
                <w:sz w:val="18"/>
                <w:szCs w:val="18"/>
                <w:u w:color="000000"/>
                <w:lang w:eastAsia="ko-KR"/>
              </w:rPr>
            </w:pPr>
          </w:p>
          <w:p w14:paraId="0E2FADFA" w14:textId="77777777" w:rsidR="00B24E2F" w:rsidRPr="002805B6" w:rsidRDefault="00B24E2F" w:rsidP="005A2DBF">
            <w:pPr>
              <w:rPr>
                <w:rFonts w:eastAsia="Arial Unicode MS"/>
                <w:sz w:val="18"/>
                <w:szCs w:val="18"/>
                <w:u w:color="000000"/>
                <w:lang w:eastAsia="ko-KR"/>
              </w:rPr>
            </w:pPr>
          </w:p>
          <w:p w14:paraId="5631FD60" w14:textId="77777777" w:rsidR="00B24E2F" w:rsidRPr="002805B6" w:rsidRDefault="00B24E2F" w:rsidP="005A2DBF">
            <w:pPr>
              <w:rPr>
                <w:rFonts w:eastAsia="Arial Unicode MS"/>
                <w:sz w:val="18"/>
                <w:szCs w:val="18"/>
                <w:u w:color="000000"/>
                <w:lang w:eastAsia="ko-KR"/>
              </w:rPr>
            </w:pPr>
          </w:p>
          <w:p w14:paraId="56D2367F" w14:textId="77777777" w:rsidR="00B24E2F" w:rsidRPr="002805B6" w:rsidRDefault="00B24E2F" w:rsidP="005A2DBF">
            <w:pPr>
              <w:rPr>
                <w:rFonts w:eastAsia="Arial Unicode MS"/>
                <w:sz w:val="18"/>
                <w:szCs w:val="18"/>
                <w:u w:color="000000"/>
                <w:lang w:eastAsia="ko-KR"/>
              </w:rPr>
            </w:pPr>
          </w:p>
          <w:p w14:paraId="5981922F" w14:textId="77777777" w:rsidR="00B24E2F" w:rsidRPr="002805B6" w:rsidRDefault="00B24E2F" w:rsidP="005A2DBF">
            <w:pPr>
              <w:rPr>
                <w:rFonts w:eastAsia="Arial Unicode MS"/>
                <w:sz w:val="18"/>
                <w:szCs w:val="18"/>
                <w:u w:color="000000"/>
                <w:lang w:eastAsia="ko-KR"/>
              </w:rPr>
            </w:pPr>
          </w:p>
          <w:p w14:paraId="5AD1EC11" w14:textId="77777777" w:rsidR="00B24E2F" w:rsidRPr="002805B6" w:rsidRDefault="00B24E2F" w:rsidP="005A2DBF">
            <w:pPr>
              <w:rPr>
                <w:rFonts w:eastAsia="Arial Unicode MS"/>
                <w:sz w:val="18"/>
                <w:szCs w:val="18"/>
                <w:u w:color="000000"/>
                <w:lang w:eastAsia="ko-KR"/>
              </w:rPr>
            </w:pPr>
          </w:p>
          <w:p w14:paraId="425A1D98" w14:textId="77777777" w:rsidR="00B24E2F" w:rsidRPr="002805B6" w:rsidRDefault="00B24E2F" w:rsidP="005A2DBF">
            <w:pPr>
              <w:rPr>
                <w:rFonts w:eastAsia="Arial Unicode MS"/>
                <w:sz w:val="18"/>
                <w:szCs w:val="18"/>
                <w:u w:color="000000"/>
                <w:lang w:eastAsia="ko-KR"/>
              </w:rPr>
            </w:pPr>
          </w:p>
          <w:p w14:paraId="162E2CC2" w14:textId="77777777" w:rsidR="00B24E2F" w:rsidRPr="002805B6" w:rsidRDefault="00B24E2F" w:rsidP="005A2DBF">
            <w:pPr>
              <w:rPr>
                <w:rFonts w:eastAsia="Arial Unicode MS"/>
                <w:sz w:val="18"/>
                <w:szCs w:val="18"/>
                <w:u w:color="000000"/>
                <w:lang w:eastAsia="ko-KR"/>
              </w:rPr>
            </w:pPr>
          </w:p>
          <w:p w14:paraId="0477CE78" w14:textId="77777777" w:rsidR="00B24E2F" w:rsidRPr="002805B6" w:rsidRDefault="00B24E2F" w:rsidP="005A2DBF">
            <w:pPr>
              <w:rPr>
                <w:rFonts w:eastAsia="Arial Unicode MS"/>
                <w:sz w:val="18"/>
                <w:szCs w:val="18"/>
                <w:u w:color="000000"/>
                <w:lang w:eastAsia="ko-KR"/>
              </w:rPr>
            </w:pPr>
          </w:p>
          <w:p w14:paraId="033889B8" w14:textId="77777777" w:rsidR="00B24E2F" w:rsidRPr="002805B6" w:rsidRDefault="00B24E2F" w:rsidP="005A2DBF">
            <w:pPr>
              <w:rPr>
                <w:rFonts w:eastAsia="Arial Unicode MS"/>
                <w:sz w:val="18"/>
                <w:szCs w:val="18"/>
                <w:u w:color="000000"/>
                <w:lang w:eastAsia="ko-KR"/>
              </w:rPr>
            </w:pPr>
          </w:p>
          <w:p w14:paraId="2B080D32" w14:textId="77777777" w:rsidR="00B24E2F" w:rsidRPr="002805B6" w:rsidRDefault="00B24E2F" w:rsidP="005A2DBF">
            <w:pPr>
              <w:rPr>
                <w:rFonts w:eastAsia="Arial Unicode MS"/>
                <w:sz w:val="18"/>
                <w:szCs w:val="18"/>
                <w:u w:color="000000"/>
                <w:lang w:eastAsia="ko-KR"/>
              </w:rPr>
            </w:pPr>
          </w:p>
          <w:p w14:paraId="6EEEF73A" w14:textId="77777777" w:rsidR="00B24E2F" w:rsidRPr="002805B6" w:rsidRDefault="00B24E2F" w:rsidP="005A2DBF">
            <w:pPr>
              <w:rPr>
                <w:rFonts w:eastAsia="Arial Unicode MS"/>
                <w:sz w:val="18"/>
                <w:szCs w:val="18"/>
                <w:u w:color="000000"/>
                <w:lang w:eastAsia="ko-KR"/>
              </w:rPr>
            </w:pPr>
          </w:p>
          <w:p w14:paraId="608F6886" w14:textId="77777777" w:rsidR="00B24E2F" w:rsidRPr="002805B6" w:rsidRDefault="00B24E2F" w:rsidP="005A2DBF">
            <w:pPr>
              <w:rPr>
                <w:rFonts w:eastAsia="Arial Unicode MS"/>
                <w:sz w:val="18"/>
                <w:szCs w:val="18"/>
                <w:u w:color="000000"/>
                <w:lang w:eastAsia="ko-KR"/>
              </w:rPr>
            </w:pPr>
          </w:p>
          <w:p w14:paraId="78A9D1A4" w14:textId="77777777" w:rsidR="00B24E2F" w:rsidRPr="002805B6" w:rsidRDefault="00B24E2F" w:rsidP="005A2DBF">
            <w:pPr>
              <w:rPr>
                <w:rFonts w:eastAsia="Arial Unicode MS"/>
                <w:sz w:val="18"/>
                <w:szCs w:val="18"/>
                <w:u w:color="000000"/>
                <w:lang w:eastAsia="ko-KR"/>
              </w:rPr>
            </w:pPr>
          </w:p>
          <w:p w14:paraId="25DC6F2D" w14:textId="77777777" w:rsidR="00B24E2F" w:rsidRPr="002805B6" w:rsidRDefault="00B24E2F" w:rsidP="005A2DBF">
            <w:pPr>
              <w:rPr>
                <w:rFonts w:eastAsia="Arial Unicode MS"/>
                <w:sz w:val="18"/>
                <w:szCs w:val="18"/>
                <w:u w:color="000000"/>
                <w:lang w:eastAsia="ko-KR"/>
              </w:rPr>
            </w:pPr>
          </w:p>
          <w:p w14:paraId="14A1C8B9" w14:textId="77777777" w:rsidR="00B24E2F" w:rsidRPr="002805B6" w:rsidRDefault="00B24E2F" w:rsidP="005A2DBF">
            <w:pPr>
              <w:rPr>
                <w:rFonts w:eastAsia="Arial Unicode MS"/>
                <w:sz w:val="18"/>
                <w:szCs w:val="18"/>
                <w:u w:color="000000"/>
                <w:lang w:eastAsia="ko-KR"/>
              </w:rPr>
            </w:pPr>
          </w:p>
          <w:p w14:paraId="1D9E1D9A" w14:textId="77777777" w:rsidR="00B24E2F" w:rsidRPr="002805B6" w:rsidRDefault="00B24E2F" w:rsidP="005A2DBF">
            <w:pPr>
              <w:rPr>
                <w:rFonts w:eastAsia="Arial Unicode MS"/>
                <w:sz w:val="18"/>
                <w:szCs w:val="18"/>
                <w:u w:color="000000"/>
                <w:lang w:eastAsia="ko-KR"/>
              </w:rPr>
            </w:pPr>
          </w:p>
          <w:p w14:paraId="55E25FDB" w14:textId="77777777" w:rsidR="00B24E2F" w:rsidRPr="002805B6" w:rsidRDefault="00B24E2F" w:rsidP="005A2DBF">
            <w:pPr>
              <w:rPr>
                <w:rFonts w:eastAsia="Arial Unicode MS"/>
                <w:sz w:val="18"/>
                <w:szCs w:val="18"/>
                <w:u w:color="000000"/>
                <w:lang w:eastAsia="ko-KR"/>
              </w:rPr>
            </w:pPr>
          </w:p>
          <w:p w14:paraId="68843643" w14:textId="77777777" w:rsidR="00B24E2F" w:rsidRPr="002805B6" w:rsidRDefault="00B24E2F" w:rsidP="005A2DBF">
            <w:pPr>
              <w:rPr>
                <w:rFonts w:eastAsia="Arial Unicode MS"/>
                <w:sz w:val="18"/>
                <w:szCs w:val="18"/>
                <w:u w:color="000000"/>
                <w:lang w:eastAsia="ko-KR"/>
              </w:rPr>
            </w:pPr>
          </w:p>
          <w:p w14:paraId="3322A326" w14:textId="77777777" w:rsidR="00B24E2F" w:rsidRPr="002805B6" w:rsidRDefault="00B24E2F" w:rsidP="005A2DBF">
            <w:pPr>
              <w:rPr>
                <w:rFonts w:eastAsia="Arial Unicode MS"/>
                <w:sz w:val="18"/>
                <w:szCs w:val="18"/>
                <w:u w:color="000000"/>
                <w:lang w:eastAsia="ko-KR"/>
              </w:rPr>
            </w:pPr>
          </w:p>
          <w:p w14:paraId="52D9B77B" w14:textId="77777777" w:rsidR="00B24E2F" w:rsidRPr="002805B6" w:rsidRDefault="00B24E2F"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p>
          <w:p w14:paraId="0560B8E3" w14:textId="58007E7F" w:rsidR="007B6947" w:rsidRPr="002805B6" w:rsidRDefault="00B24E2F"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D82F97">
              <w:rPr>
                <w:rFonts w:eastAsia="Arial Unicode MS"/>
                <w:b/>
                <w:sz w:val="18"/>
                <w:szCs w:val="18"/>
                <w:u w:color="000000"/>
                <w:lang w:eastAsia="ko-KR"/>
              </w:rPr>
              <w:t xml:space="preserve">Data </w:t>
            </w:r>
            <w:r w:rsidR="00D82F97" w:rsidRPr="00D82F97">
              <w:rPr>
                <w:rFonts w:eastAsia="Arial Unicode MS"/>
                <w:b/>
                <w:sz w:val="18"/>
                <w:szCs w:val="18"/>
                <w:u w:color="000000"/>
                <w:lang w:eastAsia="ko-KR"/>
              </w:rPr>
              <w:t>s</w:t>
            </w:r>
            <w:r w:rsidRPr="00D82F97">
              <w:rPr>
                <w:rFonts w:eastAsia="Arial Unicode MS"/>
                <w:b/>
                <w:sz w:val="18"/>
                <w:szCs w:val="18"/>
                <w:u w:color="000000"/>
                <w:lang w:eastAsia="ko-KR"/>
              </w:rPr>
              <w:t>ource</w:t>
            </w:r>
            <w:r w:rsidRPr="002805B6">
              <w:rPr>
                <w:rFonts w:eastAsia="Arial Unicode MS"/>
                <w:sz w:val="18"/>
                <w:szCs w:val="18"/>
                <w:u w:color="000000"/>
                <w:lang w:eastAsia="ko-KR"/>
              </w:rPr>
              <w:t>: Annual report of NDP implementation</w:t>
            </w:r>
          </w:p>
        </w:tc>
        <w:tc>
          <w:tcPr>
            <w:tcW w:w="1626" w:type="pct"/>
            <w:vMerge w:val="restart"/>
            <w:tcMar>
              <w:top w:w="72" w:type="dxa"/>
              <w:left w:w="144" w:type="dxa"/>
              <w:bottom w:w="72" w:type="dxa"/>
              <w:right w:w="144" w:type="dxa"/>
            </w:tcMar>
          </w:tcPr>
          <w:p w14:paraId="6AA18FB7" w14:textId="6FCEC486" w:rsidR="00B24E2F" w:rsidRPr="002805B6" w:rsidRDefault="001F5B78" w:rsidP="005A2DBF">
            <w:pPr>
              <w:rPr>
                <w:b/>
                <w:sz w:val="18"/>
                <w:szCs w:val="18"/>
              </w:rPr>
            </w:pPr>
            <w:r w:rsidRPr="002805B6">
              <w:rPr>
                <w:rFonts w:eastAsia="Arial Unicode MS"/>
                <w:sz w:val="18"/>
                <w:szCs w:val="18"/>
                <w:u w:color="000000"/>
                <w:lang w:eastAsia="ko-KR"/>
              </w:rPr>
              <w:lastRenderedPageBreak/>
              <w:t xml:space="preserve"> </w:t>
            </w:r>
            <w:r w:rsidR="00B24E2F" w:rsidRPr="002805B6">
              <w:rPr>
                <w:rFonts w:eastAsia="Arial Unicode MS"/>
                <w:b/>
                <w:sz w:val="18"/>
                <w:szCs w:val="18"/>
                <w:u w:color="000000"/>
                <w:lang w:eastAsia="ko-KR"/>
              </w:rPr>
              <w:t xml:space="preserve">Output 1.1: </w:t>
            </w:r>
            <w:r w:rsidR="00B24E2F" w:rsidRPr="000807BB">
              <w:rPr>
                <w:sz w:val="18"/>
                <w:szCs w:val="18"/>
              </w:rPr>
              <w:t xml:space="preserve">Ministry of public administration </w:t>
            </w:r>
            <w:r w:rsidR="00B24E2F" w:rsidRPr="000807BB">
              <w:rPr>
                <w:rFonts w:eastAsia="Arial Unicode MS"/>
                <w:sz w:val="18"/>
                <w:szCs w:val="18"/>
                <w:u w:color="000000"/>
                <w:lang w:eastAsia="ko-KR"/>
              </w:rPr>
              <w:t>and other targeted institutions at national and local levels have strengthened</w:t>
            </w:r>
            <w:r w:rsidR="00B24E2F" w:rsidRPr="000807BB">
              <w:rPr>
                <w:sz w:val="18"/>
                <w:szCs w:val="18"/>
              </w:rPr>
              <w:t xml:space="preserve"> capacities to ensure effectiveness of public services delivery</w:t>
            </w:r>
            <w:r w:rsidR="00B24E2F" w:rsidRPr="002805B6">
              <w:rPr>
                <w:i/>
                <w:sz w:val="18"/>
                <w:szCs w:val="18"/>
              </w:rPr>
              <w:t xml:space="preserve"> </w:t>
            </w:r>
          </w:p>
          <w:p w14:paraId="5313429C" w14:textId="77777777" w:rsidR="00B24E2F" w:rsidRPr="002805B6" w:rsidRDefault="00B24E2F" w:rsidP="005A2DBF">
            <w:pPr>
              <w:rPr>
                <w:b/>
                <w:sz w:val="18"/>
                <w:szCs w:val="18"/>
              </w:rPr>
            </w:pPr>
          </w:p>
          <w:p w14:paraId="24EF406D" w14:textId="77777777" w:rsidR="00B24E2F" w:rsidRPr="002805B6" w:rsidRDefault="00B24E2F" w:rsidP="005A2DBF">
            <w:pPr>
              <w:rPr>
                <w:sz w:val="18"/>
                <w:szCs w:val="18"/>
              </w:rPr>
            </w:pPr>
            <w:r w:rsidRPr="002805B6">
              <w:rPr>
                <w:b/>
                <w:sz w:val="18"/>
                <w:szCs w:val="18"/>
              </w:rPr>
              <w:t xml:space="preserve">Indicator 1.1.1: </w:t>
            </w:r>
            <w:r w:rsidRPr="002805B6">
              <w:rPr>
                <w:sz w:val="18"/>
                <w:szCs w:val="18"/>
              </w:rPr>
              <w:t xml:space="preserve">Extent of utilization of </w:t>
            </w:r>
            <w:r w:rsidR="00FC53F7" w:rsidRPr="002805B6">
              <w:rPr>
                <w:sz w:val="18"/>
                <w:szCs w:val="18"/>
              </w:rPr>
              <w:t xml:space="preserve">UNDP-supported civil servant </w:t>
            </w:r>
            <w:r w:rsidRPr="002805B6">
              <w:rPr>
                <w:sz w:val="18"/>
                <w:szCs w:val="18"/>
              </w:rPr>
              <w:t>centralized management system in public administration</w:t>
            </w:r>
          </w:p>
          <w:p w14:paraId="098762B4" w14:textId="77777777" w:rsidR="00B24E2F" w:rsidRPr="000807BB" w:rsidRDefault="00B24E2F" w:rsidP="005A2DBF">
            <w:pPr>
              <w:rPr>
                <w:sz w:val="18"/>
                <w:szCs w:val="18"/>
              </w:rPr>
            </w:pPr>
            <w:r w:rsidRPr="000807BB">
              <w:rPr>
                <w:b/>
                <w:sz w:val="18"/>
                <w:szCs w:val="18"/>
              </w:rPr>
              <w:t>Baseline (2017)</w:t>
            </w:r>
            <w:r w:rsidRPr="002805B6">
              <w:rPr>
                <w:b/>
                <w:sz w:val="18"/>
                <w:szCs w:val="18"/>
                <w:vertAlign w:val="superscript"/>
              </w:rPr>
              <w:footnoteReference w:id="25"/>
            </w:r>
            <w:r w:rsidRPr="000807BB">
              <w:rPr>
                <w:b/>
                <w:sz w:val="18"/>
                <w:szCs w:val="18"/>
              </w:rPr>
              <w:t>:</w:t>
            </w:r>
            <w:r w:rsidRPr="000807BB">
              <w:rPr>
                <w:sz w:val="18"/>
                <w:szCs w:val="18"/>
              </w:rPr>
              <w:t xml:space="preserve"> 1</w:t>
            </w:r>
          </w:p>
          <w:p w14:paraId="29E24359" w14:textId="77777777" w:rsidR="00B24E2F" w:rsidRPr="000807BB" w:rsidRDefault="00B24E2F" w:rsidP="005A2DBF">
            <w:pPr>
              <w:rPr>
                <w:sz w:val="18"/>
                <w:szCs w:val="18"/>
              </w:rPr>
            </w:pPr>
            <w:r w:rsidRPr="000807BB">
              <w:rPr>
                <w:b/>
                <w:sz w:val="18"/>
                <w:szCs w:val="18"/>
              </w:rPr>
              <w:t>Target:</w:t>
            </w:r>
            <w:r w:rsidRPr="000807BB">
              <w:rPr>
                <w:sz w:val="18"/>
                <w:szCs w:val="18"/>
              </w:rPr>
              <w:t xml:space="preserve"> 3</w:t>
            </w:r>
          </w:p>
          <w:p w14:paraId="683E6A65" w14:textId="4C1CF588" w:rsidR="00B24E2F" w:rsidRPr="00852D53" w:rsidRDefault="00B24E2F" w:rsidP="005A2DBF">
            <w:pPr>
              <w:rPr>
                <w:sz w:val="18"/>
                <w:szCs w:val="18"/>
              </w:rPr>
            </w:pPr>
            <w:r w:rsidRPr="00852D53">
              <w:rPr>
                <w:b/>
                <w:sz w:val="18"/>
                <w:szCs w:val="18"/>
              </w:rPr>
              <w:t>Data source:</w:t>
            </w:r>
            <w:r w:rsidRPr="00852D53">
              <w:rPr>
                <w:sz w:val="18"/>
                <w:szCs w:val="18"/>
              </w:rPr>
              <w:t xml:space="preserve"> </w:t>
            </w:r>
            <w:r w:rsidR="00277EBC" w:rsidRPr="00852D53">
              <w:rPr>
                <w:sz w:val="18"/>
                <w:szCs w:val="18"/>
              </w:rPr>
              <w:t>National Programme for Streng</w:t>
            </w:r>
            <w:r w:rsidR="00361F9B">
              <w:rPr>
                <w:sz w:val="18"/>
                <w:szCs w:val="18"/>
              </w:rPr>
              <w:t xml:space="preserve">thening </w:t>
            </w:r>
            <w:r w:rsidR="00277EBC" w:rsidRPr="00852D53">
              <w:rPr>
                <w:sz w:val="18"/>
                <w:szCs w:val="18"/>
              </w:rPr>
              <w:t>Capacities and Modernization of the State for Sustainable Development (Programme National de Renforcement des Capacités et de Modernisation de l'Etat pour le Développement Durable</w:t>
            </w:r>
            <w:r w:rsidR="00CC4FA0" w:rsidRPr="00852D53">
              <w:rPr>
                <w:sz w:val="18"/>
                <w:szCs w:val="18"/>
              </w:rPr>
              <w:t xml:space="preserve"> (</w:t>
            </w:r>
            <w:r w:rsidR="006E3AB3" w:rsidRPr="00852D53">
              <w:rPr>
                <w:sz w:val="18"/>
                <w:szCs w:val="18"/>
              </w:rPr>
              <w:t>PNRCME-DD</w:t>
            </w:r>
            <w:r w:rsidR="00CC4FA0" w:rsidRPr="00852D53">
              <w:rPr>
                <w:sz w:val="18"/>
                <w:szCs w:val="18"/>
              </w:rPr>
              <w:t>)</w:t>
            </w:r>
            <w:r w:rsidR="006E3AB3" w:rsidRPr="00852D53">
              <w:rPr>
                <w:sz w:val="18"/>
                <w:szCs w:val="18"/>
              </w:rPr>
              <w:t xml:space="preserve"> </w:t>
            </w:r>
            <w:r w:rsidRPr="00852D53">
              <w:rPr>
                <w:sz w:val="18"/>
                <w:szCs w:val="18"/>
              </w:rPr>
              <w:t xml:space="preserve">Annual report  </w:t>
            </w:r>
          </w:p>
          <w:p w14:paraId="3D84A651" w14:textId="77777777" w:rsidR="00B24E2F" w:rsidRPr="00852D53" w:rsidRDefault="00B24E2F" w:rsidP="005A2DBF">
            <w:pPr>
              <w:rPr>
                <w:sz w:val="18"/>
                <w:szCs w:val="18"/>
              </w:rPr>
            </w:pPr>
          </w:p>
          <w:p w14:paraId="24ED5468" w14:textId="77777777" w:rsidR="00B24E2F" w:rsidRPr="002805B6" w:rsidRDefault="00B24E2F" w:rsidP="005A2DBF">
            <w:pPr>
              <w:rPr>
                <w:sz w:val="18"/>
                <w:szCs w:val="18"/>
              </w:rPr>
            </w:pPr>
            <w:r w:rsidRPr="002805B6">
              <w:rPr>
                <w:b/>
                <w:sz w:val="18"/>
                <w:szCs w:val="18"/>
              </w:rPr>
              <w:t>Indicator 1.1.2</w:t>
            </w:r>
            <w:r w:rsidRPr="002805B6">
              <w:rPr>
                <w:sz w:val="18"/>
                <w:szCs w:val="18"/>
              </w:rPr>
              <w:t xml:space="preserve"> Extent to which </w:t>
            </w:r>
            <w:r w:rsidR="00FC53F7" w:rsidRPr="002805B6">
              <w:rPr>
                <w:sz w:val="18"/>
                <w:szCs w:val="18"/>
              </w:rPr>
              <w:t>UNDP</w:t>
            </w:r>
            <w:r w:rsidR="00851FA8" w:rsidRPr="002805B6">
              <w:rPr>
                <w:sz w:val="18"/>
                <w:szCs w:val="18"/>
              </w:rPr>
              <w:t>-</w:t>
            </w:r>
            <w:r w:rsidR="00FC53F7" w:rsidRPr="002805B6">
              <w:rPr>
                <w:sz w:val="18"/>
                <w:szCs w:val="18"/>
              </w:rPr>
              <w:t xml:space="preserve">supported </w:t>
            </w:r>
            <w:r w:rsidRPr="002805B6">
              <w:rPr>
                <w:sz w:val="18"/>
                <w:szCs w:val="18"/>
              </w:rPr>
              <w:t xml:space="preserve">simplified procedures are used to deliver services related </w:t>
            </w:r>
            <w:r w:rsidR="006E3AB3" w:rsidRPr="002805B6">
              <w:rPr>
                <w:sz w:val="18"/>
                <w:szCs w:val="18"/>
              </w:rPr>
              <w:t xml:space="preserve">to </w:t>
            </w:r>
            <w:r w:rsidRPr="002805B6">
              <w:rPr>
                <w:sz w:val="18"/>
                <w:szCs w:val="18"/>
              </w:rPr>
              <w:t>legal identity civil registration and nationality certificate</w:t>
            </w:r>
            <w:r w:rsidR="006E3AB3" w:rsidRPr="002805B6">
              <w:rPr>
                <w:sz w:val="18"/>
                <w:szCs w:val="18"/>
              </w:rPr>
              <w:t>s</w:t>
            </w:r>
          </w:p>
          <w:p w14:paraId="3FCBF199" w14:textId="77777777" w:rsidR="00B24E2F" w:rsidRPr="002805B6" w:rsidRDefault="00B24E2F" w:rsidP="005A2DBF">
            <w:pPr>
              <w:rPr>
                <w:sz w:val="18"/>
                <w:szCs w:val="18"/>
              </w:rPr>
            </w:pPr>
            <w:r w:rsidRPr="002805B6">
              <w:rPr>
                <w:b/>
                <w:sz w:val="18"/>
                <w:szCs w:val="18"/>
              </w:rPr>
              <w:t>Baseline:</w:t>
            </w:r>
            <w:r w:rsidRPr="002805B6">
              <w:rPr>
                <w:sz w:val="18"/>
                <w:szCs w:val="18"/>
              </w:rPr>
              <w:t xml:space="preserve"> (2017)</w:t>
            </w:r>
            <w:r w:rsidRPr="002805B6">
              <w:rPr>
                <w:sz w:val="18"/>
                <w:szCs w:val="18"/>
                <w:vertAlign w:val="superscript"/>
              </w:rPr>
              <w:footnoteReference w:id="26"/>
            </w:r>
            <w:r w:rsidRPr="002805B6">
              <w:rPr>
                <w:sz w:val="18"/>
                <w:szCs w:val="18"/>
              </w:rPr>
              <w:t>: 2</w:t>
            </w:r>
          </w:p>
          <w:p w14:paraId="0E004FEE" w14:textId="77777777" w:rsidR="00B24E2F" w:rsidRPr="002805B6" w:rsidRDefault="00B24E2F" w:rsidP="005A2DBF">
            <w:pPr>
              <w:rPr>
                <w:sz w:val="18"/>
                <w:szCs w:val="18"/>
              </w:rPr>
            </w:pPr>
            <w:r w:rsidRPr="002805B6">
              <w:rPr>
                <w:b/>
                <w:sz w:val="18"/>
                <w:szCs w:val="18"/>
              </w:rPr>
              <w:t>Target:</w:t>
            </w:r>
            <w:r w:rsidRPr="002805B6">
              <w:rPr>
                <w:sz w:val="18"/>
                <w:szCs w:val="18"/>
              </w:rPr>
              <w:t xml:space="preserve"> 3</w:t>
            </w:r>
          </w:p>
          <w:p w14:paraId="3D070CAB" w14:textId="77777777" w:rsidR="00B24E2F" w:rsidRPr="002805B6" w:rsidRDefault="00B24E2F" w:rsidP="005A2DBF">
            <w:pPr>
              <w:rPr>
                <w:b/>
                <w:sz w:val="18"/>
                <w:szCs w:val="18"/>
              </w:rPr>
            </w:pPr>
            <w:r w:rsidRPr="002805B6">
              <w:rPr>
                <w:b/>
                <w:sz w:val="18"/>
                <w:szCs w:val="18"/>
              </w:rPr>
              <w:t>Data source:</w:t>
            </w:r>
            <w:r w:rsidR="00EE7090" w:rsidRPr="002805B6">
              <w:rPr>
                <w:b/>
                <w:sz w:val="18"/>
                <w:szCs w:val="18"/>
              </w:rPr>
              <w:t xml:space="preserve"> </w:t>
            </w:r>
            <w:r w:rsidR="00EE7090" w:rsidRPr="002805B6">
              <w:rPr>
                <w:sz w:val="18"/>
                <w:szCs w:val="18"/>
              </w:rPr>
              <w:t>Annual report Ministry of territorial administration</w:t>
            </w:r>
          </w:p>
          <w:p w14:paraId="527DC03B" w14:textId="77777777" w:rsidR="00B24E2F" w:rsidRPr="002805B6" w:rsidRDefault="00B24E2F" w:rsidP="005A2DBF">
            <w:pPr>
              <w:rPr>
                <w:sz w:val="18"/>
                <w:szCs w:val="18"/>
              </w:rPr>
            </w:pPr>
          </w:p>
          <w:p w14:paraId="3D44758B" w14:textId="77777777" w:rsidR="00B24E2F" w:rsidRPr="002805B6" w:rsidRDefault="00B24E2F" w:rsidP="005A2DBF">
            <w:pPr>
              <w:rPr>
                <w:sz w:val="18"/>
                <w:szCs w:val="18"/>
              </w:rPr>
            </w:pPr>
          </w:p>
          <w:p w14:paraId="065E34BC" w14:textId="6B9B597B" w:rsidR="00B24E2F" w:rsidRPr="002805B6" w:rsidRDefault="00B24E2F" w:rsidP="005A2DBF">
            <w:pPr>
              <w:rPr>
                <w:sz w:val="18"/>
                <w:szCs w:val="18"/>
              </w:rPr>
            </w:pPr>
            <w:r w:rsidRPr="002805B6">
              <w:rPr>
                <w:b/>
                <w:sz w:val="18"/>
                <w:szCs w:val="18"/>
              </w:rPr>
              <w:lastRenderedPageBreak/>
              <w:t xml:space="preserve">Indicator 1.1.3: </w:t>
            </w:r>
            <w:r w:rsidRPr="002805B6">
              <w:rPr>
                <w:sz w:val="18"/>
                <w:szCs w:val="18"/>
              </w:rPr>
              <w:t>Existence of effective measures adopted</w:t>
            </w:r>
            <w:r w:rsidR="00FC53F7" w:rsidRPr="002805B6">
              <w:rPr>
                <w:sz w:val="18"/>
                <w:szCs w:val="18"/>
              </w:rPr>
              <w:t xml:space="preserve"> with UNDP support</w:t>
            </w:r>
            <w:r w:rsidRPr="002805B6">
              <w:rPr>
                <w:sz w:val="18"/>
                <w:szCs w:val="18"/>
              </w:rPr>
              <w:t xml:space="preserve"> to mitigate and remedy corruption risks at a) National, b) subnational and c) sector level of public administration</w:t>
            </w:r>
          </w:p>
          <w:p w14:paraId="6719BE9A" w14:textId="445E31B2" w:rsidR="00B24E2F" w:rsidRPr="002805B6" w:rsidRDefault="00B24E2F" w:rsidP="005A2DBF">
            <w:pPr>
              <w:rPr>
                <w:sz w:val="18"/>
                <w:szCs w:val="18"/>
              </w:rPr>
            </w:pPr>
            <w:r w:rsidRPr="002805B6">
              <w:rPr>
                <w:b/>
                <w:sz w:val="18"/>
                <w:szCs w:val="18"/>
              </w:rPr>
              <w:t>Baseline (2017)</w:t>
            </w:r>
            <w:r w:rsidRPr="002805B6">
              <w:rPr>
                <w:rFonts w:eastAsia="Arial Unicode MS"/>
                <w:b/>
                <w:sz w:val="18"/>
                <w:szCs w:val="18"/>
                <w:u w:color="000000"/>
                <w:vertAlign w:val="superscript"/>
                <w:lang w:eastAsia="ko-KR"/>
              </w:rPr>
              <w:t xml:space="preserve"> </w:t>
            </w:r>
            <w:r w:rsidRPr="002805B6">
              <w:rPr>
                <w:rFonts w:eastAsia="Arial Unicode MS"/>
                <w:b/>
                <w:sz w:val="18"/>
                <w:szCs w:val="18"/>
                <w:u w:color="000000"/>
                <w:vertAlign w:val="superscript"/>
                <w:lang w:eastAsia="ko-KR"/>
              </w:rPr>
              <w:footnoteReference w:id="27"/>
            </w:r>
            <w:r w:rsidRPr="002805B6">
              <w:rPr>
                <w:sz w:val="18"/>
                <w:szCs w:val="18"/>
              </w:rPr>
              <w:t xml:space="preserve">: </w:t>
            </w:r>
            <w:r w:rsidR="00A81CD3">
              <w:rPr>
                <w:sz w:val="18"/>
                <w:szCs w:val="18"/>
              </w:rPr>
              <w:t>(</w:t>
            </w:r>
            <w:r w:rsidR="00B64F94" w:rsidRPr="002805B6">
              <w:rPr>
                <w:sz w:val="18"/>
                <w:szCs w:val="18"/>
              </w:rPr>
              <w:t>a) No</w:t>
            </w:r>
            <w:r w:rsidR="00A81CD3">
              <w:rPr>
                <w:sz w:val="18"/>
                <w:szCs w:val="18"/>
              </w:rPr>
              <w:t>;</w:t>
            </w:r>
            <w:r w:rsidRPr="002805B6">
              <w:rPr>
                <w:sz w:val="18"/>
                <w:szCs w:val="18"/>
              </w:rPr>
              <w:t xml:space="preserve"> </w:t>
            </w:r>
            <w:r w:rsidR="00A81CD3">
              <w:rPr>
                <w:sz w:val="18"/>
                <w:szCs w:val="18"/>
              </w:rPr>
              <w:t>(</w:t>
            </w:r>
            <w:r w:rsidR="00B64F94" w:rsidRPr="002805B6">
              <w:rPr>
                <w:sz w:val="18"/>
                <w:szCs w:val="18"/>
              </w:rPr>
              <w:t>b)No</w:t>
            </w:r>
            <w:r w:rsidR="00A81CD3">
              <w:rPr>
                <w:sz w:val="18"/>
                <w:szCs w:val="18"/>
              </w:rPr>
              <w:t>;</w:t>
            </w:r>
            <w:r w:rsidRPr="002805B6">
              <w:rPr>
                <w:sz w:val="18"/>
                <w:szCs w:val="18"/>
              </w:rPr>
              <w:t xml:space="preserve"> </w:t>
            </w:r>
            <w:r w:rsidR="00A81CD3">
              <w:rPr>
                <w:sz w:val="18"/>
                <w:szCs w:val="18"/>
              </w:rPr>
              <w:t>(</w:t>
            </w:r>
            <w:r w:rsidR="00B64F94" w:rsidRPr="002805B6">
              <w:rPr>
                <w:sz w:val="18"/>
                <w:szCs w:val="18"/>
              </w:rPr>
              <w:t>c) No</w:t>
            </w:r>
          </w:p>
          <w:p w14:paraId="61B1FD86" w14:textId="25399FEE" w:rsidR="00B24E2F" w:rsidRPr="002805B6" w:rsidRDefault="00B24E2F" w:rsidP="005A2DBF">
            <w:pPr>
              <w:rPr>
                <w:sz w:val="18"/>
                <w:szCs w:val="18"/>
              </w:rPr>
            </w:pPr>
            <w:r w:rsidRPr="002805B6">
              <w:rPr>
                <w:b/>
                <w:sz w:val="18"/>
                <w:szCs w:val="18"/>
              </w:rPr>
              <w:t>Target:</w:t>
            </w:r>
            <w:r w:rsidRPr="002805B6">
              <w:rPr>
                <w:sz w:val="18"/>
                <w:szCs w:val="18"/>
              </w:rPr>
              <w:t xml:space="preserve"> </w:t>
            </w:r>
            <w:r w:rsidR="00A81CD3">
              <w:rPr>
                <w:sz w:val="18"/>
                <w:szCs w:val="18"/>
              </w:rPr>
              <w:t>(</w:t>
            </w:r>
            <w:r w:rsidRPr="002805B6">
              <w:rPr>
                <w:sz w:val="18"/>
                <w:szCs w:val="18"/>
              </w:rPr>
              <w:t>a) Yes</w:t>
            </w:r>
            <w:r w:rsidR="00A81CD3">
              <w:rPr>
                <w:sz w:val="18"/>
                <w:szCs w:val="18"/>
              </w:rPr>
              <w:t>;</w:t>
            </w:r>
            <w:r w:rsidRPr="002805B6">
              <w:rPr>
                <w:sz w:val="18"/>
                <w:szCs w:val="18"/>
              </w:rPr>
              <w:t xml:space="preserve"> </w:t>
            </w:r>
            <w:r w:rsidR="00A81CD3">
              <w:rPr>
                <w:sz w:val="18"/>
                <w:szCs w:val="18"/>
              </w:rPr>
              <w:t>(</w:t>
            </w:r>
            <w:r w:rsidR="00B64F94" w:rsidRPr="002805B6">
              <w:rPr>
                <w:sz w:val="18"/>
                <w:szCs w:val="18"/>
              </w:rPr>
              <w:t>b) Yes</w:t>
            </w:r>
            <w:r w:rsidR="00A81CD3">
              <w:rPr>
                <w:sz w:val="18"/>
                <w:szCs w:val="18"/>
              </w:rPr>
              <w:t>;</w:t>
            </w:r>
            <w:r w:rsidRPr="002805B6">
              <w:rPr>
                <w:sz w:val="18"/>
                <w:szCs w:val="18"/>
              </w:rPr>
              <w:t xml:space="preserve"> </w:t>
            </w:r>
            <w:r w:rsidR="00A81CD3">
              <w:rPr>
                <w:sz w:val="18"/>
                <w:szCs w:val="18"/>
              </w:rPr>
              <w:t>(</w:t>
            </w:r>
            <w:r w:rsidR="00B64F94" w:rsidRPr="002805B6">
              <w:rPr>
                <w:sz w:val="18"/>
                <w:szCs w:val="18"/>
              </w:rPr>
              <w:t>c) Yes</w:t>
            </w:r>
            <w:r w:rsidRPr="002805B6" w:rsidDel="000D2CEA">
              <w:rPr>
                <w:sz w:val="18"/>
                <w:szCs w:val="18"/>
              </w:rPr>
              <w:t xml:space="preserve"> </w:t>
            </w:r>
          </w:p>
          <w:p w14:paraId="0457E6E2" w14:textId="77777777" w:rsidR="00B24E2F" w:rsidRPr="002805B6" w:rsidRDefault="00B24E2F" w:rsidP="005A2DBF">
            <w:pPr>
              <w:rPr>
                <w:rFonts w:eastAsia="Arial Unicode MS"/>
                <w:sz w:val="18"/>
                <w:szCs w:val="18"/>
                <w:u w:color="000000"/>
                <w:lang w:eastAsia="ko-KR"/>
              </w:rPr>
            </w:pPr>
            <w:r w:rsidRPr="002805B6">
              <w:rPr>
                <w:b/>
                <w:sz w:val="18"/>
                <w:szCs w:val="18"/>
              </w:rPr>
              <w:t xml:space="preserve">Data source: </w:t>
            </w:r>
            <w:r w:rsidRPr="002805B6">
              <w:rPr>
                <w:rFonts w:eastAsia="Arial Unicode MS"/>
                <w:sz w:val="18"/>
                <w:szCs w:val="18"/>
                <w:u w:color="000000"/>
                <w:lang w:eastAsia="ko-KR"/>
              </w:rPr>
              <w:t>HAPLUCIA Annual report</w:t>
            </w:r>
          </w:p>
          <w:p w14:paraId="3B41207A" w14:textId="77777777" w:rsidR="00B24E2F" w:rsidRPr="002805B6" w:rsidRDefault="00B24E2F" w:rsidP="005A2DBF">
            <w:pPr>
              <w:rPr>
                <w:rFonts w:eastAsia="Arial Unicode MS"/>
                <w:sz w:val="18"/>
                <w:szCs w:val="18"/>
                <w:u w:color="000000"/>
                <w:lang w:eastAsia="ko-KR"/>
              </w:rPr>
            </w:pPr>
          </w:p>
          <w:p w14:paraId="4C87C0E3" w14:textId="6CA54783" w:rsidR="00B24E2F" w:rsidRPr="002805B6" w:rsidRDefault="00B24E2F" w:rsidP="005A2DBF">
            <w:pPr>
              <w:rPr>
                <w:sz w:val="18"/>
                <w:szCs w:val="18"/>
              </w:rPr>
            </w:pPr>
            <w:r w:rsidRPr="002805B6">
              <w:rPr>
                <w:b/>
                <w:sz w:val="18"/>
                <w:szCs w:val="18"/>
              </w:rPr>
              <w:t xml:space="preserve">Indicator 1.1.4: </w:t>
            </w:r>
            <w:r w:rsidRPr="002805B6">
              <w:rPr>
                <w:sz w:val="18"/>
                <w:szCs w:val="18"/>
              </w:rPr>
              <w:t xml:space="preserve">Existence of </w:t>
            </w:r>
            <w:r w:rsidR="00FC53F7" w:rsidRPr="002805B6">
              <w:rPr>
                <w:sz w:val="18"/>
                <w:szCs w:val="18"/>
              </w:rPr>
              <w:t>UNDP</w:t>
            </w:r>
            <w:r w:rsidR="00A81CD3">
              <w:rPr>
                <w:sz w:val="18"/>
                <w:szCs w:val="18"/>
              </w:rPr>
              <w:t>-</w:t>
            </w:r>
            <w:r w:rsidR="00FC53F7" w:rsidRPr="002805B6">
              <w:rPr>
                <w:sz w:val="18"/>
                <w:szCs w:val="18"/>
              </w:rPr>
              <w:t xml:space="preserve">supported </w:t>
            </w:r>
            <w:r w:rsidRPr="002805B6">
              <w:rPr>
                <w:sz w:val="18"/>
                <w:szCs w:val="18"/>
              </w:rPr>
              <w:t>platform</w:t>
            </w:r>
            <w:r w:rsidR="00363D3D" w:rsidRPr="002805B6">
              <w:rPr>
                <w:sz w:val="18"/>
                <w:szCs w:val="18"/>
              </w:rPr>
              <w:t>s</w:t>
            </w:r>
            <w:r w:rsidRPr="002805B6">
              <w:rPr>
                <w:sz w:val="18"/>
                <w:szCs w:val="18"/>
              </w:rPr>
              <w:t>, including women</w:t>
            </w:r>
            <w:r w:rsidR="00363D3D" w:rsidRPr="002805B6">
              <w:rPr>
                <w:sz w:val="18"/>
                <w:szCs w:val="18"/>
              </w:rPr>
              <w:t>,</w:t>
            </w:r>
            <w:r w:rsidRPr="002805B6">
              <w:rPr>
                <w:sz w:val="18"/>
                <w:szCs w:val="18"/>
              </w:rPr>
              <w:t xml:space="preserve"> youth</w:t>
            </w:r>
            <w:r w:rsidR="00363D3D" w:rsidRPr="002805B6">
              <w:rPr>
                <w:sz w:val="18"/>
                <w:szCs w:val="18"/>
              </w:rPr>
              <w:t>,</w:t>
            </w:r>
            <w:r w:rsidRPr="002805B6">
              <w:rPr>
                <w:sz w:val="18"/>
                <w:szCs w:val="18"/>
              </w:rPr>
              <w:t xml:space="preserve"> against corruption in public administration</w:t>
            </w:r>
          </w:p>
          <w:p w14:paraId="0EFF92C5" w14:textId="77777777" w:rsidR="00B24E2F" w:rsidRPr="002805B6" w:rsidRDefault="00B24E2F" w:rsidP="005A2DBF">
            <w:pPr>
              <w:rPr>
                <w:sz w:val="18"/>
                <w:szCs w:val="18"/>
              </w:rPr>
            </w:pPr>
            <w:r w:rsidRPr="002805B6">
              <w:rPr>
                <w:b/>
                <w:sz w:val="18"/>
                <w:szCs w:val="18"/>
              </w:rPr>
              <w:t>Baseline (2017)</w:t>
            </w:r>
            <w:r w:rsidRPr="002805B6">
              <w:rPr>
                <w:sz w:val="18"/>
                <w:szCs w:val="18"/>
              </w:rPr>
              <w:t>: No</w:t>
            </w:r>
          </w:p>
          <w:p w14:paraId="7DAE3BEC" w14:textId="77777777" w:rsidR="00B24E2F" w:rsidRPr="002805B6" w:rsidRDefault="00B24E2F" w:rsidP="005A2DBF">
            <w:pPr>
              <w:rPr>
                <w:rFonts w:eastAsia="Arial Unicode MS"/>
                <w:sz w:val="18"/>
                <w:szCs w:val="18"/>
                <w:u w:color="000000"/>
                <w:lang w:eastAsia="ko-KR"/>
              </w:rPr>
            </w:pPr>
            <w:r w:rsidRPr="002805B6">
              <w:rPr>
                <w:b/>
                <w:sz w:val="18"/>
                <w:szCs w:val="18"/>
              </w:rPr>
              <w:t>Target:</w:t>
            </w:r>
            <w:r w:rsidRPr="002805B6">
              <w:rPr>
                <w:sz w:val="18"/>
                <w:szCs w:val="18"/>
              </w:rPr>
              <w:t xml:space="preserve"> Yes</w:t>
            </w:r>
          </w:p>
          <w:p w14:paraId="203DBAF5" w14:textId="77777777" w:rsidR="00B24E2F" w:rsidRPr="002805B6" w:rsidRDefault="00B24E2F" w:rsidP="005A2DBF">
            <w:pPr>
              <w:rPr>
                <w:rFonts w:eastAsia="Arial Unicode MS"/>
                <w:sz w:val="18"/>
                <w:szCs w:val="18"/>
                <w:u w:color="000000"/>
                <w:lang w:eastAsia="ko-KR"/>
              </w:rPr>
            </w:pPr>
            <w:r w:rsidRPr="002805B6">
              <w:rPr>
                <w:b/>
                <w:sz w:val="18"/>
                <w:szCs w:val="18"/>
              </w:rPr>
              <w:t xml:space="preserve">Data source: </w:t>
            </w:r>
            <w:r w:rsidR="00BD1DA8" w:rsidRPr="002805B6">
              <w:rPr>
                <w:rFonts w:eastAsia="Arial Unicode MS"/>
                <w:sz w:val="18"/>
                <w:szCs w:val="18"/>
                <w:u w:color="000000"/>
                <w:lang w:eastAsia="ko-KR"/>
              </w:rPr>
              <w:t xml:space="preserve">HAPLUCIA </w:t>
            </w:r>
            <w:r w:rsidRPr="002805B6">
              <w:rPr>
                <w:rFonts w:eastAsia="Arial Unicode MS"/>
                <w:sz w:val="18"/>
                <w:szCs w:val="18"/>
                <w:u w:color="000000"/>
                <w:lang w:eastAsia="ko-KR"/>
              </w:rPr>
              <w:t>Annual report</w:t>
            </w:r>
            <w:r w:rsidR="00363D3D" w:rsidRPr="002805B6">
              <w:rPr>
                <w:rFonts w:eastAsia="Arial Unicode MS"/>
                <w:sz w:val="18"/>
                <w:szCs w:val="18"/>
                <w:u w:color="000000"/>
                <w:lang w:eastAsia="ko-KR"/>
              </w:rPr>
              <w:t>s</w:t>
            </w:r>
          </w:p>
          <w:p w14:paraId="7B3A03F8" w14:textId="77777777" w:rsidR="00B24E2F" w:rsidRPr="002805B6" w:rsidRDefault="00B24E2F" w:rsidP="005A2DBF">
            <w:pPr>
              <w:rPr>
                <w:b/>
                <w:sz w:val="18"/>
                <w:szCs w:val="18"/>
              </w:rPr>
            </w:pPr>
          </w:p>
          <w:p w14:paraId="7BB73F6B" w14:textId="1BB5623B" w:rsidR="00B24E2F" w:rsidRPr="00A81CD3" w:rsidRDefault="00B24E2F" w:rsidP="005A2DBF">
            <w:pPr>
              <w:rPr>
                <w:bCs/>
                <w:sz w:val="18"/>
                <w:szCs w:val="18"/>
              </w:rPr>
            </w:pPr>
            <w:r w:rsidRPr="002805B6">
              <w:rPr>
                <w:b/>
                <w:bCs/>
                <w:sz w:val="18"/>
                <w:szCs w:val="18"/>
              </w:rPr>
              <w:t>Output 1.2:</w:t>
            </w:r>
            <w:r w:rsidRPr="002805B6">
              <w:rPr>
                <w:bCs/>
                <w:sz w:val="18"/>
                <w:szCs w:val="18"/>
              </w:rPr>
              <w:t xml:space="preserve"> </w:t>
            </w:r>
            <w:r w:rsidR="00145487" w:rsidRPr="00A81CD3">
              <w:rPr>
                <w:sz w:val="18"/>
                <w:szCs w:val="18"/>
              </w:rPr>
              <w:t>Government c</w:t>
            </w:r>
            <w:r w:rsidRPr="00A81CD3">
              <w:rPr>
                <w:sz w:val="18"/>
                <w:szCs w:val="18"/>
              </w:rPr>
              <w:t xml:space="preserve">apacities developed to integrate </w:t>
            </w:r>
            <w:r w:rsidR="00A81CD3">
              <w:rPr>
                <w:sz w:val="18"/>
                <w:szCs w:val="18"/>
              </w:rPr>
              <w:t xml:space="preserve">2030 </w:t>
            </w:r>
            <w:r w:rsidRPr="00A81CD3">
              <w:rPr>
                <w:sz w:val="18"/>
                <w:szCs w:val="18"/>
              </w:rPr>
              <w:t xml:space="preserve">Agenda, Agenda 2063 and the Paris Agreement </w:t>
            </w:r>
            <w:r w:rsidR="00145487" w:rsidRPr="00A81CD3">
              <w:rPr>
                <w:sz w:val="18"/>
                <w:szCs w:val="18"/>
              </w:rPr>
              <w:t>o</w:t>
            </w:r>
            <w:r w:rsidRPr="00A81CD3">
              <w:rPr>
                <w:sz w:val="18"/>
                <w:szCs w:val="18"/>
              </w:rPr>
              <w:t>n development plans</w:t>
            </w:r>
            <w:r w:rsidR="00145487" w:rsidRPr="00A81CD3">
              <w:rPr>
                <w:sz w:val="18"/>
                <w:szCs w:val="18"/>
              </w:rPr>
              <w:t xml:space="preserve">, </w:t>
            </w:r>
            <w:r w:rsidRPr="00A81CD3">
              <w:rPr>
                <w:sz w:val="18"/>
                <w:szCs w:val="18"/>
              </w:rPr>
              <w:t>budgets, and to analyze progress towards the SDGs, using innovative and data-driven solutions</w:t>
            </w:r>
          </w:p>
          <w:p w14:paraId="4008F5AA" w14:textId="77777777" w:rsidR="00B24E2F" w:rsidRPr="002805B6" w:rsidRDefault="00B24E2F" w:rsidP="005A2DBF">
            <w:pPr>
              <w:rPr>
                <w:bCs/>
                <w:sz w:val="18"/>
                <w:szCs w:val="18"/>
              </w:rPr>
            </w:pPr>
          </w:p>
          <w:p w14:paraId="32C55619" w14:textId="18862BCE" w:rsidR="00B24E2F" w:rsidRPr="002805B6" w:rsidRDefault="00B24E2F" w:rsidP="005A2DBF">
            <w:pPr>
              <w:rPr>
                <w:sz w:val="18"/>
                <w:szCs w:val="18"/>
              </w:rPr>
            </w:pPr>
            <w:r w:rsidRPr="002805B6">
              <w:rPr>
                <w:b/>
                <w:bCs/>
                <w:sz w:val="18"/>
                <w:szCs w:val="18"/>
              </w:rPr>
              <w:t>Indicator 1.2.1</w:t>
            </w:r>
            <w:r w:rsidRPr="002805B6">
              <w:rPr>
                <w:sz w:val="18"/>
                <w:szCs w:val="18"/>
              </w:rPr>
              <w:t xml:space="preserve">: Existence of </w:t>
            </w:r>
            <w:r w:rsidR="00FC53F7" w:rsidRPr="002805B6">
              <w:rPr>
                <w:sz w:val="18"/>
                <w:szCs w:val="18"/>
              </w:rPr>
              <w:t>UNDP</w:t>
            </w:r>
            <w:r w:rsidR="00A81CD3">
              <w:rPr>
                <w:sz w:val="18"/>
                <w:szCs w:val="18"/>
              </w:rPr>
              <w:t>-</w:t>
            </w:r>
            <w:r w:rsidR="00FC53F7" w:rsidRPr="002805B6">
              <w:rPr>
                <w:sz w:val="18"/>
                <w:szCs w:val="18"/>
              </w:rPr>
              <w:t xml:space="preserve">supported </w:t>
            </w:r>
            <w:r w:rsidRPr="002805B6">
              <w:rPr>
                <w:sz w:val="18"/>
                <w:szCs w:val="18"/>
              </w:rPr>
              <w:t>development plans and budgets that integrate international agreements across the whole-of-government:</w:t>
            </w:r>
          </w:p>
          <w:p w14:paraId="5784C0AB" w14:textId="77777777" w:rsidR="00B24E2F" w:rsidRPr="002805B6" w:rsidRDefault="00B24E2F" w:rsidP="0086787D">
            <w:pPr>
              <w:numPr>
                <w:ilvl w:val="0"/>
                <w:numId w:val="3"/>
              </w:numPr>
              <w:snapToGrid w:val="0"/>
              <w:rPr>
                <w:sz w:val="18"/>
                <w:szCs w:val="18"/>
              </w:rPr>
            </w:pPr>
            <w:r w:rsidRPr="002805B6">
              <w:rPr>
                <w:sz w:val="18"/>
                <w:szCs w:val="18"/>
              </w:rPr>
              <w:t>2030 Agenda for Sustainable Development</w:t>
            </w:r>
          </w:p>
          <w:p w14:paraId="1AE033D2" w14:textId="77777777" w:rsidR="00B24E2F" w:rsidRPr="002805B6" w:rsidRDefault="00B24E2F" w:rsidP="0086787D">
            <w:pPr>
              <w:numPr>
                <w:ilvl w:val="0"/>
                <w:numId w:val="3"/>
              </w:numPr>
              <w:snapToGrid w:val="0"/>
              <w:rPr>
                <w:sz w:val="18"/>
                <w:szCs w:val="18"/>
              </w:rPr>
            </w:pPr>
            <w:r w:rsidRPr="002805B6">
              <w:rPr>
                <w:sz w:val="18"/>
                <w:szCs w:val="18"/>
              </w:rPr>
              <w:t>Paris Agreement</w:t>
            </w:r>
          </w:p>
          <w:p w14:paraId="2630AEA5" w14:textId="77777777" w:rsidR="00940F18" w:rsidRPr="002805B6" w:rsidRDefault="00940F18" w:rsidP="005A2DBF">
            <w:pPr>
              <w:rPr>
                <w:b/>
                <w:bCs/>
                <w:sz w:val="18"/>
                <w:szCs w:val="18"/>
              </w:rPr>
            </w:pPr>
          </w:p>
          <w:p w14:paraId="34A8C1FD" w14:textId="03B249EA" w:rsidR="00B24E2F" w:rsidRPr="002805B6" w:rsidRDefault="00B24E2F" w:rsidP="005A2DBF">
            <w:pPr>
              <w:rPr>
                <w:rFonts w:eastAsiaTheme="minorHAnsi"/>
                <w:sz w:val="18"/>
                <w:szCs w:val="18"/>
              </w:rPr>
            </w:pPr>
            <w:r w:rsidRPr="002805B6">
              <w:rPr>
                <w:b/>
                <w:bCs/>
                <w:sz w:val="18"/>
                <w:szCs w:val="18"/>
              </w:rPr>
              <w:t>Baseline (2017</w:t>
            </w:r>
            <w:r w:rsidRPr="002805B6">
              <w:rPr>
                <w:sz w:val="18"/>
                <w:szCs w:val="18"/>
              </w:rPr>
              <w:t>): (a) No</w:t>
            </w:r>
            <w:r w:rsidR="00A81CD3">
              <w:rPr>
                <w:sz w:val="18"/>
                <w:szCs w:val="18"/>
              </w:rPr>
              <w:t>;</w:t>
            </w:r>
            <w:r w:rsidRPr="002805B6">
              <w:rPr>
                <w:sz w:val="18"/>
                <w:szCs w:val="18"/>
              </w:rPr>
              <w:t> (b) No</w:t>
            </w:r>
          </w:p>
          <w:p w14:paraId="4926DCC7" w14:textId="69CA582B" w:rsidR="00B24E2F" w:rsidRPr="002805B6" w:rsidRDefault="00B24E2F" w:rsidP="005A2DBF">
            <w:pPr>
              <w:rPr>
                <w:sz w:val="18"/>
                <w:szCs w:val="18"/>
              </w:rPr>
            </w:pPr>
            <w:r w:rsidRPr="002805B6">
              <w:rPr>
                <w:b/>
                <w:bCs/>
                <w:sz w:val="18"/>
                <w:szCs w:val="18"/>
              </w:rPr>
              <w:t>Target:</w:t>
            </w:r>
            <w:r w:rsidRPr="002805B6">
              <w:rPr>
                <w:sz w:val="18"/>
                <w:szCs w:val="18"/>
              </w:rPr>
              <w:t xml:space="preserve"> (a) Yes</w:t>
            </w:r>
            <w:r w:rsidR="00A81CD3">
              <w:rPr>
                <w:sz w:val="18"/>
                <w:szCs w:val="18"/>
              </w:rPr>
              <w:t>;</w:t>
            </w:r>
            <w:r w:rsidRPr="002805B6">
              <w:rPr>
                <w:sz w:val="18"/>
                <w:szCs w:val="18"/>
              </w:rPr>
              <w:t xml:space="preserve"> (b) Yes</w:t>
            </w:r>
          </w:p>
          <w:p w14:paraId="72F09E46" w14:textId="77777777" w:rsidR="00B24E2F" w:rsidRPr="002805B6" w:rsidRDefault="00B24E2F" w:rsidP="005A2DBF">
            <w:pPr>
              <w:rPr>
                <w:b/>
                <w:bCs/>
                <w:sz w:val="18"/>
                <w:szCs w:val="18"/>
              </w:rPr>
            </w:pPr>
            <w:r w:rsidRPr="002805B6">
              <w:rPr>
                <w:b/>
                <w:sz w:val="18"/>
                <w:szCs w:val="18"/>
              </w:rPr>
              <w:t>Data source</w:t>
            </w:r>
            <w:r w:rsidRPr="002805B6">
              <w:rPr>
                <w:sz w:val="18"/>
                <w:szCs w:val="18"/>
              </w:rPr>
              <w:t>: NDP annual report</w:t>
            </w:r>
          </w:p>
          <w:p w14:paraId="13F4D76C" w14:textId="77777777" w:rsidR="00B24E2F" w:rsidRPr="002805B6" w:rsidRDefault="00B24E2F" w:rsidP="005A2DBF">
            <w:pPr>
              <w:rPr>
                <w:sz w:val="18"/>
                <w:szCs w:val="18"/>
              </w:rPr>
            </w:pPr>
          </w:p>
          <w:p w14:paraId="32F9049B" w14:textId="77777777" w:rsidR="00B24E2F" w:rsidRPr="002805B6" w:rsidRDefault="00B24E2F" w:rsidP="005A2DBF">
            <w:pPr>
              <w:rPr>
                <w:sz w:val="18"/>
                <w:szCs w:val="18"/>
              </w:rPr>
            </w:pPr>
            <w:r w:rsidRPr="002805B6">
              <w:rPr>
                <w:b/>
                <w:bCs/>
                <w:sz w:val="18"/>
                <w:szCs w:val="18"/>
              </w:rPr>
              <w:t>Indicator 1.2.2</w:t>
            </w:r>
            <w:r w:rsidRPr="002805B6">
              <w:rPr>
                <w:sz w:val="18"/>
                <w:szCs w:val="18"/>
              </w:rPr>
              <w:t xml:space="preserve"> Existence of </w:t>
            </w:r>
            <w:r w:rsidR="00FC53F7" w:rsidRPr="002805B6">
              <w:rPr>
                <w:sz w:val="18"/>
                <w:szCs w:val="18"/>
              </w:rPr>
              <w:t xml:space="preserve">UNDP-supported </w:t>
            </w:r>
            <w:r w:rsidRPr="002805B6">
              <w:rPr>
                <w:sz w:val="18"/>
                <w:szCs w:val="18"/>
              </w:rPr>
              <w:t>data collection/analysis mechanisms providing disaggregated data by gender, age and other characteristic to monitor progress towards the SDGs:</w:t>
            </w:r>
          </w:p>
          <w:p w14:paraId="163274E5" w14:textId="77777777" w:rsidR="00B24E2F" w:rsidRPr="002805B6" w:rsidRDefault="00B24E2F" w:rsidP="0086787D">
            <w:pPr>
              <w:pStyle w:val="ListParagraph"/>
              <w:numPr>
                <w:ilvl w:val="0"/>
                <w:numId w:val="4"/>
              </w:numPr>
              <w:snapToGrid w:val="0"/>
              <w:ind w:left="522"/>
              <w:contextualSpacing/>
              <w:rPr>
                <w:sz w:val="18"/>
                <w:szCs w:val="18"/>
              </w:rPr>
            </w:pPr>
            <w:r w:rsidRPr="002805B6">
              <w:rPr>
                <w:sz w:val="18"/>
                <w:szCs w:val="18"/>
              </w:rPr>
              <w:t>Conventional data collection methods (e.g. surveys)</w:t>
            </w:r>
          </w:p>
          <w:p w14:paraId="28BB2CB7" w14:textId="77777777" w:rsidR="00B24E2F" w:rsidRPr="002805B6" w:rsidRDefault="00B24E2F" w:rsidP="0086787D">
            <w:pPr>
              <w:pStyle w:val="ListParagraph"/>
              <w:numPr>
                <w:ilvl w:val="0"/>
                <w:numId w:val="4"/>
              </w:numPr>
              <w:snapToGrid w:val="0"/>
              <w:ind w:left="526"/>
              <w:rPr>
                <w:sz w:val="18"/>
                <w:szCs w:val="18"/>
              </w:rPr>
            </w:pPr>
            <w:r w:rsidRPr="002805B6">
              <w:rPr>
                <w:sz w:val="18"/>
                <w:szCs w:val="18"/>
              </w:rPr>
              <w:t>Administrative reporting systems</w:t>
            </w:r>
          </w:p>
          <w:p w14:paraId="2FAF32D0" w14:textId="05935FD7" w:rsidR="00B24E2F" w:rsidRPr="002805B6" w:rsidRDefault="00B24E2F" w:rsidP="005A2DBF">
            <w:pPr>
              <w:rPr>
                <w:sz w:val="18"/>
                <w:szCs w:val="18"/>
              </w:rPr>
            </w:pPr>
            <w:r w:rsidRPr="002805B6">
              <w:rPr>
                <w:b/>
                <w:bCs/>
                <w:sz w:val="18"/>
                <w:szCs w:val="18"/>
              </w:rPr>
              <w:t>Baseline</w:t>
            </w:r>
            <w:r w:rsidRPr="002805B6">
              <w:rPr>
                <w:sz w:val="18"/>
                <w:szCs w:val="18"/>
              </w:rPr>
              <w:t xml:space="preserve"> (2017): (a) No</w:t>
            </w:r>
            <w:r w:rsidR="00A81CD3">
              <w:rPr>
                <w:sz w:val="18"/>
                <w:szCs w:val="18"/>
              </w:rPr>
              <w:t>;</w:t>
            </w:r>
            <w:r w:rsidRPr="002805B6">
              <w:rPr>
                <w:sz w:val="18"/>
                <w:szCs w:val="18"/>
              </w:rPr>
              <w:t xml:space="preserve"> (b) No </w:t>
            </w:r>
          </w:p>
          <w:p w14:paraId="6F3D103B" w14:textId="35516EBD" w:rsidR="00B24E2F" w:rsidRPr="002805B6" w:rsidRDefault="00B24E2F" w:rsidP="005A2DBF">
            <w:pPr>
              <w:rPr>
                <w:sz w:val="18"/>
                <w:szCs w:val="18"/>
              </w:rPr>
            </w:pPr>
            <w:r w:rsidRPr="002805B6">
              <w:rPr>
                <w:b/>
                <w:bCs/>
                <w:sz w:val="18"/>
                <w:szCs w:val="18"/>
              </w:rPr>
              <w:t xml:space="preserve">Target: </w:t>
            </w:r>
            <w:r w:rsidRPr="002805B6">
              <w:rPr>
                <w:sz w:val="18"/>
                <w:szCs w:val="18"/>
              </w:rPr>
              <w:t>(a) Yes</w:t>
            </w:r>
            <w:r w:rsidR="00A81CD3">
              <w:rPr>
                <w:sz w:val="18"/>
                <w:szCs w:val="18"/>
              </w:rPr>
              <w:t>;</w:t>
            </w:r>
            <w:r w:rsidRPr="002805B6">
              <w:rPr>
                <w:sz w:val="18"/>
                <w:szCs w:val="18"/>
              </w:rPr>
              <w:t xml:space="preserve"> (b) Yes</w:t>
            </w:r>
          </w:p>
          <w:p w14:paraId="14A489E4" w14:textId="77777777" w:rsidR="00B24E2F" w:rsidRPr="002805B6" w:rsidRDefault="00B24E2F" w:rsidP="005A2DBF">
            <w:pPr>
              <w:rPr>
                <w:sz w:val="18"/>
                <w:szCs w:val="18"/>
              </w:rPr>
            </w:pPr>
            <w:r w:rsidRPr="002805B6">
              <w:rPr>
                <w:b/>
                <w:bCs/>
                <w:sz w:val="18"/>
                <w:szCs w:val="18"/>
              </w:rPr>
              <w:lastRenderedPageBreak/>
              <w:t>Data source:</w:t>
            </w:r>
            <w:r w:rsidRPr="002805B6">
              <w:rPr>
                <w:sz w:val="18"/>
                <w:szCs w:val="18"/>
              </w:rPr>
              <w:t xml:space="preserve"> INSEED annual </w:t>
            </w:r>
            <w:r w:rsidR="00BD1DA8" w:rsidRPr="002805B6">
              <w:rPr>
                <w:sz w:val="18"/>
                <w:szCs w:val="18"/>
              </w:rPr>
              <w:t xml:space="preserve">and sectoral </w:t>
            </w:r>
            <w:r w:rsidRPr="002805B6">
              <w:rPr>
                <w:sz w:val="18"/>
                <w:szCs w:val="18"/>
              </w:rPr>
              <w:t>report</w:t>
            </w:r>
            <w:r w:rsidR="00BD1DA8" w:rsidRPr="002805B6">
              <w:rPr>
                <w:sz w:val="18"/>
                <w:szCs w:val="18"/>
              </w:rPr>
              <w:t>s</w:t>
            </w:r>
            <w:r w:rsidRPr="002805B6">
              <w:rPr>
                <w:sz w:val="18"/>
                <w:szCs w:val="18"/>
              </w:rPr>
              <w:t xml:space="preserve"> </w:t>
            </w:r>
          </w:p>
          <w:p w14:paraId="074ABD62" w14:textId="77777777" w:rsidR="00B24E2F" w:rsidRPr="002805B6" w:rsidRDefault="00B24E2F" w:rsidP="005A2DBF">
            <w:pPr>
              <w:rPr>
                <w:sz w:val="18"/>
                <w:szCs w:val="18"/>
              </w:rPr>
            </w:pPr>
          </w:p>
          <w:p w14:paraId="59500C00" w14:textId="77777777" w:rsidR="00B24E2F" w:rsidRPr="002805B6" w:rsidRDefault="00B24E2F" w:rsidP="005A2DBF">
            <w:pPr>
              <w:rPr>
                <w:i/>
                <w:sz w:val="18"/>
                <w:szCs w:val="18"/>
              </w:rPr>
            </w:pPr>
            <w:r w:rsidRPr="002805B6">
              <w:rPr>
                <w:b/>
                <w:sz w:val="18"/>
                <w:szCs w:val="18"/>
              </w:rPr>
              <w:t>Output 1.3:</w:t>
            </w:r>
            <w:r w:rsidRPr="002805B6">
              <w:rPr>
                <w:rFonts w:eastAsia="Arial Unicode MS"/>
                <w:sz w:val="18"/>
                <w:szCs w:val="18"/>
                <w:u w:color="000000"/>
                <w:lang w:eastAsia="ko-KR"/>
              </w:rPr>
              <w:t xml:space="preserve"> </w:t>
            </w:r>
            <w:r w:rsidRPr="000807BB">
              <w:rPr>
                <w:rFonts w:eastAsia="Arial Unicode MS"/>
                <w:sz w:val="18"/>
                <w:szCs w:val="18"/>
                <w:u w:color="000000"/>
                <w:lang w:eastAsia="ko-KR"/>
              </w:rPr>
              <w:t>Enhanced capacities of national and local institutions to design, implement and evaluate gender</w:t>
            </w:r>
            <w:r w:rsidR="00F11849" w:rsidRPr="000807BB">
              <w:rPr>
                <w:rFonts w:eastAsia="Arial Unicode MS"/>
                <w:sz w:val="18"/>
                <w:szCs w:val="18"/>
                <w:u w:color="000000"/>
                <w:lang w:eastAsia="ko-KR"/>
              </w:rPr>
              <w:t xml:space="preserve"> responsive</w:t>
            </w:r>
            <w:r w:rsidRPr="000807BB">
              <w:rPr>
                <w:rFonts w:eastAsia="Arial Unicode MS"/>
                <w:sz w:val="18"/>
                <w:szCs w:val="18"/>
                <w:u w:color="000000"/>
                <w:lang w:eastAsia="ko-KR"/>
              </w:rPr>
              <w:t xml:space="preserve"> and inclusive decentralization policies and local development plan</w:t>
            </w:r>
            <w:r w:rsidRPr="002805B6">
              <w:rPr>
                <w:rFonts w:eastAsia="Arial Unicode MS"/>
                <w:i/>
                <w:sz w:val="18"/>
                <w:szCs w:val="18"/>
                <w:u w:color="000000"/>
                <w:lang w:eastAsia="ko-KR"/>
              </w:rPr>
              <w:t xml:space="preserve"> </w:t>
            </w:r>
          </w:p>
          <w:p w14:paraId="6EE94D10" w14:textId="77777777" w:rsidR="00B24E2F" w:rsidRPr="002805B6" w:rsidRDefault="00B24E2F" w:rsidP="005A2DBF">
            <w:pPr>
              <w:rPr>
                <w:sz w:val="18"/>
                <w:szCs w:val="18"/>
              </w:rPr>
            </w:pPr>
          </w:p>
          <w:p w14:paraId="073E62B1" w14:textId="77777777" w:rsidR="00B24E2F" w:rsidRPr="002805B6" w:rsidRDefault="00B24E2F" w:rsidP="005A2DBF">
            <w:pPr>
              <w:pStyle w:val="HTMLPreformatted"/>
              <w:shd w:val="clear" w:color="auto" w:fill="FFFFFF"/>
              <w:rPr>
                <w:rFonts w:eastAsia="Arial Unicode MS"/>
                <w:sz w:val="18"/>
                <w:szCs w:val="18"/>
                <w:u w:color="000000"/>
                <w:lang w:eastAsia="ko-KR"/>
              </w:rPr>
            </w:pPr>
            <w:r w:rsidRPr="002805B6">
              <w:rPr>
                <w:rFonts w:ascii="Times New Roman" w:eastAsia="Arial Unicode MS" w:hAnsi="Times New Roman" w:cs="Times New Roman"/>
                <w:b/>
                <w:snapToGrid w:val="0"/>
                <w:sz w:val="18"/>
                <w:szCs w:val="18"/>
                <w:u w:color="000000"/>
                <w:lang w:val="en-US" w:eastAsia="ko-KR"/>
              </w:rPr>
              <w:t>Indicator 1.3.1</w:t>
            </w:r>
            <w:r w:rsidRPr="002805B6">
              <w:rPr>
                <w:rFonts w:ascii="Times New Roman" w:eastAsia="Arial Unicode MS" w:hAnsi="Times New Roman" w:cs="Times New Roman"/>
                <w:snapToGrid w:val="0"/>
                <w:sz w:val="18"/>
                <w:szCs w:val="18"/>
                <w:u w:color="000000"/>
                <w:lang w:val="en-US" w:eastAsia="ko-KR"/>
              </w:rPr>
              <w:t>: Extent to which legal competencies   and financial resources are transferred from central public administration to local governments</w:t>
            </w:r>
          </w:p>
          <w:p w14:paraId="7F5CC7C9" w14:textId="77777777" w:rsidR="00B24E2F" w:rsidRPr="002805B6" w:rsidRDefault="00B24E2F" w:rsidP="005A2DBF">
            <w:pPr>
              <w:rPr>
                <w:rFonts w:eastAsia="Arial Unicode MS"/>
                <w:sz w:val="18"/>
                <w:szCs w:val="18"/>
                <w:u w:color="000000"/>
                <w:lang w:eastAsia="ko-KR"/>
              </w:rPr>
            </w:pPr>
            <w:r w:rsidRPr="002805B6">
              <w:rPr>
                <w:rFonts w:eastAsia="Arial Unicode MS"/>
                <w:b/>
                <w:sz w:val="18"/>
                <w:szCs w:val="18"/>
                <w:u w:color="000000"/>
                <w:lang w:eastAsia="ko-KR"/>
              </w:rPr>
              <w:t>Baseline (2018)</w:t>
            </w:r>
            <w:r w:rsidRPr="002805B6">
              <w:rPr>
                <w:rFonts w:eastAsia="Arial Unicode MS"/>
                <w:sz w:val="18"/>
                <w:szCs w:val="18"/>
                <w:u w:color="000000"/>
                <w:lang w:eastAsia="ko-KR"/>
              </w:rPr>
              <w:t xml:space="preserve"> </w:t>
            </w:r>
            <w:r w:rsidRPr="002805B6">
              <w:rPr>
                <w:rFonts w:eastAsia="Arial Unicode MS"/>
                <w:b/>
                <w:sz w:val="18"/>
                <w:szCs w:val="18"/>
                <w:u w:color="000000"/>
                <w:vertAlign w:val="superscript"/>
                <w:lang w:eastAsia="ko-KR"/>
              </w:rPr>
              <w:footnoteReference w:id="28"/>
            </w:r>
            <w:r w:rsidRPr="002805B6">
              <w:rPr>
                <w:rFonts w:eastAsia="Arial Unicode MS"/>
                <w:b/>
                <w:sz w:val="18"/>
                <w:szCs w:val="18"/>
                <w:u w:color="000000"/>
                <w:lang w:eastAsia="ko-KR"/>
              </w:rPr>
              <w:t>:</w:t>
            </w:r>
            <w:r w:rsidRPr="002805B6">
              <w:rPr>
                <w:rFonts w:eastAsia="Arial Unicode MS"/>
                <w:sz w:val="18"/>
                <w:szCs w:val="18"/>
                <w:u w:color="000000"/>
                <w:lang w:eastAsia="ko-KR"/>
              </w:rPr>
              <w:t xml:space="preserve"> 1</w:t>
            </w:r>
          </w:p>
          <w:p w14:paraId="25695FA9" w14:textId="77777777" w:rsidR="00B24E2F" w:rsidRPr="002805B6" w:rsidRDefault="00B24E2F" w:rsidP="005A2DBF">
            <w:pPr>
              <w:rPr>
                <w:rFonts w:eastAsia="Arial Unicode MS"/>
                <w:sz w:val="18"/>
                <w:szCs w:val="18"/>
                <w:u w:color="000000"/>
                <w:lang w:eastAsia="ko-KR"/>
              </w:rPr>
            </w:pPr>
            <w:r w:rsidRPr="002805B6">
              <w:rPr>
                <w:rFonts w:eastAsia="Arial Unicode MS"/>
                <w:b/>
                <w:sz w:val="18"/>
                <w:szCs w:val="18"/>
                <w:u w:color="000000"/>
                <w:lang w:eastAsia="ko-KR"/>
              </w:rPr>
              <w:t>Target:</w:t>
            </w:r>
            <w:r w:rsidRPr="002805B6">
              <w:rPr>
                <w:rFonts w:eastAsia="Arial Unicode MS"/>
                <w:sz w:val="18"/>
                <w:szCs w:val="18"/>
                <w:u w:color="000000"/>
                <w:lang w:eastAsia="ko-KR"/>
              </w:rPr>
              <w:t xml:space="preserve"> 2</w:t>
            </w:r>
          </w:p>
          <w:p w14:paraId="568790C3" w14:textId="588C9AC1" w:rsidR="00B24E2F" w:rsidRPr="002805B6" w:rsidRDefault="00B24E2F" w:rsidP="005A2DBF">
            <w:pPr>
              <w:rPr>
                <w:rFonts w:eastAsia="Arial Unicode MS"/>
                <w:sz w:val="18"/>
                <w:szCs w:val="18"/>
                <w:u w:color="000000"/>
                <w:lang w:eastAsia="ko-KR"/>
              </w:rPr>
            </w:pPr>
            <w:r w:rsidRPr="002805B6">
              <w:rPr>
                <w:rFonts w:eastAsia="Arial Unicode MS"/>
                <w:b/>
                <w:sz w:val="18"/>
                <w:szCs w:val="18"/>
                <w:u w:color="000000"/>
                <w:lang w:eastAsia="ko-KR"/>
              </w:rPr>
              <w:t xml:space="preserve">Data source: </w:t>
            </w:r>
            <w:r w:rsidRPr="002805B6">
              <w:rPr>
                <w:rFonts w:eastAsia="Arial Unicode MS"/>
                <w:sz w:val="18"/>
                <w:szCs w:val="18"/>
                <w:u w:color="000000"/>
                <w:lang w:eastAsia="ko-KR"/>
              </w:rPr>
              <w:t xml:space="preserve">Ministries of </w:t>
            </w:r>
            <w:r w:rsidR="00F80706">
              <w:rPr>
                <w:rFonts w:eastAsia="Arial Unicode MS"/>
                <w:sz w:val="18"/>
                <w:szCs w:val="18"/>
                <w:u w:color="000000"/>
                <w:lang w:eastAsia="ko-KR"/>
              </w:rPr>
              <w:t>D</w:t>
            </w:r>
            <w:r w:rsidRPr="002805B6">
              <w:rPr>
                <w:rFonts w:eastAsia="Arial Unicode MS"/>
                <w:sz w:val="18"/>
                <w:szCs w:val="18"/>
                <w:u w:color="000000"/>
                <w:lang w:eastAsia="ko-KR"/>
              </w:rPr>
              <w:t xml:space="preserve">ecentralization and </w:t>
            </w:r>
            <w:r w:rsidR="00F80706">
              <w:rPr>
                <w:rFonts w:eastAsia="Arial Unicode MS"/>
                <w:sz w:val="18"/>
                <w:szCs w:val="18"/>
                <w:u w:color="000000"/>
                <w:lang w:eastAsia="ko-KR"/>
              </w:rPr>
              <w:t>of F</w:t>
            </w:r>
            <w:r w:rsidRPr="002805B6">
              <w:rPr>
                <w:rFonts w:eastAsia="Arial Unicode MS"/>
                <w:sz w:val="18"/>
                <w:szCs w:val="18"/>
                <w:u w:color="000000"/>
                <w:lang w:eastAsia="ko-KR"/>
              </w:rPr>
              <w:t>inance annual reports</w:t>
            </w:r>
          </w:p>
          <w:p w14:paraId="29C975CA" w14:textId="77777777" w:rsidR="00B24E2F" w:rsidRPr="002805B6" w:rsidRDefault="00B24E2F" w:rsidP="005A2DBF">
            <w:pPr>
              <w:rPr>
                <w:rFonts w:eastAsia="Arial Unicode MS"/>
                <w:sz w:val="18"/>
                <w:szCs w:val="18"/>
                <w:u w:color="000000"/>
                <w:lang w:eastAsia="ko-KR"/>
              </w:rPr>
            </w:pPr>
          </w:p>
          <w:p w14:paraId="30B87DE8" w14:textId="77777777" w:rsidR="00B24E2F" w:rsidRPr="002805B6" w:rsidRDefault="00B24E2F" w:rsidP="005A2DBF">
            <w:pPr>
              <w:rPr>
                <w:rFonts w:eastAsia="Arial Unicode MS"/>
                <w:sz w:val="18"/>
                <w:szCs w:val="18"/>
                <w:u w:color="000000"/>
                <w:lang w:eastAsia="ko-KR"/>
              </w:rPr>
            </w:pPr>
            <w:r w:rsidRPr="002805B6">
              <w:rPr>
                <w:rFonts w:eastAsia="Arial Unicode MS"/>
                <w:b/>
                <w:sz w:val="18"/>
                <w:szCs w:val="18"/>
                <w:u w:color="000000"/>
                <w:lang w:eastAsia="ko-KR"/>
              </w:rPr>
              <w:t>Indicator 1.3.2:</w:t>
            </w:r>
            <w:r w:rsidRPr="002805B6">
              <w:rPr>
                <w:rFonts w:eastAsia="Arial Unicode MS"/>
                <w:sz w:val="18"/>
                <w:szCs w:val="18"/>
                <w:u w:color="000000"/>
                <w:lang w:eastAsia="ko-KR"/>
              </w:rPr>
              <w:t xml:space="preserve"> Number of </w:t>
            </w:r>
            <w:r w:rsidR="00FC53F7" w:rsidRPr="002805B6">
              <w:rPr>
                <w:rFonts w:eastAsia="Arial Unicode MS"/>
                <w:sz w:val="18"/>
                <w:szCs w:val="18"/>
                <w:u w:color="000000"/>
                <w:lang w:eastAsia="ko-KR"/>
              </w:rPr>
              <w:t>UNDP-supported local</w:t>
            </w:r>
            <w:r w:rsidRPr="002805B6">
              <w:rPr>
                <w:rFonts w:eastAsia="Arial Unicode MS"/>
                <w:sz w:val="18"/>
                <w:szCs w:val="18"/>
                <w:u w:color="000000"/>
                <w:lang w:eastAsia="ko-KR"/>
              </w:rPr>
              <w:t xml:space="preserve"> governments which have functioning gender </w:t>
            </w:r>
            <w:r w:rsidR="00B70A62" w:rsidRPr="002805B6">
              <w:rPr>
                <w:rFonts w:eastAsia="Arial Unicode MS"/>
                <w:sz w:val="18"/>
                <w:szCs w:val="18"/>
                <w:u w:color="000000"/>
                <w:lang w:eastAsia="ko-KR"/>
              </w:rPr>
              <w:t xml:space="preserve">responsive </w:t>
            </w:r>
            <w:r w:rsidRPr="002805B6">
              <w:rPr>
                <w:rFonts w:eastAsia="Arial Unicode MS"/>
                <w:sz w:val="18"/>
                <w:szCs w:val="18"/>
                <w:u w:color="000000"/>
                <w:lang w:eastAsia="ko-KR"/>
              </w:rPr>
              <w:t>planning, budgeting and monitoring system</w:t>
            </w:r>
          </w:p>
          <w:p w14:paraId="42A1FCB4" w14:textId="77777777" w:rsidR="00EE7090" w:rsidRPr="002805B6" w:rsidRDefault="00B24E2F" w:rsidP="005A2DBF">
            <w:pPr>
              <w:rPr>
                <w:rFonts w:eastAsia="Arial Unicode MS"/>
                <w:sz w:val="18"/>
                <w:szCs w:val="18"/>
                <w:u w:color="000000"/>
                <w:lang w:eastAsia="ko-KR"/>
              </w:rPr>
            </w:pPr>
            <w:r w:rsidRPr="002805B6">
              <w:rPr>
                <w:rFonts w:eastAsia="Arial Unicode MS"/>
                <w:b/>
                <w:sz w:val="18"/>
                <w:szCs w:val="18"/>
                <w:u w:color="000000"/>
                <w:lang w:eastAsia="ko-KR"/>
              </w:rPr>
              <w:t>Baseline (2017):</w:t>
            </w:r>
            <w:r w:rsidRPr="002805B6">
              <w:rPr>
                <w:rFonts w:eastAsia="Arial Unicode MS"/>
                <w:sz w:val="18"/>
                <w:szCs w:val="18"/>
                <w:u w:color="000000"/>
                <w:lang w:eastAsia="ko-KR"/>
              </w:rPr>
              <w:t xml:space="preserve"> 0</w:t>
            </w:r>
          </w:p>
          <w:p w14:paraId="5B6867D8" w14:textId="77777777" w:rsidR="00EE7090" w:rsidRPr="002805B6" w:rsidRDefault="00B24E2F" w:rsidP="005A2DBF">
            <w:pPr>
              <w:rPr>
                <w:rFonts w:eastAsia="Arial Unicode MS"/>
                <w:sz w:val="18"/>
                <w:szCs w:val="18"/>
                <w:u w:color="000000"/>
                <w:lang w:eastAsia="ko-KR"/>
              </w:rPr>
            </w:pPr>
            <w:r w:rsidRPr="002805B6">
              <w:rPr>
                <w:rFonts w:eastAsia="Arial Unicode MS"/>
                <w:b/>
                <w:sz w:val="18"/>
                <w:szCs w:val="18"/>
                <w:u w:color="000000"/>
                <w:lang w:eastAsia="ko-KR"/>
              </w:rPr>
              <w:t>Target:</w:t>
            </w:r>
            <w:r w:rsidRPr="002805B6">
              <w:rPr>
                <w:rFonts w:eastAsia="Arial Unicode MS"/>
                <w:sz w:val="18"/>
                <w:szCs w:val="18"/>
                <w:u w:color="000000"/>
                <w:lang w:eastAsia="ko-KR"/>
              </w:rPr>
              <w:t xml:space="preserve"> 10 </w:t>
            </w:r>
          </w:p>
          <w:p w14:paraId="4F64BD3B" w14:textId="2519CEE2" w:rsidR="00940F18" w:rsidRPr="002805B6" w:rsidRDefault="00B24E2F" w:rsidP="005A2DBF">
            <w:pPr>
              <w:rPr>
                <w:rFonts w:eastAsia="Arial Unicode MS"/>
                <w:sz w:val="18"/>
                <w:szCs w:val="18"/>
                <w:u w:color="000000"/>
                <w:lang w:eastAsia="ko-KR"/>
              </w:rPr>
            </w:pPr>
            <w:r w:rsidRPr="002805B6">
              <w:rPr>
                <w:rFonts w:eastAsia="Arial Unicode MS"/>
                <w:b/>
                <w:sz w:val="18"/>
                <w:szCs w:val="18"/>
                <w:u w:color="000000"/>
                <w:lang w:eastAsia="ko-KR"/>
              </w:rPr>
              <w:t>Data source:</w:t>
            </w:r>
            <w:r w:rsidRPr="002805B6">
              <w:rPr>
                <w:rFonts w:eastAsia="Arial Unicode MS"/>
                <w:sz w:val="18"/>
                <w:szCs w:val="18"/>
                <w:u w:color="000000"/>
                <w:lang w:eastAsia="ko-KR"/>
              </w:rPr>
              <w:t xml:space="preserve"> Ministry of </w:t>
            </w:r>
            <w:r w:rsidR="00F80706">
              <w:rPr>
                <w:rFonts w:eastAsia="Arial Unicode MS"/>
                <w:sz w:val="18"/>
                <w:szCs w:val="18"/>
                <w:u w:color="000000"/>
                <w:lang w:eastAsia="ko-KR"/>
              </w:rPr>
              <w:t>D</w:t>
            </w:r>
            <w:r w:rsidR="00F80706" w:rsidRPr="002805B6">
              <w:rPr>
                <w:rFonts w:eastAsia="Arial Unicode MS"/>
                <w:sz w:val="18"/>
                <w:szCs w:val="18"/>
                <w:u w:color="000000"/>
                <w:lang w:eastAsia="ko-KR"/>
              </w:rPr>
              <w:t xml:space="preserve">ecentralization </w:t>
            </w:r>
            <w:r w:rsidRPr="002805B6">
              <w:rPr>
                <w:rFonts w:eastAsia="Arial Unicode MS"/>
                <w:sz w:val="18"/>
                <w:szCs w:val="18"/>
                <w:u w:color="000000"/>
                <w:lang w:eastAsia="ko-KR"/>
              </w:rPr>
              <w:t>annual report</w:t>
            </w:r>
          </w:p>
          <w:p w14:paraId="66BC729F" w14:textId="77777777" w:rsidR="00940F18" w:rsidRPr="002805B6" w:rsidRDefault="00940F18" w:rsidP="005A2DBF">
            <w:pPr>
              <w:rPr>
                <w:rFonts w:eastAsia="Arial Unicode MS"/>
                <w:sz w:val="18"/>
                <w:szCs w:val="18"/>
                <w:u w:color="000000"/>
                <w:lang w:eastAsia="ko-KR"/>
              </w:rPr>
            </w:pPr>
          </w:p>
          <w:p w14:paraId="66863712" w14:textId="52D508C8" w:rsidR="00940F18" w:rsidRPr="002805B6" w:rsidRDefault="00B24E2F" w:rsidP="005A2DBF">
            <w:pPr>
              <w:rPr>
                <w:sz w:val="18"/>
                <w:szCs w:val="18"/>
              </w:rPr>
            </w:pPr>
            <w:r w:rsidRPr="002805B6">
              <w:rPr>
                <w:rFonts w:eastAsia="Arial Unicode MS"/>
                <w:sz w:val="18"/>
                <w:szCs w:val="18"/>
                <w:u w:color="000000"/>
                <w:lang w:eastAsia="ko-KR"/>
              </w:rPr>
              <w:t xml:space="preserve"> </w:t>
            </w:r>
            <w:r w:rsidRPr="002805B6">
              <w:rPr>
                <w:rFonts w:eastAsia="Arial Unicode MS"/>
                <w:b/>
                <w:sz w:val="18"/>
                <w:szCs w:val="18"/>
                <w:u w:color="000000"/>
                <w:lang w:eastAsia="ko-KR"/>
              </w:rPr>
              <w:t xml:space="preserve">Indicator 1.3.3. </w:t>
            </w:r>
            <w:r w:rsidRPr="002805B6">
              <w:rPr>
                <w:sz w:val="18"/>
                <w:szCs w:val="18"/>
              </w:rPr>
              <w:t xml:space="preserve">Extent to which priorities voiced by women, </w:t>
            </w:r>
            <w:r w:rsidR="00CC4FA0">
              <w:rPr>
                <w:sz w:val="18"/>
                <w:szCs w:val="18"/>
              </w:rPr>
              <w:t>persons with disabilities</w:t>
            </w:r>
            <w:r w:rsidRPr="002805B6">
              <w:rPr>
                <w:sz w:val="18"/>
                <w:szCs w:val="18"/>
              </w:rPr>
              <w:t xml:space="preserve"> and youth are integrated into the design, implementation and monitoring of local development plans</w:t>
            </w:r>
            <w:r w:rsidR="00FC53F7" w:rsidRPr="002805B6">
              <w:rPr>
                <w:sz w:val="18"/>
                <w:szCs w:val="18"/>
              </w:rPr>
              <w:t xml:space="preserve"> with UNDP support</w:t>
            </w:r>
          </w:p>
          <w:p w14:paraId="45FB8A4D" w14:textId="77777777" w:rsidR="00940F18" w:rsidRPr="002805B6" w:rsidRDefault="00B24E2F" w:rsidP="005A2DBF">
            <w:pPr>
              <w:rPr>
                <w:rFonts w:eastAsia="Arial Unicode MS"/>
                <w:sz w:val="18"/>
                <w:szCs w:val="18"/>
                <w:u w:color="000000"/>
                <w:lang w:eastAsia="ko-KR"/>
              </w:rPr>
            </w:pPr>
            <w:r w:rsidRPr="002805B6">
              <w:rPr>
                <w:rFonts w:eastAsia="Arial Unicode MS"/>
                <w:b/>
                <w:bCs/>
                <w:iCs/>
                <w:sz w:val="18"/>
                <w:szCs w:val="18"/>
                <w:u w:color="000000"/>
                <w:lang w:eastAsia="ko-KR"/>
              </w:rPr>
              <w:t>Baseline</w:t>
            </w:r>
            <w:r w:rsidRPr="002805B6">
              <w:rPr>
                <w:rFonts w:eastAsia="Arial Unicode MS"/>
                <w:bCs/>
                <w:iCs/>
                <w:sz w:val="18"/>
                <w:szCs w:val="18"/>
                <w:u w:color="000000"/>
                <w:lang w:eastAsia="ko-KR"/>
              </w:rPr>
              <w:t xml:space="preserve"> </w:t>
            </w:r>
            <w:r w:rsidRPr="002805B6">
              <w:rPr>
                <w:rFonts w:eastAsia="Arial Unicode MS"/>
                <w:sz w:val="18"/>
                <w:szCs w:val="18"/>
                <w:u w:color="000000"/>
                <w:lang w:eastAsia="ko-KR"/>
              </w:rPr>
              <w:t>(year 2017)</w:t>
            </w:r>
            <w:r w:rsidRPr="002805B6">
              <w:rPr>
                <w:rStyle w:val="FootnoteReference"/>
                <w:sz w:val="18"/>
                <w:szCs w:val="18"/>
              </w:rPr>
              <w:t xml:space="preserve"> </w:t>
            </w:r>
            <w:r w:rsidRPr="002805B6">
              <w:rPr>
                <w:rStyle w:val="FootnoteReference"/>
                <w:sz w:val="18"/>
                <w:szCs w:val="18"/>
              </w:rPr>
              <w:footnoteReference w:id="29"/>
            </w:r>
            <w:r w:rsidRPr="002805B6">
              <w:rPr>
                <w:rFonts w:eastAsia="Arial Unicode MS"/>
                <w:sz w:val="18"/>
                <w:szCs w:val="18"/>
                <w:u w:color="000000"/>
                <w:lang w:eastAsia="ko-KR"/>
              </w:rPr>
              <w:t>: 2</w:t>
            </w:r>
          </w:p>
          <w:p w14:paraId="5DF580DD" w14:textId="77777777" w:rsidR="00940F18" w:rsidRPr="002805B6" w:rsidRDefault="00B24E2F" w:rsidP="005A2DBF">
            <w:pPr>
              <w:rPr>
                <w:rFonts w:eastAsia="Arial Unicode MS"/>
                <w:sz w:val="18"/>
                <w:szCs w:val="18"/>
                <w:u w:color="000000"/>
                <w:lang w:eastAsia="ko-KR"/>
              </w:rPr>
            </w:pPr>
            <w:r w:rsidRPr="002805B6">
              <w:rPr>
                <w:rFonts w:eastAsia="Arial Unicode MS"/>
                <w:b/>
                <w:sz w:val="18"/>
                <w:szCs w:val="18"/>
                <w:u w:color="000000"/>
                <w:lang w:eastAsia="ko-KR"/>
              </w:rPr>
              <w:t>Target:</w:t>
            </w:r>
            <w:r w:rsidRPr="002805B6">
              <w:rPr>
                <w:rFonts w:eastAsia="Arial Unicode MS"/>
                <w:sz w:val="18"/>
                <w:szCs w:val="18"/>
                <w:u w:color="000000"/>
                <w:lang w:eastAsia="ko-KR"/>
              </w:rPr>
              <w:t xml:space="preserve"> 3</w:t>
            </w:r>
          </w:p>
          <w:p w14:paraId="2E5D96C5" w14:textId="3814AE30" w:rsidR="00B24E2F" w:rsidRPr="002805B6" w:rsidRDefault="00B24E2F" w:rsidP="005A2DBF">
            <w:pPr>
              <w:rPr>
                <w:rFonts w:eastAsia="Arial Unicode MS"/>
                <w:sz w:val="18"/>
                <w:szCs w:val="18"/>
                <w:u w:color="000000"/>
                <w:lang w:eastAsia="ko-KR"/>
              </w:rPr>
            </w:pPr>
            <w:r w:rsidRPr="002805B6">
              <w:rPr>
                <w:rFonts w:eastAsia="Arial Unicode MS"/>
                <w:b/>
                <w:sz w:val="18"/>
                <w:szCs w:val="18"/>
                <w:u w:color="000000"/>
                <w:lang w:eastAsia="ko-KR"/>
              </w:rPr>
              <w:t xml:space="preserve">Data </w:t>
            </w:r>
            <w:r w:rsidR="00A63414">
              <w:rPr>
                <w:rFonts w:eastAsia="Arial Unicode MS"/>
                <w:b/>
                <w:sz w:val="18"/>
                <w:szCs w:val="18"/>
                <w:u w:color="000000"/>
                <w:lang w:eastAsia="ko-KR"/>
              </w:rPr>
              <w:t>s</w:t>
            </w:r>
            <w:r w:rsidRPr="002805B6">
              <w:rPr>
                <w:rFonts w:eastAsia="Arial Unicode MS"/>
                <w:b/>
                <w:sz w:val="18"/>
                <w:szCs w:val="18"/>
                <w:u w:color="000000"/>
                <w:lang w:eastAsia="ko-KR"/>
              </w:rPr>
              <w:t>ource:</w:t>
            </w:r>
            <w:r w:rsidRPr="002805B6">
              <w:rPr>
                <w:rFonts w:eastAsia="Arial Unicode MS"/>
                <w:sz w:val="18"/>
                <w:szCs w:val="18"/>
                <w:u w:color="000000"/>
                <w:lang w:eastAsia="ko-KR"/>
              </w:rPr>
              <w:t xml:space="preserve"> </w:t>
            </w:r>
            <w:r w:rsidR="00BD1DA8" w:rsidRPr="002805B6">
              <w:rPr>
                <w:rFonts w:eastAsia="Arial Unicode MS"/>
                <w:sz w:val="18"/>
                <w:szCs w:val="18"/>
                <w:u w:color="000000"/>
                <w:lang w:eastAsia="ko-KR"/>
              </w:rPr>
              <w:t xml:space="preserve">Municipalities/CSOs </w:t>
            </w:r>
            <w:r w:rsidRPr="002805B6">
              <w:rPr>
                <w:rFonts w:eastAsia="Arial Unicode MS"/>
                <w:sz w:val="18"/>
                <w:szCs w:val="18"/>
                <w:u w:color="000000"/>
                <w:lang w:eastAsia="ko-KR"/>
              </w:rPr>
              <w:t xml:space="preserve">Annual Reports </w:t>
            </w:r>
          </w:p>
          <w:p w14:paraId="51F9D3E8" w14:textId="77777777" w:rsidR="005204A7" w:rsidRDefault="005204A7" w:rsidP="00A63414">
            <w:pPr>
              <w:rPr>
                <w:rFonts w:eastAsia="Arial Unicode MS"/>
                <w:b/>
                <w:sz w:val="18"/>
                <w:szCs w:val="18"/>
                <w:u w:color="000000"/>
                <w:lang w:eastAsia="ko-KR"/>
              </w:rPr>
            </w:pPr>
          </w:p>
          <w:p w14:paraId="576DE067" w14:textId="2E140B14" w:rsidR="00EE7090" w:rsidRPr="002805B6" w:rsidRDefault="00B24E2F" w:rsidP="00A63414">
            <w:pPr>
              <w:rPr>
                <w:rFonts w:eastAsia="Arial Unicode MS"/>
                <w:i/>
                <w:sz w:val="18"/>
                <w:szCs w:val="18"/>
                <w:u w:color="000000"/>
                <w:lang w:eastAsia="ko-KR"/>
              </w:rPr>
            </w:pPr>
            <w:r w:rsidRPr="002805B6">
              <w:rPr>
                <w:rFonts w:eastAsia="Arial Unicode MS"/>
                <w:b/>
                <w:sz w:val="18"/>
                <w:szCs w:val="18"/>
                <w:u w:color="000000"/>
                <w:lang w:eastAsia="ko-KR"/>
              </w:rPr>
              <w:t>Output 1.4</w:t>
            </w:r>
            <w:r w:rsidRPr="00CC4FA0">
              <w:rPr>
                <w:rFonts w:eastAsia="Arial Unicode MS"/>
                <w:b/>
                <w:sz w:val="18"/>
                <w:szCs w:val="18"/>
                <w:u w:color="000000"/>
                <w:lang w:eastAsia="ko-KR"/>
              </w:rPr>
              <w:t xml:space="preserve">: </w:t>
            </w:r>
            <w:r w:rsidRPr="000807BB">
              <w:rPr>
                <w:rFonts w:eastAsia="Arial Unicode MS"/>
                <w:sz w:val="18"/>
                <w:szCs w:val="18"/>
                <w:u w:color="000000"/>
                <w:lang w:eastAsia="ko-KR"/>
              </w:rPr>
              <w:t>Justice and human rights institutions enabled to improve human rights</w:t>
            </w:r>
            <w:r w:rsidR="006D4996" w:rsidRPr="000807BB">
              <w:rPr>
                <w:rFonts w:eastAsia="Arial Unicode MS"/>
                <w:sz w:val="18"/>
                <w:szCs w:val="18"/>
                <w:u w:color="000000"/>
                <w:lang w:eastAsia="ko-KR"/>
              </w:rPr>
              <w:t xml:space="preserve"> rule of law</w:t>
            </w:r>
            <w:r w:rsidRPr="000807BB">
              <w:rPr>
                <w:rFonts w:eastAsia="Arial Unicode MS"/>
                <w:sz w:val="18"/>
                <w:szCs w:val="18"/>
                <w:u w:color="000000"/>
                <w:lang w:eastAsia="ko-KR"/>
              </w:rPr>
              <w:t xml:space="preserve">, and access to justice of women, youth, </w:t>
            </w:r>
            <w:r w:rsidR="00CC4FA0">
              <w:rPr>
                <w:rFonts w:eastAsia="Arial Unicode MS"/>
                <w:sz w:val="18"/>
                <w:szCs w:val="18"/>
                <w:u w:color="000000"/>
                <w:lang w:eastAsia="ko-KR"/>
              </w:rPr>
              <w:t>persons living with HIV and AIDS and persons with disabilities</w:t>
            </w:r>
          </w:p>
          <w:p w14:paraId="2D46AB48" w14:textId="77777777" w:rsidR="00EE7090" w:rsidRPr="002805B6" w:rsidRDefault="00EE7090" w:rsidP="00A63414">
            <w:pPr>
              <w:rPr>
                <w:rFonts w:eastAsia="Arial Unicode MS"/>
                <w:i/>
                <w:sz w:val="18"/>
                <w:szCs w:val="18"/>
                <w:u w:color="000000"/>
                <w:lang w:eastAsia="ko-KR"/>
              </w:rPr>
            </w:pPr>
          </w:p>
          <w:p w14:paraId="0B25B729" w14:textId="77777777" w:rsidR="00940F18" w:rsidRPr="002805B6" w:rsidRDefault="00B24E2F" w:rsidP="00A63414">
            <w:pPr>
              <w:rPr>
                <w:sz w:val="18"/>
                <w:szCs w:val="18"/>
              </w:rPr>
            </w:pPr>
            <w:r w:rsidRPr="002805B6">
              <w:rPr>
                <w:b/>
                <w:sz w:val="18"/>
                <w:szCs w:val="18"/>
              </w:rPr>
              <w:t>Indicator 1.4.1</w:t>
            </w:r>
            <w:r w:rsidRPr="002805B6">
              <w:rPr>
                <w:sz w:val="18"/>
                <w:szCs w:val="18"/>
              </w:rPr>
              <w:t xml:space="preserve"> Existence of</w:t>
            </w:r>
            <w:r w:rsidR="00FC53F7" w:rsidRPr="002805B6">
              <w:rPr>
                <w:sz w:val="18"/>
                <w:szCs w:val="18"/>
              </w:rPr>
              <w:t xml:space="preserve"> UNDP-supported</w:t>
            </w:r>
            <w:r w:rsidRPr="002805B6">
              <w:rPr>
                <w:sz w:val="18"/>
                <w:szCs w:val="18"/>
              </w:rPr>
              <w:t xml:space="preserve"> strengthened institutions and systems supporting </w:t>
            </w:r>
            <w:r w:rsidRPr="002805B6">
              <w:rPr>
                <w:sz w:val="18"/>
                <w:szCs w:val="18"/>
              </w:rPr>
              <w:lastRenderedPageBreak/>
              <w:t>fulfilment of nationally and internationally ratified human rights obligations:</w:t>
            </w:r>
          </w:p>
          <w:p w14:paraId="40F056BE" w14:textId="77777777" w:rsidR="00940F18" w:rsidRPr="002805B6" w:rsidRDefault="00940F18" w:rsidP="00A63414">
            <w:pPr>
              <w:rPr>
                <w:sz w:val="18"/>
                <w:szCs w:val="18"/>
              </w:rPr>
            </w:pPr>
            <w:r w:rsidRPr="002805B6">
              <w:rPr>
                <w:sz w:val="18"/>
                <w:szCs w:val="18"/>
              </w:rPr>
              <w:t xml:space="preserve">a. </w:t>
            </w:r>
            <w:r w:rsidR="00B24E2F" w:rsidRPr="002805B6">
              <w:rPr>
                <w:sz w:val="18"/>
                <w:szCs w:val="18"/>
              </w:rPr>
              <w:t>Rule of law and justice</w:t>
            </w:r>
          </w:p>
          <w:p w14:paraId="5F3C8F5D" w14:textId="77777777" w:rsidR="00940F18" w:rsidRPr="002805B6" w:rsidRDefault="00940F18" w:rsidP="00A63414">
            <w:pPr>
              <w:rPr>
                <w:sz w:val="18"/>
                <w:szCs w:val="18"/>
              </w:rPr>
            </w:pPr>
            <w:r w:rsidRPr="002805B6">
              <w:rPr>
                <w:sz w:val="18"/>
                <w:szCs w:val="18"/>
              </w:rPr>
              <w:t xml:space="preserve">b. </w:t>
            </w:r>
            <w:r w:rsidR="00B24E2F" w:rsidRPr="002805B6">
              <w:rPr>
                <w:sz w:val="18"/>
                <w:szCs w:val="18"/>
              </w:rPr>
              <w:t>Human rights</w:t>
            </w:r>
          </w:p>
          <w:p w14:paraId="3154C28B" w14:textId="5CFA0D50" w:rsidR="00940F18" w:rsidRPr="002805B6" w:rsidRDefault="00B24E2F" w:rsidP="00A63414">
            <w:pPr>
              <w:rPr>
                <w:sz w:val="18"/>
                <w:szCs w:val="18"/>
              </w:rPr>
            </w:pPr>
            <w:r w:rsidRPr="002805B6">
              <w:rPr>
                <w:b/>
                <w:bCs/>
                <w:sz w:val="18"/>
                <w:szCs w:val="18"/>
              </w:rPr>
              <w:t>Baseline</w:t>
            </w:r>
            <w:r w:rsidRPr="002805B6">
              <w:rPr>
                <w:sz w:val="18"/>
                <w:szCs w:val="18"/>
              </w:rPr>
              <w:t xml:space="preserve"> (2017): (a) No</w:t>
            </w:r>
            <w:r w:rsidR="00F80706">
              <w:rPr>
                <w:sz w:val="18"/>
                <w:szCs w:val="18"/>
              </w:rPr>
              <w:t>;</w:t>
            </w:r>
            <w:r w:rsidRPr="002805B6">
              <w:rPr>
                <w:sz w:val="18"/>
                <w:szCs w:val="18"/>
              </w:rPr>
              <w:t xml:space="preserve"> (b) No </w:t>
            </w:r>
          </w:p>
          <w:p w14:paraId="1BB82D95" w14:textId="7FDD8D0D" w:rsidR="00940F18" w:rsidRPr="002805B6" w:rsidRDefault="00B24E2F" w:rsidP="00A63414">
            <w:pPr>
              <w:rPr>
                <w:sz w:val="18"/>
                <w:szCs w:val="18"/>
              </w:rPr>
            </w:pPr>
            <w:r w:rsidRPr="002805B6">
              <w:rPr>
                <w:b/>
                <w:bCs/>
                <w:sz w:val="18"/>
                <w:szCs w:val="18"/>
              </w:rPr>
              <w:t xml:space="preserve">Target: </w:t>
            </w:r>
            <w:r w:rsidR="00940F18" w:rsidRPr="002805B6">
              <w:rPr>
                <w:bCs/>
                <w:sz w:val="18"/>
                <w:szCs w:val="18"/>
              </w:rPr>
              <w:t xml:space="preserve">(2023) </w:t>
            </w:r>
            <w:r w:rsidRPr="002805B6">
              <w:rPr>
                <w:sz w:val="18"/>
                <w:szCs w:val="18"/>
              </w:rPr>
              <w:t>(a) Yes</w:t>
            </w:r>
            <w:r w:rsidR="00F80706">
              <w:rPr>
                <w:sz w:val="18"/>
                <w:szCs w:val="18"/>
              </w:rPr>
              <w:t>;</w:t>
            </w:r>
            <w:r w:rsidRPr="002805B6">
              <w:rPr>
                <w:sz w:val="18"/>
                <w:szCs w:val="18"/>
              </w:rPr>
              <w:t xml:space="preserve"> (b) Yes</w:t>
            </w:r>
          </w:p>
          <w:p w14:paraId="03B973DD" w14:textId="0C6B3A9D" w:rsidR="00B24E2F" w:rsidRDefault="00B24E2F" w:rsidP="00A63414">
            <w:pPr>
              <w:contextualSpacing/>
              <w:rPr>
                <w:sz w:val="18"/>
                <w:szCs w:val="18"/>
              </w:rPr>
            </w:pPr>
            <w:r w:rsidRPr="002805B6">
              <w:rPr>
                <w:b/>
                <w:bCs/>
                <w:sz w:val="18"/>
                <w:szCs w:val="18"/>
              </w:rPr>
              <w:t xml:space="preserve">Data </w:t>
            </w:r>
            <w:r w:rsidR="00A43519">
              <w:rPr>
                <w:b/>
                <w:bCs/>
                <w:sz w:val="18"/>
                <w:szCs w:val="18"/>
              </w:rPr>
              <w:t>s</w:t>
            </w:r>
            <w:r w:rsidRPr="002805B6">
              <w:rPr>
                <w:b/>
                <w:bCs/>
                <w:sz w:val="18"/>
                <w:szCs w:val="18"/>
              </w:rPr>
              <w:t>ource:</w:t>
            </w:r>
            <w:r w:rsidRPr="002805B6">
              <w:rPr>
                <w:sz w:val="18"/>
                <w:szCs w:val="18"/>
              </w:rPr>
              <w:t xml:space="preserve"> </w:t>
            </w:r>
            <w:r w:rsidR="00BD1DA8" w:rsidRPr="002805B6">
              <w:rPr>
                <w:sz w:val="18"/>
                <w:szCs w:val="18"/>
              </w:rPr>
              <w:t xml:space="preserve">NCHR </w:t>
            </w:r>
            <w:r w:rsidRPr="002805B6">
              <w:rPr>
                <w:sz w:val="18"/>
                <w:szCs w:val="18"/>
              </w:rPr>
              <w:t xml:space="preserve">Annual report </w:t>
            </w:r>
          </w:p>
          <w:p w14:paraId="08B43DFA" w14:textId="77777777" w:rsidR="00A63414" w:rsidRDefault="00A63414" w:rsidP="00A63414">
            <w:pPr>
              <w:contextualSpacing/>
              <w:rPr>
                <w:sz w:val="18"/>
                <w:szCs w:val="18"/>
              </w:rPr>
            </w:pPr>
          </w:p>
          <w:p w14:paraId="7C9EAABE" w14:textId="461730B6" w:rsidR="001F2B97" w:rsidRPr="002805B6" w:rsidRDefault="00D82F97" w:rsidP="00A63414">
            <w:pPr>
              <w:pStyle w:val="CommentText"/>
              <w:rPr>
                <w:rFonts w:eastAsia="Arial Unicode MS"/>
                <w:b/>
                <w:bCs/>
                <w:iCs/>
                <w:sz w:val="18"/>
                <w:szCs w:val="18"/>
                <w:u w:color="000000"/>
                <w:lang w:eastAsia="ko-KR"/>
              </w:rPr>
            </w:pPr>
            <w:r>
              <w:rPr>
                <w:rFonts w:eastAsia="Arial Unicode MS"/>
                <w:b/>
                <w:sz w:val="18"/>
                <w:szCs w:val="18"/>
                <w:u w:color="000000"/>
                <w:lang w:eastAsia="ko-KR"/>
              </w:rPr>
              <w:t>I</w:t>
            </w:r>
            <w:r w:rsidR="00B24E2F" w:rsidRPr="002805B6">
              <w:rPr>
                <w:rFonts w:eastAsia="Arial Unicode MS"/>
                <w:b/>
                <w:sz w:val="18"/>
                <w:szCs w:val="18"/>
                <w:u w:color="000000"/>
                <w:lang w:eastAsia="ko-KR"/>
              </w:rPr>
              <w:t>ndicator 1.4.</w:t>
            </w:r>
            <w:r w:rsidR="001F2B97" w:rsidRPr="002805B6">
              <w:rPr>
                <w:rFonts w:eastAsia="Arial Unicode MS"/>
                <w:b/>
                <w:sz w:val="18"/>
                <w:szCs w:val="18"/>
                <w:u w:color="000000"/>
                <w:lang w:eastAsia="ko-KR"/>
              </w:rPr>
              <w:t xml:space="preserve">2 </w:t>
            </w:r>
            <w:r w:rsidR="001F2B97" w:rsidRPr="002805B6">
              <w:rPr>
                <w:rFonts w:eastAsia="Arial Unicode MS"/>
                <w:sz w:val="18"/>
                <w:szCs w:val="18"/>
                <w:u w:color="000000"/>
                <w:lang w:eastAsia="ko-KR"/>
              </w:rPr>
              <w:t>Existence</w:t>
            </w:r>
            <w:r w:rsidR="006D4996" w:rsidRPr="002805B6">
              <w:rPr>
                <w:rFonts w:eastAsia="Arial Unicode MS"/>
                <w:sz w:val="18"/>
                <w:szCs w:val="18"/>
                <w:u w:color="000000"/>
                <w:lang w:eastAsia="ko-KR"/>
              </w:rPr>
              <w:t xml:space="preserve"> of </w:t>
            </w:r>
            <w:r w:rsidR="006C3472" w:rsidRPr="002805B6">
              <w:rPr>
                <w:rFonts w:eastAsia="Arial Unicode MS"/>
                <w:sz w:val="18"/>
                <w:szCs w:val="18"/>
                <w:u w:color="000000"/>
                <w:lang w:eastAsia="ko-KR"/>
              </w:rPr>
              <w:t xml:space="preserve">an </w:t>
            </w:r>
            <w:r w:rsidR="006D4996" w:rsidRPr="002805B6">
              <w:rPr>
                <w:rFonts w:eastAsia="Arial Unicode MS"/>
                <w:sz w:val="18"/>
                <w:szCs w:val="18"/>
                <w:u w:color="000000"/>
                <w:lang w:eastAsia="ko-KR"/>
              </w:rPr>
              <w:t>information</w:t>
            </w:r>
            <w:r w:rsidR="0095229E" w:rsidRPr="002805B6">
              <w:rPr>
                <w:rFonts w:eastAsia="Arial Unicode MS"/>
                <w:sz w:val="18"/>
                <w:szCs w:val="18"/>
                <w:u w:color="000000"/>
                <w:lang w:eastAsia="ko-KR"/>
              </w:rPr>
              <w:t xml:space="preserve"> </w:t>
            </w:r>
            <w:r w:rsidR="001F2B97" w:rsidRPr="002805B6">
              <w:rPr>
                <w:rFonts w:eastAsia="Arial Unicode MS"/>
                <w:sz w:val="18"/>
                <w:szCs w:val="18"/>
                <w:u w:color="000000"/>
                <w:lang w:eastAsia="ko-KR"/>
              </w:rPr>
              <w:t>system on justice efficiency</w:t>
            </w:r>
          </w:p>
          <w:p w14:paraId="6E092379" w14:textId="77777777" w:rsidR="001F2B97" w:rsidRPr="002805B6" w:rsidRDefault="001F2B97" w:rsidP="00A63414">
            <w:pPr>
              <w:pStyle w:val="CommentText"/>
              <w:rPr>
                <w:b/>
                <w:bCs/>
                <w:sz w:val="18"/>
                <w:szCs w:val="18"/>
              </w:rPr>
            </w:pPr>
            <w:r w:rsidRPr="002805B6">
              <w:rPr>
                <w:b/>
                <w:bCs/>
                <w:sz w:val="18"/>
                <w:szCs w:val="18"/>
              </w:rPr>
              <w:t xml:space="preserve">Baseline (year 2017): </w:t>
            </w:r>
            <w:r w:rsidRPr="002805B6">
              <w:rPr>
                <w:bCs/>
                <w:sz w:val="18"/>
                <w:szCs w:val="18"/>
              </w:rPr>
              <w:t>No</w:t>
            </w:r>
          </w:p>
          <w:p w14:paraId="6FA2BAE3" w14:textId="77777777" w:rsidR="001F2B97" w:rsidRPr="002805B6" w:rsidRDefault="001F2B97" w:rsidP="00A63414">
            <w:pPr>
              <w:pStyle w:val="CommentText"/>
              <w:rPr>
                <w:b/>
                <w:bCs/>
                <w:sz w:val="18"/>
                <w:szCs w:val="18"/>
              </w:rPr>
            </w:pPr>
            <w:r w:rsidRPr="002805B6">
              <w:rPr>
                <w:b/>
                <w:bCs/>
                <w:sz w:val="18"/>
                <w:szCs w:val="18"/>
              </w:rPr>
              <w:t xml:space="preserve">Target: </w:t>
            </w:r>
            <w:r w:rsidRPr="002805B6">
              <w:rPr>
                <w:bCs/>
                <w:sz w:val="18"/>
                <w:szCs w:val="18"/>
              </w:rPr>
              <w:t>Yes</w:t>
            </w:r>
          </w:p>
          <w:p w14:paraId="50E87FE3" w14:textId="526391DE" w:rsidR="001F2B97" w:rsidRPr="002805B6" w:rsidRDefault="001F2B97" w:rsidP="00A63414">
            <w:pPr>
              <w:pStyle w:val="CommentText"/>
              <w:rPr>
                <w:rFonts w:eastAsia="Arial Unicode MS"/>
                <w:sz w:val="18"/>
                <w:szCs w:val="18"/>
                <w:u w:color="000000"/>
                <w:lang w:eastAsia="ko-KR"/>
              </w:rPr>
            </w:pPr>
            <w:r w:rsidRPr="002805B6">
              <w:rPr>
                <w:rFonts w:eastAsia="Arial Unicode MS"/>
                <w:b/>
                <w:sz w:val="18"/>
                <w:szCs w:val="18"/>
                <w:u w:color="000000"/>
                <w:lang w:eastAsia="ko-KR"/>
              </w:rPr>
              <w:t xml:space="preserve">Data </w:t>
            </w:r>
            <w:r w:rsidR="00A43519">
              <w:rPr>
                <w:rFonts w:eastAsia="Arial Unicode MS"/>
                <w:b/>
                <w:sz w:val="18"/>
                <w:szCs w:val="18"/>
                <w:u w:color="000000"/>
                <w:lang w:eastAsia="ko-KR"/>
              </w:rPr>
              <w:t>s</w:t>
            </w:r>
            <w:r w:rsidRPr="002805B6">
              <w:rPr>
                <w:rFonts w:eastAsia="Arial Unicode MS"/>
                <w:b/>
                <w:sz w:val="18"/>
                <w:szCs w:val="18"/>
                <w:u w:color="000000"/>
                <w:lang w:eastAsia="ko-KR"/>
              </w:rPr>
              <w:t>ource:</w:t>
            </w:r>
            <w:r w:rsidRPr="002805B6">
              <w:rPr>
                <w:rFonts w:eastAsia="Arial Unicode MS"/>
                <w:sz w:val="18"/>
                <w:szCs w:val="18"/>
                <w:u w:color="000000"/>
                <w:lang w:eastAsia="ko-KR"/>
              </w:rPr>
              <w:t xml:space="preserve"> </w:t>
            </w:r>
            <w:r w:rsidR="00F80706">
              <w:rPr>
                <w:rFonts w:eastAsia="Arial Unicode MS"/>
                <w:sz w:val="18"/>
                <w:szCs w:val="18"/>
                <w:u w:color="000000"/>
                <w:lang w:eastAsia="ko-KR"/>
              </w:rPr>
              <w:t xml:space="preserve">Ministry of </w:t>
            </w:r>
            <w:r w:rsidR="00BD1DA8" w:rsidRPr="002805B6">
              <w:rPr>
                <w:rFonts w:eastAsia="Arial Unicode MS"/>
                <w:sz w:val="18"/>
                <w:szCs w:val="18"/>
                <w:u w:color="000000"/>
                <w:lang w:eastAsia="ko-KR"/>
              </w:rPr>
              <w:t xml:space="preserve">Justice </w:t>
            </w:r>
            <w:r w:rsidRPr="002805B6">
              <w:rPr>
                <w:rFonts w:eastAsia="Arial Unicode MS"/>
                <w:sz w:val="18"/>
                <w:szCs w:val="18"/>
                <w:u w:color="000000"/>
                <w:lang w:eastAsia="ko-KR"/>
              </w:rPr>
              <w:t xml:space="preserve">Annual report </w:t>
            </w:r>
          </w:p>
          <w:p w14:paraId="027F1730" w14:textId="77777777" w:rsidR="001F2B97" w:rsidRPr="002805B6" w:rsidRDefault="001F2B97" w:rsidP="00A63414">
            <w:pPr>
              <w:pStyle w:val="CommentText"/>
              <w:rPr>
                <w:rFonts w:eastAsia="Arial Unicode MS"/>
                <w:sz w:val="18"/>
                <w:szCs w:val="18"/>
                <w:u w:color="000000"/>
                <w:lang w:eastAsia="ko-KR"/>
              </w:rPr>
            </w:pPr>
          </w:p>
          <w:p w14:paraId="60A9393E" w14:textId="77777777" w:rsidR="001F2B97" w:rsidRPr="002805B6" w:rsidRDefault="001F2B97" w:rsidP="00A63414">
            <w:pPr>
              <w:pStyle w:val="CommentText"/>
              <w:rPr>
                <w:rFonts w:eastAsia="Arial Unicode MS"/>
                <w:b/>
                <w:bCs/>
                <w:iCs/>
                <w:sz w:val="18"/>
                <w:szCs w:val="18"/>
                <w:u w:color="000000"/>
                <w:lang w:eastAsia="ko-KR"/>
              </w:rPr>
            </w:pPr>
            <w:r w:rsidRPr="002805B6">
              <w:rPr>
                <w:rFonts w:eastAsia="Arial Unicode MS"/>
                <w:b/>
                <w:sz w:val="18"/>
                <w:szCs w:val="18"/>
                <w:u w:color="000000"/>
                <w:lang w:eastAsia="ko-KR"/>
              </w:rPr>
              <w:t xml:space="preserve">Indicator 1.4.3 </w:t>
            </w:r>
            <w:r w:rsidRPr="002805B6">
              <w:rPr>
                <w:rFonts w:eastAsia="Arial Unicode MS"/>
                <w:sz w:val="18"/>
                <w:szCs w:val="18"/>
                <w:u w:color="000000"/>
                <w:lang w:eastAsia="ko-KR"/>
              </w:rPr>
              <w:t xml:space="preserve">Number of </w:t>
            </w:r>
            <w:r w:rsidR="00FC53F7" w:rsidRPr="002805B6">
              <w:rPr>
                <w:rFonts w:eastAsia="Arial Unicode MS"/>
                <w:sz w:val="18"/>
                <w:szCs w:val="18"/>
                <w:u w:color="000000"/>
                <w:lang w:eastAsia="ko-KR"/>
              </w:rPr>
              <w:t xml:space="preserve">UNDP-supported </w:t>
            </w:r>
            <w:r w:rsidRPr="002805B6">
              <w:rPr>
                <w:rFonts w:eastAsia="Arial Unicode MS"/>
                <w:sz w:val="18"/>
                <w:szCs w:val="18"/>
                <w:u w:color="000000"/>
                <w:lang w:eastAsia="ko-KR"/>
              </w:rPr>
              <w:t xml:space="preserve">Justice Houses and </w:t>
            </w:r>
            <w:r w:rsidR="0037700E" w:rsidRPr="002805B6">
              <w:rPr>
                <w:rFonts w:eastAsia="Arial Unicode MS"/>
                <w:sz w:val="18"/>
                <w:szCs w:val="18"/>
                <w:u w:color="000000"/>
                <w:lang w:eastAsia="ko-KR"/>
              </w:rPr>
              <w:t>L</w:t>
            </w:r>
            <w:r w:rsidRPr="002805B6">
              <w:rPr>
                <w:rFonts w:eastAsia="Arial Unicode MS"/>
                <w:sz w:val="18"/>
                <w:szCs w:val="18"/>
                <w:u w:color="000000"/>
                <w:lang w:eastAsia="ko-KR"/>
              </w:rPr>
              <w:t>egal Aid offices strengthened</w:t>
            </w:r>
          </w:p>
          <w:p w14:paraId="5705F131" w14:textId="77777777" w:rsidR="001F2B97" w:rsidRPr="002805B6" w:rsidRDefault="001F2B97" w:rsidP="00A63414">
            <w:pPr>
              <w:pStyle w:val="CommentText"/>
              <w:rPr>
                <w:b/>
                <w:bCs/>
                <w:sz w:val="18"/>
                <w:szCs w:val="18"/>
              </w:rPr>
            </w:pPr>
            <w:r w:rsidRPr="002805B6">
              <w:rPr>
                <w:b/>
                <w:bCs/>
                <w:sz w:val="18"/>
                <w:szCs w:val="18"/>
              </w:rPr>
              <w:t>Baseline (year 2017): 0</w:t>
            </w:r>
          </w:p>
          <w:p w14:paraId="1A02C456" w14:textId="77777777" w:rsidR="001F2B97" w:rsidRPr="002805B6" w:rsidRDefault="001F2B97" w:rsidP="00A63414">
            <w:pPr>
              <w:pStyle w:val="CommentText"/>
              <w:rPr>
                <w:b/>
                <w:bCs/>
                <w:sz w:val="18"/>
                <w:szCs w:val="18"/>
              </w:rPr>
            </w:pPr>
            <w:r w:rsidRPr="002805B6">
              <w:rPr>
                <w:b/>
                <w:bCs/>
                <w:sz w:val="18"/>
                <w:szCs w:val="18"/>
              </w:rPr>
              <w:t>Target: 8</w:t>
            </w:r>
          </w:p>
          <w:p w14:paraId="7732E16B" w14:textId="34E206A1" w:rsidR="00584CF7" w:rsidRPr="002805B6" w:rsidRDefault="001F2B97" w:rsidP="00A63414">
            <w:pPr>
              <w:pStyle w:val="CommentText"/>
              <w:rPr>
                <w:rFonts w:eastAsia="Arial Unicode MS"/>
                <w:sz w:val="18"/>
                <w:szCs w:val="18"/>
                <w:u w:color="000000"/>
                <w:lang w:eastAsia="ko-KR"/>
              </w:rPr>
            </w:pPr>
            <w:r w:rsidRPr="002805B6">
              <w:rPr>
                <w:rFonts w:eastAsia="Arial Unicode MS"/>
                <w:b/>
                <w:sz w:val="18"/>
                <w:szCs w:val="18"/>
                <w:u w:color="000000"/>
                <w:lang w:eastAsia="ko-KR"/>
              </w:rPr>
              <w:t>Data</w:t>
            </w:r>
            <w:r w:rsidR="00A43519">
              <w:rPr>
                <w:rFonts w:eastAsia="Arial Unicode MS"/>
                <w:b/>
                <w:sz w:val="18"/>
                <w:szCs w:val="18"/>
                <w:u w:color="000000"/>
                <w:lang w:eastAsia="ko-KR"/>
              </w:rPr>
              <w:t xml:space="preserve"> s</w:t>
            </w:r>
            <w:r w:rsidRPr="002805B6">
              <w:rPr>
                <w:rFonts w:eastAsia="Arial Unicode MS"/>
                <w:b/>
                <w:sz w:val="18"/>
                <w:szCs w:val="18"/>
                <w:u w:color="000000"/>
                <w:lang w:eastAsia="ko-KR"/>
              </w:rPr>
              <w:t>ource:</w:t>
            </w:r>
            <w:r w:rsidRPr="002805B6">
              <w:rPr>
                <w:rFonts w:eastAsia="Arial Unicode MS"/>
                <w:sz w:val="18"/>
                <w:szCs w:val="18"/>
                <w:u w:color="000000"/>
                <w:lang w:eastAsia="ko-KR"/>
              </w:rPr>
              <w:t xml:space="preserve"> </w:t>
            </w:r>
            <w:r w:rsidR="00F80706">
              <w:rPr>
                <w:rFonts w:eastAsia="Arial Unicode MS"/>
                <w:sz w:val="18"/>
                <w:szCs w:val="18"/>
                <w:u w:color="000000"/>
                <w:lang w:eastAsia="ko-KR"/>
              </w:rPr>
              <w:t xml:space="preserve">Ministry of </w:t>
            </w:r>
            <w:r w:rsidR="00BD1DA8" w:rsidRPr="002805B6">
              <w:rPr>
                <w:rFonts w:eastAsia="Arial Unicode MS"/>
                <w:sz w:val="18"/>
                <w:szCs w:val="18"/>
                <w:u w:color="000000"/>
                <w:lang w:eastAsia="ko-KR"/>
              </w:rPr>
              <w:t xml:space="preserve">Justice </w:t>
            </w:r>
            <w:r w:rsidRPr="002805B6">
              <w:rPr>
                <w:rFonts w:eastAsia="Arial Unicode MS"/>
                <w:sz w:val="18"/>
                <w:szCs w:val="18"/>
                <w:u w:color="000000"/>
                <w:lang w:eastAsia="ko-KR"/>
              </w:rPr>
              <w:t xml:space="preserve">Annual report </w:t>
            </w:r>
          </w:p>
          <w:p w14:paraId="75FEBF54" w14:textId="77777777" w:rsidR="00584CF7" w:rsidRPr="002805B6" w:rsidRDefault="00584CF7" w:rsidP="00A63414">
            <w:pPr>
              <w:pStyle w:val="CommentText"/>
              <w:rPr>
                <w:rFonts w:eastAsia="Arial Unicode MS"/>
                <w:sz w:val="18"/>
                <w:szCs w:val="18"/>
                <w:u w:color="000000"/>
              </w:rPr>
            </w:pPr>
          </w:p>
          <w:p w14:paraId="48FEE44A" w14:textId="77777777" w:rsidR="00B24E2F" w:rsidRPr="002805B6" w:rsidRDefault="00B24E2F" w:rsidP="00A63414">
            <w:pPr>
              <w:pStyle w:val="CommentText"/>
              <w:rPr>
                <w:rFonts w:eastAsia="Arial Unicode MS"/>
                <w:b/>
                <w:bCs/>
                <w:iCs/>
                <w:sz w:val="18"/>
                <w:szCs w:val="18"/>
                <w:u w:color="000000"/>
                <w:lang w:eastAsia="ko-KR"/>
              </w:rPr>
            </w:pPr>
            <w:r w:rsidRPr="002805B6">
              <w:rPr>
                <w:rFonts w:eastAsia="Arial Unicode MS"/>
                <w:b/>
                <w:sz w:val="18"/>
                <w:szCs w:val="18"/>
                <w:u w:color="000000"/>
              </w:rPr>
              <w:t xml:space="preserve">Indicator </w:t>
            </w:r>
            <w:r w:rsidRPr="002805B6">
              <w:rPr>
                <w:rFonts w:eastAsia="Arial Unicode MS"/>
                <w:b/>
                <w:sz w:val="18"/>
                <w:szCs w:val="18"/>
                <w:u w:color="000000"/>
                <w:lang w:eastAsia="ko-KR"/>
              </w:rPr>
              <w:t>1.4.</w:t>
            </w:r>
            <w:r w:rsidR="001F2B97" w:rsidRPr="002805B6">
              <w:rPr>
                <w:rFonts w:eastAsia="Arial Unicode MS"/>
                <w:b/>
                <w:sz w:val="18"/>
                <w:szCs w:val="18"/>
                <w:u w:color="000000"/>
                <w:lang w:eastAsia="ko-KR"/>
              </w:rPr>
              <w:t>4</w:t>
            </w:r>
            <w:r w:rsidRPr="002805B6">
              <w:rPr>
                <w:rFonts w:eastAsia="Arial Unicode MS"/>
                <w:b/>
                <w:sz w:val="18"/>
                <w:szCs w:val="18"/>
                <w:u w:color="000000"/>
                <w:lang w:eastAsia="ko-KR"/>
              </w:rPr>
              <w:t>:</w:t>
            </w:r>
            <w:r w:rsidRPr="002805B6">
              <w:rPr>
                <w:rFonts w:eastAsia="Arial Unicode MS"/>
                <w:sz w:val="18"/>
                <w:szCs w:val="18"/>
                <w:u w:color="000000"/>
                <w:lang w:eastAsia="ko-KR"/>
              </w:rPr>
              <w:t xml:space="preserve"> </w:t>
            </w:r>
            <w:r w:rsidRPr="002805B6">
              <w:rPr>
                <w:sz w:val="18"/>
                <w:szCs w:val="18"/>
              </w:rPr>
              <w:t>Percentage of new reported GBV cases, resulting in conviction of perpetrators</w:t>
            </w:r>
            <w:r w:rsidR="00BD1DA8" w:rsidRPr="002805B6">
              <w:rPr>
                <w:sz w:val="18"/>
                <w:szCs w:val="18"/>
              </w:rPr>
              <w:t>/</w:t>
            </w:r>
            <w:r w:rsidRPr="002805B6">
              <w:rPr>
                <w:sz w:val="18"/>
                <w:szCs w:val="18"/>
              </w:rPr>
              <w:t>reparation for survivors</w:t>
            </w:r>
          </w:p>
          <w:p w14:paraId="7588BE93" w14:textId="77777777" w:rsidR="00940F18" w:rsidRPr="002805B6" w:rsidRDefault="00B24E2F" w:rsidP="00A63414">
            <w:pPr>
              <w:pStyle w:val="CommentText"/>
              <w:rPr>
                <w:b/>
                <w:bCs/>
                <w:sz w:val="18"/>
                <w:szCs w:val="18"/>
              </w:rPr>
            </w:pPr>
            <w:r w:rsidRPr="002805B6">
              <w:rPr>
                <w:b/>
                <w:bCs/>
                <w:sz w:val="18"/>
                <w:szCs w:val="18"/>
              </w:rPr>
              <w:t>Baseline (year 2017): 0</w:t>
            </w:r>
          </w:p>
          <w:p w14:paraId="1A04097C" w14:textId="77777777" w:rsidR="00940F18" w:rsidRPr="002805B6" w:rsidRDefault="00B24E2F" w:rsidP="00A63414">
            <w:pPr>
              <w:pStyle w:val="CommentText"/>
              <w:rPr>
                <w:b/>
                <w:bCs/>
                <w:sz w:val="18"/>
                <w:szCs w:val="18"/>
              </w:rPr>
            </w:pPr>
            <w:r w:rsidRPr="002805B6">
              <w:rPr>
                <w:b/>
                <w:bCs/>
                <w:sz w:val="18"/>
                <w:szCs w:val="18"/>
              </w:rPr>
              <w:t>Target: 50%</w:t>
            </w:r>
          </w:p>
          <w:p w14:paraId="27ECAC18" w14:textId="42739FD4" w:rsidR="00940F18" w:rsidRPr="002805B6" w:rsidRDefault="00B24E2F" w:rsidP="00A63414">
            <w:pPr>
              <w:pStyle w:val="CommentText"/>
              <w:rPr>
                <w:rFonts w:eastAsia="Arial Unicode MS"/>
                <w:sz w:val="18"/>
                <w:szCs w:val="18"/>
                <w:u w:color="000000"/>
                <w:lang w:eastAsia="ko-KR"/>
              </w:rPr>
            </w:pPr>
            <w:r w:rsidRPr="002805B6">
              <w:rPr>
                <w:rFonts w:eastAsia="Arial Unicode MS"/>
                <w:b/>
                <w:sz w:val="18"/>
                <w:szCs w:val="18"/>
                <w:u w:color="000000"/>
                <w:lang w:eastAsia="ko-KR"/>
              </w:rPr>
              <w:t xml:space="preserve">Data </w:t>
            </w:r>
            <w:r w:rsidR="00A43519">
              <w:rPr>
                <w:rFonts w:eastAsia="Arial Unicode MS"/>
                <w:b/>
                <w:sz w:val="18"/>
                <w:szCs w:val="18"/>
                <w:u w:color="000000"/>
                <w:lang w:eastAsia="ko-KR"/>
              </w:rPr>
              <w:t>s</w:t>
            </w:r>
            <w:r w:rsidRPr="002805B6">
              <w:rPr>
                <w:rFonts w:eastAsia="Arial Unicode MS"/>
                <w:b/>
                <w:sz w:val="18"/>
                <w:szCs w:val="18"/>
                <w:u w:color="000000"/>
                <w:lang w:eastAsia="ko-KR"/>
              </w:rPr>
              <w:t>ource:</w:t>
            </w:r>
            <w:r w:rsidRPr="002805B6">
              <w:rPr>
                <w:rFonts w:eastAsia="Arial Unicode MS"/>
                <w:sz w:val="18"/>
                <w:szCs w:val="18"/>
                <w:u w:color="000000"/>
                <w:lang w:eastAsia="ko-KR"/>
              </w:rPr>
              <w:t xml:space="preserve"> </w:t>
            </w:r>
            <w:r w:rsidR="00CC4FA0">
              <w:rPr>
                <w:rFonts w:eastAsia="Arial Unicode MS"/>
                <w:sz w:val="18"/>
                <w:szCs w:val="18"/>
                <w:u w:color="000000"/>
                <w:lang w:eastAsia="ko-KR"/>
              </w:rPr>
              <w:t>NHRC</w:t>
            </w:r>
            <w:r w:rsidR="0037700E" w:rsidRPr="002805B6">
              <w:rPr>
                <w:rFonts w:eastAsia="Arial Unicode MS"/>
                <w:sz w:val="18"/>
                <w:szCs w:val="18"/>
                <w:u w:color="000000"/>
                <w:lang w:eastAsia="ko-KR"/>
              </w:rPr>
              <w:t xml:space="preserve"> </w:t>
            </w:r>
            <w:r w:rsidRPr="002805B6">
              <w:rPr>
                <w:rFonts w:eastAsia="Arial Unicode MS"/>
                <w:sz w:val="18"/>
                <w:szCs w:val="18"/>
                <w:u w:color="000000"/>
                <w:lang w:eastAsia="ko-KR"/>
              </w:rPr>
              <w:t xml:space="preserve">Annual report </w:t>
            </w:r>
          </w:p>
          <w:p w14:paraId="3D92EA96" w14:textId="77777777" w:rsidR="00940F18" w:rsidRPr="002805B6" w:rsidRDefault="00940F18" w:rsidP="00A63414">
            <w:pPr>
              <w:pStyle w:val="CommentText"/>
              <w:rPr>
                <w:rFonts w:eastAsia="Arial Unicode MS"/>
                <w:sz w:val="18"/>
                <w:szCs w:val="18"/>
                <w:u w:color="000000"/>
                <w:lang w:eastAsia="ko-KR"/>
              </w:rPr>
            </w:pPr>
          </w:p>
          <w:p w14:paraId="483E5C7A" w14:textId="4E59958D" w:rsidR="008E1A7D" w:rsidRPr="002805B6" w:rsidRDefault="00B24E2F" w:rsidP="00A63414">
            <w:pPr>
              <w:pStyle w:val="CommentText"/>
              <w:rPr>
                <w:b/>
                <w:sz w:val="18"/>
                <w:szCs w:val="18"/>
              </w:rPr>
            </w:pPr>
            <w:r w:rsidRPr="002805B6">
              <w:rPr>
                <w:b/>
                <w:sz w:val="18"/>
                <w:szCs w:val="18"/>
              </w:rPr>
              <w:t>Indicator 1.4.</w:t>
            </w:r>
            <w:r w:rsidR="00C615BE" w:rsidRPr="002805B6">
              <w:rPr>
                <w:b/>
                <w:sz w:val="18"/>
                <w:szCs w:val="18"/>
              </w:rPr>
              <w:t>5</w:t>
            </w:r>
            <w:r w:rsidRPr="002805B6">
              <w:rPr>
                <w:b/>
                <w:sz w:val="18"/>
                <w:szCs w:val="18"/>
              </w:rPr>
              <w:t xml:space="preserve">: </w:t>
            </w:r>
            <w:r w:rsidRPr="002805B6">
              <w:rPr>
                <w:sz w:val="18"/>
                <w:szCs w:val="18"/>
              </w:rPr>
              <w:t xml:space="preserve">percentage of new </w:t>
            </w:r>
            <w:r w:rsidR="00CC4FA0">
              <w:rPr>
                <w:sz w:val="18"/>
                <w:szCs w:val="18"/>
              </w:rPr>
              <w:t xml:space="preserve">cases of </w:t>
            </w:r>
            <w:r w:rsidRPr="002805B6">
              <w:rPr>
                <w:sz w:val="18"/>
                <w:szCs w:val="18"/>
              </w:rPr>
              <w:t xml:space="preserve">stigmatization </w:t>
            </w:r>
            <w:r w:rsidR="00CC4FA0">
              <w:rPr>
                <w:sz w:val="18"/>
                <w:szCs w:val="18"/>
              </w:rPr>
              <w:t xml:space="preserve">of persons living with HIV and AIDS </w:t>
            </w:r>
            <w:r w:rsidRPr="002805B6">
              <w:rPr>
                <w:sz w:val="18"/>
                <w:szCs w:val="18"/>
              </w:rPr>
              <w:t>reported and resolved</w:t>
            </w:r>
            <w:r w:rsidRPr="002805B6">
              <w:rPr>
                <w:b/>
                <w:sz w:val="18"/>
                <w:szCs w:val="18"/>
              </w:rPr>
              <w:t xml:space="preserve"> </w:t>
            </w:r>
          </w:p>
          <w:p w14:paraId="1B6E81F3" w14:textId="77777777" w:rsidR="008E1A7D" w:rsidRPr="002805B6" w:rsidRDefault="00B24E2F" w:rsidP="00A63414">
            <w:pPr>
              <w:pStyle w:val="CommentText"/>
              <w:rPr>
                <w:b/>
                <w:sz w:val="18"/>
                <w:szCs w:val="18"/>
              </w:rPr>
            </w:pPr>
            <w:r w:rsidRPr="002805B6">
              <w:rPr>
                <w:b/>
                <w:sz w:val="18"/>
                <w:szCs w:val="18"/>
              </w:rPr>
              <w:t>Baseline (year 2017): 0</w:t>
            </w:r>
          </w:p>
          <w:p w14:paraId="797C01A5" w14:textId="77777777" w:rsidR="008E1A7D" w:rsidRPr="002805B6" w:rsidRDefault="00B24E2F" w:rsidP="00A63414">
            <w:pPr>
              <w:pStyle w:val="CommentText"/>
              <w:rPr>
                <w:b/>
                <w:sz w:val="18"/>
                <w:szCs w:val="18"/>
              </w:rPr>
            </w:pPr>
            <w:r w:rsidRPr="002805B6">
              <w:rPr>
                <w:b/>
                <w:sz w:val="18"/>
                <w:szCs w:val="18"/>
              </w:rPr>
              <w:t>Target:50%</w:t>
            </w:r>
          </w:p>
          <w:p w14:paraId="255803E4" w14:textId="731AB992" w:rsidR="00B24E2F" w:rsidRPr="002805B6" w:rsidRDefault="00B24E2F" w:rsidP="00A63414">
            <w:pPr>
              <w:pStyle w:val="CommentText"/>
              <w:rPr>
                <w:sz w:val="18"/>
                <w:szCs w:val="18"/>
              </w:rPr>
            </w:pPr>
            <w:r w:rsidRPr="002805B6">
              <w:rPr>
                <w:b/>
                <w:sz w:val="18"/>
                <w:szCs w:val="18"/>
              </w:rPr>
              <w:t xml:space="preserve">Data </w:t>
            </w:r>
            <w:r w:rsidR="00A43519">
              <w:rPr>
                <w:b/>
                <w:sz w:val="18"/>
                <w:szCs w:val="18"/>
              </w:rPr>
              <w:t>s</w:t>
            </w:r>
            <w:r w:rsidRPr="002805B6">
              <w:rPr>
                <w:b/>
                <w:sz w:val="18"/>
                <w:szCs w:val="18"/>
              </w:rPr>
              <w:t xml:space="preserve">ource: </w:t>
            </w:r>
            <w:r w:rsidR="00C92473">
              <w:rPr>
                <w:sz w:val="18"/>
                <w:szCs w:val="18"/>
              </w:rPr>
              <w:t>NHRC</w:t>
            </w:r>
            <w:r w:rsidR="00C92473" w:rsidRPr="002805B6">
              <w:rPr>
                <w:sz w:val="18"/>
                <w:szCs w:val="18"/>
              </w:rPr>
              <w:t xml:space="preserve"> </w:t>
            </w:r>
            <w:r w:rsidRPr="002805B6">
              <w:rPr>
                <w:sz w:val="18"/>
                <w:szCs w:val="18"/>
              </w:rPr>
              <w:t xml:space="preserve">Annual report </w:t>
            </w:r>
          </w:p>
          <w:p w14:paraId="3C99F980" w14:textId="77777777" w:rsidR="008E1A7D" w:rsidRPr="002805B6" w:rsidRDefault="008E1A7D" w:rsidP="00A63414">
            <w:pPr>
              <w:rPr>
                <w:b/>
                <w:sz w:val="18"/>
                <w:szCs w:val="18"/>
              </w:rPr>
            </w:pPr>
          </w:p>
          <w:p w14:paraId="7A057BC3" w14:textId="77777777" w:rsidR="00B24E2F" w:rsidRPr="002805B6" w:rsidRDefault="00B24E2F" w:rsidP="00A63414">
            <w:pPr>
              <w:rPr>
                <w:i/>
                <w:sz w:val="18"/>
                <w:szCs w:val="18"/>
              </w:rPr>
            </w:pPr>
            <w:r w:rsidRPr="002805B6">
              <w:rPr>
                <w:b/>
                <w:sz w:val="18"/>
                <w:szCs w:val="18"/>
              </w:rPr>
              <w:t xml:space="preserve">Output 1.5.: </w:t>
            </w:r>
            <w:r w:rsidRPr="000807BB">
              <w:rPr>
                <w:sz w:val="18"/>
                <w:szCs w:val="18"/>
              </w:rPr>
              <w:t xml:space="preserve">Constitution-making, electoral </w:t>
            </w:r>
            <w:r w:rsidR="004E44CF" w:rsidRPr="000807BB">
              <w:rPr>
                <w:sz w:val="18"/>
                <w:szCs w:val="18"/>
              </w:rPr>
              <w:t xml:space="preserve">management, oversight and regulation of the media landscape, </w:t>
            </w:r>
            <w:r w:rsidRPr="000807BB">
              <w:rPr>
                <w:sz w:val="18"/>
                <w:szCs w:val="18"/>
              </w:rPr>
              <w:t xml:space="preserve">and parliamentary processes </w:t>
            </w:r>
            <w:r w:rsidR="004E44CF" w:rsidRPr="000807BB">
              <w:rPr>
                <w:sz w:val="18"/>
                <w:szCs w:val="18"/>
              </w:rPr>
              <w:t xml:space="preserve">are </w:t>
            </w:r>
            <w:r w:rsidRPr="000807BB">
              <w:rPr>
                <w:sz w:val="18"/>
                <w:szCs w:val="18"/>
              </w:rPr>
              <w:t>strengthened to promote inclusion, transparency, accountability and social cohesion</w:t>
            </w:r>
            <w:r w:rsidRPr="002805B6">
              <w:rPr>
                <w:i/>
                <w:sz w:val="18"/>
                <w:szCs w:val="18"/>
              </w:rPr>
              <w:t>.</w:t>
            </w:r>
          </w:p>
          <w:p w14:paraId="3F69E6FE" w14:textId="77777777" w:rsidR="00B24E2F" w:rsidRPr="002805B6" w:rsidRDefault="00B24E2F" w:rsidP="00A63414">
            <w:pPr>
              <w:rPr>
                <w:sz w:val="18"/>
                <w:szCs w:val="18"/>
              </w:rPr>
            </w:pPr>
          </w:p>
          <w:p w14:paraId="5CCF818D" w14:textId="6A562F67" w:rsidR="00B24E2F" w:rsidRPr="002805B6" w:rsidRDefault="00B24E2F" w:rsidP="00A63414">
            <w:pPr>
              <w:rPr>
                <w:sz w:val="18"/>
                <w:szCs w:val="18"/>
              </w:rPr>
            </w:pPr>
            <w:r w:rsidRPr="002805B6">
              <w:rPr>
                <w:b/>
                <w:sz w:val="18"/>
                <w:szCs w:val="18"/>
              </w:rPr>
              <w:lastRenderedPageBreak/>
              <w:t>Indicator 1.5.1:</w:t>
            </w:r>
            <w:r w:rsidRPr="002805B6">
              <w:rPr>
                <w:sz w:val="18"/>
                <w:szCs w:val="18"/>
              </w:rPr>
              <w:t xml:space="preserve"> Number of </w:t>
            </w:r>
            <w:r w:rsidR="00BD1DA8" w:rsidRPr="002805B6">
              <w:rPr>
                <w:sz w:val="18"/>
                <w:szCs w:val="18"/>
              </w:rPr>
              <w:t xml:space="preserve">UNDP-supported </w:t>
            </w:r>
            <w:r w:rsidR="00F80706">
              <w:rPr>
                <w:sz w:val="18"/>
                <w:szCs w:val="18"/>
              </w:rPr>
              <w:t>e</w:t>
            </w:r>
            <w:r w:rsidR="00F80706" w:rsidRPr="002805B6">
              <w:rPr>
                <w:sz w:val="18"/>
                <w:szCs w:val="18"/>
              </w:rPr>
              <w:t xml:space="preserve">lectoral </w:t>
            </w:r>
            <w:r w:rsidR="00F80706">
              <w:rPr>
                <w:sz w:val="18"/>
                <w:szCs w:val="18"/>
              </w:rPr>
              <w:t>m</w:t>
            </w:r>
            <w:r w:rsidR="00F80706" w:rsidRPr="002805B6">
              <w:rPr>
                <w:sz w:val="18"/>
                <w:szCs w:val="18"/>
              </w:rPr>
              <w:t xml:space="preserve">anagement </w:t>
            </w:r>
            <w:r w:rsidR="000807BB">
              <w:rPr>
                <w:sz w:val="18"/>
                <w:szCs w:val="18"/>
              </w:rPr>
              <w:t>b</w:t>
            </w:r>
            <w:r w:rsidR="00F80706" w:rsidRPr="002805B6">
              <w:rPr>
                <w:sz w:val="18"/>
                <w:szCs w:val="18"/>
              </w:rPr>
              <w:t xml:space="preserve">odies </w:t>
            </w:r>
            <w:r w:rsidRPr="002805B6">
              <w:rPr>
                <w:sz w:val="18"/>
                <w:szCs w:val="18"/>
              </w:rPr>
              <w:t>with strengthened capacity to conduct inclusive, effective and accountable elections</w:t>
            </w:r>
          </w:p>
          <w:p w14:paraId="1FA9F1EA" w14:textId="77777777" w:rsidR="00B24E2F" w:rsidRPr="002805B6" w:rsidRDefault="00B24E2F" w:rsidP="00A63414">
            <w:pPr>
              <w:rPr>
                <w:sz w:val="18"/>
                <w:szCs w:val="18"/>
              </w:rPr>
            </w:pPr>
            <w:r w:rsidRPr="002805B6">
              <w:rPr>
                <w:b/>
                <w:bCs/>
                <w:iCs/>
                <w:sz w:val="18"/>
                <w:szCs w:val="18"/>
              </w:rPr>
              <w:t>Baseline</w:t>
            </w:r>
            <w:r w:rsidRPr="002805B6">
              <w:rPr>
                <w:bCs/>
                <w:iCs/>
                <w:sz w:val="18"/>
                <w:szCs w:val="18"/>
              </w:rPr>
              <w:t xml:space="preserve"> </w:t>
            </w:r>
            <w:r w:rsidRPr="002805B6">
              <w:rPr>
                <w:sz w:val="18"/>
                <w:szCs w:val="18"/>
              </w:rPr>
              <w:t>(year 2017): 1</w:t>
            </w:r>
            <w:bookmarkStart w:id="20" w:name="_GoBack"/>
            <w:bookmarkEnd w:id="20"/>
          </w:p>
          <w:p w14:paraId="55B262DE" w14:textId="77777777" w:rsidR="00B24E2F" w:rsidRPr="002805B6" w:rsidRDefault="00B24E2F" w:rsidP="00A63414">
            <w:pPr>
              <w:rPr>
                <w:sz w:val="18"/>
                <w:szCs w:val="18"/>
              </w:rPr>
            </w:pPr>
            <w:r w:rsidRPr="002805B6">
              <w:rPr>
                <w:b/>
                <w:sz w:val="18"/>
                <w:szCs w:val="18"/>
              </w:rPr>
              <w:t>Target:</w:t>
            </w:r>
            <w:r w:rsidRPr="002805B6">
              <w:rPr>
                <w:sz w:val="18"/>
                <w:szCs w:val="18"/>
              </w:rPr>
              <w:t xml:space="preserve"> 5</w:t>
            </w:r>
          </w:p>
          <w:p w14:paraId="3787B5B7" w14:textId="02485901" w:rsidR="00B24E2F" w:rsidRPr="002805B6" w:rsidRDefault="00B24E2F" w:rsidP="00A63414">
            <w:pPr>
              <w:rPr>
                <w:sz w:val="18"/>
                <w:szCs w:val="18"/>
              </w:rPr>
            </w:pPr>
            <w:r w:rsidRPr="002805B6">
              <w:rPr>
                <w:b/>
                <w:sz w:val="18"/>
                <w:szCs w:val="18"/>
              </w:rPr>
              <w:t xml:space="preserve">Data </w:t>
            </w:r>
            <w:r w:rsidR="00A43519">
              <w:rPr>
                <w:b/>
                <w:sz w:val="18"/>
                <w:szCs w:val="18"/>
              </w:rPr>
              <w:t>s</w:t>
            </w:r>
            <w:r w:rsidRPr="002805B6">
              <w:rPr>
                <w:b/>
                <w:sz w:val="18"/>
                <w:szCs w:val="18"/>
              </w:rPr>
              <w:t>ource:</w:t>
            </w:r>
            <w:r w:rsidRPr="002805B6">
              <w:rPr>
                <w:sz w:val="18"/>
                <w:szCs w:val="18"/>
              </w:rPr>
              <w:t xml:space="preserve"> Ministry of </w:t>
            </w:r>
            <w:r w:rsidR="00F80706">
              <w:rPr>
                <w:sz w:val="18"/>
                <w:szCs w:val="18"/>
              </w:rPr>
              <w:t>T</w:t>
            </w:r>
            <w:r w:rsidR="00F80706" w:rsidRPr="002805B6">
              <w:rPr>
                <w:sz w:val="18"/>
                <w:szCs w:val="18"/>
              </w:rPr>
              <w:t xml:space="preserve">erritorial </w:t>
            </w:r>
            <w:r w:rsidR="00F80706">
              <w:rPr>
                <w:sz w:val="18"/>
                <w:szCs w:val="18"/>
              </w:rPr>
              <w:t>A</w:t>
            </w:r>
            <w:r w:rsidR="00F80706" w:rsidRPr="002805B6">
              <w:rPr>
                <w:sz w:val="18"/>
                <w:szCs w:val="18"/>
              </w:rPr>
              <w:t xml:space="preserve">dministration </w:t>
            </w:r>
            <w:r w:rsidRPr="002805B6">
              <w:rPr>
                <w:sz w:val="18"/>
                <w:szCs w:val="18"/>
              </w:rPr>
              <w:t>Report</w:t>
            </w:r>
          </w:p>
          <w:p w14:paraId="6C5309DD" w14:textId="77777777" w:rsidR="00B24E2F" w:rsidRPr="002805B6" w:rsidRDefault="00B24E2F" w:rsidP="00A63414">
            <w:pPr>
              <w:rPr>
                <w:sz w:val="18"/>
                <w:szCs w:val="18"/>
              </w:rPr>
            </w:pPr>
          </w:p>
          <w:p w14:paraId="48AE6210" w14:textId="77777777" w:rsidR="00C665B8" w:rsidRPr="002805B6" w:rsidRDefault="00DC1CBA" w:rsidP="00A63414">
            <w:pPr>
              <w:rPr>
                <w:sz w:val="18"/>
                <w:szCs w:val="18"/>
              </w:rPr>
            </w:pPr>
            <w:r w:rsidRPr="002805B6">
              <w:rPr>
                <w:b/>
                <w:sz w:val="18"/>
                <w:szCs w:val="18"/>
              </w:rPr>
              <w:t>Indicator 1.5.2</w:t>
            </w:r>
            <w:r w:rsidR="00C665B8" w:rsidRPr="002805B6">
              <w:rPr>
                <w:b/>
                <w:sz w:val="18"/>
                <w:szCs w:val="18"/>
              </w:rPr>
              <w:t>:</w:t>
            </w:r>
            <w:r w:rsidRPr="002805B6">
              <w:rPr>
                <w:sz w:val="18"/>
                <w:szCs w:val="18"/>
              </w:rPr>
              <w:t xml:space="preserve"> Percentage of </w:t>
            </w:r>
            <w:r w:rsidR="00BD1DA8" w:rsidRPr="002805B6">
              <w:rPr>
                <w:sz w:val="18"/>
                <w:szCs w:val="18"/>
              </w:rPr>
              <w:t xml:space="preserve">UNDP-supported </w:t>
            </w:r>
            <w:r w:rsidR="0037700E" w:rsidRPr="002805B6">
              <w:rPr>
                <w:sz w:val="18"/>
                <w:szCs w:val="18"/>
              </w:rPr>
              <w:t xml:space="preserve">HAAC </w:t>
            </w:r>
            <w:r w:rsidRPr="002805B6">
              <w:rPr>
                <w:sz w:val="18"/>
                <w:szCs w:val="18"/>
              </w:rPr>
              <w:t xml:space="preserve">strategic plan </w:t>
            </w:r>
            <w:r w:rsidR="0037700E" w:rsidRPr="002805B6">
              <w:rPr>
                <w:sz w:val="18"/>
                <w:szCs w:val="18"/>
              </w:rPr>
              <w:t xml:space="preserve">measures </w:t>
            </w:r>
            <w:r w:rsidRPr="002805B6">
              <w:rPr>
                <w:sz w:val="18"/>
                <w:szCs w:val="18"/>
              </w:rPr>
              <w:t>implemented</w:t>
            </w:r>
            <w:r w:rsidR="00BD1DA8" w:rsidRPr="002805B6">
              <w:rPr>
                <w:sz w:val="18"/>
                <w:szCs w:val="18"/>
              </w:rPr>
              <w:t xml:space="preserve"> </w:t>
            </w:r>
          </w:p>
          <w:p w14:paraId="64F4E68A" w14:textId="77777777" w:rsidR="00C665B8" w:rsidRPr="002805B6" w:rsidRDefault="00C665B8" w:rsidP="00A63414">
            <w:pPr>
              <w:rPr>
                <w:sz w:val="18"/>
                <w:szCs w:val="18"/>
              </w:rPr>
            </w:pPr>
            <w:r w:rsidRPr="002805B6">
              <w:rPr>
                <w:b/>
                <w:bCs/>
                <w:iCs/>
                <w:sz w:val="18"/>
                <w:szCs w:val="18"/>
              </w:rPr>
              <w:t>Baseline</w:t>
            </w:r>
            <w:r w:rsidRPr="002805B6">
              <w:rPr>
                <w:bCs/>
                <w:iCs/>
                <w:sz w:val="18"/>
                <w:szCs w:val="18"/>
              </w:rPr>
              <w:t xml:space="preserve"> </w:t>
            </w:r>
            <w:r w:rsidRPr="002805B6">
              <w:rPr>
                <w:sz w:val="18"/>
                <w:szCs w:val="18"/>
              </w:rPr>
              <w:t>(year 201</w:t>
            </w:r>
            <w:r w:rsidR="00061A66" w:rsidRPr="002805B6">
              <w:rPr>
                <w:sz w:val="18"/>
                <w:szCs w:val="18"/>
              </w:rPr>
              <w:t>8): 0</w:t>
            </w:r>
          </w:p>
          <w:p w14:paraId="223D1719" w14:textId="77777777" w:rsidR="00C665B8" w:rsidRPr="002805B6" w:rsidRDefault="00C665B8" w:rsidP="00A63414">
            <w:pPr>
              <w:rPr>
                <w:sz w:val="18"/>
                <w:szCs w:val="18"/>
              </w:rPr>
            </w:pPr>
            <w:r w:rsidRPr="002805B6">
              <w:rPr>
                <w:b/>
                <w:sz w:val="18"/>
                <w:szCs w:val="18"/>
              </w:rPr>
              <w:t>Target:</w:t>
            </w:r>
            <w:r w:rsidRPr="002805B6">
              <w:rPr>
                <w:sz w:val="18"/>
                <w:szCs w:val="18"/>
              </w:rPr>
              <w:t xml:space="preserve"> </w:t>
            </w:r>
            <w:r w:rsidR="00061A66" w:rsidRPr="002805B6">
              <w:rPr>
                <w:sz w:val="18"/>
                <w:szCs w:val="18"/>
              </w:rPr>
              <w:t>50%</w:t>
            </w:r>
          </w:p>
          <w:p w14:paraId="1CABE131" w14:textId="1BD36BD0" w:rsidR="00C665B8" w:rsidRPr="002805B6" w:rsidRDefault="00C665B8" w:rsidP="00A63414">
            <w:pPr>
              <w:rPr>
                <w:sz w:val="18"/>
                <w:szCs w:val="18"/>
              </w:rPr>
            </w:pPr>
            <w:r w:rsidRPr="002805B6">
              <w:rPr>
                <w:b/>
                <w:sz w:val="18"/>
                <w:szCs w:val="18"/>
              </w:rPr>
              <w:t xml:space="preserve">Data </w:t>
            </w:r>
            <w:r w:rsidR="00FC6ECE">
              <w:rPr>
                <w:b/>
                <w:sz w:val="18"/>
                <w:szCs w:val="18"/>
              </w:rPr>
              <w:t>s</w:t>
            </w:r>
            <w:r w:rsidRPr="002805B6">
              <w:rPr>
                <w:b/>
                <w:sz w:val="18"/>
                <w:szCs w:val="18"/>
              </w:rPr>
              <w:t>ource:</w:t>
            </w:r>
            <w:r w:rsidR="00061A66" w:rsidRPr="002805B6">
              <w:rPr>
                <w:sz w:val="18"/>
                <w:szCs w:val="18"/>
              </w:rPr>
              <w:t xml:space="preserve"> HAAC annual reports</w:t>
            </w:r>
          </w:p>
          <w:p w14:paraId="343CE482" w14:textId="77777777" w:rsidR="00061A66" w:rsidRPr="002805B6" w:rsidRDefault="00061A66" w:rsidP="00A63414">
            <w:pPr>
              <w:rPr>
                <w:sz w:val="18"/>
                <w:szCs w:val="18"/>
              </w:rPr>
            </w:pPr>
          </w:p>
          <w:p w14:paraId="1F170C85" w14:textId="77777777" w:rsidR="00B24E2F" w:rsidRPr="002805B6" w:rsidRDefault="00B24E2F" w:rsidP="00A63414">
            <w:pPr>
              <w:pStyle w:val="NormalWeb"/>
              <w:spacing w:before="0" w:beforeAutospacing="0" w:after="0" w:afterAutospacing="0"/>
              <w:rPr>
                <w:snapToGrid w:val="0"/>
                <w:sz w:val="18"/>
                <w:szCs w:val="18"/>
                <w:lang w:val="en-US"/>
              </w:rPr>
            </w:pPr>
            <w:r w:rsidRPr="002805B6">
              <w:rPr>
                <w:b/>
                <w:snapToGrid w:val="0"/>
                <w:sz w:val="18"/>
                <w:szCs w:val="18"/>
                <w:lang w:val="en-US"/>
              </w:rPr>
              <w:t>Indicator 1.5.</w:t>
            </w:r>
            <w:r w:rsidR="00061A66" w:rsidRPr="002805B6">
              <w:rPr>
                <w:b/>
                <w:snapToGrid w:val="0"/>
                <w:sz w:val="18"/>
                <w:szCs w:val="18"/>
                <w:lang w:val="en-US"/>
              </w:rPr>
              <w:t>3</w:t>
            </w:r>
            <w:r w:rsidRPr="002805B6">
              <w:rPr>
                <w:snapToGrid w:val="0"/>
                <w:sz w:val="18"/>
                <w:szCs w:val="18"/>
                <w:lang w:val="en-US"/>
              </w:rPr>
              <w:t xml:space="preserve">: </w:t>
            </w:r>
            <w:bookmarkStart w:id="21" w:name="_Hlk513499589"/>
            <w:r w:rsidR="00A047A0" w:rsidRPr="002805B6">
              <w:rPr>
                <w:snapToGrid w:val="0"/>
                <w:sz w:val="18"/>
                <w:szCs w:val="18"/>
                <w:lang w:val="en-US"/>
              </w:rPr>
              <w:t xml:space="preserve">Proportion of women in </w:t>
            </w:r>
            <w:r w:rsidR="00EB66CF" w:rsidRPr="002805B6">
              <w:rPr>
                <w:snapToGrid w:val="0"/>
                <w:sz w:val="18"/>
                <w:szCs w:val="18"/>
                <w:lang w:val="en-US"/>
              </w:rPr>
              <w:t>managerial positions in the public administration</w:t>
            </w:r>
            <w:r w:rsidR="00A047A0" w:rsidRPr="002805B6">
              <w:rPr>
                <w:rFonts w:ascii="Arial" w:hAnsi="Arial" w:cs="Arial"/>
                <w:color w:val="4A4A4A"/>
                <w:sz w:val="18"/>
                <w:szCs w:val="18"/>
                <w:shd w:val="clear" w:color="auto" w:fill="FFFFFF"/>
                <w:lang w:val="en-US"/>
              </w:rPr>
              <w:t xml:space="preserve"> </w:t>
            </w:r>
          </w:p>
          <w:p w14:paraId="5248141F" w14:textId="77777777" w:rsidR="00B24E2F" w:rsidRPr="002805B6" w:rsidRDefault="00B24E2F" w:rsidP="00A63414">
            <w:pPr>
              <w:rPr>
                <w:sz w:val="18"/>
                <w:szCs w:val="18"/>
              </w:rPr>
            </w:pPr>
            <w:r w:rsidRPr="002805B6">
              <w:rPr>
                <w:sz w:val="18"/>
                <w:szCs w:val="18"/>
              </w:rPr>
              <w:t>B</w:t>
            </w:r>
            <w:bookmarkEnd w:id="21"/>
            <w:r w:rsidRPr="002805B6">
              <w:rPr>
                <w:b/>
                <w:sz w:val="18"/>
                <w:szCs w:val="18"/>
              </w:rPr>
              <w:t>aseline 2015</w:t>
            </w:r>
            <w:r w:rsidR="00122AFE" w:rsidRPr="002805B6">
              <w:rPr>
                <w:sz w:val="18"/>
                <w:szCs w:val="18"/>
              </w:rPr>
              <w:t xml:space="preserve">: </w:t>
            </w:r>
            <w:r w:rsidR="00B535E0" w:rsidRPr="002805B6">
              <w:rPr>
                <w:sz w:val="18"/>
                <w:szCs w:val="18"/>
              </w:rPr>
              <w:t>15.74</w:t>
            </w:r>
            <w:r w:rsidRPr="002805B6">
              <w:rPr>
                <w:sz w:val="18"/>
                <w:szCs w:val="18"/>
              </w:rPr>
              <w:t xml:space="preserve">% </w:t>
            </w:r>
          </w:p>
          <w:p w14:paraId="3238BFE1" w14:textId="77777777" w:rsidR="00B24E2F" w:rsidRPr="002805B6" w:rsidRDefault="00B24E2F" w:rsidP="00A63414">
            <w:pPr>
              <w:rPr>
                <w:b/>
                <w:sz w:val="18"/>
                <w:szCs w:val="18"/>
              </w:rPr>
            </w:pPr>
            <w:r w:rsidRPr="002805B6">
              <w:rPr>
                <w:b/>
                <w:sz w:val="18"/>
                <w:szCs w:val="18"/>
              </w:rPr>
              <w:t xml:space="preserve">Target </w:t>
            </w:r>
            <w:r w:rsidR="00122AFE" w:rsidRPr="002805B6">
              <w:rPr>
                <w:b/>
                <w:sz w:val="18"/>
                <w:szCs w:val="18"/>
              </w:rPr>
              <w:t>2023</w:t>
            </w:r>
            <w:r w:rsidRPr="002805B6">
              <w:rPr>
                <w:b/>
                <w:sz w:val="18"/>
                <w:szCs w:val="18"/>
              </w:rPr>
              <w:t xml:space="preserve">: </w:t>
            </w:r>
            <w:r w:rsidR="00B535E0" w:rsidRPr="002805B6">
              <w:rPr>
                <w:b/>
                <w:sz w:val="18"/>
                <w:szCs w:val="18"/>
              </w:rPr>
              <w:t>20</w:t>
            </w:r>
            <w:r w:rsidRPr="002805B6">
              <w:rPr>
                <w:b/>
                <w:sz w:val="18"/>
                <w:szCs w:val="18"/>
              </w:rPr>
              <w:t xml:space="preserve">% </w:t>
            </w:r>
          </w:p>
          <w:p w14:paraId="4625F3AE" w14:textId="433B5E9B" w:rsidR="00B24E2F" w:rsidRPr="002805B6" w:rsidRDefault="00B24E2F" w:rsidP="00A63414">
            <w:pPr>
              <w:rPr>
                <w:sz w:val="18"/>
                <w:szCs w:val="18"/>
              </w:rPr>
            </w:pPr>
            <w:r w:rsidRPr="002805B6">
              <w:rPr>
                <w:b/>
                <w:sz w:val="18"/>
                <w:szCs w:val="18"/>
              </w:rPr>
              <w:t xml:space="preserve">Data </w:t>
            </w:r>
            <w:r w:rsidR="00FC6ECE">
              <w:rPr>
                <w:b/>
                <w:sz w:val="18"/>
                <w:szCs w:val="18"/>
              </w:rPr>
              <w:t>s</w:t>
            </w:r>
            <w:r w:rsidRPr="002805B6">
              <w:rPr>
                <w:b/>
                <w:sz w:val="18"/>
                <w:szCs w:val="18"/>
              </w:rPr>
              <w:t xml:space="preserve">ource: </w:t>
            </w:r>
            <w:r w:rsidR="00793EA8" w:rsidRPr="002805B6">
              <w:rPr>
                <w:sz w:val="18"/>
                <w:szCs w:val="18"/>
              </w:rPr>
              <w:t xml:space="preserve"> PNRCME-DD Annual report  </w:t>
            </w:r>
          </w:p>
          <w:p w14:paraId="390224FD" w14:textId="77777777" w:rsidR="00B24E2F" w:rsidRPr="002805B6" w:rsidRDefault="00B24E2F" w:rsidP="00A63414">
            <w:pPr>
              <w:rPr>
                <w:sz w:val="18"/>
                <w:szCs w:val="18"/>
              </w:rPr>
            </w:pPr>
          </w:p>
          <w:p w14:paraId="2251E264" w14:textId="77777777" w:rsidR="00122AFE" w:rsidRPr="002805B6" w:rsidRDefault="00B24E2F" w:rsidP="00A63414">
            <w:pPr>
              <w:rPr>
                <w:sz w:val="18"/>
                <w:szCs w:val="18"/>
                <w:lang w:val="en-GB"/>
              </w:rPr>
            </w:pPr>
            <w:r w:rsidRPr="002805B6">
              <w:rPr>
                <w:rFonts w:eastAsia="Arial Unicode MS"/>
                <w:b/>
                <w:sz w:val="18"/>
                <w:szCs w:val="18"/>
                <w:u w:color="000000"/>
                <w:lang w:eastAsia="ko-KR"/>
              </w:rPr>
              <w:t xml:space="preserve">Indicator </w:t>
            </w:r>
            <w:r w:rsidRPr="002805B6">
              <w:rPr>
                <w:b/>
                <w:bCs/>
                <w:sz w:val="18"/>
                <w:szCs w:val="18"/>
                <w:lang w:val="en-GB"/>
              </w:rPr>
              <w:t>1.5.</w:t>
            </w:r>
            <w:r w:rsidR="00061A66" w:rsidRPr="002805B6">
              <w:rPr>
                <w:b/>
                <w:bCs/>
                <w:sz w:val="18"/>
                <w:szCs w:val="18"/>
                <w:lang w:val="en-GB"/>
              </w:rPr>
              <w:t>4</w:t>
            </w:r>
            <w:r w:rsidRPr="002805B6">
              <w:rPr>
                <w:sz w:val="18"/>
                <w:szCs w:val="18"/>
                <w:lang w:val="en-GB"/>
              </w:rPr>
              <w:t xml:space="preserve"> </w:t>
            </w:r>
            <w:r w:rsidR="0037700E" w:rsidRPr="002805B6">
              <w:rPr>
                <w:sz w:val="18"/>
                <w:szCs w:val="18"/>
                <w:lang w:val="en-GB"/>
              </w:rPr>
              <w:t xml:space="preserve">Improved capacities of </w:t>
            </w:r>
            <w:r w:rsidRPr="002805B6">
              <w:rPr>
                <w:sz w:val="18"/>
                <w:szCs w:val="18"/>
                <w:lang w:val="en-GB"/>
              </w:rPr>
              <w:t>parliament to undertake inclusive, effective and accountable law-making, oversight and representation</w:t>
            </w:r>
          </w:p>
          <w:p w14:paraId="3A66E00F" w14:textId="77777777" w:rsidR="00122AFE" w:rsidRPr="002805B6" w:rsidRDefault="00B24E2F" w:rsidP="00A63414">
            <w:pPr>
              <w:rPr>
                <w:rFonts w:eastAsia="Arial Unicode MS"/>
                <w:sz w:val="18"/>
                <w:szCs w:val="18"/>
                <w:u w:color="000000"/>
                <w:lang w:eastAsia="ko-KR"/>
              </w:rPr>
            </w:pPr>
            <w:r w:rsidRPr="002805B6">
              <w:rPr>
                <w:rFonts w:eastAsia="Arial Unicode MS"/>
                <w:b/>
                <w:bCs/>
                <w:iCs/>
                <w:sz w:val="18"/>
                <w:szCs w:val="18"/>
                <w:u w:color="000000"/>
                <w:lang w:eastAsia="ko-KR"/>
              </w:rPr>
              <w:t>Baseline</w:t>
            </w:r>
            <w:r w:rsidRPr="002805B6">
              <w:rPr>
                <w:rFonts w:eastAsia="Arial Unicode MS"/>
                <w:bCs/>
                <w:iCs/>
                <w:sz w:val="18"/>
                <w:szCs w:val="18"/>
                <w:u w:color="000000"/>
                <w:lang w:eastAsia="ko-KR"/>
              </w:rPr>
              <w:t xml:space="preserve"> </w:t>
            </w:r>
            <w:r w:rsidRPr="002805B6">
              <w:rPr>
                <w:rFonts w:eastAsia="Arial Unicode MS"/>
                <w:sz w:val="18"/>
                <w:szCs w:val="18"/>
                <w:u w:color="000000"/>
                <w:lang w:eastAsia="ko-KR"/>
              </w:rPr>
              <w:t>(2017) No</w:t>
            </w:r>
          </w:p>
          <w:p w14:paraId="17AE6F1A" w14:textId="77777777" w:rsidR="00122AFE" w:rsidRPr="002805B6" w:rsidRDefault="00B24E2F" w:rsidP="00A63414">
            <w:pPr>
              <w:rPr>
                <w:rFonts w:eastAsia="Arial Unicode MS"/>
                <w:sz w:val="18"/>
                <w:szCs w:val="18"/>
                <w:u w:color="000000"/>
                <w:lang w:eastAsia="ko-KR"/>
              </w:rPr>
            </w:pPr>
            <w:r w:rsidRPr="002805B6">
              <w:rPr>
                <w:rFonts w:eastAsia="Arial Unicode MS"/>
                <w:b/>
                <w:sz w:val="18"/>
                <w:szCs w:val="18"/>
                <w:u w:color="000000"/>
                <w:lang w:eastAsia="ko-KR"/>
              </w:rPr>
              <w:t>Target</w:t>
            </w:r>
            <w:r w:rsidR="008E1A7D" w:rsidRPr="002805B6">
              <w:rPr>
                <w:rFonts w:eastAsia="Arial Unicode MS"/>
                <w:b/>
                <w:sz w:val="18"/>
                <w:szCs w:val="18"/>
                <w:u w:color="000000"/>
                <w:lang w:eastAsia="ko-KR"/>
              </w:rPr>
              <w:t xml:space="preserve"> </w:t>
            </w:r>
            <w:r w:rsidR="008E1A7D" w:rsidRPr="002805B6">
              <w:rPr>
                <w:rFonts w:eastAsia="Arial Unicode MS"/>
                <w:sz w:val="18"/>
                <w:szCs w:val="18"/>
                <w:u w:color="000000"/>
                <w:lang w:eastAsia="ko-KR"/>
              </w:rPr>
              <w:t>(2023)</w:t>
            </w:r>
            <w:r w:rsidRPr="002805B6">
              <w:rPr>
                <w:rFonts w:eastAsia="Arial Unicode MS"/>
                <w:b/>
                <w:sz w:val="18"/>
                <w:szCs w:val="18"/>
                <w:u w:color="000000"/>
                <w:lang w:eastAsia="ko-KR"/>
              </w:rPr>
              <w:t>:</w:t>
            </w:r>
            <w:r w:rsidRPr="002805B6">
              <w:rPr>
                <w:rFonts w:eastAsia="Arial Unicode MS"/>
                <w:sz w:val="18"/>
                <w:szCs w:val="18"/>
                <w:u w:color="000000"/>
                <w:lang w:eastAsia="ko-KR"/>
              </w:rPr>
              <w:t xml:space="preserve"> Yes</w:t>
            </w:r>
          </w:p>
          <w:p w14:paraId="19E8EF25" w14:textId="77777777" w:rsidR="00B24E2F" w:rsidRPr="002805B6" w:rsidRDefault="00B24E2F" w:rsidP="00A63414">
            <w:pPr>
              <w:rPr>
                <w:rFonts w:eastAsia="Arial Unicode MS"/>
                <w:sz w:val="18"/>
                <w:szCs w:val="18"/>
                <w:u w:color="000000"/>
                <w:lang w:eastAsia="ko-KR"/>
              </w:rPr>
            </w:pPr>
            <w:r w:rsidRPr="002805B6">
              <w:rPr>
                <w:rFonts w:eastAsia="Arial Unicode MS"/>
                <w:b/>
                <w:sz w:val="18"/>
                <w:szCs w:val="18"/>
                <w:u w:color="000000"/>
                <w:lang w:eastAsia="ko-KR"/>
              </w:rPr>
              <w:t>Data source:</w:t>
            </w:r>
            <w:r w:rsidRPr="002805B6">
              <w:rPr>
                <w:rFonts w:eastAsia="Arial Unicode MS"/>
                <w:sz w:val="18"/>
                <w:szCs w:val="18"/>
                <w:u w:color="000000"/>
                <w:lang w:eastAsia="ko-KR"/>
              </w:rPr>
              <w:t xml:space="preserve"> Annual </w:t>
            </w:r>
            <w:r w:rsidR="008E1A7D" w:rsidRPr="002805B6">
              <w:rPr>
                <w:rFonts w:eastAsia="Arial Unicode MS"/>
                <w:sz w:val="18"/>
                <w:szCs w:val="18"/>
                <w:u w:color="000000"/>
                <w:lang w:eastAsia="ko-KR"/>
              </w:rPr>
              <w:t xml:space="preserve">parliament </w:t>
            </w:r>
            <w:r w:rsidR="008271E2" w:rsidRPr="002805B6">
              <w:rPr>
                <w:rFonts w:eastAsia="Arial Unicode MS"/>
                <w:sz w:val="18"/>
                <w:szCs w:val="18"/>
                <w:u w:color="000000"/>
                <w:lang w:eastAsia="ko-KR"/>
              </w:rPr>
              <w:t>r</w:t>
            </w:r>
            <w:r w:rsidRPr="002805B6">
              <w:rPr>
                <w:rFonts w:eastAsia="Arial Unicode MS"/>
                <w:sz w:val="18"/>
                <w:szCs w:val="18"/>
                <w:u w:color="000000"/>
                <w:lang w:eastAsia="ko-KR"/>
              </w:rPr>
              <w:t xml:space="preserve">eports </w:t>
            </w:r>
          </w:p>
          <w:p w14:paraId="182B28D9" w14:textId="77777777" w:rsidR="001F5991" w:rsidRPr="002805B6" w:rsidRDefault="001F5991" w:rsidP="005A2DBF">
            <w:pPr>
              <w:pStyle w:val="HTMLPreformatted"/>
              <w:shd w:val="clear" w:color="auto" w:fill="FFFFFF"/>
              <w:rPr>
                <w:rFonts w:eastAsia="Arial Unicode MS"/>
                <w:sz w:val="18"/>
                <w:szCs w:val="18"/>
                <w:u w:color="000000"/>
                <w:lang w:eastAsia="ko-KR"/>
              </w:rPr>
            </w:pPr>
          </w:p>
          <w:p w14:paraId="4ACACE78" w14:textId="65337D9D" w:rsidR="00F86371" w:rsidRPr="000807BB" w:rsidRDefault="00B24E2F" w:rsidP="005A2DBF">
            <w:pPr>
              <w:pStyle w:val="HTMLPreformatted"/>
              <w:shd w:val="clear" w:color="auto" w:fill="FFFFFF"/>
              <w:rPr>
                <w:rFonts w:ascii="Times New Roman" w:hAnsi="Times New Roman" w:cs="Times New Roman"/>
                <w:sz w:val="18"/>
                <w:szCs w:val="18"/>
                <w:lang w:val="en" w:eastAsia="fr-FR"/>
              </w:rPr>
            </w:pPr>
            <w:r w:rsidRPr="002805B6">
              <w:rPr>
                <w:rFonts w:ascii="Times New Roman" w:eastAsia="Arial Unicode MS" w:hAnsi="Times New Roman" w:cs="Times New Roman"/>
                <w:b/>
                <w:sz w:val="18"/>
                <w:szCs w:val="18"/>
                <w:u w:color="000000"/>
                <w:lang w:eastAsia="ko-KR"/>
              </w:rPr>
              <w:t>Output 1.6.</w:t>
            </w:r>
            <w:r w:rsidRPr="002805B6">
              <w:rPr>
                <w:rFonts w:ascii="inherit" w:hAnsi="inherit"/>
                <w:sz w:val="18"/>
                <w:szCs w:val="18"/>
                <w:lang w:val="en"/>
              </w:rPr>
              <w:t xml:space="preserve"> </w:t>
            </w:r>
            <w:r w:rsidRPr="000807BB">
              <w:rPr>
                <w:rFonts w:ascii="Times New Roman" w:hAnsi="Times New Roman" w:cs="Times New Roman"/>
                <w:sz w:val="18"/>
                <w:szCs w:val="18"/>
                <w:lang w:val="en" w:eastAsia="fr-FR"/>
              </w:rPr>
              <w:t xml:space="preserve">The technical capacities of national and local structures, </w:t>
            </w:r>
            <w:r w:rsidR="00C92473">
              <w:rPr>
                <w:rFonts w:ascii="Times New Roman" w:hAnsi="Times New Roman" w:cs="Times New Roman"/>
                <w:sz w:val="18"/>
                <w:szCs w:val="18"/>
                <w:lang w:val="en" w:eastAsia="fr-FR"/>
              </w:rPr>
              <w:t>CSOs</w:t>
            </w:r>
            <w:r w:rsidRPr="002B712B">
              <w:rPr>
                <w:rFonts w:ascii="Times New Roman" w:hAnsi="Times New Roman" w:cs="Times New Roman"/>
                <w:sz w:val="18"/>
                <w:szCs w:val="18"/>
                <w:lang w:val="en" w:eastAsia="fr-FR"/>
              </w:rPr>
              <w:t>,</w:t>
            </w:r>
            <w:r w:rsidR="007015CC" w:rsidRPr="002B712B">
              <w:rPr>
                <w:rFonts w:ascii="Times New Roman" w:hAnsi="Times New Roman" w:cs="Times New Roman"/>
                <w:sz w:val="18"/>
                <w:szCs w:val="18"/>
                <w:lang w:val="en" w:eastAsia="fr-FR"/>
              </w:rPr>
              <w:t xml:space="preserve"> </w:t>
            </w:r>
            <w:r w:rsidRPr="002B712B">
              <w:rPr>
                <w:rFonts w:ascii="Times New Roman" w:hAnsi="Times New Roman" w:cs="Times New Roman"/>
                <w:sz w:val="18"/>
                <w:szCs w:val="18"/>
                <w:lang w:val="en" w:eastAsia="fr-FR"/>
              </w:rPr>
              <w:t xml:space="preserve">youth </w:t>
            </w:r>
            <w:r w:rsidRPr="000807BB">
              <w:rPr>
                <w:rFonts w:ascii="Times New Roman" w:hAnsi="Times New Roman" w:cs="Times New Roman"/>
                <w:sz w:val="18"/>
                <w:szCs w:val="18"/>
                <w:lang w:val="en" w:eastAsia="fr-FR"/>
              </w:rPr>
              <w:t>and women are strengthened for the prevention and management of conflicts and promotion of a more peaceful society</w:t>
            </w:r>
          </w:p>
          <w:p w14:paraId="615FAFED" w14:textId="77777777" w:rsidR="00F86371" w:rsidRPr="002805B6" w:rsidRDefault="00F86371" w:rsidP="005A2DBF">
            <w:pPr>
              <w:pStyle w:val="HTMLPreformatted"/>
              <w:shd w:val="clear" w:color="auto" w:fill="FFFFFF"/>
              <w:rPr>
                <w:rFonts w:ascii="Times New Roman" w:hAnsi="Times New Roman" w:cs="Times New Roman"/>
                <w:i/>
                <w:sz w:val="18"/>
                <w:szCs w:val="18"/>
                <w:lang w:val="en" w:eastAsia="fr-FR"/>
              </w:rPr>
            </w:pPr>
          </w:p>
          <w:p w14:paraId="2EED0B3D" w14:textId="77777777" w:rsidR="00F86371" w:rsidRPr="002805B6" w:rsidRDefault="00B24E2F" w:rsidP="005A2DBF">
            <w:pPr>
              <w:pStyle w:val="HTMLPreformatted"/>
              <w:shd w:val="clear" w:color="auto" w:fill="FFFFFF"/>
              <w:rPr>
                <w:rFonts w:ascii="Times New Roman" w:hAnsi="Times New Roman" w:cs="Times New Roman"/>
                <w:sz w:val="18"/>
                <w:szCs w:val="18"/>
                <w:lang w:val="en-GB"/>
              </w:rPr>
            </w:pPr>
            <w:r w:rsidRPr="002805B6">
              <w:rPr>
                <w:rFonts w:ascii="Times New Roman" w:hAnsi="Times New Roman" w:cs="Times New Roman"/>
                <w:b/>
                <w:sz w:val="18"/>
                <w:szCs w:val="18"/>
              </w:rPr>
              <w:t>Indicator 1.6.</w:t>
            </w:r>
            <w:r w:rsidRPr="002805B6">
              <w:rPr>
                <w:rFonts w:ascii="Times New Roman" w:hAnsi="Times New Roman" w:cs="Times New Roman"/>
                <w:sz w:val="18"/>
                <w:szCs w:val="18"/>
                <w:lang w:val="en-GB"/>
              </w:rPr>
              <w:t>1Number of</w:t>
            </w:r>
            <w:r w:rsidR="00BD1DA8" w:rsidRPr="002805B6">
              <w:rPr>
                <w:rFonts w:ascii="Times New Roman" w:hAnsi="Times New Roman" w:cs="Times New Roman"/>
                <w:sz w:val="18"/>
                <w:szCs w:val="18"/>
                <w:lang w:val="en-GB"/>
              </w:rPr>
              <w:t xml:space="preserve"> active UNDP-supported</w:t>
            </w:r>
            <w:r w:rsidRPr="002805B6">
              <w:rPr>
                <w:rFonts w:ascii="Times New Roman" w:hAnsi="Times New Roman" w:cs="Times New Roman"/>
                <w:sz w:val="18"/>
                <w:szCs w:val="18"/>
                <w:lang w:val="en-GB"/>
              </w:rPr>
              <w:t xml:space="preserve"> </w:t>
            </w:r>
            <w:r w:rsidR="001F5991" w:rsidRPr="002805B6">
              <w:rPr>
                <w:rFonts w:ascii="Times New Roman" w:hAnsi="Times New Roman" w:cs="Times New Roman"/>
                <w:sz w:val="18"/>
                <w:szCs w:val="18"/>
                <w:lang w:val="en-GB"/>
              </w:rPr>
              <w:t>w</w:t>
            </w:r>
            <w:r w:rsidRPr="002805B6">
              <w:rPr>
                <w:rFonts w:ascii="Times New Roman" w:hAnsi="Times New Roman" w:cs="Times New Roman"/>
                <w:sz w:val="18"/>
                <w:szCs w:val="18"/>
                <w:lang w:val="en-GB"/>
              </w:rPr>
              <w:t xml:space="preserve">omen associations in conflict prevention and resolution </w:t>
            </w:r>
            <w:r w:rsidR="0037700E" w:rsidRPr="002805B6">
              <w:rPr>
                <w:rFonts w:ascii="Times New Roman" w:hAnsi="Times New Roman" w:cs="Times New Roman"/>
                <w:sz w:val="18"/>
                <w:szCs w:val="18"/>
                <w:lang w:val="en-GB"/>
              </w:rPr>
              <w:t xml:space="preserve">agencies </w:t>
            </w:r>
            <w:r w:rsidRPr="002805B6">
              <w:rPr>
                <w:rFonts w:ascii="Times New Roman" w:hAnsi="Times New Roman" w:cs="Times New Roman"/>
                <w:sz w:val="18"/>
                <w:szCs w:val="18"/>
                <w:lang w:val="en-GB"/>
              </w:rPr>
              <w:t xml:space="preserve">in communities; </w:t>
            </w:r>
          </w:p>
          <w:p w14:paraId="56D4EB77" w14:textId="77777777" w:rsidR="00F86371" w:rsidRPr="002805B6" w:rsidRDefault="00B24E2F" w:rsidP="005A2DBF">
            <w:pPr>
              <w:pStyle w:val="HTMLPreformatted"/>
              <w:shd w:val="clear" w:color="auto" w:fill="FFFFFF"/>
              <w:rPr>
                <w:rFonts w:ascii="Times New Roman" w:hAnsi="Times New Roman" w:cs="Times New Roman"/>
                <w:sz w:val="18"/>
                <w:szCs w:val="18"/>
              </w:rPr>
            </w:pPr>
            <w:r w:rsidRPr="002805B6">
              <w:rPr>
                <w:rFonts w:ascii="Times New Roman" w:hAnsi="Times New Roman" w:cs="Times New Roman"/>
                <w:b/>
                <w:sz w:val="18"/>
                <w:szCs w:val="18"/>
              </w:rPr>
              <w:t>Baseline</w:t>
            </w:r>
            <w:r w:rsidRPr="002805B6">
              <w:rPr>
                <w:rFonts w:ascii="Times New Roman" w:hAnsi="Times New Roman" w:cs="Times New Roman"/>
                <w:sz w:val="18"/>
                <w:szCs w:val="18"/>
              </w:rPr>
              <w:t xml:space="preserve"> (2017): 0</w:t>
            </w:r>
          </w:p>
          <w:p w14:paraId="415A18EF" w14:textId="77777777" w:rsidR="00F86371" w:rsidRPr="002805B6" w:rsidRDefault="00B24E2F" w:rsidP="005A2DBF">
            <w:pPr>
              <w:pStyle w:val="HTMLPreformatted"/>
              <w:shd w:val="clear" w:color="auto" w:fill="FFFFFF"/>
              <w:rPr>
                <w:rFonts w:ascii="Times New Roman" w:hAnsi="Times New Roman" w:cs="Times New Roman"/>
                <w:sz w:val="18"/>
                <w:szCs w:val="18"/>
              </w:rPr>
            </w:pPr>
            <w:r w:rsidRPr="002805B6">
              <w:rPr>
                <w:rFonts w:ascii="Times New Roman" w:hAnsi="Times New Roman" w:cs="Times New Roman"/>
                <w:b/>
                <w:sz w:val="18"/>
                <w:szCs w:val="18"/>
              </w:rPr>
              <w:t>Target</w:t>
            </w:r>
            <w:r w:rsidRPr="002805B6">
              <w:rPr>
                <w:rFonts w:ascii="Times New Roman" w:hAnsi="Times New Roman" w:cs="Times New Roman"/>
                <w:sz w:val="18"/>
                <w:szCs w:val="18"/>
              </w:rPr>
              <w:t xml:space="preserve"> </w:t>
            </w:r>
            <w:r w:rsidR="00F86371" w:rsidRPr="002805B6">
              <w:rPr>
                <w:rFonts w:ascii="Times New Roman" w:hAnsi="Times New Roman" w:cs="Times New Roman"/>
                <w:sz w:val="18"/>
                <w:szCs w:val="18"/>
              </w:rPr>
              <w:t xml:space="preserve">(2023): </w:t>
            </w:r>
            <w:r w:rsidRPr="002805B6">
              <w:rPr>
                <w:rFonts w:ascii="Times New Roman" w:hAnsi="Times New Roman" w:cs="Times New Roman"/>
                <w:sz w:val="18"/>
                <w:szCs w:val="18"/>
              </w:rPr>
              <w:t xml:space="preserve">50 </w:t>
            </w:r>
          </w:p>
          <w:p w14:paraId="387B6776" w14:textId="05BA685B" w:rsidR="00F86371" w:rsidRDefault="00B24E2F" w:rsidP="005A2DBF">
            <w:pPr>
              <w:pStyle w:val="HTMLPreformatted"/>
              <w:shd w:val="clear" w:color="auto" w:fill="FFFFFF"/>
              <w:rPr>
                <w:rFonts w:ascii="Times New Roman" w:hAnsi="Times New Roman" w:cs="Times New Roman"/>
                <w:sz w:val="18"/>
                <w:szCs w:val="18"/>
              </w:rPr>
            </w:pPr>
            <w:r w:rsidRPr="002805B6">
              <w:rPr>
                <w:rFonts w:ascii="Times New Roman" w:hAnsi="Times New Roman" w:cs="Times New Roman"/>
                <w:b/>
                <w:sz w:val="18"/>
                <w:szCs w:val="18"/>
              </w:rPr>
              <w:t xml:space="preserve">Data </w:t>
            </w:r>
            <w:r w:rsidR="00575E6A">
              <w:rPr>
                <w:rFonts w:ascii="Times New Roman" w:hAnsi="Times New Roman" w:cs="Times New Roman"/>
                <w:b/>
                <w:sz w:val="18"/>
                <w:szCs w:val="18"/>
              </w:rPr>
              <w:t>s</w:t>
            </w:r>
            <w:r w:rsidRPr="002805B6">
              <w:rPr>
                <w:rFonts w:ascii="Times New Roman" w:hAnsi="Times New Roman" w:cs="Times New Roman"/>
                <w:b/>
                <w:sz w:val="18"/>
                <w:szCs w:val="18"/>
              </w:rPr>
              <w:t>ource</w:t>
            </w:r>
            <w:r w:rsidRPr="002805B6">
              <w:rPr>
                <w:rFonts w:ascii="Times New Roman" w:hAnsi="Times New Roman" w:cs="Times New Roman"/>
                <w:sz w:val="18"/>
                <w:szCs w:val="18"/>
              </w:rPr>
              <w:t xml:space="preserve">: </w:t>
            </w:r>
            <w:r w:rsidR="008271E2" w:rsidRPr="002805B6">
              <w:rPr>
                <w:rFonts w:ascii="Times New Roman" w:hAnsi="Times New Roman" w:cs="Times New Roman"/>
                <w:sz w:val="18"/>
                <w:szCs w:val="18"/>
              </w:rPr>
              <w:t xml:space="preserve">LPC </w:t>
            </w:r>
            <w:r w:rsidRPr="002805B6">
              <w:rPr>
                <w:rFonts w:ascii="Times New Roman" w:hAnsi="Times New Roman" w:cs="Times New Roman"/>
                <w:sz w:val="18"/>
                <w:szCs w:val="18"/>
              </w:rPr>
              <w:t xml:space="preserve">Annual reports </w:t>
            </w:r>
          </w:p>
          <w:p w14:paraId="5B4217F0" w14:textId="77777777" w:rsidR="00A63414" w:rsidRPr="002805B6" w:rsidRDefault="00A63414" w:rsidP="005A2DBF">
            <w:pPr>
              <w:pStyle w:val="HTMLPreformatted"/>
              <w:shd w:val="clear" w:color="auto" w:fill="FFFFFF"/>
              <w:rPr>
                <w:rFonts w:ascii="Times New Roman" w:hAnsi="Times New Roman" w:cs="Times New Roman"/>
                <w:sz w:val="18"/>
                <w:szCs w:val="18"/>
              </w:rPr>
            </w:pPr>
          </w:p>
          <w:p w14:paraId="46FCFF5A" w14:textId="77777777" w:rsidR="00B24E2F" w:rsidRPr="002805B6" w:rsidRDefault="00B24E2F" w:rsidP="005A2DBF">
            <w:pPr>
              <w:pStyle w:val="HTMLPreformatted"/>
              <w:shd w:val="clear" w:color="auto" w:fill="FFFFFF"/>
              <w:rPr>
                <w:rFonts w:ascii="Times New Roman" w:hAnsi="Times New Roman" w:cs="Times New Roman"/>
                <w:sz w:val="18"/>
                <w:szCs w:val="18"/>
              </w:rPr>
            </w:pPr>
            <w:r w:rsidRPr="002805B6">
              <w:rPr>
                <w:rFonts w:ascii="Times New Roman" w:hAnsi="Times New Roman" w:cs="Times New Roman"/>
                <w:b/>
                <w:sz w:val="18"/>
                <w:szCs w:val="18"/>
              </w:rPr>
              <w:t xml:space="preserve">Indicator 1.6.2. </w:t>
            </w:r>
            <w:r w:rsidRPr="002805B6">
              <w:rPr>
                <w:rFonts w:ascii="Times New Roman" w:hAnsi="Times New Roman" w:cs="Times New Roman"/>
                <w:sz w:val="18"/>
                <w:szCs w:val="18"/>
              </w:rPr>
              <w:t xml:space="preserve">Number of </w:t>
            </w:r>
            <w:r w:rsidR="00BD1DA8" w:rsidRPr="002805B6">
              <w:rPr>
                <w:rFonts w:ascii="Times New Roman" w:hAnsi="Times New Roman" w:cs="Times New Roman"/>
                <w:sz w:val="18"/>
                <w:szCs w:val="18"/>
              </w:rPr>
              <w:t>active UNDP-supported</w:t>
            </w:r>
            <w:r w:rsidR="0037700E" w:rsidRPr="002805B6">
              <w:rPr>
                <w:rFonts w:ascii="Times New Roman" w:hAnsi="Times New Roman" w:cs="Times New Roman"/>
                <w:sz w:val="18"/>
                <w:szCs w:val="18"/>
              </w:rPr>
              <w:t xml:space="preserve"> </w:t>
            </w:r>
            <w:r w:rsidRPr="002805B6">
              <w:rPr>
                <w:rFonts w:ascii="Times New Roman" w:hAnsi="Times New Roman" w:cs="Times New Roman"/>
                <w:sz w:val="18"/>
                <w:szCs w:val="18"/>
              </w:rPr>
              <w:t xml:space="preserve">youth movements </w:t>
            </w:r>
            <w:r w:rsidR="0037700E" w:rsidRPr="002805B6">
              <w:rPr>
                <w:rFonts w:ascii="Times New Roman" w:hAnsi="Times New Roman" w:cs="Times New Roman"/>
                <w:sz w:val="18"/>
                <w:szCs w:val="18"/>
              </w:rPr>
              <w:t>in</w:t>
            </w:r>
            <w:r w:rsidRPr="002805B6">
              <w:rPr>
                <w:rFonts w:ascii="Times New Roman" w:hAnsi="Times New Roman" w:cs="Times New Roman"/>
                <w:sz w:val="18"/>
                <w:szCs w:val="18"/>
              </w:rPr>
              <w:t xml:space="preserve"> conflict prevention</w:t>
            </w:r>
            <w:r w:rsidR="0037700E" w:rsidRPr="002805B6">
              <w:rPr>
                <w:rFonts w:ascii="Times New Roman" w:hAnsi="Times New Roman" w:cs="Times New Roman"/>
                <w:sz w:val="18"/>
                <w:szCs w:val="18"/>
              </w:rPr>
              <w:t>/</w:t>
            </w:r>
            <w:r w:rsidRPr="002805B6">
              <w:rPr>
                <w:rFonts w:ascii="Times New Roman" w:hAnsi="Times New Roman" w:cs="Times New Roman"/>
                <w:sz w:val="18"/>
                <w:szCs w:val="18"/>
              </w:rPr>
              <w:t>resolution in communities</w:t>
            </w:r>
          </w:p>
          <w:p w14:paraId="72DD05F8" w14:textId="77777777" w:rsidR="00F86371" w:rsidRPr="002805B6" w:rsidRDefault="00B24E2F" w:rsidP="005A2DBF">
            <w:pPr>
              <w:ind w:right="2030"/>
              <w:jc w:val="both"/>
              <w:rPr>
                <w:sz w:val="18"/>
                <w:szCs w:val="18"/>
              </w:rPr>
            </w:pPr>
            <w:r w:rsidRPr="002805B6">
              <w:rPr>
                <w:b/>
                <w:sz w:val="18"/>
                <w:szCs w:val="18"/>
              </w:rPr>
              <w:lastRenderedPageBreak/>
              <w:t>Baseline</w:t>
            </w:r>
            <w:r w:rsidRPr="002805B6">
              <w:rPr>
                <w:sz w:val="18"/>
                <w:szCs w:val="18"/>
              </w:rPr>
              <w:t xml:space="preserve"> (2017): 0</w:t>
            </w:r>
          </w:p>
          <w:p w14:paraId="243AF8FA" w14:textId="77777777" w:rsidR="00F86371" w:rsidRPr="002805B6" w:rsidRDefault="00B24E2F" w:rsidP="005A2DBF">
            <w:pPr>
              <w:pStyle w:val="HTMLPreformatted"/>
              <w:shd w:val="clear" w:color="auto" w:fill="FFFFFF"/>
              <w:rPr>
                <w:sz w:val="18"/>
                <w:szCs w:val="18"/>
              </w:rPr>
            </w:pPr>
            <w:r w:rsidRPr="002805B6">
              <w:rPr>
                <w:rFonts w:ascii="Times New Roman" w:hAnsi="Times New Roman" w:cs="Times New Roman"/>
                <w:b/>
                <w:sz w:val="18"/>
                <w:szCs w:val="18"/>
              </w:rPr>
              <w:t>Target</w:t>
            </w:r>
            <w:r w:rsidR="00F86371" w:rsidRPr="002805B6">
              <w:rPr>
                <w:rFonts w:ascii="Times New Roman" w:hAnsi="Times New Roman" w:cs="Times New Roman"/>
                <w:sz w:val="18"/>
                <w:szCs w:val="18"/>
              </w:rPr>
              <w:t xml:space="preserve"> (2023): </w:t>
            </w:r>
            <w:r w:rsidRPr="002805B6">
              <w:rPr>
                <w:rFonts w:ascii="Times New Roman" w:hAnsi="Times New Roman" w:cs="Times New Roman"/>
                <w:sz w:val="18"/>
                <w:szCs w:val="18"/>
              </w:rPr>
              <w:t>50</w:t>
            </w:r>
          </w:p>
          <w:p w14:paraId="056E484B" w14:textId="798C852D" w:rsidR="00F86371" w:rsidRPr="00C265BE" w:rsidRDefault="00F86371" w:rsidP="005A2DBF">
            <w:pPr>
              <w:pStyle w:val="HTMLPreformatted"/>
              <w:shd w:val="clear" w:color="auto" w:fill="FFFFFF"/>
              <w:rPr>
                <w:rFonts w:ascii="Times New Roman" w:hAnsi="Times New Roman" w:cs="Times New Roman"/>
                <w:sz w:val="18"/>
                <w:szCs w:val="18"/>
              </w:rPr>
            </w:pPr>
            <w:r w:rsidRPr="002805B6">
              <w:rPr>
                <w:rFonts w:ascii="Times New Roman" w:hAnsi="Times New Roman" w:cs="Times New Roman"/>
                <w:b/>
                <w:sz w:val="18"/>
                <w:szCs w:val="18"/>
              </w:rPr>
              <w:t xml:space="preserve">Data </w:t>
            </w:r>
            <w:r w:rsidR="00575E6A">
              <w:rPr>
                <w:rFonts w:ascii="Times New Roman" w:hAnsi="Times New Roman" w:cs="Times New Roman"/>
                <w:b/>
                <w:sz w:val="18"/>
                <w:szCs w:val="18"/>
              </w:rPr>
              <w:t>s</w:t>
            </w:r>
            <w:r w:rsidRPr="002805B6">
              <w:rPr>
                <w:rFonts w:ascii="Times New Roman" w:hAnsi="Times New Roman" w:cs="Times New Roman"/>
                <w:b/>
                <w:sz w:val="18"/>
                <w:szCs w:val="18"/>
              </w:rPr>
              <w:t>ource</w:t>
            </w:r>
            <w:r w:rsidRPr="002805B6">
              <w:rPr>
                <w:rFonts w:ascii="Times New Roman" w:hAnsi="Times New Roman" w:cs="Times New Roman"/>
                <w:sz w:val="18"/>
                <w:szCs w:val="18"/>
              </w:rPr>
              <w:t xml:space="preserve">: </w:t>
            </w:r>
            <w:r w:rsidR="008271E2" w:rsidRPr="002805B6">
              <w:rPr>
                <w:rFonts w:ascii="Times New Roman" w:hAnsi="Times New Roman" w:cs="Times New Roman"/>
                <w:sz w:val="18"/>
                <w:szCs w:val="18"/>
              </w:rPr>
              <w:t xml:space="preserve">LPC </w:t>
            </w:r>
            <w:r w:rsidRPr="002805B6">
              <w:rPr>
                <w:rFonts w:ascii="Times New Roman" w:hAnsi="Times New Roman" w:cs="Times New Roman"/>
                <w:sz w:val="18"/>
                <w:szCs w:val="18"/>
              </w:rPr>
              <w:t xml:space="preserve">Annual reports  </w:t>
            </w:r>
          </w:p>
        </w:tc>
        <w:tc>
          <w:tcPr>
            <w:tcW w:w="965" w:type="pct"/>
            <w:vMerge w:val="restart"/>
          </w:tcPr>
          <w:p w14:paraId="519CF761" w14:textId="6411D300" w:rsidR="001232C6" w:rsidRPr="002805B6" w:rsidRDefault="00C52FF6" w:rsidP="00C52FF6">
            <w:pPr>
              <w:pBdr>
                <w:top w:val="none" w:sz="96" w:space="31" w:color="FFFFFF" w:frame="1"/>
                <w:left w:val="none" w:sz="96" w:space="31" w:color="FFFFFF" w:frame="1"/>
                <w:bottom w:val="none" w:sz="96" w:space="31" w:color="FFFFFF" w:frame="1"/>
                <w:right w:val="none" w:sz="96" w:space="31" w:color="FFFFFF" w:frame="1"/>
                <w:bar w:val="none" w:sz="0" w:color="000000"/>
              </w:pBdr>
              <w:contextualSpacing/>
              <w:rPr>
                <w:rFonts w:eastAsia="Arial Unicode MS"/>
                <w:sz w:val="18"/>
                <w:szCs w:val="18"/>
                <w:u w:color="000000"/>
                <w:lang w:eastAsia="ko-KR"/>
              </w:rPr>
            </w:pPr>
            <w:r>
              <w:rPr>
                <w:rFonts w:eastAsia="Arial Unicode MS"/>
                <w:sz w:val="18"/>
                <w:szCs w:val="18"/>
                <w:u w:color="000000"/>
                <w:lang w:eastAsia="ko-KR"/>
              </w:rPr>
              <w:lastRenderedPageBreak/>
              <w:t>M</w:t>
            </w:r>
            <w:r w:rsidR="001232C6" w:rsidRPr="002805B6">
              <w:rPr>
                <w:rFonts w:eastAsia="Arial Unicode MS"/>
                <w:sz w:val="18"/>
                <w:szCs w:val="18"/>
                <w:u w:color="000000"/>
                <w:lang w:eastAsia="ko-KR"/>
              </w:rPr>
              <w:t>inistries in charge of:</w:t>
            </w:r>
          </w:p>
          <w:p w14:paraId="0DCB3023" w14:textId="5C7EDD5D"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 xml:space="preserve">- </w:t>
            </w:r>
            <w:r w:rsidR="00353D09">
              <w:rPr>
                <w:rFonts w:eastAsia="Arial Unicode MS"/>
                <w:sz w:val="18"/>
                <w:szCs w:val="18"/>
                <w:u w:color="000000"/>
                <w:lang w:eastAsia="ko-KR"/>
              </w:rPr>
              <w:t>d</w:t>
            </w:r>
            <w:r w:rsidRPr="002805B6">
              <w:rPr>
                <w:rFonts w:eastAsia="Arial Unicode MS"/>
                <w:sz w:val="18"/>
                <w:szCs w:val="18"/>
                <w:u w:color="000000"/>
                <w:lang w:eastAsia="ko-KR"/>
              </w:rPr>
              <w:t xml:space="preserve">evelopment and </w:t>
            </w:r>
            <w:r w:rsidR="00353D09">
              <w:rPr>
                <w:rFonts w:eastAsia="Arial Unicode MS"/>
                <w:sz w:val="18"/>
                <w:szCs w:val="18"/>
                <w:u w:color="000000"/>
                <w:lang w:eastAsia="ko-KR"/>
              </w:rPr>
              <w:t>p</w:t>
            </w:r>
            <w:r w:rsidRPr="002805B6">
              <w:rPr>
                <w:rFonts w:eastAsia="Arial Unicode MS"/>
                <w:sz w:val="18"/>
                <w:szCs w:val="18"/>
                <w:u w:color="000000"/>
                <w:lang w:eastAsia="ko-KR"/>
              </w:rPr>
              <w:t>lanning,</w:t>
            </w:r>
          </w:p>
          <w:p w14:paraId="470277C5" w14:textId="1B0703F4"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 xml:space="preserve">- </w:t>
            </w:r>
            <w:r w:rsidR="00353D09">
              <w:rPr>
                <w:rFonts w:eastAsia="Arial Unicode MS"/>
                <w:sz w:val="18"/>
                <w:szCs w:val="18"/>
                <w:u w:color="000000"/>
                <w:lang w:eastAsia="ko-KR"/>
              </w:rPr>
              <w:t>a</w:t>
            </w:r>
            <w:r w:rsidRPr="002805B6">
              <w:rPr>
                <w:rFonts w:eastAsia="Arial Unicode MS"/>
                <w:sz w:val="18"/>
                <w:szCs w:val="18"/>
                <w:u w:color="000000"/>
                <w:lang w:eastAsia="ko-KR"/>
              </w:rPr>
              <w:t xml:space="preserve">dministrative </w:t>
            </w:r>
            <w:r w:rsidR="00353D09">
              <w:rPr>
                <w:rFonts w:eastAsia="Arial Unicode MS"/>
                <w:sz w:val="18"/>
                <w:szCs w:val="18"/>
                <w:u w:color="000000"/>
                <w:lang w:eastAsia="ko-KR"/>
              </w:rPr>
              <w:t>r</w:t>
            </w:r>
            <w:r w:rsidRPr="002805B6">
              <w:rPr>
                <w:rFonts w:eastAsia="Arial Unicode MS"/>
                <w:sz w:val="18"/>
                <w:szCs w:val="18"/>
                <w:u w:color="000000"/>
                <w:lang w:eastAsia="ko-KR"/>
              </w:rPr>
              <w:t>eform,</w:t>
            </w:r>
          </w:p>
          <w:p w14:paraId="44B99E3A" w14:textId="6FB8D4B4"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 xml:space="preserve">- </w:t>
            </w:r>
            <w:r w:rsidR="00353D09">
              <w:rPr>
                <w:rFonts w:eastAsia="Arial Unicode MS"/>
                <w:sz w:val="18"/>
                <w:szCs w:val="18"/>
                <w:u w:color="000000"/>
                <w:lang w:eastAsia="ko-KR"/>
              </w:rPr>
              <w:t>e</w:t>
            </w:r>
            <w:r w:rsidRPr="002805B6">
              <w:rPr>
                <w:rFonts w:eastAsia="Arial Unicode MS"/>
                <w:sz w:val="18"/>
                <w:szCs w:val="18"/>
                <w:u w:color="000000"/>
                <w:lang w:eastAsia="ko-KR"/>
              </w:rPr>
              <w:t xml:space="preserve">conomy and </w:t>
            </w:r>
            <w:r w:rsidR="00353D09">
              <w:rPr>
                <w:rFonts w:eastAsia="Arial Unicode MS"/>
                <w:sz w:val="18"/>
                <w:szCs w:val="18"/>
                <w:u w:color="000000"/>
                <w:lang w:eastAsia="ko-KR"/>
              </w:rPr>
              <w:t>f</w:t>
            </w:r>
            <w:r w:rsidRPr="002805B6">
              <w:rPr>
                <w:rFonts w:eastAsia="Arial Unicode MS"/>
                <w:sz w:val="18"/>
                <w:szCs w:val="18"/>
                <w:u w:color="000000"/>
                <w:lang w:eastAsia="ko-KR"/>
              </w:rPr>
              <w:t xml:space="preserve">inance, </w:t>
            </w:r>
          </w:p>
          <w:p w14:paraId="1FF7F2DC" w14:textId="47BD22D6"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 xml:space="preserve">- </w:t>
            </w:r>
            <w:r w:rsidR="00353D09">
              <w:rPr>
                <w:rFonts w:eastAsia="Arial Unicode MS"/>
                <w:sz w:val="18"/>
                <w:szCs w:val="18"/>
                <w:u w:color="000000"/>
                <w:lang w:eastAsia="ko-KR"/>
              </w:rPr>
              <w:t>s</w:t>
            </w:r>
            <w:r w:rsidRPr="002805B6">
              <w:rPr>
                <w:rFonts w:eastAsia="Arial Unicode MS"/>
                <w:sz w:val="18"/>
                <w:szCs w:val="18"/>
                <w:u w:color="000000"/>
                <w:lang w:eastAsia="ko-KR"/>
              </w:rPr>
              <w:t xml:space="preserve">ocial </w:t>
            </w:r>
            <w:r w:rsidR="00353D09">
              <w:rPr>
                <w:rFonts w:eastAsia="Arial Unicode MS"/>
                <w:sz w:val="18"/>
                <w:szCs w:val="18"/>
                <w:u w:color="000000"/>
                <w:lang w:eastAsia="ko-KR"/>
              </w:rPr>
              <w:t>a</w:t>
            </w:r>
            <w:r w:rsidRPr="002805B6">
              <w:rPr>
                <w:rFonts w:eastAsia="Arial Unicode MS"/>
                <w:sz w:val="18"/>
                <w:szCs w:val="18"/>
                <w:u w:color="000000"/>
                <w:lang w:eastAsia="ko-KR"/>
              </w:rPr>
              <w:t xml:space="preserve">ffairs and </w:t>
            </w:r>
            <w:r w:rsidR="00353D09">
              <w:rPr>
                <w:rFonts w:eastAsia="Arial Unicode MS"/>
                <w:sz w:val="18"/>
                <w:szCs w:val="18"/>
                <w:u w:color="000000"/>
                <w:lang w:eastAsia="ko-KR"/>
              </w:rPr>
              <w:t>g</w:t>
            </w:r>
            <w:r w:rsidRPr="002805B6">
              <w:rPr>
                <w:rFonts w:eastAsia="Arial Unicode MS"/>
                <w:sz w:val="18"/>
                <w:szCs w:val="18"/>
                <w:u w:color="000000"/>
                <w:lang w:eastAsia="ko-KR"/>
              </w:rPr>
              <w:t xml:space="preserve">ender, </w:t>
            </w:r>
          </w:p>
          <w:p w14:paraId="062CA8F5" w14:textId="7B6E5A16"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 xml:space="preserve">- </w:t>
            </w:r>
            <w:r w:rsidR="00353D09">
              <w:rPr>
                <w:rFonts w:eastAsia="Arial Unicode MS"/>
                <w:sz w:val="18"/>
                <w:szCs w:val="18"/>
                <w:u w:color="000000"/>
                <w:lang w:eastAsia="ko-KR"/>
              </w:rPr>
              <w:t>d</w:t>
            </w:r>
            <w:r w:rsidRPr="002805B6">
              <w:rPr>
                <w:rFonts w:eastAsia="Arial Unicode MS"/>
                <w:sz w:val="18"/>
                <w:szCs w:val="18"/>
                <w:u w:color="000000"/>
                <w:lang w:eastAsia="ko-KR"/>
              </w:rPr>
              <w:t xml:space="preserve">igital </w:t>
            </w:r>
            <w:r w:rsidR="00353D09">
              <w:rPr>
                <w:rFonts w:eastAsia="Arial Unicode MS"/>
                <w:sz w:val="18"/>
                <w:szCs w:val="18"/>
                <w:u w:color="000000"/>
                <w:lang w:eastAsia="ko-KR"/>
              </w:rPr>
              <w:t>e</w:t>
            </w:r>
            <w:r w:rsidRPr="002805B6">
              <w:rPr>
                <w:rFonts w:eastAsia="Arial Unicode MS"/>
                <w:sz w:val="18"/>
                <w:szCs w:val="18"/>
                <w:u w:color="000000"/>
                <w:lang w:eastAsia="ko-KR"/>
              </w:rPr>
              <w:t>conomy</w:t>
            </w:r>
          </w:p>
          <w:p w14:paraId="7A5A79F8" w14:textId="5383039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 xml:space="preserve">- </w:t>
            </w:r>
            <w:r w:rsidR="00353D09">
              <w:rPr>
                <w:rFonts w:eastAsia="Arial Unicode MS"/>
                <w:sz w:val="18"/>
                <w:szCs w:val="18"/>
                <w:u w:color="000000"/>
                <w:lang w:eastAsia="ko-KR"/>
              </w:rPr>
              <w:t>t</w:t>
            </w:r>
            <w:r w:rsidRPr="002805B6">
              <w:rPr>
                <w:rFonts w:eastAsia="Arial Unicode MS"/>
                <w:sz w:val="18"/>
                <w:szCs w:val="18"/>
                <w:u w:color="000000"/>
                <w:lang w:eastAsia="ko-KR"/>
              </w:rPr>
              <w:t>erritorial</w:t>
            </w:r>
            <w:r w:rsidR="00B56845" w:rsidRPr="002805B6">
              <w:rPr>
                <w:rFonts w:eastAsia="Arial Unicode MS"/>
                <w:sz w:val="18"/>
                <w:szCs w:val="18"/>
                <w:u w:color="000000"/>
                <w:lang w:eastAsia="ko-KR"/>
              </w:rPr>
              <w:t xml:space="preserve"> administration</w:t>
            </w:r>
            <w:r w:rsidRPr="002805B6">
              <w:rPr>
                <w:rFonts w:eastAsia="Arial Unicode MS"/>
                <w:sz w:val="18"/>
                <w:szCs w:val="18"/>
                <w:u w:color="000000"/>
                <w:lang w:eastAsia="ko-KR"/>
              </w:rPr>
              <w:t xml:space="preserve">, </w:t>
            </w:r>
          </w:p>
          <w:p w14:paraId="7C061D6B" w14:textId="642D8C99"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 xml:space="preserve">- </w:t>
            </w:r>
            <w:r w:rsidR="00353D09">
              <w:rPr>
                <w:rFonts w:eastAsia="Arial Unicode MS"/>
                <w:sz w:val="18"/>
                <w:szCs w:val="18"/>
                <w:u w:color="000000"/>
                <w:lang w:eastAsia="ko-KR"/>
              </w:rPr>
              <w:t>j</w:t>
            </w:r>
            <w:r w:rsidRPr="002805B6">
              <w:rPr>
                <w:rFonts w:eastAsia="Arial Unicode MS"/>
                <w:sz w:val="18"/>
                <w:szCs w:val="18"/>
                <w:u w:color="000000"/>
                <w:lang w:eastAsia="ko-KR"/>
              </w:rPr>
              <w:t>ustice</w:t>
            </w:r>
          </w:p>
          <w:p w14:paraId="11A39BAB" w14:textId="7254D649"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 xml:space="preserve">- </w:t>
            </w:r>
            <w:r w:rsidR="00353D09">
              <w:rPr>
                <w:rFonts w:eastAsia="Arial Unicode MS"/>
                <w:sz w:val="18"/>
                <w:szCs w:val="18"/>
                <w:u w:color="000000"/>
                <w:lang w:eastAsia="ko-KR"/>
              </w:rPr>
              <w:t>s</w:t>
            </w:r>
            <w:r w:rsidRPr="002805B6">
              <w:rPr>
                <w:rFonts w:eastAsia="Arial Unicode MS"/>
                <w:sz w:val="18"/>
                <w:szCs w:val="18"/>
                <w:u w:color="000000"/>
                <w:lang w:eastAsia="ko-KR"/>
              </w:rPr>
              <w:t xml:space="preserve">ecurity and </w:t>
            </w:r>
            <w:r w:rsidR="00353D09">
              <w:rPr>
                <w:rFonts w:eastAsia="Arial Unicode MS"/>
                <w:sz w:val="18"/>
                <w:szCs w:val="18"/>
                <w:u w:color="000000"/>
                <w:lang w:eastAsia="ko-KR"/>
              </w:rPr>
              <w:t>c</w:t>
            </w:r>
            <w:r w:rsidRPr="002805B6">
              <w:rPr>
                <w:rFonts w:eastAsia="Arial Unicode MS"/>
                <w:sz w:val="18"/>
                <w:szCs w:val="18"/>
                <w:u w:color="000000"/>
                <w:lang w:eastAsia="ko-KR"/>
              </w:rPr>
              <w:t xml:space="preserve">ivil </w:t>
            </w:r>
            <w:r w:rsidR="00353D09">
              <w:rPr>
                <w:rFonts w:eastAsia="Arial Unicode MS"/>
                <w:sz w:val="18"/>
                <w:szCs w:val="18"/>
                <w:u w:color="000000"/>
                <w:lang w:eastAsia="ko-KR"/>
              </w:rPr>
              <w:t>p</w:t>
            </w:r>
            <w:r w:rsidRPr="002805B6">
              <w:rPr>
                <w:rFonts w:eastAsia="Arial Unicode MS"/>
                <w:sz w:val="18"/>
                <w:szCs w:val="18"/>
                <w:u w:color="000000"/>
                <w:lang w:eastAsia="ko-KR"/>
              </w:rPr>
              <w:t>rotection</w:t>
            </w:r>
          </w:p>
          <w:p w14:paraId="4C97A418" w14:textId="7777777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p>
          <w:p w14:paraId="707F16AA" w14:textId="7777777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State Secretariat for Human Rights</w:t>
            </w:r>
          </w:p>
          <w:p w14:paraId="569571D1" w14:textId="7777777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p>
          <w:p w14:paraId="3E3C34B8" w14:textId="7777777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Parliament</w:t>
            </w:r>
          </w:p>
          <w:p w14:paraId="26BF4FDC" w14:textId="7777777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p>
          <w:p w14:paraId="14677CAC" w14:textId="5D361BD6" w:rsidR="001232C6" w:rsidRPr="002805B6" w:rsidRDefault="00CC4FA0"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Pr>
                <w:rFonts w:eastAsia="Arial Unicode MS"/>
                <w:sz w:val="18"/>
                <w:szCs w:val="18"/>
                <w:u w:color="000000"/>
                <w:lang w:eastAsia="ko-KR"/>
              </w:rPr>
              <w:t>NHRC</w:t>
            </w:r>
          </w:p>
          <w:p w14:paraId="61268C7A" w14:textId="7777777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p>
          <w:p w14:paraId="1EE814CA" w14:textId="7777777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Constitution</w:t>
            </w:r>
            <w:r w:rsidR="00BD1DA8" w:rsidRPr="002805B6">
              <w:rPr>
                <w:rFonts w:eastAsia="Arial Unicode MS"/>
                <w:sz w:val="18"/>
                <w:szCs w:val="18"/>
                <w:u w:color="000000"/>
                <w:lang w:eastAsia="ko-KR"/>
              </w:rPr>
              <w:t>al</w:t>
            </w:r>
            <w:r w:rsidRPr="002805B6">
              <w:rPr>
                <w:rFonts w:eastAsia="Arial Unicode MS"/>
                <w:sz w:val="18"/>
                <w:szCs w:val="18"/>
                <w:u w:color="000000"/>
                <w:lang w:eastAsia="ko-KR"/>
              </w:rPr>
              <w:t xml:space="preserve"> Court </w:t>
            </w:r>
          </w:p>
          <w:p w14:paraId="48725583" w14:textId="7777777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p>
          <w:p w14:paraId="65474B0B" w14:textId="77777777" w:rsidR="001232C6" w:rsidRPr="002805B6" w:rsidRDefault="006E3AB3"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sz w:val="18"/>
                <w:szCs w:val="18"/>
                <w:lang w:val="en"/>
              </w:rPr>
              <w:t>HCCRUN</w:t>
            </w:r>
            <w:r w:rsidRPr="002805B6" w:rsidDel="006E3AB3">
              <w:rPr>
                <w:rFonts w:eastAsia="Arial Unicode MS"/>
                <w:sz w:val="18"/>
                <w:szCs w:val="18"/>
                <w:u w:color="000000"/>
                <w:lang w:eastAsia="ko-KR"/>
              </w:rPr>
              <w:t xml:space="preserve"> </w:t>
            </w:r>
          </w:p>
          <w:p w14:paraId="7B16D7A2" w14:textId="77777777" w:rsidR="006E3AB3" w:rsidRPr="002805B6" w:rsidRDefault="006E3AB3"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p>
          <w:p w14:paraId="365B5E9C" w14:textId="138C0493" w:rsidR="001232C6" w:rsidRPr="002805B6" w:rsidRDefault="00DC4C87"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Pr>
                <w:rFonts w:eastAsia="Arial Unicode MS"/>
                <w:sz w:val="18"/>
                <w:szCs w:val="18"/>
                <w:u w:color="000000"/>
                <w:lang w:eastAsia="ko-KR"/>
              </w:rPr>
              <w:t>National Independent Electoral Commission</w:t>
            </w:r>
          </w:p>
          <w:p w14:paraId="6A494AC8" w14:textId="7777777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p>
          <w:p w14:paraId="18C6B8C5" w14:textId="7777777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lastRenderedPageBreak/>
              <w:t>HAPLUCIA</w:t>
            </w:r>
          </w:p>
          <w:p w14:paraId="1AAB1671" w14:textId="7777777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p>
          <w:p w14:paraId="30889B5C" w14:textId="77777777" w:rsidR="001232C6" w:rsidRPr="002805B6" w:rsidRDefault="003445C3"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HAAC</w:t>
            </w:r>
          </w:p>
          <w:p w14:paraId="03BCD5A4" w14:textId="77777777"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p>
          <w:p w14:paraId="45F5383F" w14:textId="62B4C2ED" w:rsidR="001232C6" w:rsidRPr="002805B6" w:rsidRDefault="001232C6"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Local governments</w:t>
            </w:r>
          </w:p>
          <w:p w14:paraId="1C4D0F80" w14:textId="77777777" w:rsidR="00A81CD3" w:rsidRDefault="00A1320F" w:rsidP="005A2DBF">
            <w:pPr>
              <w:rPr>
                <w:rFonts w:eastAsia="Arial Unicode MS"/>
                <w:sz w:val="18"/>
                <w:szCs w:val="18"/>
                <w:u w:color="000000"/>
                <w:lang w:eastAsia="ko-KR"/>
              </w:rPr>
            </w:pPr>
            <w:r w:rsidRPr="002805B6">
              <w:rPr>
                <w:rFonts w:eastAsia="Arial Unicode MS"/>
                <w:sz w:val="18"/>
                <w:szCs w:val="18"/>
                <w:u w:color="000000"/>
                <w:lang w:eastAsia="ko-KR"/>
              </w:rPr>
              <w:t>E</w:t>
            </w:r>
            <w:r w:rsidR="00CC4FA0">
              <w:rPr>
                <w:rFonts w:eastAsia="Arial Unicode MS"/>
                <w:sz w:val="18"/>
                <w:szCs w:val="18"/>
                <w:u w:color="000000"/>
                <w:lang w:eastAsia="ko-KR"/>
              </w:rPr>
              <w:t xml:space="preserve">uropean </w:t>
            </w:r>
            <w:r w:rsidRPr="002805B6">
              <w:rPr>
                <w:rFonts w:eastAsia="Arial Unicode MS"/>
                <w:sz w:val="18"/>
                <w:szCs w:val="18"/>
                <w:u w:color="000000"/>
                <w:lang w:eastAsia="ko-KR"/>
              </w:rPr>
              <w:t>U</w:t>
            </w:r>
            <w:r w:rsidR="00CC4FA0">
              <w:rPr>
                <w:rFonts w:eastAsia="Arial Unicode MS"/>
                <w:sz w:val="18"/>
                <w:szCs w:val="18"/>
                <w:u w:color="000000"/>
                <w:lang w:eastAsia="ko-KR"/>
              </w:rPr>
              <w:t>nion</w:t>
            </w:r>
            <w:r w:rsidR="001232C6" w:rsidRPr="002805B6">
              <w:rPr>
                <w:rFonts w:eastAsia="Arial Unicode MS"/>
                <w:sz w:val="18"/>
                <w:szCs w:val="18"/>
                <w:u w:color="000000"/>
                <w:lang w:eastAsia="ko-KR"/>
              </w:rPr>
              <w:t xml:space="preserve">, </w:t>
            </w:r>
            <w:r w:rsidR="00743C0A" w:rsidRPr="002805B6">
              <w:rPr>
                <w:rFonts w:eastAsia="Arial Unicode MS"/>
                <w:sz w:val="18"/>
                <w:szCs w:val="18"/>
                <w:u w:color="000000"/>
                <w:lang w:eastAsia="ko-KR"/>
              </w:rPr>
              <w:t>W</w:t>
            </w:r>
            <w:r w:rsidR="00CC4FA0">
              <w:rPr>
                <w:rFonts w:eastAsia="Arial Unicode MS"/>
                <w:sz w:val="18"/>
                <w:szCs w:val="18"/>
                <w:u w:color="000000"/>
                <w:lang w:eastAsia="ko-KR"/>
              </w:rPr>
              <w:t xml:space="preserve">orld </w:t>
            </w:r>
            <w:r w:rsidR="00743C0A" w:rsidRPr="002805B6">
              <w:rPr>
                <w:rFonts w:eastAsia="Arial Unicode MS"/>
                <w:sz w:val="18"/>
                <w:szCs w:val="18"/>
                <w:u w:color="000000"/>
                <w:lang w:eastAsia="ko-KR"/>
              </w:rPr>
              <w:t>B</w:t>
            </w:r>
            <w:r w:rsidR="00CC4FA0">
              <w:rPr>
                <w:rFonts w:eastAsia="Arial Unicode MS"/>
                <w:sz w:val="18"/>
                <w:szCs w:val="18"/>
                <w:u w:color="000000"/>
                <w:lang w:eastAsia="ko-KR"/>
              </w:rPr>
              <w:t>ank</w:t>
            </w:r>
            <w:r w:rsidR="001232C6" w:rsidRPr="002805B6">
              <w:rPr>
                <w:rFonts w:eastAsia="Arial Unicode MS"/>
                <w:sz w:val="18"/>
                <w:szCs w:val="18"/>
                <w:u w:color="000000"/>
                <w:lang w:eastAsia="ko-KR"/>
              </w:rPr>
              <w:t xml:space="preserve">, </w:t>
            </w:r>
          </w:p>
          <w:p w14:paraId="6B7BA186" w14:textId="01B1C7DD" w:rsidR="001232C6" w:rsidRPr="002805B6" w:rsidRDefault="001232C6" w:rsidP="005A2DBF">
            <w:pPr>
              <w:rPr>
                <w:rFonts w:eastAsia="Arial Unicode MS"/>
                <w:sz w:val="18"/>
                <w:szCs w:val="18"/>
                <w:u w:color="000000"/>
                <w:lang w:eastAsia="ko-KR"/>
              </w:rPr>
            </w:pPr>
            <w:r w:rsidRPr="002805B6">
              <w:rPr>
                <w:rFonts w:eastAsia="Arial Unicode MS"/>
                <w:sz w:val="18"/>
                <w:szCs w:val="18"/>
                <w:u w:color="000000"/>
                <w:lang w:eastAsia="ko-KR"/>
              </w:rPr>
              <w:t>GIZ, KFW</w:t>
            </w:r>
          </w:p>
          <w:p w14:paraId="00F08D51" w14:textId="77777777" w:rsidR="001232C6" w:rsidRPr="002805B6" w:rsidRDefault="001232C6" w:rsidP="005A2DBF">
            <w:pPr>
              <w:rPr>
                <w:rFonts w:eastAsia="Arial Unicode MS"/>
                <w:sz w:val="18"/>
                <w:szCs w:val="18"/>
                <w:u w:color="000000"/>
                <w:lang w:eastAsia="ko-KR"/>
              </w:rPr>
            </w:pPr>
          </w:p>
          <w:p w14:paraId="276A04D0" w14:textId="154C0304" w:rsidR="001232C6" w:rsidRPr="002805B6" w:rsidRDefault="00CC4FA0" w:rsidP="005A2DBF">
            <w:pPr>
              <w:rPr>
                <w:rFonts w:eastAsia="Arial Unicode MS"/>
                <w:sz w:val="18"/>
                <w:szCs w:val="18"/>
                <w:u w:color="000000"/>
                <w:lang w:eastAsia="ko-KR"/>
              </w:rPr>
            </w:pPr>
            <w:r w:rsidRPr="002805B6">
              <w:rPr>
                <w:rFonts w:eastAsia="Arial Unicode MS"/>
                <w:sz w:val="18"/>
                <w:szCs w:val="18"/>
                <w:u w:color="000000"/>
                <w:lang w:eastAsia="ko-KR"/>
              </w:rPr>
              <w:t>Embass</w:t>
            </w:r>
            <w:r>
              <w:rPr>
                <w:rFonts w:eastAsia="Arial Unicode MS"/>
                <w:sz w:val="18"/>
                <w:szCs w:val="18"/>
                <w:u w:color="000000"/>
                <w:lang w:eastAsia="ko-KR"/>
              </w:rPr>
              <w:t>ies of Germany and of the United States</w:t>
            </w:r>
          </w:p>
          <w:p w14:paraId="294775BC" w14:textId="77777777" w:rsidR="001232C6" w:rsidRPr="002805B6" w:rsidRDefault="001232C6" w:rsidP="005A2DBF">
            <w:pPr>
              <w:rPr>
                <w:rFonts w:eastAsia="Arial Unicode MS"/>
                <w:sz w:val="18"/>
                <w:szCs w:val="18"/>
                <w:u w:color="000000"/>
                <w:lang w:eastAsia="ko-KR"/>
              </w:rPr>
            </w:pPr>
          </w:p>
          <w:p w14:paraId="357C67EE" w14:textId="1CEB8CFA" w:rsidR="001232C6" w:rsidRPr="002805B6" w:rsidRDefault="001232C6" w:rsidP="005A2DBF">
            <w:pPr>
              <w:rPr>
                <w:rFonts w:eastAsia="Arial Unicode MS"/>
                <w:sz w:val="18"/>
                <w:szCs w:val="18"/>
                <w:u w:color="000000"/>
                <w:lang w:eastAsia="ko-KR"/>
              </w:rPr>
            </w:pPr>
          </w:p>
          <w:p w14:paraId="00ABE141" w14:textId="77777777" w:rsidR="001232C6" w:rsidRPr="002805B6" w:rsidRDefault="001232C6" w:rsidP="005A2DBF">
            <w:pPr>
              <w:rPr>
                <w:rFonts w:eastAsia="Arial Unicode MS"/>
                <w:sz w:val="18"/>
                <w:szCs w:val="18"/>
                <w:u w:color="000000"/>
                <w:lang w:eastAsia="ko-KR"/>
              </w:rPr>
            </w:pPr>
          </w:p>
          <w:p w14:paraId="5CED36DB" w14:textId="77777777" w:rsidR="001232C6" w:rsidRPr="002805B6" w:rsidRDefault="001232C6" w:rsidP="005A2DBF">
            <w:pPr>
              <w:rPr>
                <w:rFonts w:eastAsia="Arial Unicode MS"/>
                <w:sz w:val="18"/>
                <w:szCs w:val="18"/>
                <w:u w:color="000000"/>
                <w:lang w:eastAsia="ko-KR"/>
              </w:rPr>
            </w:pPr>
            <w:r w:rsidRPr="002805B6">
              <w:rPr>
                <w:rFonts w:eastAsia="Arial Unicode MS"/>
                <w:sz w:val="18"/>
                <w:szCs w:val="18"/>
                <w:u w:color="000000"/>
                <w:lang w:eastAsia="ko-KR"/>
              </w:rPr>
              <w:t xml:space="preserve">UNDESA, ILO, UNFPA, UNICEF, </w:t>
            </w:r>
          </w:p>
          <w:p w14:paraId="135E4AE7" w14:textId="77777777" w:rsidR="001232C6" w:rsidRPr="002805B6" w:rsidRDefault="001232C6" w:rsidP="005A2DBF">
            <w:pPr>
              <w:rPr>
                <w:rFonts w:eastAsia="Arial Unicode MS"/>
                <w:sz w:val="18"/>
                <w:szCs w:val="18"/>
                <w:u w:color="000000"/>
                <w:lang w:eastAsia="ko-KR"/>
              </w:rPr>
            </w:pPr>
          </w:p>
          <w:p w14:paraId="236C289B" w14:textId="77777777" w:rsidR="001232C6" w:rsidRPr="002805B6" w:rsidRDefault="00363D3D" w:rsidP="005A2DBF">
            <w:pPr>
              <w:rPr>
                <w:rFonts w:eastAsia="Arial Unicode MS"/>
                <w:sz w:val="18"/>
                <w:szCs w:val="18"/>
                <w:u w:color="000000"/>
                <w:lang w:eastAsia="ko-KR"/>
              </w:rPr>
            </w:pPr>
            <w:r w:rsidRPr="002805B6">
              <w:rPr>
                <w:rFonts w:eastAsia="Arial Unicode MS"/>
                <w:sz w:val="18"/>
                <w:szCs w:val="18"/>
                <w:u w:color="000000"/>
                <w:lang w:eastAsia="ko-KR"/>
              </w:rPr>
              <w:t>AfDB,</w:t>
            </w:r>
            <w:r w:rsidR="001232C6" w:rsidRPr="002805B6">
              <w:rPr>
                <w:rFonts w:eastAsia="Arial Unicode MS"/>
                <w:sz w:val="18"/>
                <w:szCs w:val="18"/>
                <w:u w:color="000000"/>
                <w:lang w:eastAsia="ko-KR"/>
              </w:rPr>
              <w:t xml:space="preserve"> </w:t>
            </w:r>
            <w:r w:rsidR="003445C3" w:rsidRPr="002805B6">
              <w:rPr>
                <w:rFonts w:eastAsia="Arial Unicode MS"/>
                <w:sz w:val="18"/>
                <w:szCs w:val="18"/>
                <w:u w:color="000000"/>
                <w:lang w:eastAsia="ko-KR"/>
              </w:rPr>
              <w:t>IMF</w:t>
            </w:r>
          </w:p>
          <w:p w14:paraId="075E8DFD" w14:textId="77777777" w:rsidR="001232C6" w:rsidRPr="002805B6" w:rsidRDefault="001232C6" w:rsidP="005A2DBF">
            <w:pPr>
              <w:rPr>
                <w:rFonts w:eastAsia="Arial Unicode MS"/>
                <w:sz w:val="18"/>
                <w:szCs w:val="18"/>
                <w:u w:color="000000"/>
                <w:lang w:eastAsia="ko-KR"/>
              </w:rPr>
            </w:pPr>
          </w:p>
          <w:p w14:paraId="5179E7EB" w14:textId="201C704B" w:rsidR="001232C6" w:rsidRPr="002805B6" w:rsidRDefault="001232C6" w:rsidP="005A2DBF">
            <w:pPr>
              <w:rPr>
                <w:rFonts w:eastAsia="Arial Unicode MS"/>
                <w:sz w:val="18"/>
                <w:szCs w:val="18"/>
                <w:u w:color="000000"/>
                <w:lang w:eastAsia="ko-KR"/>
              </w:rPr>
            </w:pPr>
            <w:r w:rsidRPr="002805B6">
              <w:rPr>
                <w:rFonts w:eastAsia="Arial Unicode MS"/>
                <w:sz w:val="18"/>
                <w:szCs w:val="18"/>
                <w:u w:color="000000"/>
                <w:lang w:eastAsia="ko-KR"/>
              </w:rPr>
              <w:t>CSO</w:t>
            </w:r>
            <w:r w:rsidR="00D46B15" w:rsidRPr="002805B6">
              <w:rPr>
                <w:rFonts w:eastAsia="Arial Unicode MS"/>
                <w:sz w:val="18"/>
                <w:szCs w:val="18"/>
                <w:u w:color="000000"/>
                <w:lang w:eastAsia="ko-KR"/>
              </w:rPr>
              <w:t xml:space="preserve"> </w:t>
            </w:r>
            <w:r w:rsidR="00BD1DA8" w:rsidRPr="002805B6">
              <w:rPr>
                <w:rFonts w:eastAsia="Arial Unicode MS"/>
                <w:sz w:val="18"/>
                <w:szCs w:val="18"/>
                <w:u w:color="000000"/>
                <w:lang w:eastAsia="ko-KR"/>
              </w:rPr>
              <w:t>Network</w:t>
            </w:r>
            <w:r w:rsidR="00BD1DA8" w:rsidRPr="002805B6" w:rsidDel="00B34CFC">
              <w:rPr>
                <w:rFonts w:eastAsia="Arial Unicode MS"/>
                <w:sz w:val="18"/>
                <w:szCs w:val="18"/>
                <w:u w:color="000000"/>
                <w:lang w:eastAsia="ko-KR"/>
              </w:rPr>
              <w:t>,</w:t>
            </w:r>
            <w:r w:rsidRPr="002805B6">
              <w:rPr>
                <w:rFonts w:eastAsia="Arial Unicode MS"/>
                <w:sz w:val="18"/>
                <w:szCs w:val="18"/>
                <w:u w:color="000000"/>
                <w:lang w:eastAsia="ko-KR"/>
              </w:rPr>
              <w:t xml:space="preserve"> </w:t>
            </w:r>
          </w:p>
          <w:p w14:paraId="4CC30760" w14:textId="77777777" w:rsidR="001232C6" w:rsidRPr="002805B6" w:rsidRDefault="001232C6" w:rsidP="005A2DBF">
            <w:pPr>
              <w:rPr>
                <w:rFonts w:eastAsia="Arial Unicode MS"/>
                <w:sz w:val="18"/>
                <w:szCs w:val="18"/>
                <w:u w:color="000000"/>
                <w:lang w:eastAsia="ko-KR"/>
              </w:rPr>
            </w:pPr>
          </w:p>
          <w:p w14:paraId="70FEC204" w14:textId="119D8693" w:rsidR="007B6947" w:rsidRPr="00C265BE" w:rsidRDefault="001232C6" w:rsidP="005A2DBF">
            <w:pPr>
              <w:rPr>
                <w:rFonts w:eastAsia="Arial Unicode MS"/>
                <w:sz w:val="18"/>
                <w:szCs w:val="18"/>
                <w:u w:color="000000"/>
                <w:lang w:eastAsia="ko-KR"/>
              </w:rPr>
            </w:pPr>
            <w:r w:rsidRPr="002805B6">
              <w:rPr>
                <w:rFonts w:eastAsia="Arial Unicode MS"/>
                <w:sz w:val="18"/>
                <w:szCs w:val="18"/>
                <w:u w:color="000000"/>
                <w:lang w:eastAsia="ko-KR"/>
              </w:rPr>
              <w:t xml:space="preserve">Women's </w:t>
            </w:r>
            <w:r w:rsidR="00CC4FA0">
              <w:rPr>
                <w:rFonts w:eastAsia="Arial Unicode MS"/>
                <w:sz w:val="18"/>
                <w:szCs w:val="18"/>
                <w:u w:color="000000"/>
                <w:lang w:eastAsia="ko-KR"/>
              </w:rPr>
              <w:t>a</w:t>
            </w:r>
            <w:r w:rsidRPr="002805B6">
              <w:rPr>
                <w:rFonts w:eastAsia="Arial Unicode MS"/>
                <w:sz w:val="18"/>
                <w:szCs w:val="18"/>
                <w:u w:color="000000"/>
                <w:lang w:eastAsia="ko-KR"/>
              </w:rPr>
              <w:t>ssociations</w:t>
            </w:r>
          </w:p>
        </w:tc>
        <w:tc>
          <w:tcPr>
            <w:tcW w:w="663" w:type="pct"/>
            <w:tcMar>
              <w:top w:w="15" w:type="dxa"/>
              <w:left w:w="108" w:type="dxa"/>
              <w:bottom w:w="0" w:type="dxa"/>
              <w:right w:w="108" w:type="dxa"/>
            </w:tcMar>
          </w:tcPr>
          <w:p w14:paraId="786612FA" w14:textId="18F8AE96" w:rsidR="007B6947" w:rsidRPr="002805B6" w:rsidRDefault="001232C6" w:rsidP="005A2DBF">
            <w:pPr>
              <w:rPr>
                <w:rFonts w:eastAsia="Arial Unicode MS"/>
                <w:b/>
                <w:bCs/>
                <w:sz w:val="18"/>
                <w:szCs w:val="18"/>
                <w:u w:color="000000"/>
                <w:lang w:eastAsia="ko-KR"/>
              </w:rPr>
            </w:pPr>
            <w:r w:rsidRPr="002805B6">
              <w:rPr>
                <w:rFonts w:eastAsia="Arial Unicode MS"/>
                <w:b/>
                <w:bCs/>
                <w:sz w:val="18"/>
                <w:szCs w:val="18"/>
                <w:u w:color="000000"/>
                <w:lang w:eastAsia="ko-KR"/>
              </w:rPr>
              <w:lastRenderedPageBreak/>
              <w:t xml:space="preserve">Regular: </w:t>
            </w:r>
            <w:r w:rsidR="004E395E">
              <w:rPr>
                <w:rFonts w:eastAsia="Arial Unicode MS"/>
                <w:b/>
                <w:bCs/>
                <w:sz w:val="18"/>
                <w:szCs w:val="18"/>
                <w:u w:color="000000"/>
                <w:lang w:eastAsia="ko-KR"/>
              </w:rPr>
              <w:t>$</w:t>
            </w:r>
            <w:r w:rsidRPr="002805B6">
              <w:rPr>
                <w:rFonts w:eastAsia="Arial Unicode MS"/>
                <w:b/>
                <w:bCs/>
                <w:sz w:val="18"/>
                <w:szCs w:val="18"/>
                <w:u w:color="000000"/>
                <w:lang w:eastAsia="ko-KR"/>
              </w:rPr>
              <w:t>10</w:t>
            </w:r>
            <w:r w:rsidR="00D575D0" w:rsidRPr="002805B6">
              <w:rPr>
                <w:rFonts w:eastAsia="Arial Unicode MS"/>
                <w:b/>
                <w:bCs/>
                <w:sz w:val="18"/>
                <w:szCs w:val="18"/>
                <w:u w:color="000000"/>
                <w:lang w:eastAsia="ko-KR"/>
              </w:rPr>
              <w:t>,</w:t>
            </w:r>
            <w:r w:rsidRPr="002805B6">
              <w:rPr>
                <w:rFonts w:eastAsia="Arial Unicode MS"/>
                <w:b/>
                <w:bCs/>
                <w:sz w:val="18"/>
                <w:szCs w:val="18"/>
                <w:u w:color="000000"/>
                <w:lang w:eastAsia="ko-KR"/>
              </w:rPr>
              <w:t>000</w:t>
            </w:r>
            <w:r w:rsidR="00D575D0" w:rsidRPr="002805B6">
              <w:rPr>
                <w:rFonts w:eastAsia="Arial Unicode MS"/>
                <w:b/>
                <w:bCs/>
                <w:sz w:val="18"/>
                <w:szCs w:val="18"/>
                <w:u w:color="000000"/>
                <w:lang w:eastAsia="ko-KR"/>
              </w:rPr>
              <w:t>,</w:t>
            </w:r>
            <w:r w:rsidRPr="002805B6">
              <w:rPr>
                <w:rFonts w:eastAsia="Arial Unicode MS"/>
                <w:b/>
                <w:bCs/>
                <w:sz w:val="18"/>
                <w:szCs w:val="18"/>
                <w:u w:color="000000"/>
                <w:lang w:eastAsia="ko-KR"/>
              </w:rPr>
              <w:t>000</w:t>
            </w:r>
          </w:p>
        </w:tc>
      </w:tr>
      <w:tr w:rsidR="00006D49" w:rsidRPr="000B4EB5" w14:paraId="6E9229B1" w14:textId="77777777" w:rsidTr="00C52FF6">
        <w:tc>
          <w:tcPr>
            <w:tcW w:w="849" w:type="pct"/>
            <w:vMerge/>
            <w:tcBorders>
              <w:bottom w:val="single" w:sz="4" w:space="0" w:color="auto"/>
            </w:tcBorders>
            <w:tcMar>
              <w:top w:w="72" w:type="dxa"/>
              <w:left w:w="144" w:type="dxa"/>
              <w:bottom w:w="72" w:type="dxa"/>
              <w:right w:w="144" w:type="dxa"/>
            </w:tcMar>
          </w:tcPr>
          <w:p w14:paraId="4C610A94" w14:textId="77777777" w:rsidR="00006D49" w:rsidRPr="002805B6" w:rsidRDefault="00006D49" w:rsidP="005A2DBF">
            <w:pPr>
              <w:rPr>
                <w:i/>
                <w:iCs/>
                <w:snapToGrid/>
                <w:sz w:val="18"/>
                <w:szCs w:val="18"/>
                <w:lang w:val="en-GB" w:eastAsia="en-US"/>
              </w:rPr>
            </w:pPr>
          </w:p>
        </w:tc>
        <w:tc>
          <w:tcPr>
            <w:tcW w:w="897" w:type="pct"/>
            <w:vMerge/>
            <w:tcBorders>
              <w:bottom w:val="single" w:sz="4" w:space="0" w:color="auto"/>
            </w:tcBorders>
          </w:tcPr>
          <w:p w14:paraId="41DFBFC9" w14:textId="77777777" w:rsidR="00006D49" w:rsidRPr="002805B6" w:rsidRDefault="00006D49" w:rsidP="005A2DBF">
            <w:pPr>
              <w:rPr>
                <w:i/>
                <w:iCs/>
                <w:snapToGrid/>
                <w:sz w:val="18"/>
                <w:szCs w:val="18"/>
                <w:lang w:val="en-GB" w:eastAsia="en-US"/>
              </w:rPr>
            </w:pPr>
          </w:p>
        </w:tc>
        <w:tc>
          <w:tcPr>
            <w:tcW w:w="1626" w:type="pct"/>
            <w:vMerge/>
            <w:tcBorders>
              <w:bottom w:val="single" w:sz="4" w:space="0" w:color="auto"/>
            </w:tcBorders>
            <w:tcMar>
              <w:top w:w="72" w:type="dxa"/>
              <w:left w:w="144" w:type="dxa"/>
              <w:bottom w:w="72" w:type="dxa"/>
              <w:right w:w="144" w:type="dxa"/>
            </w:tcMar>
          </w:tcPr>
          <w:p w14:paraId="3FCD4AB3" w14:textId="77777777" w:rsidR="00006D49" w:rsidRPr="002805B6" w:rsidRDefault="00006D49" w:rsidP="005A2DBF">
            <w:pPr>
              <w:rPr>
                <w:i/>
                <w:iCs/>
                <w:snapToGrid/>
                <w:sz w:val="18"/>
                <w:szCs w:val="18"/>
                <w:lang w:val="en-GB" w:eastAsia="en-US"/>
              </w:rPr>
            </w:pPr>
          </w:p>
        </w:tc>
        <w:tc>
          <w:tcPr>
            <w:tcW w:w="965" w:type="pct"/>
            <w:vMerge/>
            <w:tcBorders>
              <w:bottom w:val="single" w:sz="4" w:space="0" w:color="auto"/>
            </w:tcBorders>
          </w:tcPr>
          <w:p w14:paraId="41B79636" w14:textId="77777777" w:rsidR="00006D49" w:rsidRPr="002805B6" w:rsidRDefault="00006D49" w:rsidP="005A2DBF">
            <w:pPr>
              <w:rPr>
                <w:i/>
                <w:iCs/>
                <w:snapToGrid/>
                <w:sz w:val="18"/>
                <w:szCs w:val="18"/>
                <w:lang w:val="en-GB" w:eastAsia="en-US"/>
              </w:rPr>
            </w:pPr>
          </w:p>
        </w:tc>
        <w:tc>
          <w:tcPr>
            <w:tcW w:w="663" w:type="pct"/>
            <w:tcBorders>
              <w:bottom w:val="single" w:sz="4" w:space="0" w:color="auto"/>
            </w:tcBorders>
            <w:tcMar>
              <w:top w:w="15" w:type="dxa"/>
              <w:left w:w="108" w:type="dxa"/>
              <w:bottom w:w="0" w:type="dxa"/>
              <w:right w:w="108" w:type="dxa"/>
            </w:tcMar>
          </w:tcPr>
          <w:p w14:paraId="0A5C03FA" w14:textId="174E6CBD" w:rsidR="001232C6" w:rsidRPr="002805B6" w:rsidRDefault="001232C6" w:rsidP="005A2DBF">
            <w:pPr>
              <w:rPr>
                <w:rFonts w:eastAsia="Arial Unicode MS"/>
                <w:b/>
                <w:bCs/>
                <w:sz w:val="18"/>
                <w:szCs w:val="18"/>
                <w:u w:color="000000"/>
                <w:lang w:eastAsia="ko-KR"/>
              </w:rPr>
            </w:pPr>
            <w:r w:rsidRPr="002805B6">
              <w:rPr>
                <w:rFonts w:eastAsia="Arial Unicode MS"/>
                <w:b/>
                <w:sz w:val="18"/>
                <w:szCs w:val="18"/>
                <w:u w:color="000000"/>
                <w:lang w:eastAsia="ko-KR"/>
              </w:rPr>
              <w:t>Other:</w:t>
            </w:r>
            <w:r w:rsidRPr="002805B6">
              <w:rPr>
                <w:rFonts w:eastAsia="Arial Unicode MS"/>
                <w:sz w:val="18"/>
                <w:szCs w:val="18"/>
                <w:u w:color="000000"/>
                <w:lang w:eastAsia="ko-KR"/>
              </w:rPr>
              <w:t xml:space="preserve"> </w:t>
            </w:r>
            <w:r w:rsidR="004E395E">
              <w:rPr>
                <w:rFonts w:eastAsia="Arial Unicode MS"/>
                <w:sz w:val="18"/>
                <w:szCs w:val="18"/>
                <w:u w:color="000000"/>
                <w:lang w:eastAsia="ko-KR"/>
              </w:rPr>
              <w:t>$</w:t>
            </w:r>
            <w:r w:rsidRPr="002805B6">
              <w:rPr>
                <w:rFonts w:eastAsia="Arial Unicode MS"/>
                <w:b/>
                <w:sz w:val="18"/>
                <w:szCs w:val="18"/>
                <w:u w:color="000000"/>
                <w:lang w:eastAsia="ko-KR"/>
              </w:rPr>
              <w:t>16</w:t>
            </w:r>
            <w:r w:rsidR="00D575D0" w:rsidRPr="002805B6">
              <w:rPr>
                <w:rFonts w:eastAsia="Arial Unicode MS"/>
                <w:b/>
                <w:sz w:val="18"/>
                <w:szCs w:val="18"/>
                <w:u w:color="000000"/>
                <w:lang w:eastAsia="ko-KR"/>
              </w:rPr>
              <w:t>,</w:t>
            </w:r>
            <w:r w:rsidRPr="002805B6">
              <w:rPr>
                <w:rFonts w:eastAsia="Arial Unicode MS"/>
                <w:b/>
                <w:sz w:val="18"/>
                <w:szCs w:val="18"/>
                <w:u w:color="000000"/>
                <w:lang w:eastAsia="ko-KR"/>
              </w:rPr>
              <w:t>338</w:t>
            </w:r>
            <w:r w:rsidR="00D575D0" w:rsidRPr="002805B6">
              <w:rPr>
                <w:rFonts w:eastAsia="Arial Unicode MS"/>
                <w:b/>
                <w:sz w:val="18"/>
                <w:szCs w:val="18"/>
                <w:u w:color="000000"/>
                <w:lang w:eastAsia="ko-KR"/>
              </w:rPr>
              <w:t>,</w:t>
            </w:r>
            <w:r w:rsidRPr="002805B6">
              <w:rPr>
                <w:rFonts w:eastAsia="Arial Unicode MS"/>
                <w:b/>
                <w:sz w:val="18"/>
                <w:szCs w:val="18"/>
                <w:u w:color="000000"/>
                <w:lang w:eastAsia="ko-KR"/>
              </w:rPr>
              <w:t>000</w:t>
            </w:r>
          </w:p>
          <w:p w14:paraId="2574028A" w14:textId="77777777" w:rsidR="00006D49" w:rsidRPr="002805B6" w:rsidRDefault="00006D49" w:rsidP="00DE7E37">
            <w:pPr>
              <w:rPr>
                <w:rFonts w:eastAsia="Arial Unicode MS"/>
                <w:sz w:val="18"/>
                <w:szCs w:val="18"/>
                <w:u w:color="000000"/>
                <w:lang w:eastAsia="ko-KR"/>
              </w:rPr>
            </w:pPr>
          </w:p>
        </w:tc>
      </w:tr>
      <w:tr w:rsidR="00006D49" w:rsidRPr="000B4EB5" w14:paraId="260829F4" w14:textId="77777777" w:rsidTr="00C52FF6">
        <w:tc>
          <w:tcPr>
            <w:tcW w:w="5000" w:type="pct"/>
            <w:gridSpan w:val="5"/>
            <w:shd w:val="clear" w:color="auto" w:fill="auto"/>
            <w:tcMar>
              <w:top w:w="72" w:type="dxa"/>
              <w:left w:w="144" w:type="dxa"/>
              <w:bottom w:w="72" w:type="dxa"/>
              <w:right w:w="144" w:type="dxa"/>
            </w:tcMar>
          </w:tcPr>
          <w:p w14:paraId="78566907" w14:textId="0A1AD610" w:rsidR="00006D49" w:rsidRPr="002805B6" w:rsidRDefault="00006D49" w:rsidP="005A2DBF">
            <w:pPr>
              <w:rPr>
                <w:snapToGrid/>
                <w:sz w:val="18"/>
                <w:szCs w:val="18"/>
                <w:lang w:eastAsia="en-US"/>
              </w:rPr>
            </w:pPr>
            <w:bookmarkStart w:id="22" w:name="_Hlk518505280"/>
            <w:r w:rsidRPr="002805B6">
              <w:rPr>
                <w:b/>
                <w:bCs/>
                <w:snapToGrid/>
                <w:sz w:val="18"/>
                <w:szCs w:val="18"/>
                <w:lang w:val="en-GB" w:eastAsia="en-US"/>
              </w:rPr>
              <w:lastRenderedPageBreak/>
              <w:t xml:space="preserve">NATIONAL </w:t>
            </w:r>
            <w:r w:rsidR="00DC50FD" w:rsidRPr="002805B6">
              <w:rPr>
                <w:b/>
                <w:bCs/>
                <w:snapToGrid/>
                <w:sz w:val="18"/>
                <w:szCs w:val="18"/>
                <w:lang w:val="en-GB" w:eastAsia="en-US"/>
              </w:rPr>
              <w:t>PRIORITY:</w:t>
            </w:r>
            <w:r w:rsidRPr="002805B6">
              <w:rPr>
                <w:b/>
                <w:bCs/>
                <w:snapToGrid/>
                <w:sz w:val="18"/>
                <w:szCs w:val="18"/>
                <w:lang w:val="en-GB" w:eastAsia="en-US"/>
              </w:rPr>
              <w:t xml:space="preserve"> </w:t>
            </w:r>
            <w:r w:rsidR="0037700E" w:rsidRPr="002805B6">
              <w:rPr>
                <w:b/>
                <w:bCs/>
                <w:iCs/>
                <w:snapToGrid/>
                <w:sz w:val="18"/>
                <w:szCs w:val="18"/>
                <w:lang w:val="en-GB" w:eastAsia="en-US"/>
              </w:rPr>
              <w:t xml:space="preserve">NDP </w:t>
            </w:r>
            <w:r w:rsidRPr="002805B6">
              <w:rPr>
                <w:b/>
                <w:bCs/>
                <w:iCs/>
                <w:snapToGrid/>
                <w:sz w:val="18"/>
                <w:szCs w:val="18"/>
                <w:lang w:val="en-GB" w:eastAsia="en-US"/>
              </w:rPr>
              <w:t xml:space="preserve">Pillar 3: </w:t>
            </w:r>
            <w:r w:rsidRPr="002805B6">
              <w:rPr>
                <w:b/>
                <w:caps/>
                <w:sz w:val="18"/>
                <w:szCs w:val="18"/>
                <w:lang w:val="en"/>
              </w:rPr>
              <w:t>C</w:t>
            </w:r>
            <w:r w:rsidR="00C92473" w:rsidRPr="002805B6">
              <w:rPr>
                <w:b/>
                <w:sz w:val="18"/>
                <w:szCs w:val="18"/>
                <w:lang w:val="en"/>
              </w:rPr>
              <w:t>onsolidate social development and strengthen inclusion mechanisms</w:t>
            </w:r>
            <w:r w:rsidRPr="002805B6">
              <w:rPr>
                <w:b/>
                <w:caps/>
                <w:sz w:val="18"/>
                <w:szCs w:val="18"/>
                <w:lang w:val="en"/>
              </w:rPr>
              <w:t xml:space="preserve"> </w:t>
            </w:r>
          </w:p>
        </w:tc>
      </w:tr>
      <w:tr w:rsidR="00006D49" w:rsidRPr="000B4EB5" w14:paraId="4AE67A14" w14:textId="77777777" w:rsidTr="00C52FF6">
        <w:tc>
          <w:tcPr>
            <w:tcW w:w="5000" w:type="pct"/>
            <w:gridSpan w:val="5"/>
            <w:shd w:val="clear" w:color="auto" w:fill="auto"/>
            <w:tcMar>
              <w:top w:w="72" w:type="dxa"/>
              <w:left w:w="144" w:type="dxa"/>
              <w:bottom w:w="72" w:type="dxa"/>
              <w:right w:w="144" w:type="dxa"/>
            </w:tcMar>
          </w:tcPr>
          <w:p w14:paraId="223E4B96" w14:textId="77777777" w:rsidR="00006D49" w:rsidRPr="00CD5CD7" w:rsidRDefault="00006D49" w:rsidP="005A2DBF">
            <w:pPr>
              <w:rPr>
                <w:b/>
                <w:sz w:val="18"/>
                <w:szCs w:val="18"/>
                <w:lang w:val="en-ZA" w:eastAsia="en-US"/>
              </w:rPr>
            </w:pPr>
            <w:r w:rsidRPr="002805B6">
              <w:rPr>
                <w:b/>
                <w:bCs/>
                <w:snapToGrid/>
                <w:sz w:val="18"/>
                <w:szCs w:val="18"/>
                <w:lang w:val="en-GB" w:eastAsia="en-US"/>
              </w:rPr>
              <w:t xml:space="preserve">UNDAF OUTCOME </w:t>
            </w:r>
            <w:r w:rsidR="00F172E0" w:rsidRPr="002805B6">
              <w:rPr>
                <w:b/>
                <w:bCs/>
                <w:snapToGrid/>
                <w:sz w:val="18"/>
                <w:szCs w:val="18"/>
                <w:lang w:val="en-GB" w:eastAsia="en-US"/>
              </w:rPr>
              <w:t xml:space="preserve">3 </w:t>
            </w:r>
            <w:r w:rsidRPr="002805B6">
              <w:rPr>
                <w:b/>
                <w:bCs/>
                <w:snapToGrid/>
                <w:sz w:val="18"/>
                <w:szCs w:val="18"/>
                <w:lang w:val="en-GB" w:eastAsia="en-US"/>
              </w:rPr>
              <w:t xml:space="preserve">INVOLVING </w:t>
            </w:r>
            <w:r w:rsidR="007B0ACB" w:rsidRPr="002805B6">
              <w:rPr>
                <w:b/>
                <w:bCs/>
                <w:snapToGrid/>
                <w:sz w:val="18"/>
                <w:szCs w:val="18"/>
                <w:lang w:val="en-GB" w:eastAsia="en-US"/>
              </w:rPr>
              <w:t>UNDP:</w:t>
            </w:r>
            <w:r w:rsidRPr="002805B6">
              <w:rPr>
                <w:snapToGrid/>
                <w:sz w:val="18"/>
                <w:szCs w:val="18"/>
                <w:lang w:eastAsia="en-US"/>
              </w:rPr>
              <w:t xml:space="preserve"> </w:t>
            </w:r>
            <w:r w:rsidR="007B0ACB" w:rsidRPr="002805B6">
              <w:rPr>
                <w:b/>
                <w:sz w:val="18"/>
                <w:szCs w:val="18"/>
                <w:lang w:val="en" w:eastAsia="en-US"/>
              </w:rPr>
              <w:t>By 2023, Togolese populations have increased and equitable access to social protection</w:t>
            </w:r>
            <w:r w:rsidR="0037700E" w:rsidRPr="002805B6">
              <w:rPr>
                <w:b/>
                <w:sz w:val="18"/>
                <w:szCs w:val="18"/>
                <w:lang w:val="en" w:eastAsia="en-US"/>
              </w:rPr>
              <w:t>,</w:t>
            </w:r>
            <w:r w:rsidR="007B0ACB" w:rsidRPr="002805B6">
              <w:rPr>
                <w:b/>
                <w:sz w:val="18"/>
                <w:szCs w:val="18"/>
                <w:lang w:val="en" w:eastAsia="en-US"/>
              </w:rPr>
              <w:t xml:space="preserve"> quality basic social services, including education, health, nutrition, water, hygiene and sanitation</w:t>
            </w:r>
          </w:p>
        </w:tc>
      </w:tr>
      <w:tr w:rsidR="00006D49" w:rsidRPr="000B4EB5" w14:paraId="4A5D9675" w14:textId="77777777" w:rsidTr="00C52FF6">
        <w:tc>
          <w:tcPr>
            <w:tcW w:w="5000" w:type="pct"/>
            <w:gridSpan w:val="5"/>
            <w:shd w:val="clear" w:color="auto" w:fill="auto"/>
            <w:tcMar>
              <w:top w:w="72" w:type="dxa"/>
              <w:left w:w="144" w:type="dxa"/>
              <w:bottom w:w="72" w:type="dxa"/>
              <w:right w:w="144" w:type="dxa"/>
            </w:tcMar>
          </w:tcPr>
          <w:p w14:paraId="06E64123" w14:textId="582EA148" w:rsidR="00006D49" w:rsidRPr="002805B6" w:rsidRDefault="00006D49" w:rsidP="005A2DBF">
            <w:pPr>
              <w:rPr>
                <w:b/>
                <w:bCs/>
                <w:snapToGrid/>
                <w:sz w:val="18"/>
                <w:szCs w:val="18"/>
                <w:lang w:val="en-GB" w:eastAsia="en-US"/>
              </w:rPr>
            </w:pPr>
            <w:r w:rsidRPr="002805B6">
              <w:rPr>
                <w:b/>
                <w:bCs/>
                <w:snapToGrid/>
                <w:sz w:val="18"/>
                <w:szCs w:val="18"/>
                <w:lang w:val="en-GB" w:eastAsia="en-US"/>
              </w:rPr>
              <w:t xml:space="preserve">RELATED STRATEGIC PLAN OUTCOME: </w:t>
            </w:r>
            <w:r w:rsidRPr="002805B6">
              <w:rPr>
                <w:b/>
                <w:caps/>
                <w:sz w:val="18"/>
                <w:szCs w:val="18"/>
              </w:rPr>
              <w:t>E</w:t>
            </w:r>
            <w:r w:rsidR="00C92473" w:rsidRPr="002805B6">
              <w:rPr>
                <w:b/>
                <w:sz w:val="18"/>
                <w:szCs w:val="18"/>
              </w:rPr>
              <w:t>nd multidimensional poverty through integrated poverty reduction solutions</w:t>
            </w:r>
          </w:p>
        </w:tc>
      </w:tr>
      <w:bookmarkEnd w:id="22"/>
      <w:tr w:rsidR="00B24E2F" w:rsidRPr="000B4EB5" w14:paraId="46333B84" w14:textId="77777777" w:rsidTr="00C52FF6">
        <w:tc>
          <w:tcPr>
            <w:tcW w:w="849" w:type="pct"/>
            <w:vMerge w:val="restart"/>
            <w:tcMar>
              <w:top w:w="72" w:type="dxa"/>
              <w:left w:w="144" w:type="dxa"/>
              <w:bottom w:w="72" w:type="dxa"/>
              <w:right w:w="144" w:type="dxa"/>
            </w:tcMar>
          </w:tcPr>
          <w:p w14:paraId="0361EFEF" w14:textId="77777777" w:rsidR="00B24E2F" w:rsidRPr="002805B6" w:rsidRDefault="00B24E2F" w:rsidP="005A2DBF">
            <w:pPr>
              <w:rPr>
                <w:b/>
                <w:bCs/>
                <w:sz w:val="18"/>
                <w:szCs w:val="18"/>
              </w:rPr>
            </w:pPr>
            <w:r w:rsidRPr="002805B6">
              <w:rPr>
                <w:b/>
                <w:bCs/>
                <w:sz w:val="18"/>
                <w:szCs w:val="18"/>
              </w:rPr>
              <w:t xml:space="preserve">Indicator 2.1. </w:t>
            </w:r>
            <w:r w:rsidRPr="002805B6">
              <w:rPr>
                <w:rStyle w:val="shorttext"/>
                <w:sz w:val="18"/>
                <w:szCs w:val="18"/>
                <w:lang w:val="en"/>
              </w:rPr>
              <w:t>Net primary school enrollment rate</w:t>
            </w:r>
          </w:p>
          <w:p w14:paraId="5F3E46BD" w14:textId="77777777" w:rsidR="00B24E2F" w:rsidRPr="002805B6" w:rsidRDefault="00B24E2F" w:rsidP="005A2DBF">
            <w:pPr>
              <w:rPr>
                <w:bCs/>
                <w:sz w:val="18"/>
                <w:szCs w:val="18"/>
              </w:rPr>
            </w:pPr>
            <w:r w:rsidRPr="002805B6">
              <w:rPr>
                <w:b/>
                <w:bCs/>
                <w:sz w:val="18"/>
                <w:szCs w:val="18"/>
              </w:rPr>
              <w:t>Baseline (2017):</w:t>
            </w:r>
            <w:r w:rsidRPr="002805B6">
              <w:rPr>
                <w:bCs/>
                <w:sz w:val="18"/>
                <w:szCs w:val="18"/>
              </w:rPr>
              <w:t xml:space="preserve"> 93.8%</w:t>
            </w:r>
          </w:p>
          <w:p w14:paraId="732CB339" w14:textId="77777777" w:rsidR="00B24E2F" w:rsidRPr="002805B6" w:rsidRDefault="00B24E2F" w:rsidP="005A2DBF">
            <w:pPr>
              <w:rPr>
                <w:bCs/>
                <w:sz w:val="18"/>
                <w:szCs w:val="18"/>
              </w:rPr>
            </w:pPr>
            <w:r w:rsidRPr="002805B6">
              <w:rPr>
                <w:b/>
                <w:bCs/>
                <w:sz w:val="18"/>
                <w:szCs w:val="18"/>
              </w:rPr>
              <w:t xml:space="preserve">Target (2022): </w:t>
            </w:r>
            <w:r w:rsidRPr="002805B6">
              <w:rPr>
                <w:bCs/>
                <w:sz w:val="18"/>
                <w:szCs w:val="18"/>
              </w:rPr>
              <w:t>100%</w:t>
            </w:r>
          </w:p>
          <w:p w14:paraId="14E4877F" w14:textId="77777777" w:rsidR="00B24E2F" w:rsidRPr="002805B6" w:rsidRDefault="00B24E2F" w:rsidP="005A2DBF">
            <w:pPr>
              <w:rPr>
                <w:sz w:val="18"/>
                <w:szCs w:val="18"/>
              </w:rPr>
            </w:pPr>
          </w:p>
          <w:p w14:paraId="1E2EDB4C" w14:textId="77777777" w:rsidR="00B24E2F" w:rsidRPr="002805B6" w:rsidRDefault="00B24E2F" w:rsidP="005A2DBF">
            <w:pPr>
              <w:rPr>
                <w:b/>
                <w:bCs/>
                <w:sz w:val="18"/>
                <w:szCs w:val="18"/>
              </w:rPr>
            </w:pPr>
          </w:p>
          <w:p w14:paraId="069FA304" w14:textId="77777777" w:rsidR="00B24E2F" w:rsidRPr="002805B6" w:rsidRDefault="00B24E2F" w:rsidP="005A2DBF">
            <w:pPr>
              <w:rPr>
                <w:b/>
                <w:sz w:val="18"/>
                <w:szCs w:val="18"/>
              </w:rPr>
            </w:pPr>
            <w:r w:rsidRPr="002805B6">
              <w:rPr>
                <w:b/>
                <w:sz w:val="18"/>
                <w:szCs w:val="18"/>
              </w:rPr>
              <w:t>Indicator 2.2:</w:t>
            </w:r>
            <w:r w:rsidRPr="002805B6">
              <w:rPr>
                <w:sz w:val="18"/>
                <w:szCs w:val="18"/>
              </w:rPr>
              <w:t xml:space="preserve"> Proportion of households using a source of safe drinking water</w:t>
            </w:r>
          </w:p>
          <w:p w14:paraId="353D90F8" w14:textId="77777777" w:rsidR="00B24E2F" w:rsidRPr="002805B6" w:rsidRDefault="00B24E2F" w:rsidP="005A2DBF">
            <w:pPr>
              <w:rPr>
                <w:sz w:val="18"/>
                <w:szCs w:val="18"/>
              </w:rPr>
            </w:pPr>
            <w:r w:rsidRPr="002805B6">
              <w:rPr>
                <w:b/>
                <w:sz w:val="18"/>
                <w:szCs w:val="18"/>
              </w:rPr>
              <w:t>Baseline (2015):</w:t>
            </w:r>
            <w:r w:rsidRPr="002805B6">
              <w:rPr>
                <w:sz w:val="18"/>
                <w:szCs w:val="18"/>
              </w:rPr>
              <w:t xml:space="preserve"> 61.8%</w:t>
            </w:r>
          </w:p>
          <w:p w14:paraId="15EF3CA2" w14:textId="77777777" w:rsidR="00B24E2F" w:rsidRPr="002805B6" w:rsidRDefault="00B24E2F" w:rsidP="005A2DBF">
            <w:pPr>
              <w:rPr>
                <w:sz w:val="18"/>
                <w:szCs w:val="18"/>
              </w:rPr>
            </w:pPr>
            <w:r w:rsidRPr="002805B6">
              <w:rPr>
                <w:b/>
                <w:sz w:val="18"/>
                <w:szCs w:val="18"/>
              </w:rPr>
              <w:t>Target (2022):</w:t>
            </w:r>
            <w:r w:rsidRPr="002805B6">
              <w:rPr>
                <w:sz w:val="18"/>
                <w:szCs w:val="18"/>
              </w:rPr>
              <w:t xml:space="preserve"> 80%</w:t>
            </w:r>
          </w:p>
          <w:p w14:paraId="15F5D1B8" w14:textId="77777777" w:rsidR="00B24E2F" w:rsidRPr="002805B6" w:rsidRDefault="00B24E2F" w:rsidP="005A2DBF">
            <w:pPr>
              <w:rPr>
                <w:bCs/>
                <w:sz w:val="18"/>
                <w:szCs w:val="18"/>
              </w:rPr>
            </w:pPr>
          </w:p>
          <w:p w14:paraId="127B4288" w14:textId="77777777" w:rsidR="00B24E2F" w:rsidRPr="002805B6" w:rsidRDefault="00B24E2F" w:rsidP="005A2DBF">
            <w:pPr>
              <w:rPr>
                <w:b/>
                <w:bCs/>
                <w:sz w:val="18"/>
                <w:szCs w:val="18"/>
              </w:rPr>
            </w:pPr>
          </w:p>
          <w:p w14:paraId="1DB42836" w14:textId="77777777" w:rsidR="00B24E2F" w:rsidRPr="002805B6" w:rsidRDefault="00B24E2F" w:rsidP="005A2DBF">
            <w:pPr>
              <w:rPr>
                <w:b/>
                <w:bCs/>
                <w:sz w:val="18"/>
                <w:szCs w:val="18"/>
              </w:rPr>
            </w:pPr>
            <w:r w:rsidRPr="002805B6">
              <w:rPr>
                <w:b/>
                <w:bCs/>
                <w:sz w:val="18"/>
                <w:szCs w:val="18"/>
              </w:rPr>
              <w:t xml:space="preserve">Indicator 2.3: </w:t>
            </w:r>
            <w:r w:rsidRPr="002805B6">
              <w:rPr>
                <w:bCs/>
                <w:sz w:val="18"/>
                <w:szCs w:val="18"/>
              </w:rPr>
              <w:t>Youth underemployment rate</w:t>
            </w:r>
          </w:p>
          <w:p w14:paraId="23775A10" w14:textId="77777777" w:rsidR="00B24E2F" w:rsidRPr="002805B6" w:rsidRDefault="00B24E2F" w:rsidP="005A2DBF">
            <w:pPr>
              <w:rPr>
                <w:b/>
                <w:bCs/>
                <w:sz w:val="18"/>
                <w:szCs w:val="18"/>
              </w:rPr>
            </w:pPr>
            <w:r w:rsidRPr="002805B6">
              <w:rPr>
                <w:b/>
                <w:bCs/>
                <w:sz w:val="18"/>
                <w:szCs w:val="18"/>
              </w:rPr>
              <w:t>Baseline (2015): 22,2%</w:t>
            </w:r>
          </w:p>
          <w:p w14:paraId="34C6E55D" w14:textId="77777777" w:rsidR="00B24E2F" w:rsidRPr="002805B6" w:rsidRDefault="00B24E2F" w:rsidP="005A2DBF">
            <w:pPr>
              <w:rPr>
                <w:b/>
                <w:bCs/>
                <w:sz w:val="18"/>
                <w:szCs w:val="18"/>
              </w:rPr>
            </w:pPr>
            <w:r w:rsidRPr="002805B6">
              <w:rPr>
                <w:b/>
                <w:bCs/>
                <w:sz w:val="18"/>
                <w:szCs w:val="18"/>
              </w:rPr>
              <w:t>Target (2022): 16,2%</w:t>
            </w:r>
          </w:p>
          <w:p w14:paraId="4D59FA8C" w14:textId="77777777" w:rsidR="00B24E2F" w:rsidRPr="002805B6" w:rsidRDefault="00B24E2F" w:rsidP="005A2DBF">
            <w:pPr>
              <w:rPr>
                <w:b/>
                <w:bCs/>
                <w:sz w:val="18"/>
                <w:szCs w:val="18"/>
              </w:rPr>
            </w:pPr>
          </w:p>
          <w:p w14:paraId="0FEDBDEE" w14:textId="77777777" w:rsidR="00B24E2F" w:rsidRPr="002805B6" w:rsidRDefault="00B24E2F" w:rsidP="005A2DBF">
            <w:pPr>
              <w:rPr>
                <w:b/>
                <w:bCs/>
                <w:sz w:val="18"/>
                <w:szCs w:val="18"/>
              </w:rPr>
            </w:pPr>
            <w:r w:rsidRPr="002805B6">
              <w:rPr>
                <w:b/>
                <w:bCs/>
                <w:sz w:val="18"/>
                <w:szCs w:val="18"/>
              </w:rPr>
              <w:t xml:space="preserve">Indicator 2.4: </w:t>
            </w:r>
            <w:r w:rsidRPr="002805B6">
              <w:rPr>
                <w:bCs/>
                <w:sz w:val="18"/>
                <w:szCs w:val="18"/>
              </w:rPr>
              <w:t>Women underemployment rate</w:t>
            </w:r>
          </w:p>
          <w:p w14:paraId="2E9C0A9C" w14:textId="77777777" w:rsidR="00B24E2F" w:rsidRPr="002805B6" w:rsidRDefault="00B24E2F" w:rsidP="005A2DBF">
            <w:pPr>
              <w:rPr>
                <w:b/>
                <w:bCs/>
                <w:sz w:val="18"/>
                <w:szCs w:val="18"/>
              </w:rPr>
            </w:pPr>
            <w:r w:rsidRPr="002805B6">
              <w:rPr>
                <w:b/>
                <w:bCs/>
                <w:sz w:val="18"/>
                <w:szCs w:val="18"/>
              </w:rPr>
              <w:t>Baseline (2015): 24,1%</w:t>
            </w:r>
          </w:p>
          <w:p w14:paraId="334FD086" w14:textId="77777777" w:rsidR="00B24E2F" w:rsidRPr="002805B6" w:rsidRDefault="00B24E2F" w:rsidP="005A2DBF">
            <w:pPr>
              <w:rPr>
                <w:b/>
                <w:bCs/>
                <w:sz w:val="18"/>
                <w:szCs w:val="18"/>
              </w:rPr>
            </w:pPr>
            <w:r w:rsidRPr="002805B6">
              <w:rPr>
                <w:b/>
                <w:bCs/>
                <w:sz w:val="18"/>
                <w:szCs w:val="18"/>
              </w:rPr>
              <w:t>Target (2022): 18,1%</w:t>
            </w:r>
          </w:p>
          <w:p w14:paraId="17FF73F5" w14:textId="77777777" w:rsidR="00B24E2F" w:rsidRPr="002805B6" w:rsidRDefault="00B24E2F" w:rsidP="005A2DBF">
            <w:pPr>
              <w:rPr>
                <w:b/>
                <w:bCs/>
                <w:sz w:val="18"/>
                <w:szCs w:val="18"/>
              </w:rPr>
            </w:pPr>
          </w:p>
          <w:p w14:paraId="3E103839" w14:textId="77777777" w:rsidR="00B24E2F" w:rsidRPr="002805B6" w:rsidRDefault="00B24E2F" w:rsidP="005A2DBF">
            <w:pPr>
              <w:jc w:val="both"/>
              <w:rPr>
                <w:bCs/>
                <w:snapToGrid/>
                <w:sz w:val="18"/>
                <w:szCs w:val="18"/>
                <w:lang w:val="en-GB" w:eastAsia="en-US"/>
              </w:rPr>
            </w:pPr>
          </w:p>
        </w:tc>
        <w:tc>
          <w:tcPr>
            <w:tcW w:w="897" w:type="pct"/>
            <w:vMerge w:val="restart"/>
          </w:tcPr>
          <w:p w14:paraId="0F49C1B8" w14:textId="77777777" w:rsidR="00B24E2F" w:rsidRPr="00733246" w:rsidRDefault="00B24E2F" w:rsidP="005A2DBF">
            <w:pPr>
              <w:rPr>
                <w:sz w:val="18"/>
                <w:szCs w:val="18"/>
              </w:rPr>
            </w:pPr>
            <w:r w:rsidRPr="00733246">
              <w:rPr>
                <w:sz w:val="18"/>
                <w:szCs w:val="18"/>
              </w:rPr>
              <w:t>Health map report, Ministry of Health, annually</w:t>
            </w:r>
          </w:p>
          <w:p w14:paraId="1B996F9C" w14:textId="77777777" w:rsidR="00B24E2F" w:rsidRPr="00733246" w:rsidRDefault="00B24E2F" w:rsidP="005A2DBF">
            <w:pPr>
              <w:rPr>
                <w:sz w:val="18"/>
                <w:szCs w:val="18"/>
              </w:rPr>
            </w:pPr>
          </w:p>
          <w:p w14:paraId="685B7D40" w14:textId="77777777" w:rsidR="00B24E2F" w:rsidRPr="00733246" w:rsidRDefault="00B24E2F" w:rsidP="005A2DBF">
            <w:pPr>
              <w:rPr>
                <w:sz w:val="18"/>
                <w:szCs w:val="18"/>
              </w:rPr>
            </w:pPr>
          </w:p>
          <w:p w14:paraId="18E0E854" w14:textId="77777777" w:rsidR="00B24E2F" w:rsidRPr="00733246" w:rsidRDefault="00B24E2F" w:rsidP="005A2DBF">
            <w:pPr>
              <w:rPr>
                <w:sz w:val="18"/>
                <w:szCs w:val="18"/>
              </w:rPr>
            </w:pPr>
          </w:p>
          <w:p w14:paraId="073D9D76" w14:textId="77777777" w:rsidR="00B24E2F" w:rsidRPr="00733246" w:rsidRDefault="00B24E2F" w:rsidP="005A2DBF">
            <w:pPr>
              <w:rPr>
                <w:sz w:val="18"/>
                <w:szCs w:val="18"/>
              </w:rPr>
            </w:pPr>
          </w:p>
          <w:p w14:paraId="61CE5B28" w14:textId="57373470" w:rsidR="00B24E2F" w:rsidRPr="00733246" w:rsidRDefault="00C92473" w:rsidP="005A2DBF">
            <w:pPr>
              <w:rPr>
                <w:sz w:val="18"/>
                <w:szCs w:val="18"/>
              </w:rPr>
            </w:pPr>
            <w:r>
              <w:rPr>
                <w:sz w:val="18"/>
                <w:szCs w:val="18"/>
              </w:rPr>
              <w:t>Multiple Indicator Cluster S</w:t>
            </w:r>
            <w:r w:rsidR="00B24E2F" w:rsidRPr="00733246">
              <w:rPr>
                <w:sz w:val="18"/>
                <w:szCs w:val="18"/>
              </w:rPr>
              <w:t>urvey</w:t>
            </w:r>
            <w:r w:rsidR="000E26E2">
              <w:rPr>
                <w:sz w:val="18"/>
                <w:szCs w:val="18"/>
              </w:rPr>
              <w:t xml:space="preserve"> (MICS)</w:t>
            </w:r>
            <w:r w:rsidR="00B24E2F" w:rsidRPr="00733246">
              <w:rPr>
                <w:sz w:val="18"/>
                <w:szCs w:val="18"/>
              </w:rPr>
              <w:t>, INSEED, Every 3 years</w:t>
            </w:r>
          </w:p>
          <w:p w14:paraId="448BFC93" w14:textId="77777777" w:rsidR="00B24E2F" w:rsidRPr="00733246" w:rsidRDefault="00B24E2F" w:rsidP="005A2DBF">
            <w:pPr>
              <w:rPr>
                <w:sz w:val="18"/>
                <w:szCs w:val="18"/>
              </w:rPr>
            </w:pPr>
          </w:p>
          <w:p w14:paraId="49657496" w14:textId="77777777" w:rsidR="00B24E2F" w:rsidRPr="00733246" w:rsidRDefault="00B24E2F" w:rsidP="005A2DBF">
            <w:pPr>
              <w:rPr>
                <w:sz w:val="18"/>
                <w:szCs w:val="18"/>
              </w:rPr>
            </w:pPr>
          </w:p>
          <w:p w14:paraId="54366885" w14:textId="77777777" w:rsidR="00B24E2F" w:rsidRPr="00733246" w:rsidRDefault="00B24E2F" w:rsidP="005A2DBF">
            <w:pPr>
              <w:rPr>
                <w:sz w:val="18"/>
                <w:szCs w:val="18"/>
              </w:rPr>
            </w:pPr>
          </w:p>
          <w:p w14:paraId="4654A1D7" w14:textId="77777777" w:rsidR="00B24E2F" w:rsidRPr="00733246" w:rsidRDefault="00B24E2F" w:rsidP="005A2DBF">
            <w:pPr>
              <w:rPr>
                <w:sz w:val="18"/>
                <w:szCs w:val="18"/>
              </w:rPr>
            </w:pPr>
          </w:p>
          <w:p w14:paraId="37D181AF" w14:textId="7BE39762" w:rsidR="00B24E2F" w:rsidRPr="00733246" w:rsidRDefault="00B24E2F" w:rsidP="005A2DBF">
            <w:pPr>
              <w:rPr>
                <w:sz w:val="18"/>
                <w:szCs w:val="18"/>
              </w:rPr>
            </w:pPr>
            <w:r w:rsidRPr="00733246">
              <w:rPr>
                <w:sz w:val="18"/>
                <w:szCs w:val="18"/>
              </w:rPr>
              <w:t>MICS, INSEED, Every 3 years</w:t>
            </w:r>
          </w:p>
          <w:p w14:paraId="7B68E279" w14:textId="77777777" w:rsidR="00B24E2F" w:rsidRPr="00733246" w:rsidRDefault="00B24E2F" w:rsidP="005A2DBF">
            <w:pPr>
              <w:rPr>
                <w:sz w:val="18"/>
                <w:szCs w:val="18"/>
              </w:rPr>
            </w:pPr>
          </w:p>
          <w:p w14:paraId="01C53C3D" w14:textId="77777777" w:rsidR="00B24E2F" w:rsidRPr="00733246" w:rsidRDefault="00B24E2F" w:rsidP="005A2DBF">
            <w:pPr>
              <w:rPr>
                <w:sz w:val="18"/>
                <w:szCs w:val="18"/>
              </w:rPr>
            </w:pPr>
          </w:p>
          <w:p w14:paraId="06A4A271" w14:textId="77777777" w:rsidR="00B24E2F" w:rsidRPr="00733246" w:rsidRDefault="00B24E2F" w:rsidP="005A2DBF">
            <w:pPr>
              <w:rPr>
                <w:sz w:val="18"/>
                <w:szCs w:val="18"/>
              </w:rPr>
            </w:pPr>
          </w:p>
          <w:p w14:paraId="74F877F5" w14:textId="77777777" w:rsidR="00B24E2F" w:rsidRPr="00733246" w:rsidRDefault="00B24E2F" w:rsidP="005A2DBF">
            <w:pPr>
              <w:rPr>
                <w:sz w:val="18"/>
                <w:szCs w:val="18"/>
              </w:rPr>
            </w:pPr>
          </w:p>
          <w:p w14:paraId="7B1ED798" w14:textId="77777777" w:rsidR="00B24E2F" w:rsidRPr="00733246" w:rsidRDefault="00B24E2F" w:rsidP="005A2DBF">
            <w:pPr>
              <w:rPr>
                <w:sz w:val="18"/>
                <w:szCs w:val="18"/>
              </w:rPr>
            </w:pPr>
            <w:r w:rsidRPr="00733246">
              <w:rPr>
                <w:sz w:val="18"/>
                <w:szCs w:val="18"/>
              </w:rPr>
              <w:t>QUIBB, INSEED</w:t>
            </w:r>
          </w:p>
          <w:p w14:paraId="6941DEF9" w14:textId="77777777" w:rsidR="00B24E2F" w:rsidRPr="00733246" w:rsidRDefault="00B24E2F" w:rsidP="005A2DBF">
            <w:pPr>
              <w:rPr>
                <w:sz w:val="18"/>
                <w:szCs w:val="18"/>
              </w:rPr>
            </w:pPr>
            <w:r w:rsidRPr="00733246">
              <w:rPr>
                <w:sz w:val="18"/>
                <w:szCs w:val="18"/>
              </w:rPr>
              <w:t>Every 3 years</w:t>
            </w:r>
          </w:p>
          <w:p w14:paraId="1F13E0EF" w14:textId="77777777" w:rsidR="00B24E2F" w:rsidRPr="00733246" w:rsidRDefault="00B24E2F" w:rsidP="005A2DBF">
            <w:pPr>
              <w:rPr>
                <w:sz w:val="18"/>
                <w:szCs w:val="18"/>
              </w:rPr>
            </w:pPr>
          </w:p>
          <w:p w14:paraId="58A8E892" w14:textId="77777777" w:rsidR="00B24E2F" w:rsidRPr="00733246" w:rsidRDefault="00B24E2F" w:rsidP="005A2DBF">
            <w:pPr>
              <w:rPr>
                <w:sz w:val="18"/>
                <w:szCs w:val="18"/>
              </w:rPr>
            </w:pPr>
          </w:p>
          <w:p w14:paraId="62EF0845" w14:textId="77777777" w:rsidR="00B24E2F" w:rsidRPr="00733246" w:rsidRDefault="00B24E2F" w:rsidP="005A2DBF">
            <w:pPr>
              <w:rPr>
                <w:sz w:val="18"/>
                <w:szCs w:val="18"/>
              </w:rPr>
            </w:pPr>
          </w:p>
          <w:p w14:paraId="071D3A1A" w14:textId="77777777" w:rsidR="00B24E2F" w:rsidRPr="00733246" w:rsidRDefault="00B24E2F" w:rsidP="005A2DBF">
            <w:pPr>
              <w:rPr>
                <w:sz w:val="18"/>
                <w:szCs w:val="18"/>
              </w:rPr>
            </w:pPr>
            <w:r w:rsidRPr="00733246">
              <w:rPr>
                <w:sz w:val="18"/>
                <w:szCs w:val="18"/>
              </w:rPr>
              <w:t>QUIBB, INSEED</w:t>
            </w:r>
          </w:p>
          <w:p w14:paraId="074AB4AA" w14:textId="77777777" w:rsidR="00B24E2F" w:rsidRPr="00733246" w:rsidRDefault="00B24E2F" w:rsidP="005A2DBF">
            <w:pPr>
              <w:rPr>
                <w:sz w:val="18"/>
                <w:szCs w:val="18"/>
              </w:rPr>
            </w:pPr>
            <w:r w:rsidRPr="00733246">
              <w:rPr>
                <w:sz w:val="18"/>
                <w:szCs w:val="18"/>
              </w:rPr>
              <w:t>Every 3 years</w:t>
            </w:r>
            <w:r w:rsidRPr="00733246" w:rsidDel="00E34453">
              <w:rPr>
                <w:sz w:val="18"/>
                <w:szCs w:val="18"/>
              </w:rPr>
              <w:t xml:space="preserve"> </w:t>
            </w:r>
          </w:p>
          <w:p w14:paraId="5801A098" w14:textId="77777777" w:rsidR="00B24E2F" w:rsidRPr="00733246" w:rsidRDefault="00B24E2F" w:rsidP="005A2DBF">
            <w:pPr>
              <w:rPr>
                <w:iCs/>
                <w:snapToGrid/>
                <w:sz w:val="18"/>
                <w:szCs w:val="18"/>
                <w:lang w:val="en-GB" w:eastAsia="en-US"/>
              </w:rPr>
            </w:pPr>
          </w:p>
        </w:tc>
        <w:tc>
          <w:tcPr>
            <w:tcW w:w="1626" w:type="pct"/>
            <w:vMerge w:val="restart"/>
            <w:tcMar>
              <w:top w:w="72" w:type="dxa"/>
              <w:left w:w="144" w:type="dxa"/>
              <w:bottom w:w="72" w:type="dxa"/>
              <w:right w:w="144" w:type="dxa"/>
            </w:tcMar>
          </w:tcPr>
          <w:p w14:paraId="517AC1F5" w14:textId="7ABF8A20" w:rsidR="00B24E2F" w:rsidRPr="002805B6" w:rsidRDefault="00B24E2F" w:rsidP="005A2DBF">
            <w:pPr>
              <w:rPr>
                <w:i/>
                <w:sz w:val="18"/>
                <w:szCs w:val="18"/>
              </w:rPr>
            </w:pPr>
            <w:r w:rsidRPr="002805B6">
              <w:rPr>
                <w:b/>
                <w:sz w:val="18"/>
                <w:szCs w:val="18"/>
              </w:rPr>
              <w:t>Output 2.1:</w:t>
            </w:r>
            <w:r w:rsidRPr="002805B6">
              <w:rPr>
                <w:sz w:val="18"/>
                <w:szCs w:val="18"/>
              </w:rPr>
              <w:t xml:space="preserve"> </w:t>
            </w:r>
            <w:r w:rsidRPr="000807BB">
              <w:rPr>
                <w:sz w:val="18"/>
                <w:szCs w:val="18"/>
              </w:rPr>
              <w:t>Quality social basic services particularly health, education</w:t>
            </w:r>
            <w:r w:rsidR="000F1A65">
              <w:rPr>
                <w:sz w:val="18"/>
                <w:szCs w:val="18"/>
              </w:rPr>
              <w:t>,</w:t>
            </w:r>
            <w:r w:rsidRPr="000807BB">
              <w:rPr>
                <w:sz w:val="18"/>
                <w:szCs w:val="18"/>
              </w:rPr>
              <w:t xml:space="preserve"> water and sanitation are made available to </w:t>
            </w:r>
            <w:r w:rsidR="00F2166D" w:rsidRPr="002B712B">
              <w:rPr>
                <w:sz w:val="18"/>
                <w:szCs w:val="18"/>
              </w:rPr>
              <w:t>most vulnerable groups</w:t>
            </w:r>
          </w:p>
          <w:p w14:paraId="6D6FAC91" w14:textId="77777777" w:rsidR="00B24E2F" w:rsidRPr="002805B6" w:rsidRDefault="00B24E2F" w:rsidP="005A2DBF">
            <w:pPr>
              <w:rPr>
                <w:sz w:val="18"/>
                <w:szCs w:val="18"/>
              </w:rPr>
            </w:pPr>
          </w:p>
          <w:p w14:paraId="703C2B56" w14:textId="77777777" w:rsidR="00B24E2F" w:rsidRPr="002805B6" w:rsidRDefault="00B24E2F" w:rsidP="005A2DBF">
            <w:pPr>
              <w:rPr>
                <w:sz w:val="18"/>
                <w:szCs w:val="18"/>
              </w:rPr>
            </w:pPr>
            <w:r w:rsidRPr="002805B6">
              <w:rPr>
                <w:b/>
                <w:sz w:val="18"/>
                <w:szCs w:val="18"/>
              </w:rPr>
              <w:t>Indicator 2.1.1</w:t>
            </w:r>
            <w:r w:rsidRPr="002805B6">
              <w:rPr>
                <w:sz w:val="18"/>
                <w:szCs w:val="18"/>
              </w:rPr>
              <w:t xml:space="preserve"> Number of </w:t>
            </w:r>
            <w:r w:rsidR="00BD1DA8" w:rsidRPr="002805B6">
              <w:rPr>
                <w:sz w:val="18"/>
                <w:szCs w:val="18"/>
              </w:rPr>
              <w:t xml:space="preserve">UNDP-supported </w:t>
            </w:r>
            <w:r w:rsidR="00290449" w:rsidRPr="002805B6">
              <w:rPr>
                <w:sz w:val="18"/>
                <w:szCs w:val="18"/>
              </w:rPr>
              <w:t xml:space="preserve">accessible </w:t>
            </w:r>
            <w:r w:rsidR="00FF43D9" w:rsidRPr="002805B6">
              <w:rPr>
                <w:sz w:val="18"/>
                <w:szCs w:val="18"/>
              </w:rPr>
              <w:t xml:space="preserve">infrastructures </w:t>
            </w:r>
            <w:r w:rsidR="00290449" w:rsidRPr="002805B6">
              <w:rPr>
                <w:sz w:val="18"/>
                <w:szCs w:val="18"/>
              </w:rPr>
              <w:t>in</w:t>
            </w:r>
            <w:r w:rsidR="00066522" w:rsidRPr="002805B6">
              <w:rPr>
                <w:sz w:val="18"/>
                <w:szCs w:val="18"/>
              </w:rPr>
              <w:t xml:space="preserve"> </w:t>
            </w:r>
            <w:r w:rsidR="00FF43D9" w:rsidRPr="002805B6">
              <w:rPr>
                <w:sz w:val="18"/>
                <w:szCs w:val="18"/>
              </w:rPr>
              <w:t xml:space="preserve">a) </w:t>
            </w:r>
            <w:r w:rsidRPr="002805B6">
              <w:rPr>
                <w:sz w:val="18"/>
                <w:szCs w:val="18"/>
              </w:rPr>
              <w:t>health</w:t>
            </w:r>
            <w:r w:rsidR="00FF43D9" w:rsidRPr="002805B6">
              <w:rPr>
                <w:sz w:val="18"/>
                <w:szCs w:val="18"/>
              </w:rPr>
              <w:t xml:space="preserve">; b) education; c) water </w:t>
            </w:r>
            <w:r w:rsidR="00A74F29" w:rsidRPr="002805B6">
              <w:rPr>
                <w:sz w:val="18"/>
                <w:szCs w:val="18"/>
              </w:rPr>
              <w:t>sectors</w:t>
            </w:r>
          </w:p>
          <w:p w14:paraId="4F577B67" w14:textId="24A680C3" w:rsidR="00B24E2F" w:rsidRPr="002805B6" w:rsidRDefault="00B24E2F" w:rsidP="005A2DBF">
            <w:pPr>
              <w:rPr>
                <w:sz w:val="18"/>
                <w:szCs w:val="18"/>
              </w:rPr>
            </w:pPr>
            <w:r w:rsidRPr="002805B6">
              <w:rPr>
                <w:b/>
                <w:bCs/>
                <w:iCs/>
                <w:sz w:val="18"/>
                <w:szCs w:val="18"/>
              </w:rPr>
              <w:t>Baseline</w:t>
            </w:r>
            <w:r w:rsidRPr="002805B6">
              <w:rPr>
                <w:bCs/>
                <w:iCs/>
                <w:sz w:val="18"/>
                <w:szCs w:val="18"/>
              </w:rPr>
              <w:t xml:space="preserve"> </w:t>
            </w:r>
            <w:r w:rsidRPr="002805B6">
              <w:rPr>
                <w:sz w:val="18"/>
                <w:szCs w:val="18"/>
              </w:rPr>
              <w:t xml:space="preserve">(2016): </w:t>
            </w:r>
            <w:r w:rsidR="00F80706">
              <w:rPr>
                <w:sz w:val="18"/>
                <w:szCs w:val="18"/>
              </w:rPr>
              <w:t>(</w:t>
            </w:r>
            <w:r w:rsidR="00066522" w:rsidRPr="002805B6">
              <w:rPr>
                <w:sz w:val="18"/>
                <w:szCs w:val="18"/>
              </w:rPr>
              <w:t xml:space="preserve">a) </w:t>
            </w:r>
            <w:r w:rsidRPr="002805B6">
              <w:rPr>
                <w:sz w:val="18"/>
                <w:szCs w:val="18"/>
              </w:rPr>
              <w:t>26</w:t>
            </w:r>
            <w:r w:rsidR="00066522" w:rsidRPr="002805B6">
              <w:rPr>
                <w:sz w:val="18"/>
                <w:szCs w:val="18"/>
              </w:rPr>
              <w:t xml:space="preserve">; </w:t>
            </w:r>
            <w:r w:rsidR="00F80706">
              <w:rPr>
                <w:sz w:val="18"/>
                <w:szCs w:val="18"/>
              </w:rPr>
              <w:t>(</w:t>
            </w:r>
            <w:r w:rsidR="00066522" w:rsidRPr="002805B6">
              <w:rPr>
                <w:sz w:val="18"/>
                <w:szCs w:val="18"/>
              </w:rPr>
              <w:t xml:space="preserve">b) 64; </w:t>
            </w:r>
            <w:r w:rsidR="00F80706">
              <w:rPr>
                <w:sz w:val="18"/>
                <w:szCs w:val="18"/>
              </w:rPr>
              <w:t>(</w:t>
            </w:r>
            <w:r w:rsidR="00066522" w:rsidRPr="002805B6">
              <w:rPr>
                <w:sz w:val="18"/>
                <w:szCs w:val="18"/>
              </w:rPr>
              <w:t>c) 0</w:t>
            </w:r>
          </w:p>
          <w:p w14:paraId="6A25ED51" w14:textId="154C37EF" w:rsidR="00B24E2F" w:rsidRPr="002805B6" w:rsidRDefault="00B24E2F" w:rsidP="005A2DBF">
            <w:pPr>
              <w:rPr>
                <w:sz w:val="18"/>
                <w:szCs w:val="18"/>
              </w:rPr>
            </w:pPr>
            <w:r w:rsidRPr="002805B6">
              <w:rPr>
                <w:b/>
                <w:sz w:val="18"/>
                <w:szCs w:val="18"/>
              </w:rPr>
              <w:t>Target:</w:t>
            </w:r>
            <w:r w:rsidRPr="002805B6">
              <w:rPr>
                <w:sz w:val="18"/>
                <w:szCs w:val="18"/>
              </w:rPr>
              <w:t xml:space="preserve"> </w:t>
            </w:r>
            <w:r w:rsidR="00F80706">
              <w:rPr>
                <w:sz w:val="18"/>
                <w:szCs w:val="18"/>
              </w:rPr>
              <w:t>(</w:t>
            </w:r>
            <w:r w:rsidR="00066522" w:rsidRPr="002805B6">
              <w:rPr>
                <w:sz w:val="18"/>
                <w:szCs w:val="18"/>
              </w:rPr>
              <w:t>a)</w:t>
            </w:r>
            <w:r w:rsidRPr="002805B6">
              <w:rPr>
                <w:sz w:val="18"/>
                <w:szCs w:val="18"/>
              </w:rPr>
              <w:t>76</w:t>
            </w:r>
            <w:r w:rsidR="00066522" w:rsidRPr="002805B6">
              <w:rPr>
                <w:sz w:val="18"/>
                <w:szCs w:val="18"/>
              </w:rPr>
              <w:t xml:space="preserve">; </w:t>
            </w:r>
            <w:r w:rsidR="00F80706">
              <w:rPr>
                <w:sz w:val="18"/>
                <w:szCs w:val="18"/>
              </w:rPr>
              <w:t>(</w:t>
            </w:r>
            <w:r w:rsidR="00066522" w:rsidRPr="002805B6">
              <w:rPr>
                <w:sz w:val="18"/>
                <w:szCs w:val="18"/>
              </w:rPr>
              <w:t xml:space="preserve">b) 697; </w:t>
            </w:r>
            <w:r w:rsidR="00F80706">
              <w:rPr>
                <w:sz w:val="18"/>
                <w:szCs w:val="18"/>
              </w:rPr>
              <w:t>(</w:t>
            </w:r>
            <w:r w:rsidR="00066522" w:rsidRPr="002805B6">
              <w:rPr>
                <w:sz w:val="18"/>
                <w:szCs w:val="18"/>
              </w:rPr>
              <w:t>c)1</w:t>
            </w:r>
            <w:r w:rsidR="00F80706">
              <w:rPr>
                <w:sz w:val="18"/>
                <w:szCs w:val="18"/>
              </w:rPr>
              <w:t>,</w:t>
            </w:r>
            <w:r w:rsidR="00066522" w:rsidRPr="002805B6">
              <w:rPr>
                <w:sz w:val="18"/>
                <w:szCs w:val="18"/>
              </w:rPr>
              <w:t>700</w:t>
            </w:r>
          </w:p>
          <w:p w14:paraId="4C0E2088" w14:textId="47DD6234" w:rsidR="00B24E2F" w:rsidRPr="002805B6" w:rsidRDefault="00575E6A" w:rsidP="005A2DBF">
            <w:pPr>
              <w:rPr>
                <w:sz w:val="18"/>
                <w:szCs w:val="18"/>
              </w:rPr>
            </w:pPr>
            <w:r>
              <w:rPr>
                <w:b/>
                <w:sz w:val="18"/>
                <w:szCs w:val="18"/>
              </w:rPr>
              <w:t>Data s</w:t>
            </w:r>
            <w:r w:rsidR="00B24E2F" w:rsidRPr="002805B6">
              <w:rPr>
                <w:b/>
                <w:sz w:val="18"/>
                <w:szCs w:val="18"/>
              </w:rPr>
              <w:t xml:space="preserve">ource: </w:t>
            </w:r>
            <w:r w:rsidR="00B24E2F" w:rsidRPr="002805B6">
              <w:rPr>
                <w:sz w:val="18"/>
                <w:szCs w:val="18"/>
              </w:rPr>
              <w:t>PUDC Technical committee annual report</w:t>
            </w:r>
            <w:r w:rsidR="000D79E4" w:rsidRPr="002805B6">
              <w:rPr>
                <w:sz w:val="18"/>
                <w:szCs w:val="18"/>
              </w:rPr>
              <w:t xml:space="preserve"> </w:t>
            </w:r>
          </w:p>
          <w:p w14:paraId="5502CEA8" w14:textId="77777777" w:rsidR="00B24E2F" w:rsidRPr="002805B6" w:rsidRDefault="00B24E2F" w:rsidP="005A2DBF">
            <w:pPr>
              <w:rPr>
                <w:sz w:val="18"/>
                <w:szCs w:val="18"/>
              </w:rPr>
            </w:pPr>
          </w:p>
          <w:p w14:paraId="67BEE749" w14:textId="7E0CBDCA" w:rsidR="00B24E2F" w:rsidRPr="002805B6" w:rsidRDefault="00B24E2F" w:rsidP="005A2DBF">
            <w:pPr>
              <w:rPr>
                <w:sz w:val="18"/>
                <w:szCs w:val="18"/>
              </w:rPr>
            </w:pPr>
            <w:r w:rsidRPr="002805B6">
              <w:rPr>
                <w:b/>
                <w:sz w:val="18"/>
                <w:szCs w:val="18"/>
              </w:rPr>
              <w:t>Indicator 2.1.4.</w:t>
            </w:r>
            <w:r w:rsidRPr="002805B6">
              <w:rPr>
                <w:sz w:val="18"/>
                <w:szCs w:val="18"/>
              </w:rPr>
              <w:t xml:space="preserve"> Number of </w:t>
            </w:r>
            <w:r w:rsidR="00BD1DA8" w:rsidRPr="002805B6">
              <w:rPr>
                <w:sz w:val="18"/>
                <w:szCs w:val="18"/>
              </w:rPr>
              <w:t xml:space="preserve">UNDP-supported </w:t>
            </w:r>
            <w:r w:rsidRPr="002805B6">
              <w:rPr>
                <w:sz w:val="18"/>
                <w:szCs w:val="18"/>
              </w:rPr>
              <w:t xml:space="preserve">villages benefiting from </w:t>
            </w:r>
            <w:r w:rsidR="00F80706">
              <w:rPr>
                <w:sz w:val="18"/>
                <w:szCs w:val="18"/>
              </w:rPr>
              <w:t>(</w:t>
            </w:r>
            <w:r w:rsidR="00066522" w:rsidRPr="002805B6">
              <w:rPr>
                <w:sz w:val="18"/>
                <w:szCs w:val="18"/>
              </w:rPr>
              <w:t xml:space="preserve">a) </w:t>
            </w:r>
            <w:r w:rsidRPr="002805B6">
              <w:rPr>
                <w:sz w:val="18"/>
                <w:szCs w:val="18"/>
              </w:rPr>
              <w:t>solar street light</w:t>
            </w:r>
            <w:r w:rsidR="00781142" w:rsidRPr="002805B6">
              <w:rPr>
                <w:sz w:val="18"/>
                <w:szCs w:val="18"/>
              </w:rPr>
              <w:t>s</w:t>
            </w:r>
            <w:r w:rsidR="00066522" w:rsidRPr="002805B6">
              <w:rPr>
                <w:sz w:val="18"/>
                <w:szCs w:val="18"/>
              </w:rPr>
              <w:t xml:space="preserve">; </w:t>
            </w:r>
            <w:r w:rsidR="00F80706">
              <w:rPr>
                <w:sz w:val="18"/>
                <w:szCs w:val="18"/>
              </w:rPr>
              <w:t>(</w:t>
            </w:r>
            <w:r w:rsidR="00066522" w:rsidRPr="002805B6">
              <w:rPr>
                <w:sz w:val="18"/>
                <w:szCs w:val="18"/>
              </w:rPr>
              <w:t>b)</w:t>
            </w:r>
            <w:r w:rsidR="00781142" w:rsidRPr="002805B6">
              <w:rPr>
                <w:sz w:val="18"/>
                <w:szCs w:val="18"/>
              </w:rPr>
              <w:t xml:space="preserve"> </w:t>
            </w:r>
            <w:r w:rsidR="00066522" w:rsidRPr="002805B6">
              <w:rPr>
                <w:sz w:val="18"/>
                <w:szCs w:val="18"/>
              </w:rPr>
              <w:t>multifunctional community platforms</w:t>
            </w:r>
          </w:p>
          <w:p w14:paraId="21BBB6B6" w14:textId="49D9F8B3" w:rsidR="00B24E2F" w:rsidRPr="002805B6" w:rsidRDefault="00B24E2F" w:rsidP="005A2DBF">
            <w:pPr>
              <w:rPr>
                <w:sz w:val="18"/>
                <w:szCs w:val="18"/>
              </w:rPr>
            </w:pPr>
            <w:r w:rsidRPr="002805B6">
              <w:rPr>
                <w:b/>
                <w:bCs/>
                <w:iCs/>
                <w:sz w:val="18"/>
                <w:szCs w:val="18"/>
              </w:rPr>
              <w:t>Baseline</w:t>
            </w:r>
            <w:r w:rsidRPr="002805B6">
              <w:rPr>
                <w:bCs/>
                <w:iCs/>
                <w:sz w:val="18"/>
                <w:szCs w:val="18"/>
              </w:rPr>
              <w:t xml:space="preserve"> </w:t>
            </w:r>
            <w:r w:rsidRPr="002805B6">
              <w:rPr>
                <w:sz w:val="18"/>
                <w:szCs w:val="18"/>
              </w:rPr>
              <w:t xml:space="preserve">(2016): </w:t>
            </w:r>
            <w:r w:rsidR="00F80706">
              <w:rPr>
                <w:sz w:val="18"/>
                <w:szCs w:val="18"/>
              </w:rPr>
              <w:t>(</w:t>
            </w:r>
            <w:r w:rsidR="00066522" w:rsidRPr="002805B6">
              <w:rPr>
                <w:sz w:val="18"/>
                <w:szCs w:val="18"/>
              </w:rPr>
              <w:t xml:space="preserve">a) </w:t>
            </w:r>
            <w:r w:rsidRPr="002805B6">
              <w:rPr>
                <w:sz w:val="18"/>
                <w:szCs w:val="18"/>
              </w:rPr>
              <w:t>0</w:t>
            </w:r>
            <w:r w:rsidR="00F80706">
              <w:rPr>
                <w:sz w:val="18"/>
                <w:szCs w:val="18"/>
              </w:rPr>
              <w:t>;</w:t>
            </w:r>
            <w:r w:rsidR="00066522" w:rsidRPr="002805B6">
              <w:rPr>
                <w:sz w:val="18"/>
                <w:szCs w:val="18"/>
              </w:rPr>
              <w:t xml:space="preserve"> </w:t>
            </w:r>
            <w:r w:rsidR="00F80706">
              <w:rPr>
                <w:sz w:val="18"/>
                <w:szCs w:val="18"/>
              </w:rPr>
              <w:t>(</w:t>
            </w:r>
            <w:r w:rsidR="00066522" w:rsidRPr="002805B6">
              <w:rPr>
                <w:sz w:val="18"/>
                <w:szCs w:val="18"/>
              </w:rPr>
              <w:t>b) 36</w:t>
            </w:r>
          </w:p>
          <w:p w14:paraId="395D19C4" w14:textId="2084C79F" w:rsidR="00B24E2F" w:rsidRPr="002805B6" w:rsidRDefault="00B24E2F" w:rsidP="005A2DBF">
            <w:pPr>
              <w:rPr>
                <w:sz w:val="18"/>
                <w:szCs w:val="18"/>
              </w:rPr>
            </w:pPr>
            <w:r w:rsidRPr="002805B6">
              <w:rPr>
                <w:b/>
                <w:sz w:val="18"/>
                <w:szCs w:val="18"/>
              </w:rPr>
              <w:t>Target:</w:t>
            </w:r>
            <w:r w:rsidRPr="002805B6">
              <w:rPr>
                <w:sz w:val="18"/>
                <w:szCs w:val="18"/>
              </w:rPr>
              <w:t xml:space="preserve"> </w:t>
            </w:r>
            <w:r w:rsidR="00F80706">
              <w:rPr>
                <w:sz w:val="18"/>
                <w:szCs w:val="18"/>
              </w:rPr>
              <w:t>(</w:t>
            </w:r>
            <w:r w:rsidR="00066522" w:rsidRPr="002805B6">
              <w:rPr>
                <w:sz w:val="18"/>
                <w:szCs w:val="18"/>
              </w:rPr>
              <w:t xml:space="preserve">a) </w:t>
            </w:r>
            <w:r w:rsidRPr="002805B6">
              <w:rPr>
                <w:sz w:val="18"/>
                <w:szCs w:val="18"/>
              </w:rPr>
              <w:t>200</w:t>
            </w:r>
            <w:r w:rsidR="00066522" w:rsidRPr="002805B6">
              <w:rPr>
                <w:sz w:val="18"/>
                <w:szCs w:val="18"/>
              </w:rPr>
              <w:t xml:space="preserve">; </w:t>
            </w:r>
            <w:r w:rsidR="00F80706">
              <w:rPr>
                <w:sz w:val="18"/>
                <w:szCs w:val="18"/>
              </w:rPr>
              <w:t>(</w:t>
            </w:r>
            <w:r w:rsidR="00066522" w:rsidRPr="002805B6">
              <w:rPr>
                <w:sz w:val="18"/>
                <w:szCs w:val="18"/>
              </w:rPr>
              <w:t>b) 76</w:t>
            </w:r>
          </w:p>
          <w:p w14:paraId="7D071841" w14:textId="37872D8A" w:rsidR="00F80706" w:rsidRPr="002805B6" w:rsidRDefault="00575E6A" w:rsidP="00F80706">
            <w:pPr>
              <w:rPr>
                <w:sz w:val="18"/>
                <w:szCs w:val="18"/>
              </w:rPr>
            </w:pPr>
            <w:r>
              <w:rPr>
                <w:b/>
                <w:sz w:val="18"/>
                <w:szCs w:val="18"/>
              </w:rPr>
              <w:t>D</w:t>
            </w:r>
            <w:r w:rsidR="00B24E2F" w:rsidRPr="002805B6">
              <w:rPr>
                <w:b/>
                <w:sz w:val="18"/>
                <w:szCs w:val="18"/>
              </w:rPr>
              <w:t>ata</w:t>
            </w:r>
            <w:r>
              <w:rPr>
                <w:b/>
                <w:sz w:val="18"/>
                <w:szCs w:val="18"/>
              </w:rPr>
              <w:t xml:space="preserve"> source</w:t>
            </w:r>
            <w:r w:rsidR="00B24E2F" w:rsidRPr="002805B6">
              <w:rPr>
                <w:b/>
                <w:sz w:val="18"/>
                <w:szCs w:val="18"/>
              </w:rPr>
              <w:t>:</w:t>
            </w:r>
            <w:r w:rsidR="00B24E2F" w:rsidRPr="002805B6">
              <w:rPr>
                <w:sz w:val="18"/>
                <w:szCs w:val="18"/>
              </w:rPr>
              <w:t xml:space="preserve"> PUDC </w:t>
            </w:r>
            <w:r w:rsidR="00F80706" w:rsidRPr="002805B6">
              <w:rPr>
                <w:sz w:val="18"/>
                <w:szCs w:val="18"/>
              </w:rPr>
              <w:t xml:space="preserve">Technical committee annual report </w:t>
            </w:r>
          </w:p>
          <w:p w14:paraId="2AB94A0C" w14:textId="77777777" w:rsidR="00B24E2F" w:rsidRPr="00385932" w:rsidRDefault="00B24E2F" w:rsidP="005A2DBF">
            <w:pPr>
              <w:rPr>
                <w:sz w:val="18"/>
                <w:szCs w:val="18"/>
              </w:rPr>
            </w:pPr>
          </w:p>
          <w:p w14:paraId="215A8774" w14:textId="77777777" w:rsidR="00B24E2F" w:rsidRPr="002805B6" w:rsidRDefault="00B24E2F" w:rsidP="005A2DBF">
            <w:pPr>
              <w:rPr>
                <w:sz w:val="18"/>
                <w:szCs w:val="18"/>
              </w:rPr>
            </w:pPr>
            <w:r w:rsidRPr="002805B6">
              <w:rPr>
                <w:b/>
                <w:sz w:val="18"/>
                <w:szCs w:val="18"/>
              </w:rPr>
              <w:t>Indicator 2.1.6.</w:t>
            </w:r>
            <w:r w:rsidRPr="002805B6">
              <w:rPr>
                <w:sz w:val="18"/>
                <w:szCs w:val="18"/>
              </w:rPr>
              <w:t xml:space="preserve"> Number of people </w:t>
            </w:r>
            <w:r w:rsidR="00EA1361" w:rsidRPr="002805B6">
              <w:rPr>
                <w:sz w:val="18"/>
                <w:szCs w:val="18"/>
              </w:rPr>
              <w:t>living in</w:t>
            </w:r>
            <w:r w:rsidR="00085CC6" w:rsidRPr="002805B6">
              <w:rPr>
                <w:sz w:val="18"/>
                <w:szCs w:val="18"/>
              </w:rPr>
              <w:t xml:space="preserve"> </w:t>
            </w:r>
            <w:r w:rsidR="00462C18" w:rsidRPr="002805B6">
              <w:rPr>
                <w:sz w:val="18"/>
                <w:szCs w:val="18"/>
              </w:rPr>
              <w:t>newly disenclaved areas</w:t>
            </w:r>
            <w:r w:rsidRPr="002805B6">
              <w:rPr>
                <w:sz w:val="18"/>
                <w:szCs w:val="18"/>
              </w:rPr>
              <w:t xml:space="preserve"> </w:t>
            </w:r>
          </w:p>
          <w:p w14:paraId="290B1F7F" w14:textId="77777777" w:rsidR="00B24E2F" w:rsidRPr="002805B6" w:rsidRDefault="00B24E2F" w:rsidP="005A2DBF">
            <w:pPr>
              <w:rPr>
                <w:sz w:val="18"/>
                <w:szCs w:val="18"/>
              </w:rPr>
            </w:pPr>
            <w:r w:rsidRPr="002805B6">
              <w:rPr>
                <w:b/>
                <w:bCs/>
                <w:iCs/>
                <w:sz w:val="18"/>
                <w:szCs w:val="18"/>
              </w:rPr>
              <w:t>Baseline</w:t>
            </w:r>
            <w:r w:rsidRPr="002805B6">
              <w:rPr>
                <w:bCs/>
                <w:iCs/>
                <w:sz w:val="18"/>
                <w:szCs w:val="18"/>
              </w:rPr>
              <w:t xml:space="preserve"> </w:t>
            </w:r>
            <w:r w:rsidR="0060645B" w:rsidRPr="002805B6">
              <w:rPr>
                <w:sz w:val="18"/>
                <w:szCs w:val="18"/>
              </w:rPr>
              <w:t>(2017): 250 000</w:t>
            </w:r>
          </w:p>
          <w:p w14:paraId="2AC40103" w14:textId="514133AF" w:rsidR="00B24E2F" w:rsidRPr="002805B6" w:rsidRDefault="00B24E2F" w:rsidP="005A2DBF">
            <w:pPr>
              <w:rPr>
                <w:sz w:val="18"/>
                <w:szCs w:val="18"/>
              </w:rPr>
            </w:pPr>
            <w:r w:rsidRPr="002805B6">
              <w:rPr>
                <w:b/>
                <w:sz w:val="18"/>
                <w:szCs w:val="18"/>
              </w:rPr>
              <w:t>Target:</w:t>
            </w:r>
            <w:r w:rsidR="0060645B" w:rsidRPr="002805B6">
              <w:rPr>
                <w:sz w:val="18"/>
                <w:szCs w:val="18"/>
              </w:rPr>
              <w:t xml:space="preserve"> 500</w:t>
            </w:r>
            <w:r w:rsidR="00110ECD">
              <w:rPr>
                <w:sz w:val="18"/>
                <w:szCs w:val="18"/>
              </w:rPr>
              <w:t>,</w:t>
            </w:r>
            <w:r w:rsidR="0060645B" w:rsidRPr="002805B6">
              <w:rPr>
                <w:sz w:val="18"/>
                <w:szCs w:val="18"/>
              </w:rPr>
              <w:t>000</w:t>
            </w:r>
          </w:p>
          <w:p w14:paraId="3C679A92" w14:textId="4D68A461" w:rsidR="00B24E2F" w:rsidRPr="002805B6" w:rsidRDefault="00B24E2F" w:rsidP="005A2DBF">
            <w:pPr>
              <w:rPr>
                <w:sz w:val="18"/>
                <w:szCs w:val="18"/>
              </w:rPr>
            </w:pPr>
            <w:r w:rsidRPr="002805B6">
              <w:rPr>
                <w:b/>
                <w:sz w:val="18"/>
                <w:szCs w:val="18"/>
              </w:rPr>
              <w:t>Data source:</w:t>
            </w:r>
            <w:r w:rsidRPr="002805B6">
              <w:rPr>
                <w:sz w:val="18"/>
                <w:szCs w:val="18"/>
              </w:rPr>
              <w:t xml:space="preserve"> PUDC </w:t>
            </w:r>
            <w:r w:rsidR="00110ECD" w:rsidRPr="002805B6">
              <w:rPr>
                <w:sz w:val="18"/>
                <w:szCs w:val="18"/>
              </w:rPr>
              <w:t>Technical committee annual report</w:t>
            </w:r>
            <w:r w:rsidR="00110ECD" w:rsidRPr="002805B6" w:rsidDel="00110ECD">
              <w:rPr>
                <w:sz w:val="18"/>
                <w:szCs w:val="18"/>
              </w:rPr>
              <w:t xml:space="preserve"> </w:t>
            </w:r>
            <w:r w:rsidR="000D79E4" w:rsidRPr="002805B6">
              <w:rPr>
                <w:sz w:val="18"/>
                <w:szCs w:val="18"/>
              </w:rPr>
              <w:t xml:space="preserve"> </w:t>
            </w:r>
          </w:p>
          <w:p w14:paraId="6DA19BA4" w14:textId="77777777" w:rsidR="00F86371" w:rsidRPr="002805B6" w:rsidRDefault="00F86371" w:rsidP="005A2DBF">
            <w:pPr>
              <w:rPr>
                <w:sz w:val="18"/>
                <w:szCs w:val="18"/>
              </w:rPr>
            </w:pPr>
          </w:p>
          <w:p w14:paraId="6BDCE327" w14:textId="77777777" w:rsidR="00B24E2F" w:rsidRPr="002805B6" w:rsidRDefault="00B24E2F" w:rsidP="005A2DBF">
            <w:pPr>
              <w:rPr>
                <w:bCs/>
                <w:i/>
                <w:iCs/>
                <w:sz w:val="18"/>
                <w:szCs w:val="18"/>
              </w:rPr>
            </w:pPr>
            <w:r w:rsidRPr="002805B6">
              <w:rPr>
                <w:b/>
                <w:bCs/>
                <w:iCs/>
                <w:sz w:val="18"/>
                <w:szCs w:val="18"/>
              </w:rPr>
              <w:t>Output 2.2:</w:t>
            </w:r>
            <w:r w:rsidRPr="002805B6">
              <w:rPr>
                <w:bCs/>
                <w:iCs/>
                <w:sz w:val="18"/>
                <w:szCs w:val="18"/>
              </w:rPr>
              <w:t xml:space="preserve"> </w:t>
            </w:r>
            <w:r w:rsidRPr="00110ECD">
              <w:rPr>
                <w:bCs/>
                <w:iCs/>
                <w:sz w:val="18"/>
                <w:szCs w:val="18"/>
              </w:rPr>
              <w:t>National and local institutions</w:t>
            </w:r>
            <w:r w:rsidR="000D79E4" w:rsidRPr="00110ECD">
              <w:rPr>
                <w:bCs/>
                <w:iCs/>
                <w:sz w:val="18"/>
                <w:szCs w:val="18"/>
              </w:rPr>
              <w:t xml:space="preserve"> and organizations</w:t>
            </w:r>
            <w:r w:rsidRPr="00110ECD">
              <w:rPr>
                <w:bCs/>
                <w:iCs/>
                <w:sz w:val="18"/>
                <w:szCs w:val="18"/>
              </w:rPr>
              <w:t xml:space="preserve"> have increased capacities to manage and</w:t>
            </w:r>
            <w:r w:rsidRPr="002805B6">
              <w:rPr>
                <w:bCs/>
                <w:i/>
                <w:iCs/>
                <w:sz w:val="18"/>
                <w:szCs w:val="18"/>
              </w:rPr>
              <w:t xml:space="preserve"> </w:t>
            </w:r>
            <w:r w:rsidRPr="00110ECD">
              <w:rPr>
                <w:bCs/>
                <w:iCs/>
                <w:sz w:val="18"/>
                <w:szCs w:val="18"/>
              </w:rPr>
              <w:t xml:space="preserve">monitor social economic infrastructures and equipment for </w:t>
            </w:r>
            <w:r w:rsidR="00140C03" w:rsidRPr="00110ECD">
              <w:rPr>
                <w:bCs/>
                <w:iCs/>
                <w:sz w:val="18"/>
                <w:szCs w:val="18"/>
              </w:rPr>
              <w:t xml:space="preserve">sustainable </w:t>
            </w:r>
            <w:r w:rsidRPr="00110ECD">
              <w:rPr>
                <w:bCs/>
                <w:iCs/>
                <w:sz w:val="18"/>
                <w:szCs w:val="18"/>
              </w:rPr>
              <w:t>community development</w:t>
            </w:r>
          </w:p>
          <w:p w14:paraId="140343AF" w14:textId="77777777" w:rsidR="00B24E2F" w:rsidRPr="002805B6" w:rsidRDefault="00B24E2F" w:rsidP="005A2DBF">
            <w:pPr>
              <w:rPr>
                <w:bCs/>
                <w:iCs/>
                <w:sz w:val="18"/>
                <w:szCs w:val="18"/>
              </w:rPr>
            </w:pPr>
          </w:p>
          <w:p w14:paraId="5C48556F" w14:textId="2122DB52" w:rsidR="00B24E2F" w:rsidRPr="002805B6" w:rsidRDefault="00B24E2F" w:rsidP="005A2DBF">
            <w:pPr>
              <w:rPr>
                <w:bCs/>
                <w:iCs/>
                <w:sz w:val="18"/>
                <w:szCs w:val="18"/>
              </w:rPr>
            </w:pPr>
            <w:r w:rsidRPr="002805B6">
              <w:rPr>
                <w:b/>
                <w:bCs/>
                <w:iCs/>
                <w:sz w:val="18"/>
                <w:szCs w:val="18"/>
              </w:rPr>
              <w:t>Indicator 2.2.1:</w:t>
            </w:r>
            <w:r w:rsidRPr="002805B6">
              <w:rPr>
                <w:bCs/>
                <w:iCs/>
                <w:sz w:val="18"/>
                <w:szCs w:val="18"/>
              </w:rPr>
              <w:t xml:space="preserve"> Extent to which national and local targeted institutions</w:t>
            </w:r>
            <w:r w:rsidR="000D79E4" w:rsidRPr="002805B6">
              <w:rPr>
                <w:bCs/>
                <w:iCs/>
                <w:sz w:val="18"/>
                <w:szCs w:val="18"/>
              </w:rPr>
              <w:t xml:space="preserve"> and organizations</w:t>
            </w:r>
            <w:r w:rsidRPr="002805B6">
              <w:rPr>
                <w:bCs/>
                <w:iCs/>
                <w:sz w:val="18"/>
                <w:szCs w:val="18"/>
              </w:rPr>
              <w:t xml:space="preserve"> have technical</w:t>
            </w:r>
            <w:r w:rsidR="000F1A65">
              <w:rPr>
                <w:bCs/>
                <w:iCs/>
                <w:sz w:val="18"/>
                <w:szCs w:val="18"/>
              </w:rPr>
              <w:t>/</w:t>
            </w:r>
            <w:r w:rsidRPr="002805B6">
              <w:rPr>
                <w:bCs/>
                <w:iCs/>
                <w:sz w:val="18"/>
                <w:szCs w:val="18"/>
              </w:rPr>
              <w:t xml:space="preserve"> financial capacities to manage</w:t>
            </w:r>
            <w:r w:rsidR="00BD1DA8" w:rsidRPr="002805B6">
              <w:rPr>
                <w:bCs/>
                <w:iCs/>
                <w:sz w:val="18"/>
                <w:szCs w:val="18"/>
              </w:rPr>
              <w:t>/</w:t>
            </w:r>
            <w:r w:rsidRPr="002805B6">
              <w:rPr>
                <w:bCs/>
                <w:iCs/>
                <w:sz w:val="18"/>
                <w:szCs w:val="18"/>
              </w:rPr>
              <w:t xml:space="preserve"> monitor community facilities</w:t>
            </w:r>
          </w:p>
          <w:p w14:paraId="5E025A64" w14:textId="77777777" w:rsidR="00B24E2F" w:rsidRPr="002805B6" w:rsidRDefault="00B24E2F" w:rsidP="005A2DBF">
            <w:pPr>
              <w:rPr>
                <w:sz w:val="18"/>
                <w:szCs w:val="18"/>
              </w:rPr>
            </w:pPr>
            <w:r w:rsidRPr="002805B6">
              <w:rPr>
                <w:b/>
                <w:bCs/>
                <w:iCs/>
                <w:sz w:val="18"/>
                <w:szCs w:val="18"/>
              </w:rPr>
              <w:lastRenderedPageBreak/>
              <w:t>Baseline</w:t>
            </w:r>
            <w:r w:rsidRPr="002805B6">
              <w:rPr>
                <w:bCs/>
                <w:iCs/>
                <w:sz w:val="18"/>
                <w:szCs w:val="18"/>
              </w:rPr>
              <w:t xml:space="preserve"> </w:t>
            </w:r>
            <w:r w:rsidRPr="002805B6">
              <w:rPr>
                <w:sz w:val="18"/>
                <w:szCs w:val="18"/>
              </w:rPr>
              <w:t>(2017)</w:t>
            </w:r>
            <w:r w:rsidRPr="002805B6">
              <w:rPr>
                <w:rStyle w:val="FootnoteReference"/>
                <w:sz w:val="18"/>
                <w:szCs w:val="18"/>
              </w:rPr>
              <w:footnoteReference w:id="30"/>
            </w:r>
            <w:r w:rsidRPr="002805B6">
              <w:rPr>
                <w:sz w:val="18"/>
                <w:szCs w:val="18"/>
              </w:rPr>
              <w:t>: 1</w:t>
            </w:r>
          </w:p>
          <w:p w14:paraId="1B528AB8" w14:textId="77777777" w:rsidR="00B24E2F" w:rsidRPr="002805B6" w:rsidRDefault="00B24E2F" w:rsidP="005A2DBF">
            <w:pPr>
              <w:rPr>
                <w:b/>
                <w:sz w:val="18"/>
                <w:szCs w:val="18"/>
              </w:rPr>
            </w:pPr>
            <w:r w:rsidRPr="002805B6">
              <w:rPr>
                <w:b/>
                <w:sz w:val="18"/>
                <w:szCs w:val="18"/>
              </w:rPr>
              <w:t xml:space="preserve">Target: </w:t>
            </w:r>
            <w:r w:rsidRPr="002805B6">
              <w:rPr>
                <w:sz w:val="18"/>
                <w:szCs w:val="18"/>
              </w:rPr>
              <w:t>3</w:t>
            </w:r>
          </w:p>
          <w:p w14:paraId="48A066E5" w14:textId="4276F4FB" w:rsidR="00B24E2F" w:rsidRPr="002805B6" w:rsidRDefault="00B24E2F" w:rsidP="005A2DBF">
            <w:pPr>
              <w:rPr>
                <w:sz w:val="18"/>
                <w:szCs w:val="18"/>
              </w:rPr>
            </w:pPr>
            <w:r w:rsidRPr="002805B6">
              <w:rPr>
                <w:b/>
                <w:sz w:val="18"/>
                <w:szCs w:val="18"/>
              </w:rPr>
              <w:t>Data source:</w:t>
            </w:r>
            <w:r w:rsidRPr="002805B6">
              <w:rPr>
                <w:sz w:val="18"/>
                <w:szCs w:val="18"/>
              </w:rPr>
              <w:t xml:space="preserve"> PUDC</w:t>
            </w:r>
            <w:r w:rsidR="00110ECD" w:rsidRPr="002805B6">
              <w:rPr>
                <w:sz w:val="18"/>
                <w:szCs w:val="18"/>
              </w:rPr>
              <w:t xml:space="preserve"> Technical committee annual report</w:t>
            </w:r>
            <w:r w:rsidR="00110ECD" w:rsidRPr="002805B6" w:rsidDel="00110ECD">
              <w:rPr>
                <w:sz w:val="18"/>
                <w:szCs w:val="18"/>
              </w:rPr>
              <w:t xml:space="preserve"> </w:t>
            </w:r>
            <w:r w:rsidR="000D79E4" w:rsidRPr="002805B6">
              <w:rPr>
                <w:sz w:val="18"/>
                <w:szCs w:val="18"/>
              </w:rPr>
              <w:t xml:space="preserve"> </w:t>
            </w:r>
          </w:p>
          <w:p w14:paraId="4C9845EB" w14:textId="77777777" w:rsidR="00B24E2F" w:rsidRPr="002805B6" w:rsidRDefault="00B24E2F" w:rsidP="005A2DBF">
            <w:pPr>
              <w:rPr>
                <w:b/>
                <w:bCs/>
                <w:strike/>
                <w:sz w:val="18"/>
                <w:szCs w:val="18"/>
              </w:rPr>
            </w:pPr>
          </w:p>
          <w:p w14:paraId="08BF2356" w14:textId="77777777" w:rsidR="00B24E2F" w:rsidRPr="00110ECD" w:rsidRDefault="00B24E2F" w:rsidP="005A2DBF">
            <w:pPr>
              <w:rPr>
                <w:bCs/>
                <w:sz w:val="18"/>
                <w:szCs w:val="18"/>
              </w:rPr>
            </w:pPr>
            <w:r w:rsidRPr="002805B6">
              <w:rPr>
                <w:b/>
                <w:bCs/>
                <w:sz w:val="18"/>
                <w:szCs w:val="18"/>
              </w:rPr>
              <w:t>Output 2.3</w:t>
            </w:r>
            <w:r w:rsidRPr="002805B6">
              <w:rPr>
                <w:bCs/>
                <w:sz w:val="18"/>
                <w:szCs w:val="18"/>
              </w:rPr>
              <w:t>:</w:t>
            </w:r>
            <w:r w:rsidRPr="002805B6">
              <w:rPr>
                <w:sz w:val="18"/>
                <w:szCs w:val="18"/>
              </w:rPr>
              <w:t xml:space="preserve"> </w:t>
            </w:r>
            <w:r w:rsidRPr="00110ECD">
              <w:rPr>
                <w:bCs/>
                <w:sz w:val="18"/>
                <w:szCs w:val="18"/>
              </w:rPr>
              <w:t xml:space="preserve">Technical and operational capacities of </w:t>
            </w:r>
            <w:r w:rsidR="000D79E4" w:rsidRPr="00110ECD">
              <w:rPr>
                <w:bCs/>
                <w:sz w:val="18"/>
                <w:szCs w:val="18"/>
              </w:rPr>
              <w:t>professional organizations</w:t>
            </w:r>
            <w:r w:rsidRPr="00110ECD">
              <w:rPr>
                <w:bCs/>
                <w:sz w:val="18"/>
                <w:szCs w:val="18"/>
              </w:rPr>
              <w:t xml:space="preserve"> are strengthened for </w:t>
            </w:r>
            <w:r w:rsidR="00B4206A" w:rsidRPr="00110ECD">
              <w:rPr>
                <w:bCs/>
                <w:sz w:val="18"/>
                <w:szCs w:val="18"/>
              </w:rPr>
              <w:t>improved</w:t>
            </w:r>
            <w:r w:rsidR="000D79E4" w:rsidRPr="00110ECD">
              <w:rPr>
                <w:bCs/>
                <w:sz w:val="18"/>
                <w:szCs w:val="18"/>
              </w:rPr>
              <w:t xml:space="preserve"> competitiveness</w:t>
            </w:r>
          </w:p>
          <w:p w14:paraId="27BB615A" w14:textId="77777777" w:rsidR="00B24E2F" w:rsidRPr="00110ECD" w:rsidRDefault="00B24E2F" w:rsidP="005A2DBF">
            <w:pPr>
              <w:rPr>
                <w:bCs/>
                <w:sz w:val="18"/>
                <w:szCs w:val="18"/>
              </w:rPr>
            </w:pPr>
          </w:p>
          <w:p w14:paraId="5A927BA2" w14:textId="5312A155" w:rsidR="00B24E2F" w:rsidRPr="002805B6" w:rsidRDefault="00B24E2F" w:rsidP="005A2DBF">
            <w:pPr>
              <w:rPr>
                <w:bCs/>
                <w:sz w:val="18"/>
                <w:szCs w:val="18"/>
              </w:rPr>
            </w:pPr>
            <w:r w:rsidRPr="002805B6">
              <w:rPr>
                <w:b/>
                <w:bCs/>
                <w:sz w:val="18"/>
                <w:szCs w:val="18"/>
              </w:rPr>
              <w:t>Indicator 2.3.1:</w:t>
            </w:r>
            <w:r w:rsidRPr="002805B6">
              <w:rPr>
                <w:bCs/>
                <w:sz w:val="18"/>
                <w:szCs w:val="18"/>
              </w:rPr>
              <w:t xml:space="preserve"> </w:t>
            </w:r>
            <w:r w:rsidR="00FE6F17">
              <w:rPr>
                <w:bCs/>
                <w:sz w:val="18"/>
                <w:szCs w:val="18"/>
              </w:rPr>
              <w:t>N</w:t>
            </w:r>
            <w:r w:rsidRPr="002805B6">
              <w:rPr>
                <w:bCs/>
                <w:sz w:val="18"/>
                <w:szCs w:val="18"/>
              </w:rPr>
              <w:t xml:space="preserve">umber of </w:t>
            </w:r>
            <w:r w:rsidR="00BD1DA8" w:rsidRPr="002805B6">
              <w:rPr>
                <w:bCs/>
                <w:sz w:val="18"/>
                <w:szCs w:val="18"/>
              </w:rPr>
              <w:t xml:space="preserve">UNDP-supported </w:t>
            </w:r>
            <w:r w:rsidRPr="002805B6">
              <w:rPr>
                <w:bCs/>
                <w:sz w:val="18"/>
                <w:szCs w:val="18"/>
              </w:rPr>
              <w:t>new community</w:t>
            </w:r>
            <w:r w:rsidR="00140C03" w:rsidRPr="002805B6">
              <w:rPr>
                <w:bCs/>
                <w:sz w:val="18"/>
                <w:szCs w:val="18"/>
              </w:rPr>
              <w:t>-</w:t>
            </w:r>
            <w:r w:rsidRPr="002805B6">
              <w:rPr>
                <w:bCs/>
                <w:sz w:val="18"/>
                <w:szCs w:val="18"/>
              </w:rPr>
              <w:t xml:space="preserve">based organizations of women, youth, farmers </w:t>
            </w:r>
            <w:r w:rsidR="00DA0252" w:rsidRPr="002805B6">
              <w:rPr>
                <w:bCs/>
                <w:sz w:val="18"/>
                <w:szCs w:val="18"/>
              </w:rPr>
              <w:t xml:space="preserve">reinforced </w:t>
            </w:r>
            <w:r w:rsidRPr="002805B6">
              <w:rPr>
                <w:bCs/>
                <w:sz w:val="18"/>
                <w:szCs w:val="18"/>
              </w:rPr>
              <w:t xml:space="preserve">to develop </w:t>
            </w:r>
            <w:r w:rsidR="00451ED7" w:rsidRPr="002805B6">
              <w:rPr>
                <w:bCs/>
                <w:sz w:val="18"/>
                <w:szCs w:val="18"/>
              </w:rPr>
              <w:t xml:space="preserve">gainful </w:t>
            </w:r>
            <w:r w:rsidRPr="002805B6">
              <w:rPr>
                <w:bCs/>
                <w:sz w:val="18"/>
                <w:szCs w:val="18"/>
              </w:rPr>
              <w:t>economic activities</w:t>
            </w:r>
          </w:p>
          <w:p w14:paraId="409DC9B2" w14:textId="77777777" w:rsidR="00B24E2F" w:rsidRPr="00A63414" w:rsidRDefault="00B24E2F" w:rsidP="005A2DBF">
            <w:pPr>
              <w:rPr>
                <w:sz w:val="18"/>
                <w:szCs w:val="18"/>
              </w:rPr>
            </w:pPr>
            <w:r w:rsidRPr="002805B6">
              <w:rPr>
                <w:b/>
                <w:bCs/>
                <w:iCs/>
                <w:sz w:val="18"/>
                <w:szCs w:val="18"/>
              </w:rPr>
              <w:t>Baseline</w:t>
            </w:r>
            <w:r w:rsidRPr="002805B6">
              <w:rPr>
                <w:bCs/>
                <w:iCs/>
                <w:sz w:val="18"/>
                <w:szCs w:val="18"/>
              </w:rPr>
              <w:t xml:space="preserve"> </w:t>
            </w:r>
            <w:r w:rsidRPr="002805B6">
              <w:rPr>
                <w:sz w:val="18"/>
                <w:szCs w:val="18"/>
              </w:rPr>
              <w:t>(</w:t>
            </w:r>
            <w:r w:rsidRPr="00A63414">
              <w:rPr>
                <w:sz w:val="18"/>
                <w:szCs w:val="18"/>
              </w:rPr>
              <w:t>2016): 0</w:t>
            </w:r>
          </w:p>
          <w:p w14:paraId="004F9553" w14:textId="77777777" w:rsidR="00B24E2F" w:rsidRPr="00A63414" w:rsidRDefault="00B24E2F" w:rsidP="005A2DBF">
            <w:pPr>
              <w:rPr>
                <w:sz w:val="18"/>
                <w:szCs w:val="18"/>
              </w:rPr>
            </w:pPr>
            <w:r w:rsidRPr="00A63414">
              <w:rPr>
                <w:sz w:val="18"/>
                <w:szCs w:val="18"/>
              </w:rPr>
              <w:t xml:space="preserve">Target </w:t>
            </w:r>
            <w:r w:rsidR="00F86371" w:rsidRPr="00A63414">
              <w:rPr>
                <w:sz w:val="18"/>
                <w:szCs w:val="18"/>
              </w:rPr>
              <w:t xml:space="preserve">(2023): </w:t>
            </w:r>
            <w:r w:rsidRPr="00A63414">
              <w:rPr>
                <w:sz w:val="18"/>
                <w:szCs w:val="18"/>
              </w:rPr>
              <w:t>500</w:t>
            </w:r>
          </w:p>
          <w:p w14:paraId="08203499" w14:textId="68A10F8E" w:rsidR="00B24E2F" w:rsidRPr="002805B6" w:rsidRDefault="00B24E2F" w:rsidP="005A2DBF">
            <w:pPr>
              <w:rPr>
                <w:sz w:val="18"/>
                <w:szCs w:val="18"/>
              </w:rPr>
            </w:pPr>
            <w:r w:rsidRPr="002805B6">
              <w:rPr>
                <w:b/>
                <w:sz w:val="18"/>
                <w:szCs w:val="18"/>
              </w:rPr>
              <w:t>Data source:</w:t>
            </w:r>
            <w:r w:rsidRPr="002805B6">
              <w:rPr>
                <w:sz w:val="18"/>
                <w:szCs w:val="18"/>
              </w:rPr>
              <w:t xml:space="preserve"> PUDC </w:t>
            </w:r>
            <w:r w:rsidR="00110ECD" w:rsidRPr="002805B6">
              <w:rPr>
                <w:sz w:val="18"/>
                <w:szCs w:val="18"/>
              </w:rPr>
              <w:t>Technical committee annual report</w:t>
            </w:r>
            <w:r w:rsidR="00110ECD" w:rsidRPr="002805B6" w:rsidDel="00110ECD">
              <w:rPr>
                <w:sz w:val="18"/>
                <w:szCs w:val="18"/>
              </w:rPr>
              <w:t xml:space="preserve"> </w:t>
            </w:r>
            <w:r w:rsidR="000D79E4" w:rsidRPr="002805B6">
              <w:rPr>
                <w:sz w:val="18"/>
                <w:szCs w:val="18"/>
              </w:rPr>
              <w:t xml:space="preserve"> </w:t>
            </w:r>
          </w:p>
          <w:p w14:paraId="568E81D6" w14:textId="77777777" w:rsidR="00B24E2F" w:rsidRPr="002805B6" w:rsidRDefault="00B24E2F" w:rsidP="005A2DBF">
            <w:pPr>
              <w:rPr>
                <w:b/>
                <w:bCs/>
                <w:sz w:val="18"/>
                <w:szCs w:val="18"/>
              </w:rPr>
            </w:pPr>
          </w:p>
          <w:p w14:paraId="3417D60F" w14:textId="77777777" w:rsidR="00B24E2F" w:rsidRPr="00110ECD" w:rsidRDefault="00B24E2F" w:rsidP="005A2DBF">
            <w:pPr>
              <w:rPr>
                <w:bCs/>
                <w:iCs/>
                <w:sz w:val="18"/>
                <w:szCs w:val="18"/>
              </w:rPr>
            </w:pPr>
            <w:r w:rsidRPr="002805B6">
              <w:rPr>
                <w:b/>
                <w:sz w:val="18"/>
                <w:szCs w:val="18"/>
              </w:rPr>
              <w:t>Output 2.4:</w:t>
            </w:r>
            <w:r w:rsidRPr="002805B6">
              <w:rPr>
                <w:sz w:val="18"/>
                <w:szCs w:val="18"/>
              </w:rPr>
              <w:t xml:space="preserve"> </w:t>
            </w:r>
            <w:r w:rsidRPr="00110ECD">
              <w:rPr>
                <w:sz w:val="18"/>
                <w:szCs w:val="18"/>
              </w:rPr>
              <w:t>The supply of technical and vocational training is strengthened to improve access to decent employment for you</w:t>
            </w:r>
            <w:r w:rsidR="008616E5" w:rsidRPr="00110ECD">
              <w:rPr>
                <w:sz w:val="18"/>
                <w:szCs w:val="18"/>
              </w:rPr>
              <w:t>th</w:t>
            </w:r>
            <w:r w:rsidRPr="00110ECD">
              <w:rPr>
                <w:sz w:val="18"/>
                <w:szCs w:val="18"/>
              </w:rPr>
              <w:t xml:space="preserve"> and women </w:t>
            </w:r>
          </w:p>
          <w:p w14:paraId="117BDA83" w14:textId="77777777" w:rsidR="00B24E2F" w:rsidRPr="00110ECD" w:rsidRDefault="00B24E2F" w:rsidP="005A2DBF">
            <w:pPr>
              <w:rPr>
                <w:bCs/>
                <w:iCs/>
                <w:sz w:val="18"/>
                <w:szCs w:val="18"/>
              </w:rPr>
            </w:pPr>
            <w:r w:rsidRPr="00110ECD">
              <w:rPr>
                <w:bCs/>
                <w:iCs/>
                <w:sz w:val="18"/>
                <w:szCs w:val="18"/>
              </w:rPr>
              <w:t xml:space="preserve"> </w:t>
            </w:r>
          </w:p>
          <w:p w14:paraId="577A9DFE" w14:textId="77777777" w:rsidR="00B24E2F" w:rsidRPr="002805B6" w:rsidRDefault="00B24E2F" w:rsidP="005A2DBF">
            <w:pPr>
              <w:rPr>
                <w:bCs/>
                <w:iCs/>
                <w:sz w:val="18"/>
                <w:szCs w:val="18"/>
              </w:rPr>
            </w:pPr>
            <w:r w:rsidRPr="002805B6">
              <w:rPr>
                <w:b/>
                <w:bCs/>
                <w:iCs/>
                <w:sz w:val="18"/>
                <w:szCs w:val="18"/>
              </w:rPr>
              <w:t>Indicator 2.4.1</w:t>
            </w:r>
            <w:r w:rsidRPr="002805B6">
              <w:rPr>
                <w:bCs/>
                <w:iCs/>
                <w:sz w:val="18"/>
                <w:szCs w:val="18"/>
              </w:rPr>
              <w:t xml:space="preserve"> Number of </w:t>
            </w:r>
            <w:r w:rsidR="00BD1DA8" w:rsidRPr="002805B6">
              <w:rPr>
                <w:bCs/>
                <w:iCs/>
                <w:sz w:val="18"/>
                <w:szCs w:val="18"/>
              </w:rPr>
              <w:t xml:space="preserve">UNDP-supported </w:t>
            </w:r>
            <w:r w:rsidRPr="002805B6">
              <w:rPr>
                <w:bCs/>
                <w:iCs/>
                <w:sz w:val="18"/>
                <w:szCs w:val="18"/>
              </w:rPr>
              <w:t xml:space="preserve">partnerships built with the private sector for development of </w:t>
            </w:r>
            <w:r w:rsidR="0074386D" w:rsidRPr="002805B6">
              <w:rPr>
                <w:bCs/>
                <w:iCs/>
                <w:sz w:val="18"/>
                <w:szCs w:val="18"/>
              </w:rPr>
              <w:t xml:space="preserve">new </w:t>
            </w:r>
            <w:r w:rsidRPr="002805B6">
              <w:rPr>
                <w:bCs/>
                <w:iCs/>
                <w:sz w:val="18"/>
                <w:szCs w:val="18"/>
              </w:rPr>
              <w:t xml:space="preserve">curricula  </w:t>
            </w:r>
          </w:p>
          <w:p w14:paraId="160C0147" w14:textId="77777777" w:rsidR="00B24E2F" w:rsidRPr="002805B6" w:rsidRDefault="00B24E2F" w:rsidP="005A2DBF">
            <w:pPr>
              <w:rPr>
                <w:sz w:val="18"/>
                <w:szCs w:val="18"/>
              </w:rPr>
            </w:pPr>
            <w:r w:rsidRPr="002805B6">
              <w:rPr>
                <w:b/>
                <w:bCs/>
                <w:iCs/>
                <w:sz w:val="18"/>
                <w:szCs w:val="18"/>
              </w:rPr>
              <w:t xml:space="preserve">Baseline </w:t>
            </w:r>
            <w:r w:rsidRPr="002805B6">
              <w:rPr>
                <w:b/>
                <w:sz w:val="18"/>
                <w:szCs w:val="18"/>
              </w:rPr>
              <w:t>(2017):</w:t>
            </w:r>
            <w:r w:rsidRPr="002805B6">
              <w:rPr>
                <w:sz w:val="18"/>
                <w:szCs w:val="18"/>
              </w:rPr>
              <w:t xml:space="preserve"> 0</w:t>
            </w:r>
          </w:p>
          <w:p w14:paraId="6599B8C3" w14:textId="77777777" w:rsidR="00B24E2F" w:rsidRPr="002805B6" w:rsidRDefault="00B24E2F" w:rsidP="005A2DBF">
            <w:pPr>
              <w:rPr>
                <w:sz w:val="18"/>
                <w:szCs w:val="18"/>
              </w:rPr>
            </w:pPr>
            <w:r w:rsidRPr="002805B6">
              <w:rPr>
                <w:b/>
                <w:sz w:val="18"/>
                <w:szCs w:val="18"/>
              </w:rPr>
              <w:t>Target</w:t>
            </w:r>
            <w:r w:rsidRPr="002805B6">
              <w:rPr>
                <w:sz w:val="18"/>
                <w:szCs w:val="18"/>
              </w:rPr>
              <w:t>: 5</w:t>
            </w:r>
          </w:p>
          <w:p w14:paraId="555204FA" w14:textId="3E1864FF" w:rsidR="00B24E2F" w:rsidRPr="002805B6" w:rsidRDefault="00B24E2F" w:rsidP="005A2DBF">
            <w:pPr>
              <w:rPr>
                <w:sz w:val="18"/>
                <w:szCs w:val="18"/>
              </w:rPr>
            </w:pPr>
            <w:r w:rsidRPr="002805B6">
              <w:rPr>
                <w:b/>
                <w:sz w:val="18"/>
                <w:szCs w:val="18"/>
              </w:rPr>
              <w:t>Data source</w:t>
            </w:r>
            <w:r w:rsidRPr="002805B6">
              <w:rPr>
                <w:sz w:val="18"/>
                <w:szCs w:val="18"/>
              </w:rPr>
              <w:t xml:space="preserve">: Annual reports of the </w:t>
            </w:r>
            <w:r w:rsidR="00110ECD">
              <w:rPr>
                <w:sz w:val="18"/>
                <w:szCs w:val="18"/>
              </w:rPr>
              <w:t>M</w:t>
            </w:r>
            <w:r w:rsidRPr="002805B6">
              <w:rPr>
                <w:sz w:val="18"/>
                <w:szCs w:val="18"/>
              </w:rPr>
              <w:t xml:space="preserve">inistry of </w:t>
            </w:r>
            <w:r w:rsidR="00110ECD">
              <w:rPr>
                <w:sz w:val="18"/>
                <w:szCs w:val="18"/>
              </w:rPr>
              <w:t>V</w:t>
            </w:r>
            <w:r w:rsidR="00110ECD" w:rsidRPr="002805B6">
              <w:rPr>
                <w:sz w:val="18"/>
                <w:szCs w:val="18"/>
              </w:rPr>
              <w:t xml:space="preserve">ocational </w:t>
            </w:r>
            <w:r w:rsidR="00110ECD">
              <w:rPr>
                <w:sz w:val="18"/>
                <w:szCs w:val="18"/>
              </w:rPr>
              <w:t>T</w:t>
            </w:r>
            <w:r w:rsidR="00110ECD" w:rsidRPr="002805B6">
              <w:rPr>
                <w:sz w:val="18"/>
                <w:szCs w:val="18"/>
              </w:rPr>
              <w:t>raining</w:t>
            </w:r>
          </w:p>
          <w:p w14:paraId="4695D97D" w14:textId="77777777" w:rsidR="00B24E2F" w:rsidRPr="002805B6" w:rsidRDefault="00B24E2F" w:rsidP="005A2DBF">
            <w:pPr>
              <w:rPr>
                <w:b/>
                <w:bCs/>
                <w:iCs/>
                <w:sz w:val="18"/>
                <w:szCs w:val="18"/>
              </w:rPr>
            </w:pPr>
          </w:p>
          <w:p w14:paraId="7DC5751C" w14:textId="07DE5C9A" w:rsidR="00B24E2F" w:rsidRPr="002805B6" w:rsidRDefault="00B24E2F" w:rsidP="005A2DBF">
            <w:pPr>
              <w:rPr>
                <w:bCs/>
                <w:iCs/>
                <w:sz w:val="18"/>
                <w:szCs w:val="18"/>
              </w:rPr>
            </w:pPr>
            <w:r w:rsidRPr="002805B6">
              <w:rPr>
                <w:b/>
                <w:bCs/>
                <w:iCs/>
                <w:sz w:val="18"/>
                <w:szCs w:val="18"/>
              </w:rPr>
              <w:t>Indicator 2.4.2</w:t>
            </w:r>
            <w:r w:rsidRPr="002805B6">
              <w:rPr>
                <w:bCs/>
                <w:iCs/>
                <w:sz w:val="18"/>
                <w:szCs w:val="18"/>
              </w:rPr>
              <w:t xml:space="preserve">: Number of </w:t>
            </w:r>
            <w:r w:rsidR="00BD1DA8" w:rsidRPr="002805B6">
              <w:rPr>
                <w:bCs/>
                <w:iCs/>
                <w:sz w:val="18"/>
                <w:szCs w:val="18"/>
              </w:rPr>
              <w:t xml:space="preserve">UNDP-supported </w:t>
            </w:r>
            <w:r w:rsidRPr="002805B6">
              <w:rPr>
                <w:bCs/>
                <w:iCs/>
                <w:sz w:val="18"/>
                <w:szCs w:val="18"/>
              </w:rPr>
              <w:t>technical and vocational training centr</w:t>
            </w:r>
            <w:r w:rsidR="00110ECD">
              <w:rPr>
                <w:bCs/>
                <w:iCs/>
                <w:sz w:val="18"/>
                <w:szCs w:val="18"/>
              </w:rPr>
              <w:t>e</w:t>
            </w:r>
            <w:r w:rsidRPr="002805B6">
              <w:rPr>
                <w:bCs/>
                <w:iCs/>
                <w:sz w:val="18"/>
                <w:szCs w:val="18"/>
              </w:rPr>
              <w:t xml:space="preserve">s with reinforced technical and operational capacities </w:t>
            </w:r>
          </w:p>
          <w:p w14:paraId="1B2AB82C" w14:textId="77777777" w:rsidR="00B24E2F" w:rsidRPr="002805B6" w:rsidRDefault="00B24E2F" w:rsidP="005A2DBF">
            <w:pPr>
              <w:rPr>
                <w:sz w:val="18"/>
                <w:szCs w:val="18"/>
              </w:rPr>
            </w:pPr>
            <w:r w:rsidRPr="002805B6">
              <w:rPr>
                <w:b/>
                <w:bCs/>
                <w:iCs/>
                <w:sz w:val="18"/>
                <w:szCs w:val="18"/>
              </w:rPr>
              <w:t>Baseline</w:t>
            </w:r>
            <w:r w:rsidRPr="002805B6">
              <w:rPr>
                <w:bCs/>
                <w:iCs/>
                <w:sz w:val="18"/>
                <w:szCs w:val="18"/>
              </w:rPr>
              <w:t xml:space="preserve"> </w:t>
            </w:r>
            <w:r w:rsidRPr="002805B6">
              <w:rPr>
                <w:sz w:val="18"/>
                <w:szCs w:val="18"/>
              </w:rPr>
              <w:t>(2017): 0</w:t>
            </w:r>
          </w:p>
          <w:p w14:paraId="50E83358" w14:textId="77777777" w:rsidR="00B24E2F" w:rsidRPr="002805B6" w:rsidRDefault="00B24E2F" w:rsidP="005A2DBF">
            <w:pPr>
              <w:rPr>
                <w:sz w:val="18"/>
                <w:szCs w:val="18"/>
              </w:rPr>
            </w:pPr>
            <w:r w:rsidRPr="002805B6">
              <w:rPr>
                <w:b/>
                <w:sz w:val="18"/>
                <w:szCs w:val="18"/>
              </w:rPr>
              <w:t>Target:</w:t>
            </w:r>
            <w:r w:rsidRPr="002805B6">
              <w:rPr>
                <w:sz w:val="18"/>
                <w:szCs w:val="18"/>
              </w:rPr>
              <w:t xml:space="preserve"> 5</w:t>
            </w:r>
          </w:p>
          <w:p w14:paraId="77069C1E" w14:textId="5AD8F8A2" w:rsidR="00B24E2F" w:rsidRPr="002805B6" w:rsidRDefault="00B24E2F" w:rsidP="005A2DBF">
            <w:pPr>
              <w:rPr>
                <w:sz w:val="18"/>
                <w:szCs w:val="18"/>
                <w:lang w:val="en"/>
              </w:rPr>
            </w:pPr>
            <w:r w:rsidRPr="002805B6">
              <w:rPr>
                <w:b/>
                <w:sz w:val="18"/>
                <w:szCs w:val="18"/>
              </w:rPr>
              <w:t>Data source:</w:t>
            </w:r>
            <w:r w:rsidRPr="002805B6">
              <w:rPr>
                <w:sz w:val="18"/>
                <w:szCs w:val="18"/>
              </w:rPr>
              <w:t xml:space="preserve"> </w:t>
            </w:r>
            <w:r w:rsidR="00852D53" w:rsidRPr="002805B6">
              <w:rPr>
                <w:sz w:val="18"/>
                <w:szCs w:val="18"/>
                <w:lang w:val="en"/>
              </w:rPr>
              <w:t>Ministr</w:t>
            </w:r>
            <w:r w:rsidR="00852D53">
              <w:rPr>
                <w:sz w:val="18"/>
                <w:szCs w:val="18"/>
                <w:lang w:val="en"/>
              </w:rPr>
              <w:t>y</w:t>
            </w:r>
            <w:r w:rsidR="00852D53" w:rsidRPr="002805B6">
              <w:rPr>
                <w:sz w:val="18"/>
                <w:szCs w:val="18"/>
                <w:lang w:val="en"/>
              </w:rPr>
              <w:t xml:space="preserve"> </w:t>
            </w:r>
            <w:r w:rsidR="00781142" w:rsidRPr="002805B6">
              <w:rPr>
                <w:sz w:val="18"/>
                <w:szCs w:val="18"/>
                <w:lang w:val="en"/>
              </w:rPr>
              <w:t xml:space="preserve">of </w:t>
            </w:r>
            <w:r w:rsidR="008271E2" w:rsidRPr="002805B6">
              <w:rPr>
                <w:sz w:val="18"/>
                <w:szCs w:val="18"/>
                <w:lang w:val="en"/>
              </w:rPr>
              <w:t>V</w:t>
            </w:r>
            <w:r w:rsidR="00781142" w:rsidRPr="002805B6">
              <w:rPr>
                <w:sz w:val="18"/>
                <w:szCs w:val="18"/>
                <w:lang w:val="en"/>
              </w:rPr>
              <w:t xml:space="preserve">ocational </w:t>
            </w:r>
            <w:r w:rsidR="008271E2" w:rsidRPr="002805B6">
              <w:rPr>
                <w:sz w:val="18"/>
                <w:szCs w:val="18"/>
                <w:lang w:val="en"/>
              </w:rPr>
              <w:t>T</w:t>
            </w:r>
            <w:r w:rsidR="00781142" w:rsidRPr="002805B6">
              <w:rPr>
                <w:sz w:val="18"/>
                <w:szCs w:val="18"/>
                <w:lang w:val="en"/>
              </w:rPr>
              <w:t>raining</w:t>
            </w:r>
            <w:r w:rsidR="00781142" w:rsidRPr="002805B6">
              <w:rPr>
                <w:sz w:val="18"/>
                <w:szCs w:val="18"/>
              </w:rPr>
              <w:t xml:space="preserve"> a</w:t>
            </w:r>
            <w:r w:rsidRPr="002805B6">
              <w:rPr>
                <w:sz w:val="18"/>
                <w:szCs w:val="18"/>
              </w:rPr>
              <w:t xml:space="preserve">nnual reports </w:t>
            </w:r>
          </w:p>
          <w:p w14:paraId="53A03358" w14:textId="77777777" w:rsidR="00B24E2F" w:rsidRPr="002805B6" w:rsidRDefault="00B24E2F" w:rsidP="005A2DBF">
            <w:pPr>
              <w:rPr>
                <w:sz w:val="18"/>
                <w:szCs w:val="18"/>
                <w:lang w:val="en"/>
              </w:rPr>
            </w:pPr>
          </w:p>
          <w:p w14:paraId="43DE87F7" w14:textId="77777777" w:rsidR="00B24E2F" w:rsidRPr="002805B6" w:rsidRDefault="00B24E2F" w:rsidP="005A2DBF">
            <w:pPr>
              <w:rPr>
                <w:bCs/>
                <w:iCs/>
                <w:sz w:val="18"/>
                <w:szCs w:val="18"/>
              </w:rPr>
            </w:pPr>
            <w:r w:rsidRPr="002805B6">
              <w:rPr>
                <w:b/>
                <w:bCs/>
                <w:iCs/>
                <w:sz w:val="18"/>
                <w:szCs w:val="18"/>
              </w:rPr>
              <w:t>Indicator 2.4.3: P</w:t>
            </w:r>
            <w:r w:rsidRPr="002805B6">
              <w:rPr>
                <w:bCs/>
                <w:iCs/>
                <w:sz w:val="18"/>
                <w:szCs w:val="18"/>
              </w:rPr>
              <w:t xml:space="preserve">ercentage of </w:t>
            </w:r>
            <w:r w:rsidR="008616E5" w:rsidRPr="002805B6">
              <w:rPr>
                <w:bCs/>
                <w:iCs/>
                <w:sz w:val="18"/>
                <w:szCs w:val="18"/>
              </w:rPr>
              <w:t xml:space="preserve">(a) </w:t>
            </w:r>
            <w:r w:rsidRPr="002805B6">
              <w:rPr>
                <w:bCs/>
                <w:iCs/>
                <w:sz w:val="18"/>
                <w:szCs w:val="18"/>
              </w:rPr>
              <w:t xml:space="preserve">youth </w:t>
            </w:r>
            <w:r w:rsidR="008616E5" w:rsidRPr="002805B6">
              <w:rPr>
                <w:bCs/>
                <w:iCs/>
                <w:sz w:val="18"/>
                <w:szCs w:val="18"/>
              </w:rPr>
              <w:t xml:space="preserve">and (b) women </w:t>
            </w:r>
            <w:r w:rsidR="00085CC6" w:rsidRPr="002805B6">
              <w:rPr>
                <w:bCs/>
                <w:iCs/>
                <w:sz w:val="18"/>
                <w:szCs w:val="18"/>
              </w:rPr>
              <w:t xml:space="preserve">supported </w:t>
            </w:r>
            <w:r w:rsidRPr="002805B6">
              <w:rPr>
                <w:bCs/>
                <w:iCs/>
                <w:sz w:val="18"/>
                <w:szCs w:val="18"/>
              </w:rPr>
              <w:t>who gained or create</w:t>
            </w:r>
            <w:r w:rsidR="00140C03" w:rsidRPr="002805B6">
              <w:rPr>
                <w:bCs/>
                <w:iCs/>
                <w:sz w:val="18"/>
                <w:szCs w:val="18"/>
              </w:rPr>
              <w:t>d</w:t>
            </w:r>
            <w:r w:rsidRPr="002805B6">
              <w:rPr>
                <w:bCs/>
                <w:iCs/>
                <w:sz w:val="18"/>
                <w:szCs w:val="18"/>
              </w:rPr>
              <w:t xml:space="preserve"> new jobs </w:t>
            </w:r>
          </w:p>
          <w:p w14:paraId="4B12F622" w14:textId="77777777" w:rsidR="00B24E2F" w:rsidRPr="002805B6" w:rsidRDefault="00B24E2F" w:rsidP="005A2DBF">
            <w:pPr>
              <w:rPr>
                <w:sz w:val="18"/>
                <w:szCs w:val="18"/>
              </w:rPr>
            </w:pPr>
            <w:r w:rsidRPr="002805B6">
              <w:rPr>
                <w:b/>
                <w:bCs/>
                <w:iCs/>
                <w:sz w:val="18"/>
                <w:szCs w:val="18"/>
              </w:rPr>
              <w:t>Baseline</w:t>
            </w:r>
            <w:r w:rsidRPr="002805B6">
              <w:rPr>
                <w:bCs/>
                <w:iCs/>
                <w:sz w:val="18"/>
                <w:szCs w:val="18"/>
              </w:rPr>
              <w:t xml:space="preserve"> </w:t>
            </w:r>
            <w:r w:rsidRPr="002805B6">
              <w:rPr>
                <w:sz w:val="18"/>
                <w:szCs w:val="18"/>
              </w:rPr>
              <w:t xml:space="preserve">(2017): </w:t>
            </w:r>
            <w:r w:rsidR="008616E5" w:rsidRPr="002805B6">
              <w:rPr>
                <w:sz w:val="18"/>
                <w:szCs w:val="18"/>
              </w:rPr>
              <w:t>(a)</w:t>
            </w:r>
            <w:r w:rsidRPr="002805B6">
              <w:rPr>
                <w:sz w:val="18"/>
                <w:szCs w:val="18"/>
              </w:rPr>
              <w:t>0%</w:t>
            </w:r>
            <w:r w:rsidR="008616E5" w:rsidRPr="002805B6">
              <w:rPr>
                <w:sz w:val="18"/>
                <w:szCs w:val="18"/>
              </w:rPr>
              <w:t>; (b)0%</w:t>
            </w:r>
          </w:p>
          <w:p w14:paraId="3179434E" w14:textId="77777777" w:rsidR="00B24E2F" w:rsidRPr="002805B6" w:rsidRDefault="00B24E2F" w:rsidP="005A2DBF">
            <w:pPr>
              <w:rPr>
                <w:sz w:val="18"/>
                <w:szCs w:val="18"/>
              </w:rPr>
            </w:pPr>
            <w:r w:rsidRPr="002805B6">
              <w:rPr>
                <w:b/>
                <w:sz w:val="18"/>
                <w:szCs w:val="18"/>
              </w:rPr>
              <w:t>Target:</w:t>
            </w:r>
            <w:r w:rsidRPr="002805B6">
              <w:rPr>
                <w:sz w:val="18"/>
                <w:szCs w:val="18"/>
              </w:rPr>
              <w:t xml:space="preserve"> </w:t>
            </w:r>
            <w:r w:rsidR="008616E5" w:rsidRPr="002805B6">
              <w:rPr>
                <w:sz w:val="18"/>
                <w:szCs w:val="18"/>
              </w:rPr>
              <w:t>(a)</w:t>
            </w:r>
            <w:r w:rsidRPr="002805B6">
              <w:rPr>
                <w:sz w:val="18"/>
                <w:szCs w:val="18"/>
              </w:rPr>
              <w:t>80%</w:t>
            </w:r>
            <w:r w:rsidR="008616E5" w:rsidRPr="002805B6">
              <w:rPr>
                <w:sz w:val="18"/>
                <w:szCs w:val="18"/>
              </w:rPr>
              <w:t>; (b)80%</w:t>
            </w:r>
          </w:p>
          <w:p w14:paraId="1417CFB8" w14:textId="50C74461" w:rsidR="00B24E2F" w:rsidRPr="002805B6" w:rsidRDefault="00B24E2F" w:rsidP="005A2DBF">
            <w:pPr>
              <w:rPr>
                <w:b/>
                <w:sz w:val="18"/>
                <w:szCs w:val="18"/>
              </w:rPr>
            </w:pPr>
            <w:r w:rsidRPr="002805B6">
              <w:rPr>
                <w:b/>
                <w:sz w:val="18"/>
                <w:szCs w:val="18"/>
              </w:rPr>
              <w:lastRenderedPageBreak/>
              <w:t>Data source:</w:t>
            </w:r>
            <w:r w:rsidRPr="002805B6">
              <w:rPr>
                <w:sz w:val="18"/>
                <w:szCs w:val="18"/>
              </w:rPr>
              <w:t xml:space="preserve"> </w:t>
            </w:r>
            <w:r w:rsidR="00F80706" w:rsidRPr="002805B6">
              <w:rPr>
                <w:sz w:val="18"/>
                <w:szCs w:val="18"/>
                <w:lang w:val="en"/>
              </w:rPr>
              <w:t xml:space="preserve"> Ministr</w:t>
            </w:r>
            <w:r w:rsidR="00F80706">
              <w:rPr>
                <w:sz w:val="18"/>
                <w:szCs w:val="18"/>
                <w:lang w:val="en"/>
              </w:rPr>
              <w:t>y</w:t>
            </w:r>
            <w:r w:rsidR="00F80706" w:rsidRPr="002805B6">
              <w:rPr>
                <w:sz w:val="18"/>
                <w:szCs w:val="18"/>
                <w:lang w:val="en"/>
              </w:rPr>
              <w:t xml:space="preserve"> of Vocational Training</w:t>
            </w:r>
            <w:r w:rsidR="00F80706" w:rsidRPr="002805B6">
              <w:rPr>
                <w:sz w:val="18"/>
                <w:szCs w:val="18"/>
              </w:rPr>
              <w:t xml:space="preserve"> </w:t>
            </w:r>
            <w:r w:rsidR="00140C03" w:rsidRPr="002805B6">
              <w:rPr>
                <w:sz w:val="18"/>
                <w:szCs w:val="18"/>
              </w:rPr>
              <w:t>a</w:t>
            </w:r>
            <w:r w:rsidRPr="002805B6">
              <w:rPr>
                <w:sz w:val="18"/>
                <w:szCs w:val="18"/>
              </w:rPr>
              <w:t xml:space="preserve">nnual reports </w:t>
            </w:r>
          </w:p>
          <w:p w14:paraId="70888B26" w14:textId="77777777" w:rsidR="00B24E2F" w:rsidRPr="002805B6" w:rsidRDefault="00B24E2F" w:rsidP="005A2DBF">
            <w:pPr>
              <w:rPr>
                <w:sz w:val="18"/>
                <w:szCs w:val="18"/>
                <w:lang w:val="en"/>
              </w:rPr>
            </w:pPr>
          </w:p>
          <w:p w14:paraId="414F31AE" w14:textId="53C583B1" w:rsidR="00B24E2F" w:rsidRPr="002805B6" w:rsidRDefault="00B24E2F" w:rsidP="005A2DBF">
            <w:pPr>
              <w:rPr>
                <w:bCs/>
                <w:i/>
                <w:iCs/>
                <w:sz w:val="18"/>
                <w:szCs w:val="18"/>
              </w:rPr>
            </w:pPr>
            <w:r w:rsidRPr="002805B6">
              <w:rPr>
                <w:b/>
                <w:sz w:val="18"/>
                <w:szCs w:val="18"/>
              </w:rPr>
              <w:t>Output 2.5:</w:t>
            </w:r>
            <w:r w:rsidRPr="002805B6">
              <w:rPr>
                <w:sz w:val="18"/>
                <w:szCs w:val="18"/>
              </w:rPr>
              <w:t xml:space="preserve"> </w:t>
            </w:r>
            <w:r w:rsidRPr="00110ECD">
              <w:rPr>
                <w:sz w:val="18"/>
                <w:szCs w:val="18"/>
              </w:rPr>
              <w:t xml:space="preserve">A </w:t>
            </w:r>
            <w:r w:rsidR="004D2724">
              <w:rPr>
                <w:sz w:val="18"/>
                <w:szCs w:val="18"/>
              </w:rPr>
              <w:t>labour</w:t>
            </w:r>
            <w:r w:rsidRPr="00110ECD">
              <w:rPr>
                <w:sz w:val="18"/>
                <w:szCs w:val="18"/>
              </w:rPr>
              <w:t xml:space="preserve"> market information system is in place and operational.</w:t>
            </w:r>
          </w:p>
          <w:p w14:paraId="1631CA3D" w14:textId="77777777" w:rsidR="00B24E2F" w:rsidRPr="002805B6" w:rsidRDefault="00B24E2F" w:rsidP="005A2DBF">
            <w:pPr>
              <w:rPr>
                <w:b/>
                <w:bCs/>
                <w:iCs/>
                <w:sz w:val="18"/>
                <w:szCs w:val="18"/>
              </w:rPr>
            </w:pPr>
          </w:p>
          <w:p w14:paraId="0F283A77" w14:textId="5B5A1123" w:rsidR="00B24E2F" w:rsidRPr="002805B6" w:rsidRDefault="00B24E2F" w:rsidP="005A2DBF">
            <w:pPr>
              <w:rPr>
                <w:b/>
                <w:bCs/>
                <w:iCs/>
                <w:sz w:val="18"/>
                <w:szCs w:val="18"/>
              </w:rPr>
            </w:pPr>
            <w:r w:rsidRPr="002805B6">
              <w:rPr>
                <w:b/>
                <w:bCs/>
                <w:iCs/>
                <w:sz w:val="18"/>
                <w:szCs w:val="18"/>
              </w:rPr>
              <w:t xml:space="preserve">Indicator 2.5.1: Existence of a </w:t>
            </w:r>
            <w:r w:rsidR="004D2724">
              <w:rPr>
                <w:b/>
                <w:bCs/>
                <w:iCs/>
                <w:sz w:val="18"/>
                <w:szCs w:val="18"/>
              </w:rPr>
              <w:t>labour</w:t>
            </w:r>
            <w:r w:rsidRPr="002805B6">
              <w:rPr>
                <w:b/>
                <w:bCs/>
                <w:iCs/>
                <w:sz w:val="18"/>
                <w:szCs w:val="18"/>
              </w:rPr>
              <w:t xml:space="preserve"> market information system</w:t>
            </w:r>
          </w:p>
          <w:p w14:paraId="15579278" w14:textId="77777777" w:rsidR="00B24E2F" w:rsidRPr="002805B6" w:rsidRDefault="00B24E2F" w:rsidP="005A2DBF">
            <w:pPr>
              <w:rPr>
                <w:sz w:val="18"/>
                <w:szCs w:val="18"/>
              </w:rPr>
            </w:pPr>
            <w:r w:rsidRPr="002805B6">
              <w:rPr>
                <w:b/>
                <w:bCs/>
                <w:iCs/>
                <w:sz w:val="18"/>
                <w:szCs w:val="18"/>
              </w:rPr>
              <w:t>Baseline</w:t>
            </w:r>
            <w:r w:rsidRPr="002805B6">
              <w:rPr>
                <w:bCs/>
                <w:iCs/>
                <w:sz w:val="18"/>
                <w:szCs w:val="18"/>
              </w:rPr>
              <w:t xml:space="preserve"> </w:t>
            </w:r>
            <w:r w:rsidRPr="002805B6">
              <w:rPr>
                <w:sz w:val="18"/>
                <w:szCs w:val="18"/>
              </w:rPr>
              <w:t>(2017): No</w:t>
            </w:r>
          </w:p>
          <w:p w14:paraId="5B9AB1A6" w14:textId="77777777" w:rsidR="00B24E2F" w:rsidRPr="002805B6" w:rsidRDefault="00B24E2F" w:rsidP="005A2DBF">
            <w:pPr>
              <w:rPr>
                <w:sz w:val="18"/>
                <w:szCs w:val="18"/>
              </w:rPr>
            </w:pPr>
            <w:r w:rsidRPr="002805B6">
              <w:rPr>
                <w:b/>
                <w:sz w:val="18"/>
                <w:szCs w:val="18"/>
              </w:rPr>
              <w:t>Target:</w:t>
            </w:r>
            <w:r w:rsidRPr="002805B6">
              <w:rPr>
                <w:sz w:val="18"/>
                <w:szCs w:val="18"/>
              </w:rPr>
              <w:t xml:space="preserve"> Yes</w:t>
            </w:r>
          </w:p>
          <w:p w14:paraId="589E2603" w14:textId="07971BCD" w:rsidR="00B24E2F" w:rsidRPr="002805B6" w:rsidRDefault="00B24E2F" w:rsidP="005A2DBF">
            <w:pPr>
              <w:rPr>
                <w:sz w:val="18"/>
                <w:szCs w:val="18"/>
              </w:rPr>
            </w:pPr>
            <w:r w:rsidRPr="002805B6">
              <w:rPr>
                <w:b/>
                <w:sz w:val="18"/>
                <w:szCs w:val="18"/>
              </w:rPr>
              <w:t>Data source:</w:t>
            </w:r>
            <w:r w:rsidRPr="002805B6">
              <w:rPr>
                <w:sz w:val="18"/>
                <w:szCs w:val="18"/>
              </w:rPr>
              <w:t xml:space="preserve"> </w:t>
            </w:r>
            <w:r w:rsidR="00F80706" w:rsidRPr="002805B6">
              <w:rPr>
                <w:sz w:val="18"/>
                <w:szCs w:val="18"/>
                <w:lang w:val="en"/>
              </w:rPr>
              <w:t xml:space="preserve"> Ministr</w:t>
            </w:r>
            <w:r w:rsidR="00F80706">
              <w:rPr>
                <w:sz w:val="18"/>
                <w:szCs w:val="18"/>
                <w:lang w:val="en"/>
              </w:rPr>
              <w:t>y</w:t>
            </w:r>
            <w:r w:rsidR="00F80706" w:rsidRPr="002805B6">
              <w:rPr>
                <w:sz w:val="18"/>
                <w:szCs w:val="18"/>
                <w:lang w:val="en"/>
              </w:rPr>
              <w:t xml:space="preserve"> of Vocational Training</w:t>
            </w:r>
            <w:r w:rsidR="00F80706" w:rsidRPr="002805B6">
              <w:rPr>
                <w:sz w:val="18"/>
                <w:szCs w:val="18"/>
              </w:rPr>
              <w:t xml:space="preserve"> </w:t>
            </w:r>
            <w:r w:rsidR="00140C03" w:rsidRPr="002805B6">
              <w:rPr>
                <w:sz w:val="18"/>
                <w:szCs w:val="18"/>
              </w:rPr>
              <w:t>annual reports</w:t>
            </w:r>
          </w:p>
          <w:p w14:paraId="462532D5" w14:textId="77777777" w:rsidR="00B24E2F" w:rsidRPr="002805B6" w:rsidRDefault="00B24E2F" w:rsidP="005A2DBF">
            <w:pPr>
              <w:rPr>
                <w:b/>
                <w:bCs/>
                <w:iCs/>
                <w:sz w:val="18"/>
                <w:szCs w:val="18"/>
              </w:rPr>
            </w:pPr>
          </w:p>
          <w:p w14:paraId="1C1BE4E1" w14:textId="0C3AB434" w:rsidR="00B24E2F" w:rsidRPr="002805B6" w:rsidRDefault="00B24E2F" w:rsidP="005A2DBF">
            <w:pPr>
              <w:rPr>
                <w:b/>
                <w:bCs/>
                <w:iCs/>
                <w:sz w:val="18"/>
                <w:szCs w:val="18"/>
              </w:rPr>
            </w:pPr>
            <w:r w:rsidRPr="002805B6">
              <w:rPr>
                <w:b/>
                <w:bCs/>
                <w:iCs/>
                <w:sz w:val="18"/>
                <w:szCs w:val="18"/>
              </w:rPr>
              <w:t xml:space="preserve">Indicator 2.5.2: </w:t>
            </w:r>
            <w:r w:rsidRPr="002805B6">
              <w:rPr>
                <w:bCs/>
                <w:iCs/>
                <w:sz w:val="18"/>
                <w:szCs w:val="18"/>
              </w:rPr>
              <w:t xml:space="preserve">Number of reports on </w:t>
            </w:r>
            <w:r w:rsidR="004D2724">
              <w:rPr>
                <w:bCs/>
                <w:iCs/>
                <w:sz w:val="18"/>
                <w:szCs w:val="18"/>
              </w:rPr>
              <w:t>labour</w:t>
            </w:r>
            <w:r w:rsidRPr="002805B6">
              <w:rPr>
                <w:bCs/>
                <w:iCs/>
                <w:sz w:val="18"/>
                <w:szCs w:val="18"/>
              </w:rPr>
              <w:t xml:space="preserve"> market published on time</w:t>
            </w:r>
          </w:p>
          <w:p w14:paraId="75285ADC" w14:textId="77777777" w:rsidR="00B24E2F" w:rsidRPr="002805B6" w:rsidRDefault="00B24E2F" w:rsidP="005A2DBF">
            <w:pPr>
              <w:rPr>
                <w:sz w:val="18"/>
                <w:szCs w:val="18"/>
              </w:rPr>
            </w:pPr>
            <w:r w:rsidRPr="002805B6">
              <w:rPr>
                <w:b/>
                <w:bCs/>
                <w:iCs/>
                <w:sz w:val="18"/>
                <w:szCs w:val="18"/>
              </w:rPr>
              <w:t>Baseline</w:t>
            </w:r>
            <w:r w:rsidRPr="002805B6">
              <w:rPr>
                <w:bCs/>
                <w:iCs/>
                <w:sz w:val="18"/>
                <w:szCs w:val="18"/>
              </w:rPr>
              <w:t xml:space="preserve"> </w:t>
            </w:r>
            <w:r w:rsidRPr="002805B6">
              <w:rPr>
                <w:sz w:val="18"/>
                <w:szCs w:val="18"/>
              </w:rPr>
              <w:t>(2017): 0</w:t>
            </w:r>
          </w:p>
          <w:p w14:paraId="2832A2EF" w14:textId="77777777" w:rsidR="00B24E2F" w:rsidRPr="002805B6" w:rsidRDefault="00B24E2F" w:rsidP="005A2DBF">
            <w:pPr>
              <w:rPr>
                <w:sz w:val="18"/>
                <w:szCs w:val="18"/>
              </w:rPr>
            </w:pPr>
            <w:r w:rsidRPr="002805B6">
              <w:rPr>
                <w:b/>
                <w:sz w:val="18"/>
                <w:szCs w:val="18"/>
              </w:rPr>
              <w:t>Target:</w:t>
            </w:r>
            <w:r w:rsidRPr="002805B6">
              <w:rPr>
                <w:sz w:val="18"/>
                <w:szCs w:val="18"/>
              </w:rPr>
              <w:t xml:space="preserve"> 5</w:t>
            </w:r>
          </w:p>
          <w:p w14:paraId="39A16BCA" w14:textId="4B1243CA" w:rsidR="00B24E2F" w:rsidRPr="002805B6" w:rsidRDefault="00B24E2F" w:rsidP="005A2DBF">
            <w:pPr>
              <w:rPr>
                <w:i/>
                <w:iCs/>
                <w:snapToGrid/>
                <w:sz w:val="18"/>
                <w:szCs w:val="18"/>
                <w:lang w:val="en" w:eastAsia="en-US"/>
              </w:rPr>
            </w:pPr>
            <w:r w:rsidRPr="002805B6">
              <w:rPr>
                <w:b/>
                <w:sz w:val="18"/>
                <w:szCs w:val="18"/>
              </w:rPr>
              <w:t>Data source:</w:t>
            </w:r>
            <w:r w:rsidRPr="002805B6">
              <w:rPr>
                <w:sz w:val="18"/>
                <w:szCs w:val="18"/>
              </w:rPr>
              <w:t xml:space="preserve"> </w:t>
            </w:r>
            <w:r w:rsidR="004D2724" w:rsidRPr="002805B6">
              <w:rPr>
                <w:sz w:val="18"/>
                <w:szCs w:val="18"/>
                <w:lang w:val="en"/>
              </w:rPr>
              <w:t xml:space="preserve"> Ministr</w:t>
            </w:r>
            <w:r w:rsidR="004D2724">
              <w:rPr>
                <w:sz w:val="18"/>
                <w:szCs w:val="18"/>
                <w:lang w:val="en"/>
              </w:rPr>
              <w:t>y</w:t>
            </w:r>
            <w:r w:rsidR="004D2724" w:rsidRPr="002805B6">
              <w:rPr>
                <w:sz w:val="18"/>
                <w:szCs w:val="18"/>
                <w:lang w:val="en"/>
              </w:rPr>
              <w:t xml:space="preserve"> of Vocational Training</w:t>
            </w:r>
            <w:r w:rsidR="004D2724" w:rsidRPr="002805B6">
              <w:rPr>
                <w:sz w:val="18"/>
                <w:szCs w:val="18"/>
              </w:rPr>
              <w:t xml:space="preserve"> </w:t>
            </w:r>
            <w:r w:rsidR="00140C03" w:rsidRPr="002805B6">
              <w:rPr>
                <w:sz w:val="18"/>
                <w:szCs w:val="18"/>
              </w:rPr>
              <w:t>a</w:t>
            </w:r>
            <w:r w:rsidRPr="002805B6">
              <w:rPr>
                <w:sz w:val="18"/>
                <w:szCs w:val="18"/>
              </w:rPr>
              <w:t xml:space="preserve">nnual reports </w:t>
            </w:r>
          </w:p>
        </w:tc>
        <w:tc>
          <w:tcPr>
            <w:tcW w:w="965" w:type="pct"/>
            <w:vMerge w:val="restart"/>
          </w:tcPr>
          <w:p w14:paraId="00B0EA5F" w14:textId="0A06A56E" w:rsidR="00B24E2F" w:rsidRPr="002805B6" w:rsidRDefault="00B24E2F" w:rsidP="005A2DBF">
            <w:pPr>
              <w:rPr>
                <w:sz w:val="18"/>
                <w:szCs w:val="18"/>
              </w:rPr>
            </w:pPr>
            <w:r w:rsidRPr="002805B6">
              <w:rPr>
                <w:sz w:val="18"/>
                <w:szCs w:val="18"/>
              </w:rPr>
              <w:lastRenderedPageBreak/>
              <w:t>Ministries in charg</w:t>
            </w:r>
            <w:r w:rsidR="00103FA3">
              <w:rPr>
                <w:sz w:val="18"/>
                <w:szCs w:val="18"/>
              </w:rPr>
              <w:t xml:space="preserve">e </w:t>
            </w:r>
            <w:r w:rsidRPr="002805B6">
              <w:rPr>
                <w:sz w:val="18"/>
                <w:szCs w:val="18"/>
              </w:rPr>
              <w:t>of:</w:t>
            </w:r>
          </w:p>
          <w:p w14:paraId="1E1BE4A7" w14:textId="77777777" w:rsidR="00B24E2F" w:rsidRPr="002805B6" w:rsidRDefault="00B24E2F" w:rsidP="005A2DBF">
            <w:pPr>
              <w:rPr>
                <w:sz w:val="18"/>
                <w:szCs w:val="18"/>
              </w:rPr>
            </w:pPr>
            <w:r w:rsidRPr="002805B6">
              <w:rPr>
                <w:sz w:val="18"/>
                <w:szCs w:val="18"/>
              </w:rPr>
              <w:t xml:space="preserve">-health, </w:t>
            </w:r>
          </w:p>
          <w:p w14:paraId="2F1F9F9B" w14:textId="77777777" w:rsidR="00B24E2F" w:rsidRPr="002805B6" w:rsidRDefault="00B24E2F" w:rsidP="005A2DBF">
            <w:pPr>
              <w:rPr>
                <w:sz w:val="18"/>
                <w:szCs w:val="18"/>
              </w:rPr>
            </w:pPr>
            <w:r w:rsidRPr="002805B6">
              <w:rPr>
                <w:sz w:val="18"/>
                <w:szCs w:val="18"/>
              </w:rPr>
              <w:t xml:space="preserve">-education, </w:t>
            </w:r>
          </w:p>
          <w:p w14:paraId="6B3AC07B" w14:textId="77777777" w:rsidR="00B24E2F" w:rsidRPr="002805B6" w:rsidRDefault="00B24E2F" w:rsidP="005A2DBF">
            <w:pPr>
              <w:rPr>
                <w:sz w:val="18"/>
                <w:szCs w:val="18"/>
              </w:rPr>
            </w:pPr>
            <w:r w:rsidRPr="002805B6">
              <w:rPr>
                <w:sz w:val="18"/>
                <w:szCs w:val="18"/>
              </w:rPr>
              <w:t>-water and sanitation,</w:t>
            </w:r>
          </w:p>
          <w:p w14:paraId="47F71599" w14:textId="77777777" w:rsidR="00B24E2F" w:rsidRPr="002805B6" w:rsidRDefault="00B24E2F" w:rsidP="005A2DBF">
            <w:pPr>
              <w:rPr>
                <w:sz w:val="18"/>
                <w:szCs w:val="18"/>
              </w:rPr>
            </w:pPr>
            <w:r w:rsidRPr="002805B6">
              <w:rPr>
                <w:sz w:val="18"/>
                <w:szCs w:val="18"/>
              </w:rPr>
              <w:t>-employment,</w:t>
            </w:r>
          </w:p>
          <w:p w14:paraId="6D0467D2" w14:textId="77777777" w:rsidR="00B24E2F" w:rsidRPr="002805B6" w:rsidRDefault="00B24E2F" w:rsidP="005A2DBF">
            <w:pPr>
              <w:rPr>
                <w:sz w:val="18"/>
                <w:szCs w:val="18"/>
              </w:rPr>
            </w:pPr>
            <w:r w:rsidRPr="002805B6">
              <w:rPr>
                <w:sz w:val="18"/>
                <w:szCs w:val="18"/>
              </w:rPr>
              <w:t>-Infrastructures</w:t>
            </w:r>
          </w:p>
          <w:p w14:paraId="5D0FC9F0" w14:textId="3C05283B" w:rsidR="00B24E2F" w:rsidRPr="002805B6" w:rsidRDefault="00B24E2F" w:rsidP="005A2DBF">
            <w:pPr>
              <w:rPr>
                <w:sz w:val="18"/>
                <w:szCs w:val="18"/>
              </w:rPr>
            </w:pPr>
            <w:r w:rsidRPr="002805B6">
              <w:rPr>
                <w:sz w:val="18"/>
                <w:szCs w:val="18"/>
              </w:rPr>
              <w:t>-</w:t>
            </w:r>
            <w:r w:rsidR="00353D09">
              <w:rPr>
                <w:sz w:val="18"/>
                <w:szCs w:val="18"/>
              </w:rPr>
              <w:t>a</w:t>
            </w:r>
            <w:r w:rsidRPr="002805B6">
              <w:rPr>
                <w:sz w:val="18"/>
                <w:szCs w:val="18"/>
              </w:rPr>
              <w:t>griculture</w:t>
            </w:r>
          </w:p>
          <w:p w14:paraId="41C2F6B2" w14:textId="77777777" w:rsidR="00B24E2F" w:rsidRPr="002805B6" w:rsidRDefault="00B24E2F" w:rsidP="005A2DBF">
            <w:pPr>
              <w:rPr>
                <w:sz w:val="18"/>
                <w:szCs w:val="18"/>
              </w:rPr>
            </w:pPr>
            <w:r w:rsidRPr="002805B6">
              <w:rPr>
                <w:sz w:val="18"/>
                <w:szCs w:val="18"/>
              </w:rPr>
              <w:t xml:space="preserve">-Finance and economy </w:t>
            </w:r>
          </w:p>
          <w:p w14:paraId="6F7EE3D3" w14:textId="77777777" w:rsidR="00B24E2F" w:rsidRPr="002805B6" w:rsidRDefault="00B24E2F" w:rsidP="005A2DBF">
            <w:pPr>
              <w:rPr>
                <w:sz w:val="18"/>
                <w:szCs w:val="18"/>
              </w:rPr>
            </w:pPr>
            <w:r w:rsidRPr="002805B6">
              <w:rPr>
                <w:sz w:val="18"/>
                <w:szCs w:val="18"/>
              </w:rPr>
              <w:t xml:space="preserve">-development at the grassroots level, </w:t>
            </w:r>
          </w:p>
          <w:p w14:paraId="71F71BB2" w14:textId="77777777" w:rsidR="00B24E2F" w:rsidRPr="002805B6" w:rsidRDefault="00B24E2F" w:rsidP="005A2DBF">
            <w:pPr>
              <w:rPr>
                <w:sz w:val="18"/>
                <w:szCs w:val="18"/>
              </w:rPr>
            </w:pPr>
            <w:r w:rsidRPr="002805B6">
              <w:rPr>
                <w:sz w:val="18"/>
                <w:szCs w:val="18"/>
              </w:rPr>
              <w:t>-vocational training</w:t>
            </w:r>
          </w:p>
          <w:p w14:paraId="2FEE7A38" w14:textId="77777777" w:rsidR="00B24E2F" w:rsidRPr="002805B6" w:rsidRDefault="00B24E2F" w:rsidP="005A2DBF">
            <w:pPr>
              <w:rPr>
                <w:sz w:val="18"/>
                <w:szCs w:val="18"/>
              </w:rPr>
            </w:pPr>
          </w:p>
          <w:p w14:paraId="6AD3883D" w14:textId="77777777" w:rsidR="00B24E2F" w:rsidRPr="002805B6" w:rsidRDefault="00B24E2F" w:rsidP="005A2DBF">
            <w:pPr>
              <w:rPr>
                <w:sz w:val="18"/>
                <w:szCs w:val="18"/>
              </w:rPr>
            </w:pPr>
            <w:r w:rsidRPr="002805B6">
              <w:rPr>
                <w:sz w:val="18"/>
                <w:szCs w:val="18"/>
              </w:rPr>
              <w:t>INSEED</w:t>
            </w:r>
          </w:p>
          <w:p w14:paraId="501E7A74" w14:textId="4DD91CC2" w:rsidR="00B24E2F" w:rsidRPr="002805B6" w:rsidRDefault="000E26E2" w:rsidP="005A2DBF">
            <w:pPr>
              <w:rPr>
                <w:sz w:val="18"/>
                <w:szCs w:val="18"/>
              </w:rPr>
            </w:pPr>
            <w:r>
              <w:rPr>
                <w:sz w:val="18"/>
                <w:szCs w:val="18"/>
              </w:rPr>
              <w:t xml:space="preserve">National Agency for Local Development </w:t>
            </w:r>
          </w:p>
          <w:p w14:paraId="3C4C9C5E" w14:textId="691C6A80" w:rsidR="00B24E2F" w:rsidRPr="002805B6" w:rsidRDefault="00B24E2F" w:rsidP="005A2DBF">
            <w:pPr>
              <w:rPr>
                <w:sz w:val="18"/>
                <w:szCs w:val="18"/>
              </w:rPr>
            </w:pPr>
            <w:r w:rsidRPr="002805B6">
              <w:rPr>
                <w:sz w:val="18"/>
                <w:szCs w:val="18"/>
              </w:rPr>
              <w:t>I</w:t>
            </w:r>
            <w:r w:rsidR="00110ECD" w:rsidRPr="002805B6">
              <w:rPr>
                <w:sz w:val="18"/>
                <w:szCs w:val="18"/>
              </w:rPr>
              <w:t>NNOV</w:t>
            </w:r>
            <w:r w:rsidR="00110ECD">
              <w:rPr>
                <w:sz w:val="18"/>
                <w:szCs w:val="18"/>
              </w:rPr>
              <w:t>’</w:t>
            </w:r>
            <w:r w:rsidR="00110ECD" w:rsidRPr="002805B6">
              <w:rPr>
                <w:sz w:val="18"/>
                <w:szCs w:val="18"/>
              </w:rPr>
              <w:t>UP</w:t>
            </w:r>
            <w:r w:rsidR="000E26E2">
              <w:rPr>
                <w:sz w:val="18"/>
                <w:szCs w:val="18"/>
              </w:rPr>
              <w:t xml:space="preserve"> Entrepreneurial Centre for Businesswomen of Togo</w:t>
            </w:r>
          </w:p>
          <w:p w14:paraId="62178F06" w14:textId="1D3114DF" w:rsidR="00B24E2F" w:rsidRPr="002805B6" w:rsidRDefault="00110ECD" w:rsidP="005A2DBF">
            <w:pPr>
              <w:rPr>
                <w:sz w:val="18"/>
                <w:szCs w:val="18"/>
              </w:rPr>
            </w:pPr>
            <w:r>
              <w:rPr>
                <w:sz w:val="18"/>
                <w:szCs w:val="18"/>
              </w:rPr>
              <w:t xml:space="preserve">Regional Centre for technical Instruction and Professional Formation </w:t>
            </w:r>
          </w:p>
          <w:p w14:paraId="3CD6C0F5" w14:textId="7EFA730B" w:rsidR="00B24E2F" w:rsidRPr="002805B6" w:rsidRDefault="000E26E2" w:rsidP="005A2DBF">
            <w:pPr>
              <w:rPr>
                <w:sz w:val="18"/>
                <w:szCs w:val="18"/>
              </w:rPr>
            </w:pPr>
            <w:r>
              <w:rPr>
                <w:sz w:val="18"/>
                <w:szCs w:val="18"/>
              </w:rPr>
              <w:t>National Agency for Employment</w:t>
            </w:r>
          </w:p>
          <w:p w14:paraId="15B54070" w14:textId="77777777" w:rsidR="00B24E2F" w:rsidRPr="002805B6" w:rsidRDefault="00B24E2F" w:rsidP="005A2DBF">
            <w:pPr>
              <w:rPr>
                <w:sz w:val="18"/>
                <w:szCs w:val="18"/>
              </w:rPr>
            </w:pPr>
          </w:p>
          <w:p w14:paraId="6575BC76" w14:textId="77777777" w:rsidR="00B24E2F" w:rsidRPr="002805B6" w:rsidRDefault="00B24E2F" w:rsidP="005A2DBF">
            <w:pPr>
              <w:rPr>
                <w:sz w:val="18"/>
                <w:szCs w:val="18"/>
              </w:rPr>
            </w:pPr>
            <w:r w:rsidRPr="002805B6">
              <w:rPr>
                <w:sz w:val="18"/>
                <w:szCs w:val="18"/>
              </w:rPr>
              <w:t xml:space="preserve">ILO </w:t>
            </w:r>
          </w:p>
          <w:p w14:paraId="70CBE869" w14:textId="77777777" w:rsidR="00B24E2F" w:rsidRPr="002805B6" w:rsidRDefault="00B24E2F" w:rsidP="005A2DBF">
            <w:pPr>
              <w:rPr>
                <w:sz w:val="18"/>
                <w:szCs w:val="18"/>
                <w:lang w:val="en"/>
              </w:rPr>
            </w:pPr>
            <w:r w:rsidRPr="002805B6">
              <w:rPr>
                <w:sz w:val="18"/>
                <w:szCs w:val="18"/>
                <w:lang w:val="en"/>
              </w:rPr>
              <w:t>UNICEF</w:t>
            </w:r>
          </w:p>
          <w:p w14:paraId="599FF369" w14:textId="77777777" w:rsidR="00B24E2F" w:rsidRPr="002805B6" w:rsidRDefault="00B24E2F" w:rsidP="005A2DBF">
            <w:pPr>
              <w:rPr>
                <w:sz w:val="18"/>
                <w:szCs w:val="18"/>
                <w:lang w:val="en"/>
              </w:rPr>
            </w:pPr>
            <w:r w:rsidRPr="002805B6">
              <w:rPr>
                <w:sz w:val="18"/>
                <w:szCs w:val="18"/>
                <w:lang w:val="en"/>
              </w:rPr>
              <w:t>WHO</w:t>
            </w:r>
          </w:p>
          <w:p w14:paraId="6849F94E" w14:textId="77777777" w:rsidR="00B24E2F" w:rsidRPr="002805B6" w:rsidRDefault="00B24E2F" w:rsidP="005A2DBF">
            <w:pPr>
              <w:rPr>
                <w:sz w:val="18"/>
                <w:szCs w:val="18"/>
                <w:lang w:val="en"/>
              </w:rPr>
            </w:pPr>
            <w:r w:rsidRPr="002805B6">
              <w:rPr>
                <w:sz w:val="18"/>
                <w:szCs w:val="18"/>
                <w:lang w:val="en"/>
              </w:rPr>
              <w:t>UNFPA</w:t>
            </w:r>
          </w:p>
          <w:p w14:paraId="78EE1055" w14:textId="77777777" w:rsidR="00B24E2F" w:rsidRPr="002805B6" w:rsidRDefault="00B24E2F" w:rsidP="005A2DBF">
            <w:pPr>
              <w:rPr>
                <w:sz w:val="18"/>
                <w:szCs w:val="18"/>
              </w:rPr>
            </w:pPr>
            <w:r w:rsidRPr="002805B6">
              <w:rPr>
                <w:sz w:val="18"/>
                <w:szCs w:val="18"/>
                <w:lang w:val="en"/>
              </w:rPr>
              <w:t>UNAIDS</w:t>
            </w:r>
          </w:p>
          <w:p w14:paraId="5FF57567" w14:textId="77777777" w:rsidR="00B24E2F" w:rsidRPr="002805B6" w:rsidRDefault="00B24E2F" w:rsidP="005A2DBF">
            <w:pPr>
              <w:rPr>
                <w:sz w:val="18"/>
                <w:szCs w:val="18"/>
              </w:rPr>
            </w:pPr>
            <w:r w:rsidRPr="002805B6">
              <w:rPr>
                <w:sz w:val="18"/>
                <w:szCs w:val="18"/>
              </w:rPr>
              <w:t>AfDB</w:t>
            </w:r>
          </w:p>
          <w:p w14:paraId="66A5D93E" w14:textId="77777777" w:rsidR="00B24E2F" w:rsidRPr="002805B6" w:rsidRDefault="00B24E2F" w:rsidP="005A2DBF">
            <w:pPr>
              <w:rPr>
                <w:sz w:val="18"/>
                <w:szCs w:val="18"/>
              </w:rPr>
            </w:pPr>
          </w:p>
          <w:p w14:paraId="038BFDCA" w14:textId="77777777" w:rsidR="00B24E2F" w:rsidRPr="002805B6" w:rsidRDefault="00B24E2F" w:rsidP="005A2DBF">
            <w:pPr>
              <w:rPr>
                <w:sz w:val="18"/>
                <w:szCs w:val="18"/>
              </w:rPr>
            </w:pPr>
            <w:r w:rsidRPr="002805B6">
              <w:rPr>
                <w:sz w:val="18"/>
                <w:szCs w:val="18"/>
              </w:rPr>
              <w:t>JICA</w:t>
            </w:r>
          </w:p>
          <w:p w14:paraId="2C93CED4" w14:textId="77777777" w:rsidR="00B24E2F" w:rsidRPr="002805B6" w:rsidRDefault="00B24E2F" w:rsidP="005A2DBF">
            <w:pPr>
              <w:rPr>
                <w:sz w:val="18"/>
                <w:szCs w:val="18"/>
              </w:rPr>
            </w:pPr>
          </w:p>
          <w:p w14:paraId="3D726771" w14:textId="77777777" w:rsidR="00B24E2F" w:rsidRPr="002805B6" w:rsidRDefault="00B24E2F" w:rsidP="005A2DBF">
            <w:pPr>
              <w:rPr>
                <w:sz w:val="18"/>
                <w:szCs w:val="18"/>
              </w:rPr>
            </w:pPr>
            <w:r w:rsidRPr="002805B6">
              <w:rPr>
                <w:sz w:val="18"/>
                <w:szCs w:val="18"/>
              </w:rPr>
              <w:t>GIZ</w:t>
            </w:r>
          </w:p>
          <w:p w14:paraId="68F73E61" w14:textId="77777777" w:rsidR="00B24E2F" w:rsidRPr="002805B6" w:rsidRDefault="00B24E2F" w:rsidP="005A2DBF">
            <w:pPr>
              <w:rPr>
                <w:i/>
                <w:iCs/>
                <w:snapToGrid/>
                <w:sz w:val="18"/>
                <w:szCs w:val="18"/>
                <w:lang w:val="en-GB" w:eastAsia="en-US"/>
              </w:rPr>
            </w:pPr>
          </w:p>
        </w:tc>
        <w:tc>
          <w:tcPr>
            <w:tcW w:w="663" w:type="pct"/>
            <w:tcMar>
              <w:top w:w="15" w:type="dxa"/>
              <w:left w:w="108" w:type="dxa"/>
              <w:bottom w:w="0" w:type="dxa"/>
              <w:right w:w="108" w:type="dxa"/>
            </w:tcMar>
          </w:tcPr>
          <w:p w14:paraId="7020F164" w14:textId="77777777" w:rsidR="00B24E2F" w:rsidRPr="002805B6" w:rsidRDefault="00B24E2F" w:rsidP="005A2DBF">
            <w:pPr>
              <w:rPr>
                <w:b/>
                <w:bCs/>
                <w:sz w:val="18"/>
                <w:szCs w:val="18"/>
              </w:rPr>
            </w:pPr>
            <w:r w:rsidRPr="002805B6">
              <w:rPr>
                <w:b/>
                <w:bCs/>
                <w:sz w:val="18"/>
                <w:szCs w:val="18"/>
              </w:rPr>
              <w:lastRenderedPageBreak/>
              <w:t xml:space="preserve">Regular: </w:t>
            </w:r>
          </w:p>
          <w:p w14:paraId="3AD98795" w14:textId="36AE43A3" w:rsidR="00B24E2F" w:rsidRPr="002805B6" w:rsidRDefault="004E395E" w:rsidP="005A2DBF">
            <w:pPr>
              <w:rPr>
                <w:b/>
                <w:snapToGrid/>
                <w:sz w:val="18"/>
                <w:szCs w:val="18"/>
                <w:lang w:eastAsia="en-US"/>
              </w:rPr>
            </w:pPr>
            <w:r>
              <w:rPr>
                <w:b/>
                <w:bCs/>
                <w:sz w:val="18"/>
                <w:szCs w:val="18"/>
              </w:rPr>
              <w:t>$</w:t>
            </w:r>
            <w:r w:rsidR="00EA1361" w:rsidRPr="002805B6">
              <w:rPr>
                <w:b/>
                <w:bCs/>
                <w:sz w:val="18"/>
                <w:szCs w:val="18"/>
              </w:rPr>
              <w:t>13</w:t>
            </w:r>
            <w:r w:rsidR="00D575D0" w:rsidRPr="002805B6">
              <w:rPr>
                <w:b/>
                <w:bCs/>
                <w:sz w:val="18"/>
                <w:szCs w:val="18"/>
              </w:rPr>
              <w:t>,</w:t>
            </w:r>
            <w:r w:rsidR="000E1041" w:rsidRPr="002805B6">
              <w:rPr>
                <w:b/>
                <w:bCs/>
                <w:sz w:val="18"/>
                <w:szCs w:val="18"/>
              </w:rPr>
              <w:t>657</w:t>
            </w:r>
            <w:r w:rsidR="00D575D0" w:rsidRPr="002805B6">
              <w:rPr>
                <w:b/>
                <w:bCs/>
                <w:sz w:val="18"/>
                <w:szCs w:val="18"/>
              </w:rPr>
              <w:t>,</w:t>
            </w:r>
            <w:r w:rsidR="00A346A9" w:rsidRPr="002805B6">
              <w:rPr>
                <w:b/>
                <w:bCs/>
                <w:sz w:val="18"/>
                <w:szCs w:val="18"/>
              </w:rPr>
              <w:t>000</w:t>
            </w:r>
          </w:p>
        </w:tc>
      </w:tr>
      <w:tr w:rsidR="00B24E2F" w:rsidRPr="000B4EB5" w14:paraId="7ADBAAB1" w14:textId="77777777" w:rsidTr="00C52FF6">
        <w:tc>
          <w:tcPr>
            <w:tcW w:w="849" w:type="pct"/>
            <w:vMerge/>
            <w:tcBorders>
              <w:bottom w:val="single" w:sz="4" w:space="0" w:color="auto"/>
            </w:tcBorders>
            <w:tcMar>
              <w:top w:w="72" w:type="dxa"/>
              <w:left w:w="144" w:type="dxa"/>
              <w:bottom w:w="72" w:type="dxa"/>
              <w:right w:w="144" w:type="dxa"/>
            </w:tcMar>
          </w:tcPr>
          <w:p w14:paraId="367F0F5F" w14:textId="77777777" w:rsidR="00B24E2F" w:rsidRPr="002805B6" w:rsidRDefault="00B24E2F" w:rsidP="005A2DBF">
            <w:pPr>
              <w:rPr>
                <w:i/>
                <w:iCs/>
                <w:snapToGrid/>
                <w:sz w:val="18"/>
                <w:szCs w:val="18"/>
                <w:lang w:val="en-GB" w:eastAsia="en-US"/>
              </w:rPr>
            </w:pPr>
          </w:p>
        </w:tc>
        <w:tc>
          <w:tcPr>
            <w:tcW w:w="897" w:type="pct"/>
            <w:vMerge/>
            <w:tcBorders>
              <w:bottom w:val="single" w:sz="4" w:space="0" w:color="auto"/>
            </w:tcBorders>
          </w:tcPr>
          <w:p w14:paraId="437D6FE0" w14:textId="77777777" w:rsidR="00B24E2F" w:rsidRPr="002805B6" w:rsidRDefault="00B24E2F" w:rsidP="005A2DBF">
            <w:pPr>
              <w:rPr>
                <w:i/>
                <w:iCs/>
                <w:snapToGrid/>
                <w:sz w:val="18"/>
                <w:szCs w:val="18"/>
                <w:lang w:val="en-GB" w:eastAsia="en-US"/>
              </w:rPr>
            </w:pPr>
          </w:p>
        </w:tc>
        <w:tc>
          <w:tcPr>
            <w:tcW w:w="1626" w:type="pct"/>
            <w:vMerge/>
            <w:tcBorders>
              <w:bottom w:val="single" w:sz="4" w:space="0" w:color="auto"/>
            </w:tcBorders>
            <w:tcMar>
              <w:top w:w="72" w:type="dxa"/>
              <w:left w:w="144" w:type="dxa"/>
              <w:bottom w:w="72" w:type="dxa"/>
              <w:right w:w="144" w:type="dxa"/>
            </w:tcMar>
          </w:tcPr>
          <w:p w14:paraId="3E39BF57" w14:textId="77777777" w:rsidR="00B24E2F" w:rsidRPr="002805B6" w:rsidRDefault="00B24E2F" w:rsidP="005A2DBF">
            <w:pPr>
              <w:rPr>
                <w:i/>
                <w:iCs/>
                <w:snapToGrid/>
                <w:sz w:val="18"/>
                <w:szCs w:val="18"/>
                <w:lang w:val="en-GB" w:eastAsia="en-US"/>
              </w:rPr>
            </w:pPr>
          </w:p>
        </w:tc>
        <w:tc>
          <w:tcPr>
            <w:tcW w:w="965" w:type="pct"/>
            <w:vMerge/>
            <w:tcBorders>
              <w:bottom w:val="single" w:sz="4" w:space="0" w:color="auto"/>
            </w:tcBorders>
          </w:tcPr>
          <w:p w14:paraId="486E33B6" w14:textId="77777777" w:rsidR="00B24E2F" w:rsidRPr="002805B6" w:rsidRDefault="00B24E2F" w:rsidP="005A2DBF">
            <w:pPr>
              <w:rPr>
                <w:i/>
                <w:iCs/>
                <w:snapToGrid/>
                <w:sz w:val="18"/>
                <w:szCs w:val="18"/>
                <w:lang w:val="en-GB" w:eastAsia="en-US"/>
              </w:rPr>
            </w:pPr>
          </w:p>
        </w:tc>
        <w:tc>
          <w:tcPr>
            <w:tcW w:w="663" w:type="pct"/>
            <w:tcBorders>
              <w:bottom w:val="single" w:sz="4" w:space="0" w:color="auto"/>
            </w:tcBorders>
            <w:tcMar>
              <w:top w:w="15" w:type="dxa"/>
              <w:left w:w="108" w:type="dxa"/>
              <w:bottom w:w="0" w:type="dxa"/>
              <w:right w:w="108" w:type="dxa"/>
            </w:tcMar>
          </w:tcPr>
          <w:p w14:paraId="46C2B56B" w14:textId="77777777" w:rsidR="00B24E2F" w:rsidRPr="002805B6" w:rsidRDefault="00B24E2F" w:rsidP="005A2DBF">
            <w:pPr>
              <w:rPr>
                <w:b/>
                <w:bCs/>
                <w:sz w:val="18"/>
                <w:szCs w:val="18"/>
              </w:rPr>
            </w:pPr>
            <w:r w:rsidRPr="002805B6">
              <w:rPr>
                <w:b/>
                <w:bCs/>
                <w:sz w:val="18"/>
                <w:szCs w:val="18"/>
              </w:rPr>
              <w:t xml:space="preserve">Other: </w:t>
            </w:r>
          </w:p>
          <w:p w14:paraId="36B69DB7" w14:textId="566587CD" w:rsidR="00B24E2F" w:rsidRPr="002805B6" w:rsidRDefault="004E395E" w:rsidP="005A2DBF">
            <w:pPr>
              <w:rPr>
                <w:b/>
                <w:bCs/>
                <w:sz w:val="18"/>
                <w:szCs w:val="18"/>
              </w:rPr>
            </w:pPr>
            <w:r>
              <w:rPr>
                <w:b/>
                <w:bCs/>
                <w:sz w:val="18"/>
                <w:szCs w:val="18"/>
              </w:rPr>
              <w:t>$</w:t>
            </w:r>
            <w:r w:rsidR="00A346A9" w:rsidRPr="002805B6">
              <w:rPr>
                <w:b/>
                <w:bCs/>
                <w:sz w:val="18"/>
                <w:szCs w:val="18"/>
              </w:rPr>
              <w:t>2</w:t>
            </w:r>
            <w:r w:rsidR="00D575D0" w:rsidRPr="002805B6">
              <w:rPr>
                <w:b/>
                <w:bCs/>
                <w:sz w:val="18"/>
                <w:szCs w:val="18"/>
              </w:rPr>
              <w:t>,</w:t>
            </w:r>
            <w:r w:rsidR="00A346A9" w:rsidRPr="002805B6">
              <w:rPr>
                <w:b/>
                <w:bCs/>
                <w:sz w:val="18"/>
                <w:szCs w:val="18"/>
              </w:rPr>
              <w:t>5</w:t>
            </w:r>
            <w:r w:rsidR="00B24E2F" w:rsidRPr="002805B6">
              <w:rPr>
                <w:b/>
                <w:bCs/>
                <w:sz w:val="18"/>
                <w:szCs w:val="18"/>
              </w:rPr>
              <w:t>00</w:t>
            </w:r>
            <w:r w:rsidR="00D575D0" w:rsidRPr="002805B6">
              <w:rPr>
                <w:b/>
                <w:bCs/>
                <w:sz w:val="18"/>
                <w:szCs w:val="18"/>
              </w:rPr>
              <w:t>,</w:t>
            </w:r>
            <w:r w:rsidR="00B24E2F" w:rsidRPr="002805B6">
              <w:rPr>
                <w:b/>
                <w:bCs/>
                <w:sz w:val="18"/>
                <w:szCs w:val="18"/>
              </w:rPr>
              <w:t>000</w:t>
            </w:r>
          </w:p>
          <w:p w14:paraId="16CD5923" w14:textId="77777777" w:rsidR="00B24E2F" w:rsidRPr="002805B6" w:rsidRDefault="00B24E2F" w:rsidP="005A2DBF">
            <w:pPr>
              <w:rPr>
                <w:b/>
                <w:snapToGrid/>
                <w:sz w:val="18"/>
                <w:szCs w:val="18"/>
                <w:lang w:eastAsia="en-US"/>
              </w:rPr>
            </w:pPr>
          </w:p>
          <w:p w14:paraId="07BED8AB" w14:textId="77777777" w:rsidR="00937FB8" w:rsidRPr="002805B6" w:rsidRDefault="00B24E2F" w:rsidP="005A2DBF">
            <w:pPr>
              <w:rPr>
                <w:b/>
                <w:sz w:val="18"/>
                <w:szCs w:val="18"/>
              </w:rPr>
            </w:pPr>
            <w:r w:rsidRPr="002805B6">
              <w:rPr>
                <w:b/>
                <w:sz w:val="18"/>
                <w:szCs w:val="18"/>
              </w:rPr>
              <w:t xml:space="preserve">Government </w:t>
            </w:r>
            <w:r w:rsidR="000E1041" w:rsidRPr="002805B6">
              <w:rPr>
                <w:b/>
                <w:sz w:val="18"/>
                <w:szCs w:val="18"/>
              </w:rPr>
              <w:t>funding</w:t>
            </w:r>
            <w:r w:rsidRPr="002805B6">
              <w:rPr>
                <w:b/>
                <w:sz w:val="18"/>
                <w:szCs w:val="18"/>
              </w:rPr>
              <w:t xml:space="preserve">: </w:t>
            </w:r>
          </w:p>
          <w:p w14:paraId="3F8ABB7D" w14:textId="1017972C" w:rsidR="00B24E2F" w:rsidRPr="002805B6" w:rsidRDefault="004E395E" w:rsidP="005A2DBF">
            <w:pPr>
              <w:rPr>
                <w:b/>
                <w:bCs/>
                <w:sz w:val="18"/>
                <w:szCs w:val="18"/>
              </w:rPr>
            </w:pPr>
            <w:r>
              <w:rPr>
                <w:b/>
                <w:sz w:val="18"/>
                <w:szCs w:val="18"/>
              </w:rPr>
              <w:t>$</w:t>
            </w:r>
            <w:r w:rsidR="001E53F2" w:rsidRPr="002805B6">
              <w:rPr>
                <w:b/>
                <w:sz w:val="18"/>
                <w:szCs w:val="18"/>
              </w:rPr>
              <w:t>30</w:t>
            </w:r>
            <w:r w:rsidR="00D575D0" w:rsidRPr="002805B6">
              <w:rPr>
                <w:b/>
                <w:sz w:val="18"/>
                <w:szCs w:val="18"/>
              </w:rPr>
              <w:t>,</w:t>
            </w:r>
            <w:r w:rsidR="00A346A9" w:rsidRPr="002805B6">
              <w:rPr>
                <w:b/>
                <w:sz w:val="18"/>
                <w:szCs w:val="18"/>
              </w:rPr>
              <w:t>000</w:t>
            </w:r>
            <w:r w:rsidR="00D575D0" w:rsidRPr="002805B6">
              <w:rPr>
                <w:b/>
                <w:sz w:val="18"/>
                <w:szCs w:val="18"/>
              </w:rPr>
              <w:t>,</w:t>
            </w:r>
            <w:r w:rsidR="00A346A9" w:rsidRPr="002805B6">
              <w:rPr>
                <w:b/>
                <w:sz w:val="18"/>
                <w:szCs w:val="18"/>
              </w:rPr>
              <w:t xml:space="preserve"> 000</w:t>
            </w:r>
          </w:p>
          <w:p w14:paraId="4847858F" w14:textId="77777777" w:rsidR="00B24E2F" w:rsidRPr="002805B6" w:rsidRDefault="00B24E2F" w:rsidP="005A2DBF">
            <w:pPr>
              <w:rPr>
                <w:b/>
                <w:snapToGrid/>
                <w:sz w:val="18"/>
                <w:szCs w:val="18"/>
                <w:lang w:eastAsia="en-US"/>
              </w:rPr>
            </w:pPr>
          </w:p>
        </w:tc>
      </w:tr>
      <w:tr w:rsidR="00B24E2F" w:rsidRPr="000B4EB5" w14:paraId="507F816B" w14:textId="77777777" w:rsidTr="00C52FF6">
        <w:tc>
          <w:tcPr>
            <w:tcW w:w="5000" w:type="pct"/>
            <w:gridSpan w:val="5"/>
            <w:shd w:val="clear" w:color="auto" w:fill="auto"/>
            <w:tcMar>
              <w:top w:w="72" w:type="dxa"/>
              <w:left w:w="144" w:type="dxa"/>
              <w:bottom w:w="72" w:type="dxa"/>
              <w:right w:w="144" w:type="dxa"/>
            </w:tcMar>
          </w:tcPr>
          <w:p w14:paraId="58305025" w14:textId="2546E569" w:rsidR="00B24E2F" w:rsidRPr="002805B6" w:rsidRDefault="00B24E2F" w:rsidP="005A2DBF">
            <w:pPr>
              <w:rPr>
                <w:snapToGrid/>
                <w:sz w:val="18"/>
                <w:szCs w:val="18"/>
                <w:lang w:eastAsia="en-US"/>
              </w:rPr>
            </w:pPr>
            <w:r w:rsidRPr="002805B6">
              <w:rPr>
                <w:b/>
                <w:bCs/>
                <w:snapToGrid/>
                <w:sz w:val="18"/>
                <w:szCs w:val="18"/>
                <w:lang w:val="en-GB" w:eastAsia="en-US"/>
              </w:rPr>
              <w:lastRenderedPageBreak/>
              <w:t xml:space="preserve">NATIONAL PRIORITY: </w:t>
            </w:r>
            <w:r w:rsidR="00140C03" w:rsidRPr="002805B6">
              <w:rPr>
                <w:b/>
                <w:bCs/>
                <w:iCs/>
                <w:snapToGrid/>
                <w:sz w:val="18"/>
                <w:szCs w:val="18"/>
                <w:lang w:val="en-GB" w:eastAsia="en-US"/>
              </w:rPr>
              <w:t xml:space="preserve">NDP </w:t>
            </w:r>
            <w:r w:rsidRPr="002805B6">
              <w:rPr>
                <w:b/>
                <w:bCs/>
                <w:iCs/>
                <w:snapToGrid/>
                <w:sz w:val="18"/>
                <w:szCs w:val="18"/>
                <w:lang w:val="en-GB" w:eastAsia="en-US"/>
              </w:rPr>
              <w:t xml:space="preserve">Pillar 3: </w:t>
            </w:r>
            <w:r w:rsidRPr="002805B6">
              <w:rPr>
                <w:b/>
                <w:caps/>
                <w:sz w:val="18"/>
                <w:szCs w:val="18"/>
                <w:lang w:val="en"/>
              </w:rPr>
              <w:t>C</w:t>
            </w:r>
            <w:r w:rsidR="00110ECD" w:rsidRPr="002805B6">
              <w:rPr>
                <w:b/>
                <w:sz w:val="18"/>
                <w:szCs w:val="18"/>
                <w:lang w:val="en"/>
              </w:rPr>
              <w:t>onsolidate social development and strengthen inclusion mechanisms</w:t>
            </w:r>
            <w:r w:rsidRPr="002805B6">
              <w:rPr>
                <w:b/>
                <w:caps/>
                <w:sz w:val="18"/>
                <w:szCs w:val="18"/>
                <w:lang w:val="en"/>
              </w:rPr>
              <w:t xml:space="preserve">  </w:t>
            </w:r>
          </w:p>
        </w:tc>
      </w:tr>
      <w:tr w:rsidR="00B24E2F" w:rsidRPr="000B4EB5" w14:paraId="54C4CCB1" w14:textId="77777777" w:rsidTr="00C52FF6">
        <w:tc>
          <w:tcPr>
            <w:tcW w:w="5000" w:type="pct"/>
            <w:gridSpan w:val="5"/>
            <w:shd w:val="clear" w:color="auto" w:fill="auto"/>
            <w:tcMar>
              <w:top w:w="72" w:type="dxa"/>
              <w:left w:w="144" w:type="dxa"/>
              <w:bottom w:w="72" w:type="dxa"/>
              <w:right w:w="144" w:type="dxa"/>
            </w:tcMar>
          </w:tcPr>
          <w:p w14:paraId="4694C7E1" w14:textId="77777777" w:rsidR="00B24E2F" w:rsidRPr="002805B6" w:rsidRDefault="00B24E2F" w:rsidP="005A2DBF">
            <w:pPr>
              <w:rPr>
                <w:rFonts w:eastAsia="Calibri"/>
                <w:sz w:val="18"/>
                <w:szCs w:val="18"/>
              </w:rPr>
            </w:pPr>
            <w:r w:rsidRPr="002805B6">
              <w:rPr>
                <w:b/>
                <w:bCs/>
                <w:snapToGrid/>
                <w:sz w:val="18"/>
                <w:szCs w:val="18"/>
                <w:lang w:val="en-GB" w:eastAsia="en-US"/>
              </w:rPr>
              <w:t xml:space="preserve">UNDAF OUTCOME </w:t>
            </w:r>
            <w:r w:rsidR="008C4909" w:rsidRPr="002805B6">
              <w:rPr>
                <w:b/>
                <w:bCs/>
                <w:snapToGrid/>
                <w:sz w:val="18"/>
                <w:szCs w:val="18"/>
                <w:lang w:val="en-GB" w:eastAsia="en-US"/>
              </w:rPr>
              <w:t xml:space="preserve">2 </w:t>
            </w:r>
            <w:r w:rsidRPr="002805B6">
              <w:rPr>
                <w:b/>
                <w:bCs/>
                <w:snapToGrid/>
                <w:sz w:val="18"/>
                <w:szCs w:val="18"/>
                <w:lang w:val="en-GB" w:eastAsia="en-US"/>
              </w:rPr>
              <w:t>INVOLVING UNDP:</w:t>
            </w:r>
            <w:r w:rsidRPr="002805B6">
              <w:rPr>
                <w:snapToGrid/>
                <w:sz w:val="18"/>
                <w:szCs w:val="18"/>
                <w:lang w:eastAsia="en-US"/>
              </w:rPr>
              <w:t xml:space="preserve"> </w:t>
            </w:r>
            <w:bookmarkStart w:id="23" w:name="_Hlk521574903"/>
            <w:r w:rsidRPr="002805B6">
              <w:rPr>
                <w:rFonts w:eastAsia="Calibri"/>
                <w:b/>
                <w:sz w:val="18"/>
                <w:szCs w:val="18"/>
              </w:rPr>
              <w:t>By 2023, populations</w:t>
            </w:r>
            <w:r w:rsidR="008A72B6" w:rsidRPr="002805B6">
              <w:rPr>
                <w:rFonts w:eastAsia="Calibri"/>
                <w:b/>
                <w:sz w:val="18"/>
                <w:szCs w:val="18"/>
              </w:rPr>
              <w:t xml:space="preserve"> in vulnerable areas</w:t>
            </w:r>
            <w:r w:rsidRPr="002805B6">
              <w:rPr>
                <w:rFonts w:eastAsia="Calibri"/>
                <w:b/>
                <w:sz w:val="18"/>
                <w:szCs w:val="18"/>
              </w:rPr>
              <w:t xml:space="preserve"> have increased resilience to climate change and disaster risks and have equitable access to decent living environment and sustainable natural and energy resources</w:t>
            </w:r>
            <w:bookmarkEnd w:id="23"/>
            <w:r w:rsidRPr="002805B6">
              <w:rPr>
                <w:rFonts w:eastAsia="Calibri"/>
                <w:sz w:val="18"/>
                <w:szCs w:val="18"/>
              </w:rPr>
              <w:t>.</w:t>
            </w:r>
          </w:p>
        </w:tc>
      </w:tr>
      <w:tr w:rsidR="00B24E2F" w:rsidRPr="000B4EB5" w14:paraId="5F5B5041" w14:textId="77777777" w:rsidTr="00C52FF6">
        <w:tc>
          <w:tcPr>
            <w:tcW w:w="5000" w:type="pct"/>
            <w:gridSpan w:val="5"/>
            <w:shd w:val="clear" w:color="auto" w:fill="auto"/>
            <w:tcMar>
              <w:top w:w="72" w:type="dxa"/>
              <w:left w:w="144" w:type="dxa"/>
              <w:bottom w:w="72" w:type="dxa"/>
              <w:right w:w="144" w:type="dxa"/>
            </w:tcMar>
          </w:tcPr>
          <w:p w14:paraId="1CED86DB" w14:textId="02FC615C" w:rsidR="00B24E2F" w:rsidRPr="002805B6" w:rsidRDefault="00B24E2F" w:rsidP="005A2DBF">
            <w:pPr>
              <w:rPr>
                <w:b/>
                <w:bCs/>
                <w:snapToGrid/>
                <w:sz w:val="18"/>
                <w:szCs w:val="18"/>
                <w:lang w:val="en-GB" w:eastAsia="en-US"/>
              </w:rPr>
            </w:pPr>
            <w:r w:rsidRPr="002805B6">
              <w:rPr>
                <w:b/>
                <w:bCs/>
                <w:snapToGrid/>
                <w:sz w:val="18"/>
                <w:szCs w:val="18"/>
                <w:lang w:val="en-GB" w:eastAsia="en-US"/>
              </w:rPr>
              <w:t xml:space="preserve">RELATED STRATEGIC PLAN OUTCOME: </w:t>
            </w:r>
            <w:r w:rsidRPr="002805B6">
              <w:rPr>
                <w:b/>
                <w:bCs/>
                <w:caps/>
                <w:kern w:val="24"/>
                <w:sz w:val="18"/>
                <w:szCs w:val="18"/>
                <w:u w:color="000000"/>
                <w:lang w:eastAsia="ko-KR"/>
              </w:rPr>
              <w:t>R</w:t>
            </w:r>
            <w:r w:rsidR="00110ECD" w:rsidRPr="002805B6">
              <w:rPr>
                <w:b/>
                <w:bCs/>
                <w:kern w:val="24"/>
                <w:sz w:val="18"/>
                <w:szCs w:val="18"/>
                <w:u w:color="000000"/>
                <w:lang w:eastAsia="ko-KR"/>
              </w:rPr>
              <w:t>espond to crises and accelerate recovery through integrated crisis solutions</w:t>
            </w:r>
          </w:p>
        </w:tc>
      </w:tr>
      <w:tr w:rsidR="00B24E2F" w:rsidRPr="000B4EB5" w14:paraId="49FDB54C" w14:textId="77777777" w:rsidTr="00C52FF6">
        <w:tc>
          <w:tcPr>
            <w:tcW w:w="849" w:type="pct"/>
            <w:vMerge w:val="restart"/>
            <w:tcMar>
              <w:top w:w="72" w:type="dxa"/>
              <w:left w:w="144" w:type="dxa"/>
              <w:bottom w:w="72" w:type="dxa"/>
              <w:right w:w="144" w:type="dxa"/>
            </w:tcMar>
          </w:tcPr>
          <w:p w14:paraId="4D22BF81" w14:textId="77777777" w:rsidR="000B4EB5" w:rsidRPr="002805B6" w:rsidRDefault="000B4EB5" w:rsidP="005A2DBF">
            <w:pPr>
              <w:rPr>
                <w:sz w:val="18"/>
                <w:szCs w:val="18"/>
                <w:lang w:val="en"/>
              </w:rPr>
            </w:pPr>
            <w:r w:rsidRPr="002805B6">
              <w:rPr>
                <w:b/>
                <w:sz w:val="18"/>
                <w:szCs w:val="18"/>
                <w:lang w:val="en"/>
              </w:rPr>
              <w:t>Indicator 3.1:</w:t>
            </w:r>
            <w:r w:rsidRPr="002805B6">
              <w:rPr>
                <w:sz w:val="18"/>
                <w:szCs w:val="18"/>
                <w:lang w:val="en"/>
              </w:rPr>
              <w:t xml:space="preserve"> Proportion of renewable energy in final energy consumption (%)</w:t>
            </w:r>
          </w:p>
          <w:p w14:paraId="4919954C" w14:textId="77777777" w:rsidR="000B4EB5" w:rsidRPr="002805B6" w:rsidRDefault="000B4EB5" w:rsidP="005A2DBF">
            <w:pPr>
              <w:rPr>
                <w:sz w:val="18"/>
                <w:szCs w:val="18"/>
                <w:lang w:val="en"/>
              </w:rPr>
            </w:pPr>
          </w:p>
          <w:p w14:paraId="758171DA" w14:textId="77777777" w:rsidR="000B4EB5" w:rsidRPr="002805B6" w:rsidRDefault="000B4EB5" w:rsidP="005A2DBF">
            <w:pPr>
              <w:rPr>
                <w:sz w:val="18"/>
                <w:szCs w:val="18"/>
                <w:lang w:val="en"/>
              </w:rPr>
            </w:pPr>
            <w:r w:rsidRPr="002805B6">
              <w:rPr>
                <w:b/>
                <w:sz w:val="18"/>
                <w:szCs w:val="18"/>
                <w:lang w:val="en"/>
              </w:rPr>
              <w:t>Baseline (2013):</w:t>
            </w:r>
            <w:r w:rsidRPr="002805B6">
              <w:rPr>
                <w:sz w:val="18"/>
                <w:szCs w:val="18"/>
                <w:lang w:val="en"/>
              </w:rPr>
              <w:t xml:space="preserve"> 10%</w:t>
            </w:r>
          </w:p>
          <w:p w14:paraId="01F9B1F5" w14:textId="77777777" w:rsidR="000B4EB5" w:rsidRPr="002805B6" w:rsidRDefault="000B4EB5" w:rsidP="005A2DBF">
            <w:pPr>
              <w:rPr>
                <w:sz w:val="18"/>
                <w:szCs w:val="18"/>
                <w:lang w:val="en"/>
              </w:rPr>
            </w:pPr>
            <w:r w:rsidRPr="002805B6">
              <w:rPr>
                <w:b/>
                <w:sz w:val="18"/>
                <w:szCs w:val="18"/>
                <w:lang w:val="en"/>
              </w:rPr>
              <w:t>Target (2022):</w:t>
            </w:r>
            <w:r w:rsidRPr="002805B6">
              <w:rPr>
                <w:sz w:val="18"/>
                <w:szCs w:val="18"/>
                <w:lang w:val="en"/>
              </w:rPr>
              <w:t xml:space="preserve"> 20%</w:t>
            </w:r>
          </w:p>
          <w:p w14:paraId="632CBDEC" w14:textId="77777777" w:rsidR="000B4EB5" w:rsidRPr="002805B6" w:rsidRDefault="000B4EB5" w:rsidP="005A2DBF">
            <w:pPr>
              <w:rPr>
                <w:sz w:val="18"/>
                <w:szCs w:val="18"/>
                <w:lang w:val="en"/>
              </w:rPr>
            </w:pPr>
          </w:p>
          <w:p w14:paraId="467EF03C" w14:textId="77777777" w:rsidR="000B4EB5" w:rsidRPr="002805B6" w:rsidRDefault="000B4EB5" w:rsidP="005A2DBF">
            <w:pPr>
              <w:rPr>
                <w:rFonts w:eastAsia="Arial Unicode MS"/>
                <w:b/>
                <w:sz w:val="18"/>
                <w:szCs w:val="18"/>
                <w:u w:color="000000"/>
                <w:lang w:eastAsia="ko-KR"/>
              </w:rPr>
            </w:pPr>
          </w:p>
          <w:p w14:paraId="0ED3150D" w14:textId="5DDE1092" w:rsidR="000B4EB5" w:rsidRDefault="000B4EB5" w:rsidP="005A2DBF">
            <w:pPr>
              <w:rPr>
                <w:rFonts w:eastAsia="Arial Unicode MS"/>
                <w:sz w:val="18"/>
                <w:szCs w:val="18"/>
                <w:u w:color="000000"/>
                <w:lang w:eastAsia="ko-KR"/>
              </w:rPr>
            </w:pPr>
            <w:r w:rsidRPr="002805B6">
              <w:rPr>
                <w:rFonts w:eastAsia="Arial Unicode MS"/>
                <w:b/>
                <w:sz w:val="18"/>
                <w:szCs w:val="18"/>
                <w:u w:color="000000"/>
                <w:lang w:eastAsia="ko-KR"/>
              </w:rPr>
              <w:t xml:space="preserve">Indicator 3.2: </w:t>
            </w:r>
            <w:r w:rsidRPr="002805B6">
              <w:rPr>
                <w:rFonts w:eastAsia="Arial Unicode MS"/>
                <w:sz w:val="18"/>
                <w:szCs w:val="18"/>
                <w:u w:color="000000"/>
                <w:lang w:eastAsia="ko-KR"/>
              </w:rPr>
              <w:t>Forest cover rate.</w:t>
            </w:r>
          </w:p>
          <w:p w14:paraId="2B2EA6E7" w14:textId="77777777" w:rsidR="00385932" w:rsidRPr="002805B6" w:rsidRDefault="00385932" w:rsidP="005A2DBF">
            <w:pPr>
              <w:rPr>
                <w:sz w:val="18"/>
                <w:szCs w:val="18"/>
                <w:lang w:val="en"/>
              </w:rPr>
            </w:pPr>
          </w:p>
          <w:p w14:paraId="4301ED48" w14:textId="77777777" w:rsidR="000B4EB5" w:rsidRPr="002805B6" w:rsidRDefault="000B4EB5" w:rsidP="005A2DBF">
            <w:pPr>
              <w:rPr>
                <w:rFonts w:eastAsia="Arial Unicode MS"/>
                <w:b/>
                <w:sz w:val="18"/>
                <w:szCs w:val="18"/>
                <w:u w:color="000000"/>
                <w:lang w:eastAsia="ko-KR"/>
              </w:rPr>
            </w:pPr>
            <w:r w:rsidRPr="002805B6">
              <w:rPr>
                <w:rFonts w:eastAsia="Arial Unicode MS"/>
                <w:b/>
                <w:sz w:val="18"/>
                <w:szCs w:val="18"/>
                <w:u w:color="000000"/>
                <w:lang w:eastAsia="ko-KR"/>
              </w:rPr>
              <w:t xml:space="preserve">Baseline (2016): </w:t>
            </w:r>
            <w:r w:rsidRPr="002805B6">
              <w:rPr>
                <w:rFonts w:eastAsia="Arial Unicode MS"/>
                <w:sz w:val="18"/>
                <w:szCs w:val="18"/>
                <w:u w:color="000000"/>
                <w:lang w:eastAsia="ko-KR"/>
              </w:rPr>
              <w:t>24.4%</w:t>
            </w:r>
          </w:p>
          <w:p w14:paraId="5306B6D2" w14:textId="7ECB71EA" w:rsidR="000B4EB5" w:rsidRPr="002805B6" w:rsidRDefault="000B4EB5" w:rsidP="005A2DBF">
            <w:pPr>
              <w:rPr>
                <w:rFonts w:eastAsia="Arial Unicode MS"/>
                <w:sz w:val="18"/>
                <w:szCs w:val="18"/>
                <w:u w:color="000000"/>
                <w:lang w:val="fr-FR" w:eastAsia="ko-KR"/>
              </w:rPr>
            </w:pPr>
            <w:r w:rsidRPr="002805B6">
              <w:rPr>
                <w:rFonts w:eastAsia="Arial Unicode MS"/>
                <w:b/>
                <w:sz w:val="18"/>
                <w:szCs w:val="18"/>
                <w:u w:color="000000"/>
                <w:lang w:val="fr-FR" w:eastAsia="ko-KR"/>
              </w:rPr>
              <w:t xml:space="preserve">Target : </w:t>
            </w:r>
            <w:r w:rsidRPr="002805B6">
              <w:rPr>
                <w:rFonts w:eastAsia="Arial Unicode MS"/>
                <w:sz w:val="18"/>
                <w:szCs w:val="18"/>
                <w:u w:color="000000"/>
                <w:lang w:val="fr-FR" w:eastAsia="ko-KR"/>
              </w:rPr>
              <w:t>24.94</w:t>
            </w:r>
          </w:p>
          <w:p w14:paraId="43A08329" w14:textId="77777777" w:rsidR="00B24E2F" w:rsidRPr="002805B6" w:rsidRDefault="00B24E2F" w:rsidP="005A2DBF">
            <w:pPr>
              <w:rPr>
                <w:bCs/>
                <w:snapToGrid/>
                <w:sz w:val="18"/>
                <w:szCs w:val="18"/>
                <w:lang w:val="en-GB" w:eastAsia="en-US"/>
              </w:rPr>
            </w:pPr>
          </w:p>
        </w:tc>
        <w:tc>
          <w:tcPr>
            <w:tcW w:w="897" w:type="pct"/>
            <w:vMerge w:val="restart"/>
          </w:tcPr>
          <w:p w14:paraId="7FD492CF" w14:textId="77777777" w:rsidR="000B4EB5" w:rsidRPr="002805B6" w:rsidRDefault="000B4EB5" w:rsidP="005A2DBF">
            <w:pPr>
              <w:rPr>
                <w:rFonts w:eastAsia="Arial Unicode MS"/>
                <w:sz w:val="18"/>
                <w:szCs w:val="18"/>
                <w:u w:color="000000"/>
                <w:lang w:eastAsia="ko-KR"/>
              </w:rPr>
            </w:pPr>
            <w:r w:rsidRPr="002805B6">
              <w:rPr>
                <w:rFonts w:eastAsia="Arial Unicode MS"/>
                <w:b/>
                <w:sz w:val="18"/>
                <w:szCs w:val="18"/>
                <w:u w:color="000000"/>
                <w:lang w:eastAsia="ko-KR"/>
              </w:rPr>
              <w:lastRenderedPageBreak/>
              <w:t>Data source:</w:t>
            </w:r>
            <w:r w:rsidRPr="002805B6">
              <w:rPr>
                <w:rFonts w:eastAsia="Arial Unicode MS"/>
                <w:sz w:val="18"/>
                <w:szCs w:val="18"/>
                <w:u w:color="000000"/>
                <w:lang w:eastAsia="ko-KR"/>
              </w:rPr>
              <w:t xml:space="preserve"> Annual report of the Ministry of Energy</w:t>
            </w:r>
          </w:p>
          <w:p w14:paraId="19110404" w14:textId="77777777" w:rsidR="000B4EB5" w:rsidRPr="002805B6" w:rsidRDefault="000B4EB5" w:rsidP="005A2DBF">
            <w:pPr>
              <w:rPr>
                <w:rFonts w:eastAsia="Arial Unicode MS"/>
                <w:sz w:val="18"/>
                <w:szCs w:val="18"/>
                <w:u w:color="000000"/>
                <w:lang w:eastAsia="ko-KR"/>
              </w:rPr>
            </w:pPr>
          </w:p>
          <w:p w14:paraId="50A0C2E7" w14:textId="1D12ED45" w:rsidR="000B4EB5" w:rsidRDefault="000B4EB5" w:rsidP="005A2DBF">
            <w:pPr>
              <w:rPr>
                <w:rFonts w:eastAsia="Arial Unicode MS"/>
                <w:sz w:val="18"/>
                <w:szCs w:val="18"/>
                <w:u w:color="000000"/>
                <w:lang w:eastAsia="ko-KR"/>
              </w:rPr>
            </w:pPr>
          </w:p>
          <w:p w14:paraId="7A252A0F" w14:textId="77777777" w:rsidR="00385932" w:rsidRPr="002805B6" w:rsidRDefault="00385932" w:rsidP="005A2DBF">
            <w:pPr>
              <w:rPr>
                <w:rFonts w:eastAsia="Arial Unicode MS"/>
                <w:sz w:val="18"/>
                <w:szCs w:val="18"/>
                <w:u w:color="000000"/>
                <w:lang w:eastAsia="ko-KR"/>
              </w:rPr>
            </w:pPr>
          </w:p>
          <w:p w14:paraId="4261F8F3" w14:textId="597CC32A" w:rsidR="000B4EB5" w:rsidRPr="002805B6" w:rsidRDefault="000B4EB5" w:rsidP="005A2DBF">
            <w:pPr>
              <w:rPr>
                <w:rFonts w:eastAsia="Arial Unicode MS"/>
                <w:sz w:val="18"/>
                <w:szCs w:val="18"/>
                <w:u w:color="000000"/>
                <w:lang w:eastAsia="ko-KR"/>
              </w:rPr>
            </w:pPr>
            <w:r w:rsidRPr="002805B6">
              <w:rPr>
                <w:rFonts w:eastAsia="Arial Unicode MS"/>
                <w:b/>
                <w:sz w:val="18"/>
                <w:szCs w:val="18"/>
                <w:u w:color="000000"/>
                <w:lang w:eastAsia="ko-KR"/>
              </w:rPr>
              <w:t>Data source:</w:t>
            </w:r>
            <w:r w:rsidRPr="002805B6">
              <w:rPr>
                <w:rFonts w:eastAsia="Arial Unicode MS"/>
                <w:sz w:val="18"/>
                <w:szCs w:val="18"/>
                <w:u w:color="000000"/>
                <w:lang w:eastAsia="ko-KR"/>
              </w:rPr>
              <w:t xml:space="preserve"> Annual report of the </w:t>
            </w:r>
            <w:r w:rsidR="004E395E">
              <w:rPr>
                <w:rFonts w:eastAsia="Arial Unicode MS"/>
                <w:sz w:val="18"/>
                <w:szCs w:val="18"/>
                <w:u w:color="000000"/>
                <w:lang w:eastAsia="ko-KR"/>
              </w:rPr>
              <w:t>M</w:t>
            </w:r>
            <w:r w:rsidRPr="002805B6">
              <w:rPr>
                <w:rFonts w:eastAsia="Arial Unicode MS"/>
                <w:sz w:val="18"/>
                <w:szCs w:val="18"/>
                <w:u w:color="000000"/>
                <w:lang w:eastAsia="ko-KR"/>
              </w:rPr>
              <w:t xml:space="preserve">inistry of </w:t>
            </w:r>
            <w:r w:rsidR="004E395E">
              <w:rPr>
                <w:rFonts w:eastAsia="Arial Unicode MS"/>
                <w:sz w:val="18"/>
                <w:szCs w:val="18"/>
                <w:u w:color="000000"/>
                <w:lang w:eastAsia="ko-KR"/>
              </w:rPr>
              <w:t>E</w:t>
            </w:r>
            <w:r w:rsidRPr="002805B6">
              <w:rPr>
                <w:rFonts w:eastAsia="Arial Unicode MS"/>
                <w:sz w:val="18"/>
                <w:szCs w:val="18"/>
                <w:u w:color="000000"/>
                <w:lang w:eastAsia="ko-KR"/>
              </w:rPr>
              <w:t>nvironment</w:t>
            </w:r>
          </w:p>
          <w:p w14:paraId="439864BC" w14:textId="77777777" w:rsidR="000B4EB5" w:rsidRPr="002805B6" w:rsidRDefault="000B4EB5" w:rsidP="005A2DBF">
            <w:pPr>
              <w:rPr>
                <w:rFonts w:eastAsia="Arial Unicode MS"/>
                <w:sz w:val="18"/>
                <w:szCs w:val="18"/>
                <w:u w:color="000000"/>
                <w:lang w:eastAsia="ko-KR"/>
              </w:rPr>
            </w:pPr>
          </w:p>
          <w:p w14:paraId="00207F82" w14:textId="77777777" w:rsidR="00B24E2F" w:rsidRPr="002805B6" w:rsidRDefault="00B24E2F" w:rsidP="005A2DBF">
            <w:pPr>
              <w:rPr>
                <w:iCs/>
                <w:snapToGrid/>
                <w:sz w:val="18"/>
                <w:szCs w:val="18"/>
                <w:lang w:eastAsia="en-US"/>
              </w:rPr>
            </w:pPr>
          </w:p>
        </w:tc>
        <w:tc>
          <w:tcPr>
            <w:tcW w:w="1626" w:type="pct"/>
            <w:vMerge w:val="restart"/>
            <w:tcMar>
              <w:top w:w="72" w:type="dxa"/>
              <w:left w:w="144" w:type="dxa"/>
              <w:bottom w:w="72" w:type="dxa"/>
              <w:right w:w="144" w:type="dxa"/>
            </w:tcMar>
          </w:tcPr>
          <w:p w14:paraId="79C8549F" w14:textId="68F90820" w:rsidR="000B4EB5" w:rsidRPr="00110ECD" w:rsidRDefault="000B4EB5" w:rsidP="005A2DBF">
            <w:pPr>
              <w:jc w:val="both"/>
              <w:rPr>
                <w:bCs/>
                <w:sz w:val="18"/>
                <w:szCs w:val="18"/>
              </w:rPr>
            </w:pPr>
            <w:bookmarkStart w:id="24" w:name="_Hlk507245096"/>
            <w:r w:rsidRPr="002805B6">
              <w:rPr>
                <w:b/>
                <w:bCs/>
                <w:sz w:val="18"/>
                <w:szCs w:val="18"/>
              </w:rPr>
              <w:t xml:space="preserve">Output 3.1: </w:t>
            </w:r>
            <w:r w:rsidRPr="00110ECD">
              <w:rPr>
                <w:bCs/>
                <w:sz w:val="18"/>
                <w:szCs w:val="18"/>
              </w:rPr>
              <w:t>National institutions have increased capacities to formulate, implement and mobilize resources for waste management, climate, disaster and risk informed gender responsive sectoral development plans</w:t>
            </w:r>
            <w:r w:rsidR="000F1A65">
              <w:rPr>
                <w:bCs/>
                <w:sz w:val="18"/>
                <w:szCs w:val="18"/>
              </w:rPr>
              <w:t>/</w:t>
            </w:r>
            <w:r w:rsidR="004E395E">
              <w:rPr>
                <w:bCs/>
                <w:sz w:val="18"/>
                <w:szCs w:val="18"/>
              </w:rPr>
              <w:t>p</w:t>
            </w:r>
            <w:r w:rsidRPr="00110ECD">
              <w:rPr>
                <w:bCs/>
                <w:sz w:val="18"/>
                <w:szCs w:val="18"/>
              </w:rPr>
              <w:t>olic</w:t>
            </w:r>
            <w:r w:rsidR="004E395E">
              <w:rPr>
                <w:bCs/>
                <w:sz w:val="18"/>
                <w:szCs w:val="18"/>
              </w:rPr>
              <w:t>i</w:t>
            </w:r>
            <w:r w:rsidRPr="00110ECD">
              <w:rPr>
                <w:bCs/>
                <w:sz w:val="18"/>
                <w:szCs w:val="18"/>
              </w:rPr>
              <w:t xml:space="preserve">es </w:t>
            </w:r>
          </w:p>
          <w:p w14:paraId="15635306" w14:textId="77777777" w:rsidR="000B4EB5" w:rsidRPr="00110ECD" w:rsidRDefault="000B4EB5" w:rsidP="005A2DBF">
            <w:pPr>
              <w:rPr>
                <w:bCs/>
                <w:sz w:val="18"/>
                <w:szCs w:val="18"/>
              </w:rPr>
            </w:pPr>
          </w:p>
          <w:p w14:paraId="1E74C767" w14:textId="08DBAD80" w:rsidR="000B4EB5" w:rsidRPr="002805B6" w:rsidRDefault="000B4EB5" w:rsidP="005A2DBF">
            <w:pPr>
              <w:rPr>
                <w:bCs/>
                <w:sz w:val="18"/>
                <w:szCs w:val="18"/>
              </w:rPr>
            </w:pPr>
            <w:r w:rsidRPr="002805B6">
              <w:rPr>
                <w:b/>
                <w:sz w:val="18"/>
                <w:szCs w:val="18"/>
              </w:rPr>
              <w:t>Indicator 3.1.1:</w:t>
            </w:r>
            <w:r w:rsidRPr="002805B6">
              <w:rPr>
                <w:sz w:val="18"/>
                <w:szCs w:val="18"/>
              </w:rPr>
              <w:t xml:space="preserve"> </w:t>
            </w:r>
            <w:r w:rsidRPr="002805B6">
              <w:rPr>
                <w:bCs/>
                <w:sz w:val="18"/>
                <w:szCs w:val="18"/>
              </w:rPr>
              <w:t xml:space="preserve"> Extent to which data informed development plans incorporate integrated solutions to reduce disaster risks and enable climate change adaptation and mitigation and </w:t>
            </w:r>
            <w:r w:rsidR="00781142" w:rsidRPr="002805B6">
              <w:rPr>
                <w:bCs/>
                <w:sz w:val="18"/>
                <w:szCs w:val="18"/>
              </w:rPr>
              <w:t xml:space="preserve">are </w:t>
            </w:r>
            <w:r w:rsidRPr="002805B6">
              <w:rPr>
                <w:bCs/>
                <w:sz w:val="18"/>
                <w:szCs w:val="18"/>
              </w:rPr>
              <w:t>gender</w:t>
            </w:r>
            <w:r w:rsidR="004E395E">
              <w:rPr>
                <w:bCs/>
                <w:sz w:val="18"/>
                <w:szCs w:val="18"/>
              </w:rPr>
              <w:t>-</w:t>
            </w:r>
            <w:r w:rsidRPr="002805B6">
              <w:rPr>
                <w:bCs/>
                <w:sz w:val="18"/>
                <w:szCs w:val="18"/>
              </w:rPr>
              <w:t xml:space="preserve">responsive </w:t>
            </w:r>
          </w:p>
          <w:p w14:paraId="01127311" w14:textId="77777777" w:rsidR="000B4EB5" w:rsidRPr="002805B6" w:rsidRDefault="000B4EB5" w:rsidP="005A2DBF">
            <w:pPr>
              <w:rPr>
                <w:b/>
                <w:bCs/>
                <w:sz w:val="18"/>
                <w:szCs w:val="18"/>
              </w:rPr>
            </w:pPr>
            <w:r w:rsidRPr="002805B6">
              <w:rPr>
                <w:b/>
                <w:bCs/>
                <w:sz w:val="18"/>
                <w:szCs w:val="18"/>
              </w:rPr>
              <w:t>Baseline (2018)</w:t>
            </w:r>
            <w:r w:rsidRPr="002805B6">
              <w:rPr>
                <w:rStyle w:val="FootnoteReference"/>
                <w:b/>
                <w:bCs/>
                <w:sz w:val="18"/>
                <w:szCs w:val="18"/>
              </w:rPr>
              <w:footnoteReference w:id="31"/>
            </w:r>
            <w:r w:rsidRPr="002805B6">
              <w:rPr>
                <w:b/>
                <w:bCs/>
                <w:sz w:val="18"/>
                <w:szCs w:val="18"/>
              </w:rPr>
              <w:t xml:space="preserve">: </w:t>
            </w:r>
            <w:r w:rsidRPr="002805B6">
              <w:rPr>
                <w:bCs/>
                <w:sz w:val="18"/>
                <w:szCs w:val="18"/>
              </w:rPr>
              <w:t>1</w:t>
            </w:r>
          </w:p>
          <w:p w14:paraId="3BD512F1" w14:textId="77777777" w:rsidR="000B4EB5" w:rsidRPr="002805B6" w:rsidRDefault="000B4EB5" w:rsidP="005A2DBF">
            <w:pPr>
              <w:rPr>
                <w:b/>
                <w:bCs/>
                <w:sz w:val="18"/>
                <w:szCs w:val="18"/>
              </w:rPr>
            </w:pPr>
            <w:r w:rsidRPr="002805B6">
              <w:rPr>
                <w:b/>
                <w:bCs/>
                <w:sz w:val="18"/>
                <w:szCs w:val="18"/>
              </w:rPr>
              <w:t xml:space="preserve">Target: </w:t>
            </w:r>
            <w:r w:rsidRPr="002805B6">
              <w:rPr>
                <w:bCs/>
                <w:sz w:val="18"/>
                <w:szCs w:val="18"/>
              </w:rPr>
              <w:t>3</w:t>
            </w:r>
          </w:p>
          <w:p w14:paraId="78447121" w14:textId="02DB3617" w:rsidR="000B4EB5" w:rsidRPr="002805B6" w:rsidRDefault="000B4EB5" w:rsidP="005A2DBF">
            <w:pPr>
              <w:rPr>
                <w:bCs/>
                <w:sz w:val="18"/>
                <w:szCs w:val="18"/>
              </w:rPr>
            </w:pPr>
            <w:r w:rsidRPr="002805B6">
              <w:rPr>
                <w:b/>
                <w:bCs/>
                <w:sz w:val="18"/>
                <w:szCs w:val="18"/>
              </w:rPr>
              <w:t xml:space="preserve">Data </w:t>
            </w:r>
            <w:r w:rsidR="00385932">
              <w:rPr>
                <w:b/>
                <w:bCs/>
                <w:sz w:val="18"/>
                <w:szCs w:val="18"/>
              </w:rPr>
              <w:t>s</w:t>
            </w:r>
            <w:r w:rsidRPr="002805B6">
              <w:rPr>
                <w:b/>
                <w:bCs/>
                <w:sz w:val="18"/>
                <w:szCs w:val="18"/>
              </w:rPr>
              <w:t xml:space="preserve">ource: </w:t>
            </w:r>
            <w:r w:rsidR="00781142" w:rsidRPr="002805B6">
              <w:rPr>
                <w:bCs/>
                <w:sz w:val="18"/>
                <w:szCs w:val="18"/>
              </w:rPr>
              <w:t>NCPA</w:t>
            </w:r>
            <w:r w:rsidR="00140C03" w:rsidRPr="002805B6">
              <w:rPr>
                <w:bCs/>
                <w:sz w:val="18"/>
                <w:szCs w:val="18"/>
              </w:rPr>
              <w:t xml:space="preserve"> annual report</w:t>
            </w:r>
          </w:p>
          <w:p w14:paraId="74B4F286" w14:textId="77777777" w:rsidR="000B4EB5" w:rsidRPr="002805B6" w:rsidRDefault="000B4EB5" w:rsidP="005A2DBF">
            <w:pPr>
              <w:rPr>
                <w:bCs/>
                <w:sz w:val="18"/>
                <w:szCs w:val="18"/>
              </w:rPr>
            </w:pPr>
          </w:p>
          <w:p w14:paraId="5CC9027A" w14:textId="6D0EF099" w:rsidR="000B4EB5" w:rsidRPr="002805B6" w:rsidRDefault="000B4EB5" w:rsidP="005A2DBF">
            <w:pPr>
              <w:rPr>
                <w:bCs/>
                <w:sz w:val="18"/>
                <w:szCs w:val="18"/>
              </w:rPr>
            </w:pPr>
            <w:r w:rsidRPr="002805B6">
              <w:rPr>
                <w:b/>
                <w:bCs/>
                <w:sz w:val="18"/>
                <w:szCs w:val="18"/>
              </w:rPr>
              <w:lastRenderedPageBreak/>
              <w:t>Indicator 3.1.2</w:t>
            </w:r>
            <w:r w:rsidRPr="002805B6">
              <w:rPr>
                <w:bCs/>
                <w:sz w:val="18"/>
                <w:szCs w:val="18"/>
              </w:rPr>
              <w:t>: Number of regional gender</w:t>
            </w:r>
            <w:r w:rsidR="00483A17">
              <w:rPr>
                <w:bCs/>
                <w:sz w:val="18"/>
                <w:szCs w:val="18"/>
              </w:rPr>
              <w:t>-</w:t>
            </w:r>
            <w:r w:rsidRPr="002805B6">
              <w:rPr>
                <w:bCs/>
                <w:sz w:val="18"/>
                <w:szCs w:val="18"/>
              </w:rPr>
              <w:t>sensitive contingency plans elaborated and tested with successful outcome.</w:t>
            </w:r>
          </w:p>
          <w:p w14:paraId="2670EFA4" w14:textId="77777777" w:rsidR="000B4EB5" w:rsidRPr="002805B6" w:rsidRDefault="000B4EB5" w:rsidP="005A2DBF">
            <w:pPr>
              <w:rPr>
                <w:b/>
                <w:bCs/>
                <w:sz w:val="18"/>
                <w:szCs w:val="18"/>
                <w:u w:val="single"/>
              </w:rPr>
            </w:pPr>
            <w:r w:rsidRPr="002805B6">
              <w:rPr>
                <w:b/>
                <w:bCs/>
                <w:sz w:val="18"/>
                <w:szCs w:val="18"/>
              </w:rPr>
              <w:t>Baseline (2018):</w:t>
            </w:r>
            <w:r w:rsidRPr="002805B6">
              <w:rPr>
                <w:bCs/>
                <w:sz w:val="18"/>
                <w:szCs w:val="18"/>
              </w:rPr>
              <w:t xml:space="preserve"> 0</w:t>
            </w:r>
          </w:p>
          <w:p w14:paraId="55A640F1" w14:textId="77777777" w:rsidR="000B4EB5" w:rsidRPr="002805B6" w:rsidRDefault="000B4EB5" w:rsidP="005A2DBF">
            <w:pPr>
              <w:rPr>
                <w:bCs/>
                <w:sz w:val="18"/>
                <w:szCs w:val="18"/>
              </w:rPr>
            </w:pPr>
            <w:r w:rsidRPr="002805B6">
              <w:rPr>
                <w:b/>
                <w:bCs/>
                <w:sz w:val="18"/>
                <w:szCs w:val="18"/>
              </w:rPr>
              <w:t xml:space="preserve">Target: </w:t>
            </w:r>
            <w:r w:rsidRPr="002805B6">
              <w:rPr>
                <w:bCs/>
                <w:sz w:val="18"/>
                <w:szCs w:val="18"/>
              </w:rPr>
              <w:t>5</w:t>
            </w:r>
          </w:p>
          <w:p w14:paraId="661639A3" w14:textId="37A567A5" w:rsidR="000B4EB5" w:rsidRPr="002805B6" w:rsidRDefault="000B4EB5" w:rsidP="005A2DBF">
            <w:pPr>
              <w:rPr>
                <w:bCs/>
                <w:sz w:val="18"/>
                <w:szCs w:val="18"/>
              </w:rPr>
            </w:pPr>
            <w:r w:rsidRPr="002805B6">
              <w:rPr>
                <w:b/>
                <w:bCs/>
                <w:sz w:val="18"/>
                <w:szCs w:val="18"/>
              </w:rPr>
              <w:t xml:space="preserve">Data </w:t>
            </w:r>
            <w:r w:rsidR="00385932">
              <w:rPr>
                <w:b/>
                <w:bCs/>
                <w:sz w:val="18"/>
                <w:szCs w:val="18"/>
              </w:rPr>
              <w:t>s</w:t>
            </w:r>
            <w:r w:rsidRPr="002805B6">
              <w:rPr>
                <w:b/>
                <w:bCs/>
                <w:sz w:val="18"/>
                <w:szCs w:val="18"/>
              </w:rPr>
              <w:t>ource:</w:t>
            </w:r>
            <w:r w:rsidRPr="004E395E">
              <w:rPr>
                <w:b/>
                <w:bCs/>
                <w:sz w:val="18"/>
                <w:szCs w:val="18"/>
              </w:rPr>
              <w:t xml:space="preserve"> </w:t>
            </w:r>
            <w:r w:rsidR="00781142" w:rsidRPr="002805B6">
              <w:rPr>
                <w:bCs/>
                <w:sz w:val="18"/>
                <w:szCs w:val="18"/>
              </w:rPr>
              <w:t>NCPA a</w:t>
            </w:r>
            <w:r w:rsidRPr="002805B6">
              <w:rPr>
                <w:bCs/>
                <w:sz w:val="18"/>
                <w:szCs w:val="18"/>
              </w:rPr>
              <w:t xml:space="preserve">nnual report </w:t>
            </w:r>
          </w:p>
          <w:p w14:paraId="7DAE051E" w14:textId="77777777" w:rsidR="000B4EB5" w:rsidRPr="002805B6" w:rsidRDefault="000B4EB5" w:rsidP="005A2DBF">
            <w:pPr>
              <w:rPr>
                <w:bCs/>
                <w:sz w:val="18"/>
                <w:szCs w:val="18"/>
              </w:rPr>
            </w:pPr>
          </w:p>
          <w:p w14:paraId="1807471D" w14:textId="77777777" w:rsidR="000B4EB5" w:rsidRPr="002805B6" w:rsidRDefault="000B4EB5" w:rsidP="005A2DBF">
            <w:pPr>
              <w:rPr>
                <w:bCs/>
                <w:sz w:val="18"/>
                <w:szCs w:val="18"/>
              </w:rPr>
            </w:pPr>
            <w:r w:rsidRPr="002805B6">
              <w:rPr>
                <w:b/>
                <w:bCs/>
                <w:sz w:val="18"/>
                <w:szCs w:val="18"/>
              </w:rPr>
              <w:t>Indicator 3.1.3</w:t>
            </w:r>
            <w:r w:rsidRPr="002805B6">
              <w:rPr>
                <w:bCs/>
                <w:sz w:val="18"/>
                <w:szCs w:val="18"/>
              </w:rPr>
              <w:t>: Number of new initiatives for sustainable waste management promoted</w:t>
            </w:r>
          </w:p>
          <w:p w14:paraId="6A3FD6B5" w14:textId="77777777" w:rsidR="000B4EB5" w:rsidRPr="002805B6" w:rsidRDefault="000B4EB5" w:rsidP="005A2DBF">
            <w:pPr>
              <w:rPr>
                <w:b/>
                <w:bCs/>
                <w:sz w:val="18"/>
                <w:szCs w:val="18"/>
                <w:u w:val="single"/>
              </w:rPr>
            </w:pPr>
            <w:r w:rsidRPr="002805B6">
              <w:rPr>
                <w:b/>
                <w:bCs/>
                <w:sz w:val="18"/>
                <w:szCs w:val="18"/>
              </w:rPr>
              <w:t>Baseline (2018):</w:t>
            </w:r>
            <w:r w:rsidRPr="002805B6">
              <w:rPr>
                <w:bCs/>
                <w:sz w:val="18"/>
                <w:szCs w:val="18"/>
              </w:rPr>
              <w:t xml:space="preserve"> 0</w:t>
            </w:r>
          </w:p>
          <w:p w14:paraId="2E1CE048" w14:textId="77777777" w:rsidR="000B4EB5" w:rsidRPr="002805B6" w:rsidRDefault="000B4EB5" w:rsidP="005A2DBF">
            <w:pPr>
              <w:rPr>
                <w:bCs/>
                <w:sz w:val="18"/>
                <w:szCs w:val="18"/>
              </w:rPr>
            </w:pPr>
            <w:r w:rsidRPr="002805B6">
              <w:rPr>
                <w:b/>
                <w:bCs/>
                <w:sz w:val="18"/>
                <w:szCs w:val="18"/>
              </w:rPr>
              <w:t xml:space="preserve">Target: </w:t>
            </w:r>
            <w:r w:rsidRPr="002805B6">
              <w:rPr>
                <w:bCs/>
                <w:sz w:val="18"/>
                <w:szCs w:val="18"/>
              </w:rPr>
              <w:t>5</w:t>
            </w:r>
          </w:p>
          <w:p w14:paraId="24D4EDAB" w14:textId="6403A21A" w:rsidR="000B4EB5" w:rsidRPr="002805B6" w:rsidRDefault="000B4EB5" w:rsidP="005A2DBF">
            <w:pPr>
              <w:rPr>
                <w:bCs/>
                <w:sz w:val="18"/>
                <w:szCs w:val="18"/>
              </w:rPr>
            </w:pPr>
            <w:r w:rsidRPr="002805B6">
              <w:rPr>
                <w:b/>
                <w:bCs/>
                <w:sz w:val="18"/>
                <w:szCs w:val="18"/>
              </w:rPr>
              <w:t xml:space="preserve">Data </w:t>
            </w:r>
            <w:r w:rsidR="00385932">
              <w:rPr>
                <w:b/>
                <w:bCs/>
                <w:sz w:val="18"/>
                <w:szCs w:val="18"/>
              </w:rPr>
              <w:t>s</w:t>
            </w:r>
            <w:r w:rsidRPr="002805B6">
              <w:rPr>
                <w:b/>
                <w:bCs/>
                <w:sz w:val="18"/>
                <w:szCs w:val="18"/>
              </w:rPr>
              <w:t>ource:</w:t>
            </w:r>
            <w:r w:rsidRPr="002805B6">
              <w:rPr>
                <w:b/>
                <w:bCs/>
                <w:sz w:val="18"/>
                <w:szCs w:val="18"/>
                <w:u w:val="single"/>
              </w:rPr>
              <w:t xml:space="preserve"> </w:t>
            </w:r>
            <w:r w:rsidR="000807BB">
              <w:rPr>
                <w:bCs/>
                <w:sz w:val="18"/>
                <w:szCs w:val="18"/>
              </w:rPr>
              <w:t>Ministry of Environment annual report</w:t>
            </w:r>
          </w:p>
          <w:p w14:paraId="17AE85DA" w14:textId="77777777" w:rsidR="000B4EB5" w:rsidRPr="002805B6" w:rsidRDefault="000B4EB5" w:rsidP="005A2DBF">
            <w:pPr>
              <w:rPr>
                <w:rFonts w:eastAsia="Arial Unicode MS"/>
                <w:sz w:val="18"/>
                <w:szCs w:val="18"/>
                <w:u w:color="000000"/>
                <w:lang w:eastAsia="ko-KR"/>
              </w:rPr>
            </w:pPr>
          </w:p>
          <w:p w14:paraId="1D51AFAC" w14:textId="77777777" w:rsidR="000B4EB5" w:rsidRPr="002805B6" w:rsidRDefault="000B4EB5" w:rsidP="005A2DBF">
            <w:pPr>
              <w:rPr>
                <w:rFonts w:eastAsia="Arial Unicode MS"/>
                <w:i/>
                <w:sz w:val="18"/>
                <w:szCs w:val="18"/>
                <w:u w:color="000000"/>
                <w:lang w:eastAsia="ko-KR"/>
              </w:rPr>
            </w:pPr>
            <w:r w:rsidRPr="002805B6">
              <w:rPr>
                <w:rFonts w:eastAsia="Arial Unicode MS"/>
                <w:b/>
                <w:sz w:val="18"/>
                <w:szCs w:val="18"/>
                <w:u w:color="000000"/>
                <w:lang w:eastAsia="ko-KR"/>
              </w:rPr>
              <w:t>Output 3.2:</w:t>
            </w:r>
            <w:r w:rsidRPr="002805B6">
              <w:rPr>
                <w:rFonts w:eastAsia="Arial Unicode MS"/>
                <w:sz w:val="18"/>
                <w:szCs w:val="18"/>
                <w:u w:color="000000"/>
                <w:lang w:eastAsia="ko-KR"/>
              </w:rPr>
              <w:t xml:space="preserve"> </w:t>
            </w:r>
            <w:r w:rsidRPr="00110ECD">
              <w:rPr>
                <w:rFonts w:eastAsia="Arial Unicode MS"/>
                <w:sz w:val="18"/>
                <w:szCs w:val="18"/>
                <w:u w:color="000000"/>
                <w:lang w:val="en-GB" w:eastAsia="ko-KR"/>
              </w:rPr>
              <w:t>Solutions adopted to achieve universal access to clean, affordable and sustainable energy</w:t>
            </w:r>
          </w:p>
          <w:p w14:paraId="61CD2B28" w14:textId="77777777" w:rsidR="000B4EB5" w:rsidRPr="002805B6" w:rsidRDefault="000B4EB5" w:rsidP="005A2DBF">
            <w:pPr>
              <w:rPr>
                <w:rFonts w:eastAsia="Arial Unicode MS"/>
                <w:sz w:val="18"/>
                <w:szCs w:val="18"/>
                <w:u w:color="000000"/>
                <w:lang w:eastAsia="ko-KR"/>
              </w:rPr>
            </w:pPr>
          </w:p>
          <w:p w14:paraId="16FD76EC" w14:textId="06A60F67" w:rsidR="000B4EB5" w:rsidRPr="002805B6" w:rsidRDefault="000B4EB5" w:rsidP="005A2DBF">
            <w:pPr>
              <w:rPr>
                <w:rFonts w:eastAsia="Arial Unicode MS"/>
                <w:sz w:val="18"/>
                <w:szCs w:val="18"/>
                <w:u w:color="000000"/>
                <w:lang w:val="en-GB" w:eastAsia="ko-KR"/>
              </w:rPr>
            </w:pPr>
            <w:r w:rsidRPr="002805B6">
              <w:rPr>
                <w:rFonts w:eastAsia="Arial Unicode MS"/>
                <w:b/>
                <w:sz w:val="18"/>
                <w:szCs w:val="18"/>
                <w:u w:color="000000"/>
                <w:lang w:eastAsia="ko-KR"/>
              </w:rPr>
              <w:t>Indicator 3.2.1:</w:t>
            </w:r>
            <w:r w:rsidRPr="002805B6">
              <w:rPr>
                <w:rFonts w:eastAsia="Arial Unicode MS"/>
                <w:sz w:val="18"/>
                <w:szCs w:val="18"/>
                <w:u w:color="000000"/>
                <w:lang w:eastAsia="ko-KR"/>
              </w:rPr>
              <w:t xml:space="preserve"> Number of women</w:t>
            </w:r>
            <w:r w:rsidR="00483A17">
              <w:rPr>
                <w:rFonts w:eastAsia="Arial Unicode MS"/>
                <w:sz w:val="18"/>
                <w:szCs w:val="18"/>
                <w:u w:color="000000"/>
                <w:lang w:eastAsia="ko-KR"/>
              </w:rPr>
              <w:t>-</w:t>
            </w:r>
            <w:r w:rsidRPr="002805B6">
              <w:rPr>
                <w:rFonts w:eastAsia="Arial Unicode MS"/>
                <w:sz w:val="18"/>
                <w:szCs w:val="18"/>
                <w:u w:color="000000"/>
                <w:lang w:eastAsia="ko-KR"/>
              </w:rPr>
              <w:t xml:space="preserve"> and m</w:t>
            </w:r>
            <w:r w:rsidR="00483A17">
              <w:rPr>
                <w:rFonts w:eastAsia="Arial Unicode MS"/>
                <w:sz w:val="18"/>
                <w:szCs w:val="18"/>
                <w:u w:color="000000"/>
                <w:lang w:eastAsia="ko-KR"/>
              </w:rPr>
              <w:t>ale-</w:t>
            </w:r>
            <w:r w:rsidRPr="002805B6">
              <w:rPr>
                <w:rFonts w:eastAsia="Arial Unicode MS"/>
                <w:sz w:val="18"/>
                <w:szCs w:val="18"/>
                <w:u w:color="000000"/>
                <w:lang w:eastAsia="ko-KR"/>
              </w:rPr>
              <w:t xml:space="preserve">headed households in targeted areas </w:t>
            </w:r>
            <w:r w:rsidRPr="002805B6">
              <w:rPr>
                <w:rFonts w:eastAsia="Arial Unicode MS"/>
                <w:sz w:val="18"/>
                <w:szCs w:val="18"/>
                <w:u w:color="000000"/>
                <w:lang w:val="en-GB" w:eastAsia="ko-KR"/>
              </w:rPr>
              <w:t xml:space="preserve">benefiting from access to clean, affordable and sustainable energy </w:t>
            </w:r>
          </w:p>
          <w:p w14:paraId="14C809F6" w14:textId="41CD3E19" w:rsidR="000B4EB5" w:rsidRPr="00146EAD" w:rsidRDefault="000B4EB5" w:rsidP="005A2DBF">
            <w:pPr>
              <w:rPr>
                <w:rFonts w:eastAsia="Arial Unicode MS"/>
                <w:sz w:val="18"/>
                <w:szCs w:val="18"/>
                <w:u w:color="000000"/>
                <w:lang w:eastAsia="ko-KR"/>
              </w:rPr>
            </w:pPr>
            <w:r w:rsidRPr="002805B6">
              <w:rPr>
                <w:rFonts w:eastAsia="Arial Unicode MS"/>
                <w:b/>
                <w:sz w:val="18"/>
                <w:szCs w:val="18"/>
                <w:u w:color="000000"/>
                <w:lang w:eastAsia="ko-KR"/>
              </w:rPr>
              <w:t>Baseline (</w:t>
            </w:r>
            <w:r w:rsidRPr="00146EAD">
              <w:rPr>
                <w:rFonts w:eastAsia="Arial Unicode MS"/>
                <w:sz w:val="18"/>
                <w:szCs w:val="18"/>
                <w:u w:color="000000"/>
                <w:lang w:eastAsia="ko-KR"/>
              </w:rPr>
              <w:t xml:space="preserve">2017): </w:t>
            </w:r>
            <w:r w:rsidR="00110ECD" w:rsidRPr="00146EAD">
              <w:rPr>
                <w:rFonts w:eastAsia="Arial Unicode MS"/>
                <w:sz w:val="18"/>
                <w:szCs w:val="18"/>
                <w:u w:color="000000"/>
                <w:lang w:eastAsia="ko-KR"/>
              </w:rPr>
              <w:t>Women-headed households</w:t>
            </w:r>
            <w:r w:rsidRPr="00146EAD">
              <w:rPr>
                <w:rFonts w:eastAsia="Arial Unicode MS"/>
                <w:sz w:val="18"/>
                <w:szCs w:val="18"/>
                <w:u w:color="000000"/>
                <w:lang w:eastAsia="ko-KR"/>
              </w:rPr>
              <w:t>: 3</w:t>
            </w:r>
            <w:r w:rsidR="004E395E" w:rsidRPr="00146EAD">
              <w:rPr>
                <w:rFonts w:eastAsia="Arial Unicode MS"/>
                <w:sz w:val="18"/>
                <w:szCs w:val="18"/>
                <w:u w:color="000000"/>
                <w:lang w:eastAsia="ko-KR"/>
              </w:rPr>
              <w:t>,</w:t>
            </w:r>
            <w:r w:rsidRPr="00146EAD">
              <w:rPr>
                <w:rFonts w:eastAsia="Arial Unicode MS"/>
                <w:sz w:val="18"/>
                <w:szCs w:val="18"/>
                <w:u w:color="000000"/>
                <w:lang w:eastAsia="ko-KR"/>
              </w:rPr>
              <w:t xml:space="preserve">096, </w:t>
            </w:r>
            <w:r w:rsidR="00110ECD" w:rsidRPr="00146EAD">
              <w:rPr>
                <w:rFonts w:eastAsia="Arial Unicode MS"/>
                <w:sz w:val="18"/>
                <w:szCs w:val="18"/>
                <w:u w:color="000000"/>
                <w:lang w:eastAsia="ko-KR"/>
              </w:rPr>
              <w:t>Male-headed households</w:t>
            </w:r>
            <w:r w:rsidRPr="00146EAD">
              <w:rPr>
                <w:rFonts w:eastAsia="Arial Unicode MS"/>
                <w:sz w:val="18"/>
                <w:szCs w:val="18"/>
                <w:u w:color="000000"/>
                <w:lang w:eastAsia="ko-KR"/>
              </w:rPr>
              <w:t>: 8</w:t>
            </w:r>
            <w:r w:rsidR="004E395E" w:rsidRPr="00146EAD">
              <w:rPr>
                <w:rFonts w:eastAsia="Arial Unicode MS"/>
                <w:sz w:val="18"/>
                <w:szCs w:val="18"/>
                <w:u w:color="000000"/>
                <w:lang w:eastAsia="ko-KR"/>
              </w:rPr>
              <w:t>,</w:t>
            </w:r>
            <w:r w:rsidRPr="00146EAD">
              <w:rPr>
                <w:rFonts w:eastAsia="Arial Unicode MS"/>
                <w:sz w:val="18"/>
                <w:szCs w:val="18"/>
                <w:u w:color="000000"/>
                <w:lang w:eastAsia="ko-KR"/>
              </w:rPr>
              <w:t>904</w:t>
            </w:r>
          </w:p>
          <w:p w14:paraId="5932EE1E" w14:textId="57714F66" w:rsidR="000B4EB5" w:rsidRPr="00146EAD" w:rsidRDefault="000B4EB5" w:rsidP="005A2DBF">
            <w:pPr>
              <w:rPr>
                <w:rFonts w:eastAsia="Arial Unicode MS"/>
                <w:sz w:val="18"/>
                <w:szCs w:val="18"/>
                <w:u w:color="000000"/>
                <w:lang w:eastAsia="ko-KR"/>
              </w:rPr>
            </w:pPr>
            <w:r w:rsidRPr="00146EAD">
              <w:rPr>
                <w:rFonts w:eastAsia="Arial Unicode MS"/>
                <w:b/>
                <w:sz w:val="18"/>
                <w:szCs w:val="18"/>
                <w:u w:color="000000"/>
                <w:lang w:eastAsia="ko-KR"/>
              </w:rPr>
              <w:t>Target</w:t>
            </w:r>
            <w:r w:rsidRPr="00146EAD">
              <w:rPr>
                <w:rFonts w:eastAsia="Arial Unicode MS"/>
                <w:sz w:val="18"/>
                <w:szCs w:val="18"/>
                <w:u w:color="000000"/>
                <w:lang w:eastAsia="ko-KR"/>
              </w:rPr>
              <w:t xml:space="preserve">: </w:t>
            </w:r>
            <w:r w:rsidR="00110ECD" w:rsidRPr="00146EAD">
              <w:rPr>
                <w:rFonts w:eastAsia="Arial Unicode MS"/>
                <w:sz w:val="18"/>
                <w:szCs w:val="18"/>
                <w:u w:color="000000"/>
                <w:lang w:eastAsia="ko-KR"/>
              </w:rPr>
              <w:t>Women-headed households</w:t>
            </w:r>
            <w:r w:rsidRPr="00146EAD">
              <w:rPr>
                <w:rFonts w:eastAsia="Arial Unicode MS"/>
                <w:sz w:val="18"/>
                <w:szCs w:val="18"/>
                <w:u w:color="000000"/>
                <w:lang w:eastAsia="ko-KR"/>
              </w:rPr>
              <w:t>:3</w:t>
            </w:r>
            <w:r w:rsidR="004E395E" w:rsidRPr="00146EAD">
              <w:rPr>
                <w:rFonts w:eastAsia="Arial Unicode MS"/>
                <w:sz w:val="18"/>
                <w:szCs w:val="18"/>
                <w:u w:color="000000"/>
                <w:lang w:eastAsia="ko-KR"/>
              </w:rPr>
              <w:t>,</w:t>
            </w:r>
            <w:r w:rsidRPr="00146EAD">
              <w:rPr>
                <w:rFonts w:eastAsia="Arial Unicode MS"/>
                <w:sz w:val="18"/>
                <w:szCs w:val="18"/>
                <w:u w:color="000000"/>
                <w:lang w:eastAsia="ko-KR"/>
              </w:rPr>
              <w:t xml:space="preserve">656, </w:t>
            </w:r>
            <w:r w:rsidR="00110ECD" w:rsidRPr="00146EAD">
              <w:rPr>
                <w:rFonts w:eastAsia="Arial Unicode MS"/>
                <w:sz w:val="18"/>
                <w:szCs w:val="18"/>
                <w:u w:color="000000"/>
                <w:lang w:eastAsia="ko-KR"/>
              </w:rPr>
              <w:t>male-headed households</w:t>
            </w:r>
            <w:r w:rsidRPr="00146EAD">
              <w:rPr>
                <w:rFonts w:eastAsia="Arial Unicode MS"/>
                <w:sz w:val="18"/>
                <w:szCs w:val="18"/>
                <w:u w:color="000000"/>
                <w:lang w:eastAsia="ko-KR"/>
              </w:rPr>
              <w:t>:10</w:t>
            </w:r>
            <w:r w:rsidR="004E395E" w:rsidRPr="00146EAD">
              <w:rPr>
                <w:rFonts w:eastAsia="Arial Unicode MS"/>
                <w:sz w:val="18"/>
                <w:szCs w:val="18"/>
                <w:u w:color="000000"/>
                <w:lang w:eastAsia="ko-KR"/>
              </w:rPr>
              <w:t>,</w:t>
            </w:r>
            <w:r w:rsidRPr="00146EAD">
              <w:rPr>
                <w:rFonts w:eastAsia="Arial Unicode MS"/>
                <w:sz w:val="18"/>
                <w:szCs w:val="18"/>
                <w:u w:color="000000"/>
                <w:lang w:eastAsia="ko-KR"/>
              </w:rPr>
              <w:t>594</w:t>
            </w:r>
          </w:p>
          <w:p w14:paraId="11E5E73E" w14:textId="39BA7C21" w:rsidR="000B4EB5" w:rsidRPr="00146EAD" w:rsidRDefault="000B4EB5" w:rsidP="005A2DBF">
            <w:pPr>
              <w:rPr>
                <w:rFonts w:eastAsia="Arial Unicode MS"/>
                <w:sz w:val="18"/>
                <w:szCs w:val="18"/>
                <w:u w:color="000000"/>
                <w:lang w:eastAsia="ko-KR"/>
              </w:rPr>
            </w:pPr>
            <w:r w:rsidRPr="00146EAD">
              <w:rPr>
                <w:rFonts w:eastAsia="Arial Unicode MS"/>
                <w:b/>
                <w:sz w:val="18"/>
                <w:szCs w:val="18"/>
                <w:u w:color="000000"/>
                <w:lang w:eastAsia="ko-KR"/>
              </w:rPr>
              <w:t>Data source</w:t>
            </w:r>
            <w:r w:rsidRPr="00146EAD">
              <w:rPr>
                <w:rFonts w:eastAsia="Arial Unicode MS"/>
                <w:sz w:val="18"/>
                <w:szCs w:val="18"/>
                <w:u w:color="000000"/>
                <w:lang w:eastAsia="ko-KR"/>
              </w:rPr>
              <w:t xml:space="preserve">: PUDC </w:t>
            </w:r>
            <w:r w:rsidR="004D2724" w:rsidRPr="00146EAD">
              <w:rPr>
                <w:rFonts w:eastAsia="Arial Unicode MS"/>
                <w:sz w:val="18"/>
                <w:szCs w:val="18"/>
                <w:u w:color="000000"/>
                <w:lang w:eastAsia="ko-KR"/>
              </w:rPr>
              <w:t>technical committee annual report</w:t>
            </w:r>
            <w:r w:rsidRPr="00146EAD">
              <w:rPr>
                <w:rFonts w:eastAsia="Arial Unicode MS"/>
                <w:sz w:val="18"/>
                <w:szCs w:val="18"/>
                <w:u w:color="000000"/>
                <w:lang w:eastAsia="ko-KR"/>
              </w:rPr>
              <w:t xml:space="preserve"> </w:t>
            </w:r>
          </w:p>
          <w:p w14:paraId="3BE4F00B" w14:textId="77777777" w:rsidR="000B4EB5" w:rsidRPr="00146EAD" w:rsidRDefault="000B4EB5" w:rsidP="005A2DBF">
            <w:pPr>
              <w:rPr>
                <w:rFonts w:eastAsia="Arial Unicode MS"/>
                <w:sz w:val="18"/>
                <w:szCs w:val="18"/>
                <w:u w:color="000000"/>
                <w:lang w:eastAsia="ko-KR"/>
              </w:rPr>
            </w:pPr>
          </w:p>
          <w:p w14:paraId="58D9AA84" w14:textId="5CB47553" w:rsidR="000B4EB5" w:rsidRPr="002805B6" w:rsidRDefault="000B4EB5" w:rsidP="005A2DBF">
            <w:pPr>
              <w:rPr>
                <w:rFonts w:eastAsia="Arial Unicode MS"/>
                <w:sz w:val="18"/>
                <w:szCs w:val="18"/>
                <w:u w:color="000000"/>
                <w:lang w:eastAsia="ko-KR"/>
              </w:rPr>
            </w:pPr>
            <w:r w:rsidRPr="002805B6">
              <w:rPr>
                <w:rFonts w:eastAsia="Arial Unicode MS"/>
                <w:b/>
                <w:sz w:val="18"/>
                <w:szCs w:val="18"/>
                <w:u w:color="000000"/>
                <w:lang w:eastAsia="ko-KR"/>
              </w:rPr>
              <w:t>Indicator 3.2.2</w:t>
            </w:r>
            <w:r w:rsidRPr="002805B6">
              <w:rPr>
                <w:rFonts w:eastAsia="Arial Unicode MS"/>
                <w:sz w:val="18"/>
                <w:szCs w:val="18"/>
                <w:u w:color="000000"/>
                <w:lang w:eastAsia="ko-KR"/>
              </w:rPr>
              <w:t xml:space="preserve">: Percentage </w:t>
            </w:r>
            <w:r w:rsidRPr="002805B6">
              <w:rPr>
                <w:sz w:val="18"/>
                <w:szCs w:val="18"/>
                <w:lang w:val="en"/>
              </w:rPr>
              <w:t>of coal producers using high</w:t>
            </w:r>
            <w:r w:rsidR="00110ECD">
              <w:rPr>
                <w:sz w:val="18"/>
                <w:szCs w:val="18"/>
                <w:lang w:val="en"/>
              </w:rPr>
              <w:t>-</w:t>
            </w:r>
            <w:r w:rsidRPr="002805B6">
              <w:rPr>
                <w:sz w:val="18"/>
                <w:szCs w:val="18"/>
                <w:lang w:val="en"/>
              </w:rPr>
              <w:t xml:space="preserve"> efficiency carbonization techniques</w:t>
            </w:r>
          </w:p>
          <w:p w14:paraId="316F5F99" w14:textId="77777777" w:rsidR="000B4EB5" w:rsidRPr="002805B6" w:rsidRDefault="000B4EB5" w:rsidP="005A2DBF">
            <w:pPr>
              <w:rPr>
                <w:rFonts w:eastAsia="Arial Unicode MS"/>
                <w:sz w:val="18"/>
                <w:szCs w:val="18"/>
                <w:u w:color="000000"/>
                <w:lang w:eastAsia="ko-KR"/>
              </w:rPr>
            </w:pPr>
            <w:r w:rsidRPr="002805B6">
              <w:rPr>
                <w:rFonts w:eastAsia="Arial Unicode MS"/>
                <w:b/>
                <w:sz w:val="18"/>
                <w:szCs w:val="18"/>
                <w:u w:color="000000"/>
                <w:lang w:eastAsia="ko-KR"/>
              </w:rPr>
              <w:t>Baseline (2017):</w:t>
            </w:r>
            <w:r w:rsidRPr="002805B6">
              <w:rPr>
                <w:rFonts w:eastAsia="Arial Unicode MS"/>
                <w:sz w:val="18"/>
                <w:szCs w:val="18"/>
                <w:u w:color="000000"/>
                <w:lang w:eastAsia="ko-KR"/>
              </w:rPr>
              <w:t xml:space="preserve"> 0</w:t>
            </w:r>
          </w:p>
          <w:p w14:paraId="18B33BAA" w14:textId="77777777" w:rsidR="000B4EB5" w:rsidRPr="002805B6" w:rsidRDefault="000B4EB5" w:rsidP="005A2DBF">
            <w:pPr>
              <w:rPr>
                <w:rFonts w:eastAsia="Arial Unicode MS"/>
                <w:sz w:val="18"/>
                <w:szCs w:val="18"/>
                <w:u w:color="000000"/>
                <w:lang w:eastAsia="ko-KR"/>
              </w:rPr>
            </w:pPr>
            <w:r w:rsidRPr="002805B6">
              <w:rPr>
                <w:rFonts w:eastAsia="Arial Unicode MS"/>
                <w:b/>
                <w:sz w:val="18"/>
                <w:szCs w:val="18"/>
                <w:u w:color="000000"/>
                <w:lang w:eastAsia="ko-KR"/>
              </w:rPr>
              <w:t>Target:</w:t>
            </w:r>
            <w:r w:rsidRPr="002805B6">
              <w:rPr>
                <w:rFonts w:eastAsia="Arial Unicode MS"/>
                <w:sz w:val="18"/>
                <w:szCs w:val="18"/>
                <w:u w:color="000000"/>
                <w:lang w:eastAsia="ko-KR"/>
              </w:rPr>
              <w:t xml:space="preserve"> 30%</w:t>
            </w:r>
          </w:p>
          <w:p w14:paraId="2F049C63" w14:textId="27E85883" w:rsidR="000B4EB5" w:rsidRPr="002805B6" w:rsidRDefault="000B4EB5" w:rsidP="005A2DBF">
            <w:pPr>
              <w:rPr>
                <w:rFonts w:eastAsia="Arial Unicode MS"/>
                <w:sz w:val="18"/>
                <w:szCs w:val="18"/>
                <w:u w:color="000000"/>
                <w:lang w:eastAsia="ko-KR"/>
              </w:rPr>
            </w:pPr>
            <w:r w:rsidRPr="002805B6">
              <w:rPr>
                <w:rFonts w:eastAsia="Arial Unicode MS"/>
                <w:b/>
                <w:sz w:val="18"/>
                <w:szCs w:val="18"/>
                <w:u w:color="000000"/>
                <w:lang w:eastAsia="ko-KR"/>
              </w:rPr>
              <w:t>Data source:</w:t>
            </w:r>
            <w:r w:rsidRPr="002805B6">
              <w:rPr>
                <w:rFonts w:eastAsia="Arial Unicode MS"/>
                <w:sz w:val="18"/>
                <w:szCs w:val="18"/>
                <w:u w:color="000000"/>
                <w:lang w:eastAsia="ko-KR"/>
              </w:rPr>
              <w:t xml:space="preserve">  </w:t>
            </w:r>
            <w:r w:rsidR="00B314BF">
              <w:rPr>
                <w:rFonts w:eastAsia="Arial Unicode MS"/>
                <w:sz w:val="18"/>
                <w:szCs w:val="18"/>
                <w:u w:color="000000"/>
                <w:lang w:eastAsia="ko-KR"/>
              </w:rPr>
              <w:t xml:space="preserve">Ministry of </w:t>
            </w:r>
            <w:r w:rsidR="008271E2" w:rsidRPr="002805B6">
              <w:rPr>
                <w:rFonts w:eastAsia="Arial Unicode MS"/>
                <w:sz w:val="18"/>
                <w:szCs w:val="18"/>
                <w:u w:color="000000"/>
                <w:lang w:eastAsia="ko-KR"/>
              </w:rPr>
              <w:t>E</w:t>
            </w:r>
            <w:r w:rsidRPr="002805B6">
              <w:rPr>
                <w:rFonts w:eastAsia="Arial Unicode MS"/>
                <w:sz w:val="18"/>
                <w:szCs w:val="18"/>
                <w:u w:color="000000"/>
                <w:lang w:eastAsia="ko-KR"/>
              </w:rPr>
              <w:t>nvironment annual report</w:t>
            </w:r>
            <w:r w:rsidR="00464055" w:rsidRPr="002805B6">
              <w:rPr>
                <w:rFonts w:eastAsia="Arial Unicode MS"/>
                <w:sz w:val="18"/>
                <w:szCs w:val="18"/>
                <w:u w:color="000000"/>
                <w:lang w:eastAsia="ko-KR"/>
              </w:rPr>
              <w:t xml:space="preserve"> </w:t>
            </w:r>
          </w:p>
          <w:p w14:paraId="5EF03B35" w14:textId="77777777" w:rsidR="003C7FF3" w:rsidRPr="002805B6" w:rsidRDefault="003C7FF3" w:rsidP="005A2DBF">
            <w:pPr>
              <w:rPr>
                <w:rFonts w:eastAsia="Arial Unicode MS"/>
                <w:sz w:val="18"/>
                <w:szCs w:val="18"/>
                <w:u w:color="000000"/>
                <w:lang w:eastAsia="ko-KR"/>
              </w:rPr>
            </w:pPr>
          </w:p>
          <w:p w14:paraId="411C57C4" w14:textId="4238E1DE" w:rsidR="003C7FF3" w:rsidRPr="002805B6" w:rsidRDefault="003C7FF3" w:rsidP="005A2DBF">
            <w:pPr>
              <w:rPr>
                <w:rFonts w:eastAsia="Arial Unicode MS"/>
                <w:sz w:val="18"/>
                <w:szCs w:val="18"/>
                <w:u w:color="000000"/>
                <w:lang w:eastAsia="ko-KR"/>
              </w:rPr>
            </w:pPr>
            <w:r w:rsidRPr="002805B6">
              <w:rPr>
                <w:rFonts w:eastAsia="Arial Unicode MS"/>
                <w:b/>
                <w:sz w:val="18"/>
                <w:szCs w:val="18"/>
                <w:u w:color="000000"/>
                <w:lang w:eastAsia="ko-KR"/>
              </w:rPr>
              <w:t>Indicator 3.2.3:</w:t>
            </w:r>
            <w:r w:rsidRPr="002805B6">
              <w:rPr>
                <w:rFonts w:eastAsia="Arial Unicode MS"/>
                <w:sz w:val="18"/>
                <w:szCs w:val="18"/>
                <w:u w:color="000000"/>
                <w:lang w:eastAsia="ko-KR"/>
              </w:rPr>
              <w:t xml:space="preserve"> Percentage of </w:t>
            </w:r>
            <w:r w:rsidR="008616E5" w:rsidRPr="002805B6">
              <w:rPr>
                <w:rFonts w:eastAsia="Arial Unicode MS"/>
                <w:sz w:val="18"/>
                <w:szCs w:val="18"/>
                <w:u w:color="000000"/>
                <w:lang w:eastAsia="ko-KR"/>
              </w:rPr>
              <w:t xml:space="preserve">women </w:t>
            </w:r>
            <w:r w:rsidR="00C615BE" w:rsidRPr="002805B6">
              <w:rPr>
                <w:rFonts w:eastAsia="Arial Unicode MS"/>
                <w:sz w:val="18"/>
                <w:szCs w:val="18"/>
                <w:u w:color="000000"/>
                <w:lang w:eastAsia="ko-KR"/>
              </w:rPr>
              <w:t>char</w:t>
            </w:r>
            <w:r w:rsidRPr="002805B6">
              <w:rPr>
                <w:rFonts w:eastAsia="Arial Unicode MS"/>
                <w:sz w:val="18"/>
                <w:szCs w:val="18"/>
                <w:u w:color="000000"/>
                <w:lang w:eastAsia="ko-KR"/>
              </w:rPr>
              <w:t>coal</w:t>
            </w:r>
            <w:r w:rsidR="00110ECD">
              <w:rPr>
                <w:rFonts w:eastAsia="Arial Unicode MS"/>
                <w:sz w:val="18"/>
                <w:szCs w:val="18"/>
                <w:u w:color="000000"/>
                <w:lang w:eastAsia="ko-KR"/>
              </w:rPr>
              <w:t xml:space="preserve"> </w:t>
            </w:r>
            <w:r w:rsidRPr="002805B6">
              <w:rPr>
                <w:rFonts w:eastAsia="Arial Unicode MS"/>
                <w:sz w:val="18"/>
                <w:szCs w:val="18"/>
                <w:u w:color="000000"/>
                <w:lang w:eastAsia="ko-KR"/>
              </w:rPr>
              <w:t>produc</w:t>
            </w:r>
            <w:r w:rsidR="008616E5" w:rsidRPr="002805B6">
              <w:rPr>
                <w:rFonts w:eastAsia="Arial Unicode MS"/>
                <w:sz w:val="18"/>
                <w:szCs w:val="18"/>
                <w:u w:color="000000"/>
                <w:lang w:eastAsia="ko-KR"/>
              </w:rPr>
              <w:t xml:space="preserve">ers </w:t>
            </w:r>
            <w:r w:rsidRPr="002805B6">
              <w:rPr>
                <w:rFonts w:eastAsia="Arial Unicode MS"/>
                <w:sz w:val="18"/>
                <w:szCs w:val="18"/>
                <w:u w:color="000000"/>
                <w:lang w:eastAsia="ko-KR"/>
              </w:rPr>
              <w:t>converted to other high-income activities</w:t>
            </w:r>
          </w:p>
          <w:p w14:paraId="775FC92D" w14:textId="77777777" w:rsidR="003C7FF3" w:rsidRPr="002805B6" w:rsidRDefault="003C7FF3" w:rsidP="005A2DBF">
            <w:pPr>
              <w:rPr>
                <w:rFonts w:eastAsia="Arial Unicode MS"/>
                <w:sz w:val="18"/>
                <w:szCs w:val="18"/>
                <w:u w:color="000000"/>
                <w:lang w:eastAsia="ko-KR"/>
              </w:rPr>
            </w:pPr>
            <w:r w:rsidRPr="002805B6">
              <w:rPr>
                <w:rFonts w:eastAsia="Arial Unicode MS"/>
                <w:b/>
                <w:sz w:val="18"/>
                <w:szCs w:val="18"/>
                <w:u w:color="000000"/>
                <w:lang w:eastAsia="ko-KR"/>
              </w:rPr>
              <w:t>Baseline (2017):</w:t>
            </w:r>
            <w:r w:rsidRPr="002805B6">
              <w:rPr>
                <w:rFonts w:eastAsia="Arial Unicode MS"/>
                <w:sz w:val="18"/>
                <w:szCs w:val="18"/>
                <w:u w:color="000000"/>
                <w:lang w:eastAsia="ko-KR"/>
              </w:rPr>
              <w:t xml:space="preserve"> 0</w:t>
            </w:r>
          </w:p>
          <w:p w14:paraId="30B5AE6C" w14:textId="77777777" w:rsidR="003C7FF3" w:rsidRPr="002805B6" w:rsidRDefault="003C7FF3" w:rsidP="005A2DBF">
            <w:pPr>
              <w:rPr>
                <w:rFonts w:eastAsia="Arial Unicode MS"/>
                <w:sz w:val="18"/>
                <w:szCs w:val="18"/>
                <w:u w:color="000000"/>
                <w:lang w:eastAsia="ko-KR"/>
              </w:rPr>
            </w:pPr>
            <w:r w:rsidRPr="002805B6">
              <w:rPr>
                <w:rFonts w:eastAsia="Arial Unicode MS"/>
                <w:b/>
                <w:sz w:val="18"/>
                <w:szCs w:val="18"/>
                <w:u w:color="000000"/>
                <w:lang w:eastAsia="ko-KR"/>
              </w:rPr>
              <w:t>Target:</w:t>
            </w:r>
            <w:r w:rsidRPr="002805B6">
              <w:rPr>
                <w:rFonts w:eastAsia="Arial Unicode MS"/>
                <w:sz w:val="18"/>
                <w:szCs w:val="18"/>
                <w:u w:color="000000"/>
                <w:lang w:eastAsia="ko-KR"/>
              </w:rPr>
              <w:t xml:space="preserve"> 50%</w:t>
            </w:r>
          </w:p>
          <w:p w14:paraId="44F12E70" w14:textId="17986AF7" w:rsidR="003C7FF3" w:rsidRPr="002805B6" w:rsidRDefault="003C7FF3" w:rsidP="005A2DBF">
            <w:pPr>
              <w:rPr>
                <w:rFonts w:eastAsia="Arial Unicode MS"/>
                <w:sz w:val="18"/>
                <w:szCs w:val="18"/>
                <w:u w:color="000000"/>
                <w:lang w:eastAsia="ko-KR"/>
              </w:rPr>
            </w:pPr>
            <w:r w:rsidRPr="002805B6">
              <w:rPr>
                <w:rFonts w:eastAsia="Arial Unicode MS"/>
                <w:b/>
                <w:sz w:val="18"/>
                <w:szCs w:val="18"/>
                <w:u w:color="000000"/>
                <w:lang w:eastAsia="ko-KR"/>
              </w:rPr>
              <w:t>Data source:</w:t>
            </w:r>
            <w:r w:rsidRPr="002805B6">
              <w:rPr>
                <w:rFonts w:eastAsia="Arial Unicode MS"/>
                <w:sz w:val="18"/>
                <w:szCs w:val="18"/>
                <w:u w:color="000000"/>
                <w:lang w:eastAsia="ko-KR"/>
              </w:rPr>
              <w:t xml:space="preserve">  </w:t>
            </w:r>
            <w:r w:rsidR="00B314BF">
              <w:rPr>
                <w:rFonts w:eastAsia="Arial Unicode MS"/>
                <w:sz w:val="18"/>
                <w:szCs w:val="18"/>
                <w:u w:color="000000"/>
                <w:lang w:eastAsia="ko-KR"/>
              </w:rPr>
              <w:t xml:space="preserve"> Ministry of </w:t>
            </w:r>
            <w:r w:rsidR="00B314BF" w:rsidRPr="002805B6">
              <w:rPr>
                <w:rFonts w:eastAsia="Arial Unicode MS"/>
                <w:sz w:val="18"/>
                <w:szCs w:val="18"/>
                <w:u w:color="000000"/>
                <w:lang w:eastAsia="ko-KR"/>
              </w:rPr>
              <w:t xml:space="preserve">Environment </w:t>
            </w:r>
            <w:r w:rsidR="00B314BF">
              <w:rPr>
                <w:rFonts w:eastAsia="Arial Unicode MS"/>
                <w:sz w:val="18"/>
                <w:szCs w:val="18"/>
                <w:u w:color="000000"/>
                <w:lang w:eastAsia="ko-KR"/>
              </w:rPr>
              <w:t>annual report</w:t>
            </w:r>
          </w:p>
          <w:p w14:paraId="738F6A48" w14:textId="77777777" w:rsidR="000B4EB5" w:rsidRPr="002805B6" w:rsidRDefault="000B4EB5" w:rsidP="005A2DBF">
            <w:pPr>
              <w:rPr>
                <w:rFonts w:eastAsia="Arial Unicode MS"/>
                <w:sz w:val="18"/>
                <w:szCs w:val="18"/>
                <w:u w:color="000000"/>
                <w:lang w:eastAsia="ko-KR"/>
              </w:rPr>
            </w:pPr>
          </w:p>
          <w:p w14:paraId="5FED4610" w14:textId="77777777" w:rsidR="000B4EB5" w:rsidRPr="00B314BF" w:rsidRDefault="000B4EB5" w:rsidP="005A2DBF">
            <w:pPr>
              <w:rPr>
                <w:rFonts w:eastAsia="Arial Unicode MS"/>
                <w:sz w:val="18"/>
                <w:szCs w:val="18"/>
                <w:u w:color="000000"/>
                <w:lang w:eastAsia="ko-KR"/>
              </w:rPr>
            </w:pPr>
            <w:r w:rsidRPr="002805B6">
              <w:rPr>
                <w:b/>
                <w:bCs/>
                <w:kern w:val="24"/>
                <w:sz w:val="18"/>
                <w:szCs w:val="18"/>
                <w:u w:color="000000"/>
                <w:lang w:eastAsia="ko-KR"/>
              </w:rPr>
              <w:t>Output 3.3</w:t>
            </w:r>
            <w:r w:rsidRPr="002805B6">
              <w:rPr>
                <w:bCs/>
                <w:kern w:val="24"/>
                <w:sz w:val="18"/>
                <w:szCs w:val="18"/>
                <w:u w:color="000000"/>
                <w:lang w:eastAsia="ko-KR"/>
              </w:rPr>
              <w:t xml:space="preserve"> </w:t>
            </w:r>
            <w:r w:rsidRPr="00B314BF">
              <w:rPr>
                <w:bCs/>
                <w:kern w:val="24"/>
                <w:sz w:val="18"/>
                <w:szCs w:val="18"/>
                <w:u w:color="000000"/>
                <w:lang w:eastAsia="ko-KR"/>
              </w:rPr>
              <w:t>Vulnerable communities in areas highly exposed to natural hazards prone enabled to adapt to future disaster and climate change impacts</w:t>
            </w:r>
          </w:p>
          <w:p w14:paraId="2CA5C209" w14:textId="77777777" w:rsidR="000B4EB5" w:rsidRPr="00B314BF" w:rsidRDefault="000B4EB5" w:rsidP="005A2DBF">
            <w:pPr>
              <w:rPr>
                <w:rFonts w:eastAsia="Arial Unicode MS"/>
                <w:sz w:val="18"/>
                <w:szCs w:val="18"/>
                <w:u w:color="000000"/>
                <w:lang w:eastAsia="ko-KR"/>
              </w:rPr>
            </w:pPr>
          </w:p>
          <w:p w14:paraId="6E118E29" w14:textId="65161D52" w:rsidR="00A346A9" w:rsidRPr="002805B6" w:rsidRDefault="00A346A9" w:rsidP="005A2DBF">
            <w:pPr>
              <w:rPr>
                <w:sz w:val="18"/>
                <w:szCs w:val="18"/>
                <w:lang w:eastAsia="en-GB"/>
              </w:rPr>
            </w:pPr>
            <w:r w:rsidRPr="002805B6">
              <w:rPr>
                <w:b/>
                <w:sz w:val="18"/>
                <w:szCs w:val="18"/>
                <w:lang w:eastAsia="en-GB"/>
              </w:rPr>
              <w:lastRenderedPageBreak/>
              <w:t>Indicator 3.3.1</w:t>
            </w:r>
            <w:r w:rsidR="000B4EB5" w:rsidRPr="002805B6">
              <w:rPr>
                <w:b/>
                <w:sz w:val="18"/>
                <w:szCs w:val="18"/>
                <w:lang w:eastAsia="en-GB"/>
              </w:rPr>
              <w:t>:</w:t>
            </w:r>
            <w:r w:rsidR="000B4EB5" w:rsidRPr="002805B6">
              <w:rPr>
                <w:sz w:val="18"/>
                <w:szCs w:val="18"/>
                <w:lang w:eastAsia="en-GB"/>
              </w:rPr>
              <w:t xml:space="preserve"> Number of villages engaged in sustainable management of natural resources, forests and ecosystem services for resilience</w:t>
            </w:r>
            <w:r w:rsidR="004E395E">
              <w:rPr>
                <w:sz w:val="18"/>
                <w:szCs w:val="18"/>
                <w:lang w:eastAsia="en-GB"/>
              </w:rPr>
              <w:t>-</w:t>
            </w:r>
            <w:r w:rsidR="000B4EB5" w:rsidRPr="002805B6">
              <w:rPr>
                <w:sz w:val="18"/>
                <w:szCs w:val="18"/>
                <w:lang w:eastAsia="en-GB"/>
              </w:rPr>
              <w:t>building</w:t>
            </w:r>
          </w:p>
          <w:p w14:paraId="3287B242" w14:textId="77777777" w:rsidR="00A346A9" w:rsidRPr="002805B6" w:rsidRDefault="000B4EB5" w:rsidP="005A2DBF">
            <w:pPr>
              <w:rPr>
                <w:b/>
                <w:sz w:val="18"/>
                <w:szCs w:val="18"/>
                <w:lang w:eastAsia="en-GB"/>
              </w:rPr>
            </w:pPr>
            <w:r w:rsidRPr="002805B6">
              <w:rPr>
                <w:b/>
                <w:sz w:val="18"/>
                <w:szCs w:val="18"/>
                <w:lang w:eastAsia="en-GB"/>
              </w:rPr>
              <w:t>Baseline (2017): 200</w:t>
            </w:r>
          </w:p>
          <w:p w14:paraId="1ACE4F18" w14:textId="77777777" w:rsidR="00A346A9" w:rsidRPr="002805B6" w:rsidRDefault="000B4EB5" w:rsidP="005A2DBF">
            <w:pPr>
              <w:rPr>
                <w:rFonts w:eastAsia="Arial Unicode MS"/>
                <w:sz w:val="18"/>
                <w:szCs w:val="18"/>
                <w:u w:color="000000"/>
                <w:lang w:eastAsia="ko-KR"/>
              </w:rPr>
            </w:pPr>
            <w:r w:rsidRPr="002805B6">
              <w:rPr>
                <w:rFonts w:eastAsia="Arial Unicode MS"/>
                <w:b/>
                <w:sz w:val="18"/>
                <w:szCs w:val="18"/>
                <w:u w:color="000000"/>
                <w:lang w:eastAsia="ko-KR"/>
              </w:rPr>
              <w:t>Target:</w:t>
            </w:r>
            <w:r w:rsidRPr="002805B6">
              <w:rPr>
                <w:rFonts w:eastAsia="Arial Unicode MS"/>
                <w:sz w:val="18"/>
                <w:szCs w:val="18"/>
                <w:u w:color="000000"/>
                <w:lang w:eastAsia="ko-KR"/>
              </w:rPr>
              <w:t xml:space="preserve"> 300</w:t>
            </w:r>
            <w:r w:rsidR="00781142" w:rsidRPr="002805B6">
              <w:rPr>
                <w:rFonts w:eastAsia="Arial Unicode MS"/>
                <w:sz w:val="18"/>
                <w:szCs w:val="18"/>
                <w:u w:color="000000"/>
                <w:lang w:eastAsia="ko-KR"/>
              </w:rPr>
              <w:t xml:space="preserve"> </w:t>
            </w:r>
          </w:p>
          <w:p w14:paraId="77BCF946" w14:textId="2ECEDB65" w:rsidR="00B24E2F" w:rsidRPr="002805B6" w:rsidRDefault="000B4EB5" w:rsidP="005A2DBF">
            <w:pPr>
              <w:rPr>
                <w:rFonts w:eastAsia="Arial Unicode MS"/>
                <w:sz w:val="18"/>
                <w:szCs w:val="18"/>
                <w:u w:color="000000"/>
                <w:lang w:eastAsia="ko-KR"/>
              </w:rPr>
            </w:pPr>
            <w:r w:rsidRPr="002805B6">
              <w:rPr>
                <w:rFonts w:eastAsia="Arial Unicode MS"/>
                <w:b/>
                <w:sz w:val="18"/>
                <w:szCs w:val="18"/>
                <w:u w:color="000000"/>
                <w:lang w:eastAsia="ko-KR"/>
              </w:rPr>
              <w:t xml:space="preserve">Data </w:t>
            </w:r>
            <w:r w:rsidR="00385932">
              <w:rPr>
                <w:rFonts w:eastAsia="Arial Unicode MS"/>
                <w:b/>
                <w:sz w:val="18"/>
                <w:szCs w:val="18"/>
                <w:u w:color="000000"/>
                <w:lang w:eastAsia="ko-KR"/>
              </w:rPr>
              <w:t>s</w:t>
            </w:r>
            <w:r w:rsidRPr="002805B6">
              <w:rPr>
                <w:rFonts w:eastAsia="Arial Unicode MS"/>
                <w:b/>
                <w:sz w:val="18"/>
                <w:szCs w:val="18"/>
                <w:u w:color="000000"/>
                <w:lang w:eastAsia="ko-KR"/>
              </w:rPr>
              <w:t>ource:</w:t>
            </w:r>
            <w:r w:rsidRPr="002805B6">
              <w:rPr>
                <w:rFonts w:eastAsia="Arial Unicode MS"/>
                <w:sz w:val="18"/>
                <w:szCs w:val="18"/>
                <w:u w:color="000000"/>
                <w:lang w:eastAsia="ko-KR"/>
              </w:rPr>
              <w:t xml:space="preserve"> </w:t>
            </w:r>
            <w:bookmarkEnd w:id="24"/>
            <w:r w:rsidR="00B314BF">
              <w:rPr>
                <w:rFonts w:eastAsia="Arial Unicode MS"/>
                <w:sz w:val="18"/>
                <w:szCs w:val="18"/>
                <w:u w:color="000000"/>
                <w:lang w:eastAsia="ko-KR"/>
              </w:rPr>
              <w:t xml:space="preserve">Ministry of </w:t>
            </w:r>
            <w:r w:rsidR="00B314BF" w:rsidRPr="002805B6">
              <w:rPr>
                <w:rFonts w:eastAsia="Arial Unicode MS"/>
                <w:sz w:val="18"/>
                <w:szCs w:val="18"/>
                <w:u w:color="000000"/>
                <w:lang w:eastAsia="ko-KR"/>
              </w:rPr>
              <w:t>Environment</w:t>
            </w:r>
            <w:r w:rsidR="00B314BF">
              <w:rPr>
                <w:rFonts w:eastAsia="Arial Unicode MS"/>
                <w:sz w:val="18"/>
                <w:szCs w:val="18"/>
                <w:u w:color="000000"/>
                <w:lang w:eastAsia="ko-KR"/>
              </w:rPr>
              <w:t xml:space="preserve"> annual report</w:t>
            </w:r>
          </w:p>
        </w:tc>
        <w:tc>
          <w:tcPr>
            <w:tcW w:w="965" w:type="pct"/>
            <w:vMerge w:val="restart"/>
          </w:tcPr>
          <w:p w14:paraId="27B3DD0E" w14:textId="77777777" w:rsidR="000B4EB5" w:rsidRPr="002805B6" w:rsidRDefault="000B4EB5"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lastRenderedPageBreak/>
              <w:t>Ministries of</w:t>
            </w:r>
            <w:r w:rsidR="00CA6F32" w:rsidRPr="002805B6">
              <w:rPr>
                <w:rFonts w:eastAsia="Arial Unicode MS"/>
                <w:sz w:val="18"/>
                <w:szCs w:val="18"/>
                <w:u w:color="000000"/>
                <w:lang w:eastAsia="ko-KR"/>
              </w:rPr>
              <w:t>:</w:t>
            </w:r>
            <w:r w:rsidRPr="002805B6">
              <w:rPr>
                <w:rFonts w:eastAsia="Arial Unicode MS"/>
                <w:sz w:val="18"/>
                <w:szCs w:val="18"/>
                <w:u w:color="000000"/>
                <w:lang w:eastAsia="ko-KR"/>
              </w:rPr>
              <w:t xml:space="preserve"> </w:t>
            </w:r>
          </w:p>
          <w:p w14:paraId="3A3427D8" w14:textId="77777777" w:rsidR="000B4EB5" w:rsidRPr="002805B6" w:rsidRDefault="000B4EB5"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 xml:space="preserve">-Environment </w:t>
            </w:r>
          </w:p>
          <w:p w14:paraId="7DE9676D" w14:textId="77777777" w:rsidR="000B4EB5" w:rsidRPr="002805B6" w:rsidRDefault="000B4EB5"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 xml:space="preserve">- Energy </w:t>
            </w:r>
          </w:p>
          <w:p w14:paraId="7E31B841" w14:textId="70E2F4C5" w:rsidR="000B4EB5" w:rsidRPr="002805B6" w:rsidRDefault="00140C03"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NCPA</w:t>
            </w:r>
            <w:r w:rsidR="00743C0A" w:rsidRPr="002805B6">
              <w:rPr>
                <w:rFonts w:eastAsia="Arial Unicode MS"/>
                <w:sz w:val="18"/>
                <w:szCs w:val="18"/>
                <w:u w:color="000000"/>
                <w:lang w:eastAsia="ko-KR"/>
              </w:rPr>
              <w:t>,</w:t>
            </w:r>
            <w:r w:rsidR="000B4EB5" w:rsidRPr="002805B6">
              <w:rPr>
                <w:rFonts w:eastAsia="Arial Unicode MS"/>
                <w:sz w:val="18"/>
                <w:szCs w:val="18"/>
                <w:u w:color="000000"/>
                <w:lang w:eastAsia="ko-KR"/>
              </w:rPr>
              <w:t xml:space="preserve"> </w:t>
            </w:r>
            <w:r w:rsidR="00743C0A" w:rsidRPr="002805B6">
              <w:rPr>
                <w:rFonts w:eastAsia="Arial Unicode MS"/>
                <w:sz w:val="18"/>
                <w:szCs w:val="18"/>
                <w:u w:color="000000"/>
                <w:lang w:eastAsia="ko-KR"/>
              </w:rPr>
              <w:t>W</w:t>
            </w:r>
            <w:r w:rsidR="00110ECD">
              <w:rPr>
                <w:rFonts w:eastAsia="Arial Unicode MS"/>
                <w:sz w:val="18"/>
                <w:szCs w:val="18"/>
                <w:u w:color="000000"/>
                <w:lang w:eastAsia="ko-KR"/>
              </w:rPr>
              <w:t xml:space="preserve">orld </w:t>
            </w:r>
            <w:r w:rsidR="00743C0A" w:rsidRPr="002805B6">
              <w:rPr>
                <w:rFonts w:eastAsia="Arial Unicode MS"/>
                <w:sz w:val="18"/>
                <w:szCs w:val="18"/>
                <w:u w:color="000000"/>
                <w:lang w:eastAsia="ko-KR"/>
              </w:rPr>
              <w:t>B</w:t>
            </w:r>
            <w:r w:rsidR="00110ECD">
              <w:rPr>
                <w:rFonts w:eastAsia="Arial Unicode MS"/>
                <w:sz w:val="18"/>
                <w:szCs w:val="18"/>
                <w:u w:color="000000"/>
                <w:lang w:eastAsia="ko-KR"/>
              </w:rPr>
              <w:t>ank</w:t>
            </w:r>
          </w:p>
          <w:p w14:paraId="547698F6" w14:textId="77777777" w:rsidR="000B4EB5" w:rsidRPr="002805B6" w:rsidRDefault="000B4EB5"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GCF</w:t>
            </w:r>
          </w:p>
          <w:p w14:paraId="64D6FF3D" w14:textId="77777777" w:rsidR="000B4EB5" w:rsidRPr="002805B6" w:rsidRDefault="000B4EB5"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GEF</w:t>
            </w:r>
          </w:p>
          <w:p w14:paraId="270ABA40" w14:textId="77777777" w:rsidR="000B4EB5" w:rsidRPr="002805B6" w:rsidRDefault="000B4EB5"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r w:rsidRPr="002805B6">
              <w:rPr>
                <w:rFonts w:eastAsia="Arial Unicode MS"/>
                <w:sz w:val="18"/>
                <w:szCs w:val="18"/>
                <w:u w:color="000000"/>
                <w:lang w:eastAsia="ko-KR"/>
              </w:rPr>
              <w:t>GIZ</w:t>
            </w:r>
          </w:p>
          <w:p w14:paraId="61980316" w14:textId="77777777" w:rsidR="000B4EB5" w:rsidRPr="002805B6" w:rsidRDefault="000B4EB5" w:rsidP="005A2DBF">
            <w:pPr>
              <w:pBdr>
                <w:top w:val="none" w:sz="96" w:space="31" w:color="FFFFFF" w:frame="1"/>
                <w:left w:val="none" w:sz="96" w:space="31" w:color="FFFFFF" w:frame="1"/>
                <w:bottom w:val="none" w:sz="96" w:space="31" w:color="FFFFFF" w:frame="1"/>
                <w:right w:val="none" w:sz="96" w:space="31" w:color="FFFFFF" w:frame="1"/>
                <w:bar w:val="none" w:sz="0" w:color="000000"/>
              </w:pBdr>
              <w:rPr>
                <w:rFonts w:eastAsia="Arial Unicode MS"/>
                <w:sz w:val="18"/>
                <w:szCs w:val="18"/>
                <w:u w:color="000000"/>
                <w:lang w:eastAsia="ko-KR"/>
              </w:rPr>
            </w:pPr>
          </w:p>
          <w:p w14:paraId="1FBB5B08" w14:textId="77777777" w:rsidR="00B24E2F" w:rsidRPr="002805B6" w:rsidRDefault="00B24E2F" w:rsidP="005A2DBF">
            <w:pPr>
              <w:rPr>
                <w:i/>
                <w:iCs/>
                <w:snapToGrid/>
                <w:sz w:val="18"/>
                <w:szCs w:val="18"/>
                <w:lang w:val="en-GB" w:eastAsia="en-US"/>
              </w:rPr>
            </w:pPr>
          </w:p>
        </w:tc>
        <w:tc>
          <w:tcPr>
            <w:tcW w:w="663" w:type="pct"/>
            <w:tcMar>
              <w:top w:w="15" w:type="dxa"/>
              <w:left w:w="108" w:type="dxa"/>
              <w:bottom w:w="0" w:type="dxa"/>
              <w:right w:w="108" w:type="dxa"/>
            </w:tcMar>
          </w:tcPr>
          <w:p w14:paraId="719FF4EE" w14:textId="77777777" w:rsidR="00B24E2F" w:rsidRPr="002805B6" w:rsidRDefault="00B24E2F" w:rsidP="005A2DBF">
            <w:pPr>
              <w:rPr>
                <w:sz w:val="18"/>
                <w:szCs w:val="18"/>
              </w:rPr>
            </w:pPr>
            <w:r w:rsidRPr="002805B6">
              <w:rPr>
                <w:rFonts w:eastAsia="Arial Unicode MS"/>
                <w:b/>
                <w:sz w:val="18"/>
                <w:szCs w:val="18"/>
                <w:u w:color="000000"/>
                <w:lang w:eastAsia="ko-KR"/>
              </w:rPr>
              <w:lastRenderedPageBreak/>
              <w:t>Regular:</w:t>
            </w:r>
            <w:r w:rsidRPr="002805B6">
              <w:rPr>
                <w:sz w:val="18"/>
                <w:szCs w:val="18"/>
              </w:rPr>
              <w:t xml:space="preserve"> </w:t>
            </w:r>
          </w:p>
          <w:p w14:paraId="0D0D157B" w14:textId="2BFA6A9D" w:rsidR="00B24E2F" w:rsidRPr="000C05E0" w:rsidRDefault="004E395E" w:rsidP="005A2DBF">
            <w:pPr>
              <w:rPr>
                <w:rFonts w:eastAsia="Arial Unicode MS"/>
                <w:b/>
                <w:bCs/>
                <w:sz w:val="18"/>
                <w:szCs w:val="18"/>
                <w:u w:color="000000"/>
                <w:lang w:eastAsia="ko-KR"/>
              </w:rPr>
            </w:pPr>
            <w:r>
              <w:rPr>
                <w:rFonts w:eastAsia="Arial Unicode MS"/>
                <w:b/>
                <w:sz w:val="18"/>
                <w:szCs w:val="18"/>
                <w:u w:color="000000"/>
                <w:lang w:eastAsia="ko-KR"/>
              </w:rPr>
              <w:t>$</w:t>
            </w:r>
            <w:r w:rsidR="00B24E2F" w:rsidRPr="002805B6">
              <w:rPr>
                <w:rFonts w:eastAsia="Arial Unicode MS"/>
                <w:b/>
                <w:sz w:val="18"/>
                <w:szCs w:val="18"/>
                <w:u w:color="000000"/>
                <w:lang w:eastAsia="ko-KR"/>
              </w:rPr>
              <w:t>8</w:t>
            </w:r>
            <w:r w:rsidR="00D575D0" w:rsidRPr="002805B6">
              <w:rPr>
                <w:rFonts w:eastAsia="Arial Unicode MS"/>
                <w:b/>
                <w:sz w:val="18"/>
                <w:szCs w:val="18"/>
                <w:u w:color="000000"/>
                <w:lang w:eastAsia="ko-KR"/>
              </w:rPr>
              <w:t>,</w:t>
            </w:r>
            <w:r w:rsidR="00A346A9" w:rsidRPr="002805B6">
              <w:rPr>
                <w:rFonts w:eastAsia="Arial Unicode MS"/>
                <w:b/>
                <w:sz w:val="18"/>
                <w:szCs w:val="18"/>
                <w:u w:color="000000"/>
                <w:lang w:eastAsia="ko-KR"/>
              </w:rPr>
              <w:t>500</w:t>
            </w:r>
            <w:r w:rsidR="00D575D0" w:rsidRPr="002805B6">
              <w:rPr>
                <w:rFonts w:eastAsia="Arial Unicode MS"/>
                <w:b/>
                <w:sz w:val="18"/>
                <w:szCs w:val="18"/>
                <w:u w:color="000000"/>
                <w:lang w:eastAsia="ko-KR"/>
              </w:rPr>
              <w:t>,</w:t>
            </w:r>
            <w:r w:rsidR="00B24E2F" w:rsidRPr="002805B6">
              <w:rPr>
                <w:rFonts w:eastAsia="Arial Unicode MS"/>
                <w:b/>
                <w:sz w:val="18"/>
                <w:szCs w:val="18"/>
                <w:u w:color="000000"/>
                <w:lang w:eastAsia="ko-KR"/>
              </w:rPr>
              <w:t>000</w:t>
            </w:r>
          </w:p>
        </w:tc>
      </w:tr>
      <w:tr w:rsidR="00B24E2F" w:rsidRPr="000B4EB5" w14:paraId="0BC56755" w14:textId="77777777" w:rsidTr="00C52FF6">
        <w:tc>
          <w:tcPr>
            <w:tcW w:w="849" w:type="pct"/>
            <w:vMerge/>
            <w:tcMar>
              <w:top w:w="72" w:type="dxa"/>
              <w:left w:w="144" w:type="dxa"/>
              <w:bottom w:w="72" w:type="dxa"/>
              <w:right w:w="144" w:type="dxa"/>
            </w:tcMar>
          </w:tcPr>
          <w:p w14:paraId="2521057E" w14:textId="77777777" w:rsidR="00B24E2F" w:rsidRPr="002805B6" w:rsidRDefault="00B24E2F" w:rsidP="005A2DBF">
            <w:pPr>
              <w:rPr>
                <w:i/>
                <w:iCs/>
                <w:snapToGrid/>
                <w:sz w:val="18"/>
                <w:szCs w:val="18"/>
                <w:lang w:val="en-GB" w:eastAsia="en-US"/>
              </w:rPr>
            </w:pPr>
          </w:p>
        </w:tc>
        <w:tc>
          <w:tcPr>
            <w:tcW w:w="897" w:type="pct"/>
            <w:vMerge/>
          </w:tcPr>
          <w:p w14:paraId="7EDC874A" w14:textId="77777777" w:rsidR="00B24E2F" w:rsidRPr="002805B6" w:rsidRDefault="00B24E2F" w:rsidP="005A2DBF">
            <w:pPr>
              <w:rPr>
                <w:i/>
                <w:iCs/>
                <w:snapToGrid/>
                <w:sz w:val="18"/>
                <w:szCs w:val="18"/>
                <w:lang w:val="en-GB" w:eastAsia="en-US"/>
              </w:rPr>
            </w:pPr>
          </w:p>
        </w:tc>
        <w:tc>
          <w:tcPr>
            <w:tcW w:w="1626" w:type="pct"/>
            <w:vMerge/>
            <w:tcMar>
              <w:top w:w="72" w:type="dxa"/>
              <w:left w:w="144" w:type="dxa"/>
              <w:bottom w:w="72" w:type="dxa"/>
              <w:right w:w="144" w:type="dxa"/>
            </w:tcMar>
          </w:tcPr>
          <w:p w14:paraId="6D3F1DE3" w14:textId="77777777" w:rsidR="00B24E2F" w:rsidRPr="002805B6" w:rsidRDefault="00B24E2F" w:rsidP="005A2DBF">
            <w:pPr>
              <w:rPr>
                <w:i/>
                <w:iCs/>
                <w:snapToGrid/>
                <w:sz w:val="18"/>
                <w:szCs w:val="18"/>
                <w:lang w:val="en-GB" w:eastAsia="en-US"/>
              </w:rPr>
            </w:pPr>
          </w:p>
        </w:tc>
        <w:tc>
          <w:tcPr>
            <w:tcW w:w="965" w:type="pct"/>
            <w:vMerge/>
          </w:tcPr>
          <w:p w14:paraId="296A7EFC" w14:textId="77777777" w:rsidR="00B24E2F" w:rsidRPr="002805B6" w:rsidRDefault="00B24E2F" w:rsidP="005A2DBF">
            <w:pPr>
              <w:rPr>
                <w:i/>
                <w:iCs/>
                <w:snapToGrid/>
                <w:sz w:val="18"/>
                <w:szCs w:val="18"/>
                <w:lang w:val="en-GB" w:eastAsia="en-US"/>
              </w:rPr>
            </w:pPr>
          </w:p>
        </w:tc>
        <w:tc>
          <w:tcPr>
            <w:tcW w:w="663" w:type="pct"/>
            <w:tcMar>
              <w:top w:w="15" w:type="dxa"/>
              <w:left w:w="108" w:type="dxa"/>
              <w:bottom w:w="0" w:type="dxa"/>
              <w:right w:w="108" w:type="dxa"/>
            </w:tcMar>
          </w:tcPr>
          <w:p w14:paraId="75964436" w14:textId="0979B2C8" w:rsidR="00B24E2F" w:rsidRPr="002805B6" w:rsidRDefault="00B24E2F" w:rsidP="005A2DBF">
            <w:pPr>
              <w:rPr>
                <w:sz w:val="18"/>
                <w:szCs w:val="18"/>
              </w:rPr>
            </w:pPr>
            <w:r w:rsidRPr="002805B6">
              <w:rPr>
                <w:rFonts w:eastAsia="Arial Unicode MS"/>
                <w:b/>
                <w:sz w:val="18"/>
                <w:szCs w:val="18"/>
                <w:u w:color="000000"/>
                <w:lang w:eastAsia="ko-KR"/>
              </w:rPr>
              <w:t>Other:</w:t>
            </w:r>
            <w:r w:rsidRPr="002805B6">
              <w:rPr>
                <w:sz w:val="18"/>
                <w:szCs w:val="18"/>
              </w:rPr>
              <w:t xml:space="preserve"> </w:t>
            </w:r>
          </w:p>
          <w:p w14:paraId="6A3B9B65" w14:textId="40D8CD12" w:rsidR="00B24E2F" w:rsidRPr="002805B6" w:rsidRDefault="004E395E" w:rsidP="000C05E0">
            <w:pPr>
              <w:rPr>
                <w:b/>
                <w:snapToGrid/>
                <w:sz w:val="18"/>
                <w:szCs w:val="18"/>
                <w:lang w:eastAsia="en-US"/>
              </w:rPr>
            </w:pPr>
            <w:r>
              <w:rPr>
                <w:rFonts w:eastAsia="Arial Unicode MS"/>
                <w:b/>
                <w:sz w:val="18"/>
                <w:szCs w:val="18"/>
                <w:u w:color="000000"/>
                <w:lang w:eastAsia="ko-KR"/>
              </w:rPr>
              <w:t>$</w:t>
            </w:r>
            <w:r w:rsidR="00A346A9" w:rsidRPr="002805B6">
              <w:rPr>
                <w:rFonts w:eastAsia="Arial Unicode MS"/>
                <w:b/>
                <w:sz w:val="18"/>
                <w:szCs w:val="18"/>
                <w:u w:color="000000"/>
                <w:lang w:eastAsia="ko-KR"/>
              </w:rPr>
              <w:t>21</w:t>
            </w:r>
            <w:r w:rsidR="00D575D0" w:rsidRPr="002805B6">
              <w:rPr>
                <w:rFonts w:eastAsia="Arial Unicode MS"/>
                <w:b/>
                <w:sz w:val="18"/>
                <w:szCs w:val="18"/>
                <w:u w:color="000000"/>
                <w:lang w:eastAsia="ko-KR"/>
              </w:rPr>
              <w:t>,</w:t>
            </w:r>
            <w:r w:rsidR="00B24E2F" w:rsidRPr="002805B6">
              <w:rPr>
                <w:rFonts w:eastAsia="Arial Unicode MS"/>
                <w:b/>
                <w:sz w:val="18"/>
                <w:szCs w:val="18"/>
                <w:u w:color="000000"/>
                <w:lang w:eastAsia="ko-KR"/>
              </w:rPr>
              <w:t>400</w:t>
            </w:r>
            <w:r w:rsidR="00D575D0" w:rsidRPr="002805B6">
              <w:rPr>
                <w:rFonts w:eastAsia="Arial Unicode MS"/>
                <w:b/>
                <w:sz w:val="18"/>
                <w:szCs w:val="18"/>
                <w:u w:color="000000"/>
                <w:lang w:eastAsia="ko-KR"/>
              </w:rPr>
              <w:t>,</w:t>
            </w:r>
            <w:r w:rsidR="00B24E2F" w:rsidRPr="002805B6">
              <w:rPr>
                <w:rFonts w:eastAsia="Arial Unicode MS"/>
                <w:b/>
                <w:sz w:val="18"/>
                <w:szCs w:val="18"/>
                <w:u w:color="000000"/>
                <w:lang w:eastAsia="ko-KR"/>
              </w:rPr>
              <w:t>000</w:t>
            </w:r>
          </w:p>
        </w:tc>
      </w:tr>
    </w:tbl>
    <w:p w14:paraId="2F19E219" w14:textId="50C38250" w:rsidR="007A48FF" w:rsidRDefault="007A48FF" w:rsidP="00D51E04">
      <w:pPr>
        <w:rPr>
          <w:lang w:eastAsia="en-US"/>
        </w:rPr>
      </w:pPr>
    </w:p>
    <w:p w14:paraId="0F03B818" w14:textId="77777777" w:rsidR="002805B6" w:rsidRPr="000B4EB5" w:rsidRDefault="00733246" w:rsidP="00733246">
      <w:pPr>
        <w:jc w:val="center"/>
        <w:rPr>
          <w:lang w:eastAsia="en-US"/>
        </w:rPr>
      </w:pPr>
      <w:r>
        <w:rPr>
          <w:noProof/>
          <w:color w:val="000000"/>
        </w:rPr>
        <w:drawing>
          <wp:inline distT="0" distB="0" distL="0" distR="0" wp14:anchorId="1CBA307C" wp14:editId="2DE2CEA1">
            <wp:extent cx="942975" cy="2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pic:spPr>
                </pic:pic>
              </a:graphicData>
            </a:graphic>
          </wp:inline>
        </w:drawing>
      </w:r>
    </w:p>
    <w:sectPr w:rsidR="002805B6" w:rsidRPr="000B4EB5" w:rsidSect="00D2777D">
      <w:headerReference w:type="even" r:id="rId18"/>
      <w:headerReference w:type="default" r:id="rId19"/>
      <w:footerReference w:type="default" r:id="rId20"/>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89960" w14:textId="77777777" w:rsidR="00B126A2" w:rsidRPr="00816CFE" w:rsidRDefault="00B126A2">
      <w:pPr>
        <w:rPr>
          <w:szCs w:val="24"/>
        </w:rPr>
      </w:pPr>
      <w:r w:rsidRPr="00816CFE">
        <w:rPr>
          <w:szCs w:val="24"/>
        </w:rPr>
        <w:separator/>
      </w:r>
    </w:p>
  </w:endnote>
  <w:endnote w:type="continuationSeparator" w:id="0">
    <w:p w14:paraId="14C30CFB" w14:textId="77777777" w:rsidR="00B126A2" w:rsidRPr="00816CFE" w:rsidRDefault="00B126A2">
      <w:pPr>
        <w:rPr>
          <w:szCs w:val="24"/>
        </w:rPr>
      </w:pPr>
      <w:r w:rsidRPr="00816CFE">
        <w:rPr>
          <w:szCs w:val="24"/>
        </w:rPr>
        <w:continuationSeparator/>
      </w:r>
    </w:p>
  </w:endnote>
  <w:endnote w:type="continuationNotice" w:id="1">
    <w:p w14:paraId="3921D4F8" w14:textId="77777777" w:rsidR="00B126A2" w:rsidRPr="00816CFE" w:rsidRDefault="00B126A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0F0F" w14:textId="77777777" w:rsidR="007C74B0" w:rsidRPr="00816CFE" w:rsidRDefault="007C74B0" w:rsidP="00514978">
    <w:pPr>
      <w:pStyle w:val="Footer"/>
      <w:ind w:firstLine="270"/>
      <w:rPr>
        <w:b/>
        <w:sz w:val="17"/>
        <w:szCs w:val="24"/>
      </w:rPr>
    </w:pPr>
    <w:r w:rsidRPr="00816CFE">
      <w:rPr>
        <w:b/>
        <w:sz w:val="17"/>
        <w:szCs w:val="24"/>
      </w:rPr>
      <w:fldChar w:fldCharType="begin"/>
    </w:r>
    <w:r w:rsidRPr="00816CFE">
      <w:rPr>
        <w:b/>
        <w:sz w:val="17"/>
        <w:szCs w:val="24"/>
      </w:rPr>
      <w:instrText xml:space="preserve"> PAGE   \* MERGEFORMAT </w:instrText>
    </w:r>
    <w:r w:rsidRPr="00816CFE">
      <w:rPr>
        <w:b/>
        <w:sz w:val="17"/>
        <w:szCs w:val="24"/>
      </w:rPr>
      <w:fldChar w:fldCharType="separate"/>
    </w:r>
    <w:r w:rsidRPr="00816CFE">
      <w:rPr>
        <w:b/>
        <w:noProof/>
        <w:sz w:val="17"/>
        <w:szCs w:val="24"/>
      </w:rPr>
      <w:t>2</w:t>
    </w:r>
    <w:r w:rsidRPr="00816CFE">
      <w:rPr>
        <w:b/>
        <w:sz w:val="17"/>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F472" w14:textId="39A0B1B2" w:rsidR="007C74B0" w:rsidRPr="001709A6" w:rsidRDefault="007C74B0" w:rsidP="00514978">
    <w:pPr>
      <w:pStyle w:val="Footer"/>
      <w:jc w:val="right"/>
      <w:rPr>
        <w:b/>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573196"/>
      <w:docPartObj>
        <w:docPartGallery w:val="Page Numbers (Bottom of Page)"/>
        <w:docPartUnique/>
      </w:docPartObj>
    </w:sdtPr>
    <w:sdtEndPr>
      <w:rPr>
        <w:b/>
        <w:noProof/>
        <w:sz w:val="17"/>
        <w:szCs w:val="17"/>
      </w:rPr>
    </w:sdtEndPr>
    <w:sdtContent>
      <w:p w14:paraId="4E8B475F" w14:textId="73B1999C" w:rsidR="00514978" w:rsidRPr="00514978" w:rsidRDefault="00514978" w:rsidP="00514978">
        <w:pPr>
          <w:pStyle w:val="Footer"/>
          <w:tabs>
            <w:tab w:val="clear" w:pos="4320"/>
            <w:tab w:val="clear" w:pos="8640"/>
          </w:tabs>
          <w:ind w:right="-450"/>
          <w:jc w:val="right"/>
          <w:rPr>
            <w:b/>
            <w:sz w:val="17"/>
            <w:szCs w:val="17"/>
          </w:rPr>
        </w:pPr>
        <w:r w:rsidRPr="00514978">
          <w:rPr>
            <w:b/>
            <w:sz w:val="17"/>
            <w:szCs w:val="17"/>
          </w:rPr>
          <w:fldChar w:fldCharType="begin"/>
        </w:r>
        <w:r w:rsidRPr="00514978">
          <w:rPr>
            <w:b/>
            <w:sz w:val="17"/>
            <w:szCs w:val="17"/>
          </w:rPr>
          <w:instrText xml:space="preserve"> PAGE   \* MERGEFORMAT </w:instrText>
        </w:r>
        <w:r w:rsidRPr="00514978">
          <w:rPr>
            <w:b/>
            <w:sz w:val="17"/>
            <w:szCs w:val="17"/>
          </w:rPr>
          <w:fldChar w:fldCharType="separate"/>
        </w:r>
        <w:r w:rsidRPr="00514978">
          <w:rPr>
            <w:b/>
            <w:noProof/>
            <w:sz w:val="17"/>
            <w:szCs w:val="17"/>
          </w:rPr>
          <w:t>2</w:t>
        </w:r>
        <w:r w:rsidRPr="00514978">
          <w:rPr>
            <w:b/>
            <w:noProof/>
            <w:sz w:val="17"/>
            <w:szCs w:val="17"/>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175807"/>
      <w:docPartObj>
        <w:docPartGallery w:val="Page Numbers (Bottom of Page)"/>
        <w:docPartUnique/>
      </w:docPartObj>
    </w:sdtPr>
    <w:sdtEndPr>
      <w:rPr>
        <w:b/>
        <w:noProof/>
        <w:sz w:val="17"/>
        <w:szCs w:val="17"/>
      </w:rPr>
    </w:sdtEndPr>
    <w:sdtContent>
      <w:p w14:paraId="570E3BF0" w14:textId="77777777" w:rsidR="007C74B0" w:rsidRPr="001709A6" w:rsidRDefault="007C74B0">
        <w:pPr>
          <w:pStyle w:val="Footer"/>
          <w:jc w:val="right"/>
          <w:rPr>
            <w:b/>
            <w:sz w:val="17"/>
            <w:szCs w:val="17"/>
          </w:rPr>
        </w:pPr>
        <w:r w:rsidRPr="001709A6">
          <w:rPr>
            <w:b/>
            <w:sz w:val="17"/>
            <w:szCs w:val="17"/>
          </w:rPr>
          <w:fldChar w:fldCharType="begin"/>
        </w:r>
        <w:r w:rsidRPr="001709A6">
          <w:rPr>
            <w:b/>
            <w:sz w:val="17"/>
            <w:szCs w:val="17"/>
          </w:rPr>
          <w:instrText xml:space="preserve"> PAGE   \* MERGEFORMAT </w:instrText>
        </w:r>
        <w:r w:rsidRPr="001709A6">
          <w:rPr>
            <w:b/>
            <w:sz w:val="17"/>
            <w:szCs w:val="17"/>
          </w:rPr>
          <w:fldChar w:fldCharType="separate"/>
        </w:r>
        <w:r w:rsidRPr="001709A6">
          <w:rPr>
            <w:b/>
            <w:noProof/>
            <w:sz w:val="17"/>
            <w:szCs w:val="17"/>
          </w:rPr>
          <w:t>2</w:t>
        </w:r>
        <w:r w:rsidRPr="001709A6">
          <w:rPr>
            <w:b/>
            <w:noProof/>
            <w:sz w:val="17"/>
            <w:szCs w:val="17"/>
          </w:rPr>
          <w:fldChar w:fldCharType="end"/>
        </w:r>
      </w:p>
    </w:sdtContent>
  </w:sdt>
  <w:p w14:paraId="581E39CE" w14:textId="77777777" w:rsidR="007C74B0" w:rsidRPr="00816CFE" w:rsidRDefault="007C74B0" w:rsidP="001709A6">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B4661" w14:textId="77777777" w:rsidR="00B126A2" w:rsidRPr="00816CFE" w:rsidRDefault="00B126A2">
      <w:pPr>
        <w:rPr>
          <w:szCs w:val="24"/>
        </w:rPr>
      </w:pPr>
      <w:r w:rsidRPr="00816CFE">
        <w:rPr>
          <w:szCs w:val="24"/>
        </w:rPr>
        <w:separator/>
      </w:r>
    </w:p>
  </w:footnote>
  <w:footnote w:type="continuationSeparator" w:id="0">
    <w:p w14:paraId="2CD5EEBC" w14:textId="77777777" w:rsidR="00B126A2" w:rsidRPr="00816CFE" w:rsidRDefault="00B126A2">
      <w:pPr>
        <w:rPr>
          <w:szCs w:val="24"/>
        </w:rPr>
      </w:pPr>
      <w:r w:rsidRPr="00816CFE">
        <w:rPr>
          <w:szCs w:val="24"/>
        </w:rPr>
        <w:continuationSeparator/>
      </w:r>
    </w:p>
  </w:footnote>
  <w:footnote w:type="continuationNotice" w:id="1">
    <w:p w14:paraId="45464B00" w14:textId="77777777" w:rsidR="00B126A2" w:rsidRPr="00816CFE" w:rsidRDefault="00B126A2">
      <w:pPr>
        <w:rPr>
          <w:szCs w:val="24"/>
        </w:rPr>
      </w:pPr>
    </w:p>
  </w:footnote>
  <w:footnote w:id="2">
    <w:p w14:paraId="7AFCC540" w14:textId="449BC988" w:rsidR="007C74B0" w:rsidRPr="00A9116B" w:rsidRDefault="007C74B0">
      <w:pPr>
        <w:pStyle w:val="FootnoteText"/>
        <w:rPr>
          <w:rFonts w:ascii="Times New Roman" w:hAnsi="Times New Roman"/>
          <w:sz w:val="16"/>
          <w:szCs w:val="16"/>
        </w:rPr>
      </w:pPr>
      <w:r w:rsidRPr="00A9116B">
        <w:rPr>
          <w:rStyle w:val="FootnoteReference"/>
          <w:rFonts w:ascii="Times New Roman" w:hAnsi="Times New Roman"/>
          <w:sz w:val="16"/>
          <w:szCs w:val="16"/>
        </w:rPr>
        <w:footnoteRef/>
      </w:r>
      <w:r w:rsidRPr="00A9116B">
        <w:rPr>
          <w:rFonts w:ascii="Times New Roman" w:hAnsi="Times New Roman"/>
          <w:sz w:val="16"/>
          <w:szCs w:val="16"/>
        </w:rPr>
        <w:t xml:space="preserve"> National Development Plan (NDP), 2018</w:t>
      </w:r>
      <w:r>
        <w:rPr>
          <w:rFonts w:ascii="Times New Roman" w:hAnsi="Times New Roman"/>
          <w:sz w:val="16"/>
          <w:szCs w:val="16"/>
        </w:rPr>
        <w:t>-2022.</w:t>
      </w:r>
    </w:p>
  </w:footnote>
  <w:footnote w:id="3">
    <w:p w14:paraId="4E282468" w14:textId="3361ED7E" w:rsidR="007C74B0" w:rsidRPr="00525D0B" w:rsidRDefault="007C74B0">
      <w:pPr>
        <w:pStyle w:val="FootnoteText"/>
      </w:pPr>
      <w:r w:rsidRPr="000068E8">
        <w:rPr>
          <w:rStyle w:val="FootnoteReference"/>
          <w:rFonts w:ascii="Times New Roman" w:hAnsi="Times New Roman"/>
          <w:sz w:val="16"/>
          <w:szCs w:val="16"/>
        </w:rPr>
        <w:footnoteRef/>
      </w:r>
      <w:r>
        <w:t xml:space="preserve"> </w:t>
      </w:r>
      <w:r>
        <w:rPr>
          <w:rFonts w:ascii="Times New Roman" w:hAnsi="Times New Roman"/>
          <w:sz w:val="16"/>
          <w:szCs w:val="16"/>
        </w:rPr>
        <w:t>Ibrahim Index of African Governance</w:t>
      </w:r>
      <w:r w:rsidRPr="00A9116B">
        <w:rPr>
          <w:rFonts w:ascii="Times New Roman" w:hAnsi="Times New Roman"/>
          <w:sz w:val="16"/>
          <w:szCs w:val="16"/>
        </w:rPr>
        <w:t xml:space="preserve"> 2017</w:t>
      </w:r>
      <w:r>
        <w:rPr>
          <w:rFonts w:ascii="Times New Roman" w:hAnsi="Times New Roman"/>
          <w:sz w:val="16"/>
          <w:szCs w:val="16"/>
        </w:rPr>
        <w:t>.</w:t>
      </w:r>
    </w:p>
  </w:footnote>
  <w:footnote w:id="4">
    <w:p w14:paraId="750982DE" w14:textId="18C7345F" w:rsidR="007C74B0" w:rsidRPr="00A9116B" w:rsidRDefault="007C74B0" w:rsidP="004A4355">
      <w:pPr>
        <w:pStyle w:val="FootnoteText"/>
        <w:tabs>
          <w:tab w:val="left" w:pos="7020"/>
        </w:tabs>
        <w:rPr>
          <w:rFonts w:ascii="Times New Roman" w:hAnsi="Times New Roman"/>
          <w:sz w:val="16"/>
          <w:szCs w:val="16"/>
        </w:rPr>
      </w:pPr>
      <w:r w:rsidRPr="00A9116B">
        <w:rPr>
          <w:rStyle w:val="FootnoteReference"/>
          <w:rFonts w:ascii="Times New Roman" w:hAnsi="Times New Roman"/>
          <w:sz w:val="16"/>
          <w:szCs w:val="16"/>
        </w:rPr>
        <w:footnoteRef/>
      </w:r>
      <w:r w:rsidRPr="00A9116B">
        <w:rPr>
          <w:rFonts w:ascii="Times New Roman" w:hAnsi="Times New Roman"/>
          <w:sz w:val="16"/>
          <w:szCs w:val="16"/>
        </w:rPr>
        <w:t xml:space="preserve"> </w:t>
      </w:r>
      <w:bookmarkStart w:id="6" w:name="_Hlk527647922"/>
      <w:r w:rsidRPr="00131D0C">
        <w:rPr>
          <w:rFonts w:ascii="Times New Roman" w:hAnsi="Times New Roman"/>
          <w:sz w:val="16"/>
          <w:szCs w:val="16"/>
        </w:rPr>
        <w:t>National Institute of Statistics and Economic and Demographic Studies</w:t>
      </w:r>
      <w:r>
        <w:rPr>
          <w:rFonts w:ascii="Times New Roman" w:hAnsi="Times New Roman"/>
          <w:sz w:val="16"/>
          <w:szCs w:val="16"/>
        </w:rPr>
        <w:t xml:space="preserve"> </w:t>
      </w:r>
      <w:r w:rsidRPr="00131D0C">
        <w:rPr>
          <w:rFonts w:ascii="Times New Roman" w:hAnsi="Times New Roman"/>
          <w:sz w:val="16"/>
          <w:szCs w:val="16"/>
        </w:rPr>
        <w:t>(Institut National de la Statistique et des Etudes Economiques et Démographiques</w:t>
      </w:r>
      <w:bookmarkEnd w:id="6"/>
      <w:r>
        <w:rPr>
          <w:rFonts w:ascii="Times New Roman" w:hAnsi="Times New Roman"/>
          <w:sz w:val="16"/>
          <w:szCs w:val="16"/>
        </w:rPr>
        <w:t xml:space="preserve"> ((INSEED)), </w:t>
      </w:r>
      <w:r w:rsidRPr="00167D2A">
        <w:rPr>
          <w:rFonts w:ascii="Times New Roman" w:hAnsi="Times New Roman"/>
          <w:sz w:val="16"/>
          <w:szCs w:val="16"/>
        </w:rPr>
        <w:t>Poverty Mapping, 2018</w:t>
      </w:r>
    </w:p>
  </w:footnote>
  <w:footnote w:id="5">
    <w:p w14:paraId="08EE7DBB" w14:textId="39189C42" w:rsidR="007C74B0" w:rsidRPr="00167D2A" w:rsidRDefault="007C74B0" w:rsidP="00457778">
      <w:pPr>
        <w:pStyle w:val="FootnoteText"/>
        <w:rPr>
          <w:rFonts w:ascii="Times New Roman" w:hAnsi="Times New Roman"/>
          <w:sz w:val="16"/>
          <w:szCs w:val="16"/>
        </w:rPr>
      </w:pPr>
      <w:r w:rsidRPr="00273F18">
        <w:rPr>
          <w:rFonts w:ascii="Times New Roman" w:hAnsi="Times New Roman"/>
          <w:sz w:val="16"/>
          <w:szCs w:val="16"/>
          <w:vertAlign w:val="superscript"/>
          <w:lang w:val="fr-FR"/>
        </w:rPr>
        <w:footnoteRef/>
      </w:r>
      <w:r w:rsidRPr="00273F18">
        <w:rPr>
          <w:rFonts w:ascii="Times New Roman" w:hAnsi="Times New Roman"/>
          <w:sz w:val="16"/>
          <w:szCs w:val="16"/>
          <w:vertAlign w:val="superscript"/>
        </w:rPr>
        <w:t xml:space="preserve"> </w:t>
      </w:r>
      <w:r w:rsidRPr="00167D2A">
        <w:rPr>
          <w:rFonts w:ascii="Times New Roman" w:hAnsi="Times New Roman"/>
          <w:sz w:val="16"/>
          <w:szCs w:val="16"/>
        </w:rPr>
        <w:t>I</w:t>
      </w:r>
      <w:r>
        <w:rPr>
          <w:rFonts w:ascii="Times New Roman" w:hAnsi="Times New Roman"/>
          <w:sz w:val="16"/>
          <w:szCs w:val="16"/>
        </w:rPr>
        <w:t xml:space="preserve">nternational Monetary Fund </w:t>
      </w:r>
      <w:r w:rsidRPr="00167D2A">
        <w:rPr>
          <w:rFonts w:ascii="Times New Roman" w:hAnsi="Times New Roman"/>
          <w:sz w:val="16"/>
          <w:szCs w:val="16"/>
        </w:rPr>
        <w:t>Country Report N°27/127</w:t>
      </w:r>
      <w:r>
        <w:rPr>
          <w:rFonts w:ascii="Times New Roman" w:hAnsi="Times New Roman"/>
          <w:sz w:val="16"/>
          <w:szCs w:val="16"/>
        </w:rPr>
        <w:t>.</w:t>
      </w:r>
    </w:p>
  </w:footnote>
  <w:footnote w:id="6">
    <w:p w14:paraId="405A24CF" w14:textId="77777777" w:rsidR="007C74B0" w:rsidRPr="00167D2A" w:rsidRDefault="007C74B0" w:rsidP="00DE5140">
      <w:pPr>
        <w:pStyle w:val="FootnoteText"/>
        <w:rPr>
          <w:rFonts w:ascii="Times New Roman" w:hAnsi="Times New Roman"/>
          <w:sz w:val="16"/>
          <w:szCs w:val="16"/>
        </w:rPr>
      </w:pPr>
      <w:r w:rsidRPr="00A9116B">
        <w:rPr>
          <w:rStyle w:val="FootnoteReference"/>
          <w:rFonts w:ascii="Times New Roman" w:hAnsi="Times New Roman"/>
          <w:sz w:val="16"/>
          <w:szCs w:val="16"/>
        </w:rPr>
        <w:footnoteRef/>
      </w:r>
      <w:r w:rsidRPr="00A9116B">
        <w:rPr>
          <w:rStyle w:val="FootnoteReference"/>
          <w:rFonts w:ascii="Times New Roman" w:hAnsi="Times New Roman"/>
          <w:sz w:val="16"/>
          <w:szCs w:val="16"/>
        </w:rPr>
        <w:t xml:space="preserve"> </w:t>
      </w:r>
      <w:r>
        <w:rPr>
          <w:rFonts w:ascii="Times New Roman" w:hAnsi="Times New Roman"/>
          <w:sz w:val="16"/>
          <w:szCs w:val="16"/>
        </w:rPr>
        <w:t>Togo Health Statistics D</w:t>
      </w:r>
      <w:r w:rsidRPr="00167D2A">
        <w:rPr>
          <w:rFonts w:ascii="Times New Roman" w:hAnsi="Times New Roman"/>
          <w:sz w:val="16"/>
          <w:szCs w:val="16"/>
        </w:rPr>
        <w:t>irectory, 2016</w:t>
      </w:r>
    </w:p>
  </w:footnote>
  <w:footnote w:id="7">
    <w:p w14:paraId="5D42E3AD" w14:textId="66308F98" w:rsidR="007C74B0" w:rsidRPr="00167D2A" w:rsidRDefault="007C74B0" w:rsidP="00DE5140">
      <w:pPr>
        <w:pStyle w:val="FootnoteText"/>
        <w:rPr>
          <w:rFonts w:ascii="Times New Roman" w:hAnsi="Times New Roman"/>
          <w:sz w:val="16"/>
          <w:szCs w:val="16"/>
        </w:rPr>
      </w:pPr>
      <w:r w:rsidRPr="00273F18">
        <w:rPr>
          <w:rFonts w:ascii="Times New Roman" w:hAnsi="Times New Roman"/>
          <w:sz w:val="16"/>
          <w:szCs w:val="16"/>
          <w:vertAlign w:val="superscript"/>
          <w:lang w:val="fr-FR"/>
        </w:rPr>
        <w:footnoteRef/>
      </w:r>
      <w:r w:rsidRPr="00167D2A">
        <w:rPr>
          <w:rFonts w:ascii="Times New Roman" w:hAnsi="Times New Roman"/>
          <w:sz w:val="16"/>
          <w:szCs w:val="16"/>
        </w:rPr>
        <w:t xml:space="preserve"> NDP</w:t>
      </w:r>
      <w:r>
        <w:rPr>
          <w:rFonts w:ascii="Times New Roman" w:hAnsi="Times New Roman"/>
          <w:sz w:val="16"/>
          <w:szCs w:val="16"/>
        </w:rPr>
        <w:t>.</w:t>
      </w:r>
    </w:p>
  </w:footnote>
  <w:footnote w:id="8">
    <w:p w14:paraId="6A2552D0" w14:textId="679CA5B7" w:rsidR="007C74B0" w:rsidRPr="00167D2A" w:rsidRDefault="007C74B0" w:rsidP="00DE5140">
      <w:pPr>
        <w:pStyle w:val="FootnoteText"/>
        <w:rPr>
          <w:rFonts w:ascii="Times New Roman" w:hAnsi="Times New Roman"/>
          <w:sz w:val="16"/>
          <w:szCs w:val="16"/>
        </w:rPr>
      </w:pPr>
      <w:r w:rsidRPr="00273F18">
        <w:rPr>
          <w:rFonts w:ascii="Times New Roman" w:hAnsi="Times New Roman"/>
          <w:sz w:val="16"/>
          <w:szCs w:val="16"/>
          <w:vertAlign w:val="superscript"/>
          <w:lang w:val="fr-FR"/>
        </w:rPr>
        <w:footnoteRef/>
      </w:r>
      <w:r w:rsidRPr="00273F18">
        <w:rPr>
          <w:rFonts w:ascii="Times New Roman" w:hAnsi="Times New Roman"/>
          <w:sz w:val="16"/>
          <w:szCs w:val="16"/>
          <w:vertAlign w:val="superscript"/>
        </w:rPr>
        <w:t xml:space="preserve"> </w:t>
      </w:r>
      <w:r>
        <w:rPr>
          <w:rFonts w:ascii="Times New Roman" w:hAnsi="Times New Roman"/>
          <w:sz w:val="16"/>
          <w:szCs w:val="16"/>
        </w:rPr>
        <w:t>National AIDS Programme</w:t>
      </w:r>
      <w:r w:rsidRPr="00167D2A">
        <w:rPr>
          <w:rFonts w:ascii="Times New Roman" w:hAnsi="Times New Roman"/>
          <w:sz w:val="16"/>
          <w:szCs w:val="16"/>
        </w:rPr>
        <w:t xml:space="preserve"> Annual Report 2017</w:t>
      </w:r>
      <w:r>
        <w:rPr>
          <w:rFonts w:ascii="Times New Roman" w:hAnsi="Times New Roman"/>
          <w:sz w:val="16"/>
          <w:szCs w:val="16"/>
        </w:rPr>
        <w:t>.</w:t>
      </w:r>
    </w:p>
  </w:footnote>
  <w:footnote w:id="9">
    <w:p w14:paraId="1B7D913B" w14:textId="10A44E6B" w:rsidR="007C74B0" w:rsidRPr="00131D0C" w:rsidRDefault="007C74B0" w:rsidP="006D6393">
      <w:pPr>
        <w:pStyle w:val="FootnoteText"/>
        <w:rPr>
          <w:rFonts w:ascii="Times New Roman" w:hAnsi="Times New Roman"/>
          <w:sz w:val="16"/>
          <w:szCs w:val="16"/>
        </w:rPr>
      </w:pPr>
      <w:r w:rsidRPr="00273F18">
        <w:rPr>
          <w:rFonts w:ascii="Times New Roman" w:hAnsi="Times New Roman"/>
          <w:sz w:val="16"/>
          <w:szCs w:val="16"/>
          <w:vertAlign w:val="superscript"/>
          <w:lang w:val="fr-FR"/>
        </w:rPr>
        <w:footnoteRef/>
      </w:r>
      <w:r>
        <w:rPr>
          <w:rFonts w:ascii="Times New Roman" w:hAnsi="Times New Roman"/>
          <w:sz w:val="16"/>
          <w:szCs w:val="16"/>
        </w:rPr>
        <w:t xml:space="preserve"> INSEED</w:t>
      </w:r>
      <w:r w:rsidRPr="00131D0C">
        <w:rPr>
          <w:rFonts w:ascii="Times New Roman" w:hAnsi="Times New Roman"/>
          <w:sz w:val="16"/>
          <w:szCs w:val="16"/>
        </w:rPr>
        <w:t>, Poverty Profile, 2015.</w:t>
      </w:r>
    </w:p>
  </w:footnote>
  <w:footnote w:id="10">
    <w:p w14:paraId="3B394938" w14:textId="0DBB5AF2" w:rsidR="007C74B0" w:rsidRPr="00167D2A" w:rsidRDefault="007C74B0" w:rsidP="00912B23">
      <w:pPr>
        <w:pStyle w:val="FootnoteText"/>
        <w:rPr>
          <w:rFonts w:ascii="Times New Roman" w:hAnsi="Times New Roman"/>
          <w:sz w:val="16"/>
          <w:szCs w:val="16"/>
        </w:rPr>
      </w:pPr>
      <w:r w:rsidRPr="00273F18">
        <w:rPr>
          <w:rFonts w:ascii="Times New Roman" w:hAnsi="Times New Roman"/>
          <w:sz w:val="16"/>
          <w:szCs w:val="16"/>
          <w:vertAlign w:val="superscript"/>
          <w:lang w:val="fr-FR"/>
        </w:rPr>
        <w:footnoteRef/>
      </w:r>
      <w:r w:rsidRPr="00273F18">
        <w:rPr>
          <w:rFonts w:ascii="Times New Roman" w:hAnsi="Times New Roman"/>
          <w:sz w:val="16"/>
          <w:szCs w:val="16"/>
          <w:vertAlign w:val="superscript"/>
        </w:rPr>
        <w:t xml:space="preserve"> </w:t>
      </w:r>
      <w:r>
        <w:rPr>
          <w:rFonts w:ascii="Times New Roman" w:hAnsi="Times New Roman"/>
          <w:sz w:val="16"/>
          <w:szCs w:val="16"/>
        </w:rPr>
        <w:t>UNDP Human Development Report,</w:t>
      </w:r>
      <w:r w:rsidRPr="00167D2A">
        <w:rPr>
          <w:rFonts w:ascii="Times New Roman" w:hAnsi="Times New Roman"/>
          <w:sz w:val="16"/>
          <w:szCs w:val="16"/>
        </w:rPr>
        <w:t xml:space="preserve"> 2016</w:t>
      </w:r>
      <w:r>
        <w:rPr>
          <w:rFonts w:ascii="Times New Roman" w:hAnsi="Times New Roman"/>
          <w:sz w:val="16"/>
          <w:szCs w:val="16"/>
        </w:rPr>
        <w:t>.</w:t>
      </w:r>
    </w:p>
  </w:footnote>
  <w:footnote w:id="11">
    <w:p w14:paraId="1FBAB972" w14:textId="77777777" w:rsidR="007C74B0" w:rsidRPr="00167D2A" w:rsidRDefault="007C74B0" w:rsidP="00DE5140">
      <w:pPr>
        <w:pStyle w:val="FootnoteText"/>
        <w:rPr>
          <w:rFonts w:ascii="Times New Roman" w:hAnsi="Times New Roman"/>
          <w:sz w:val="16"/>
          <w:szCs w:val="16"/>
        </w:rPr>
      </w:pPr>
      <w:r w:rsidRPr="00273F18">
        <w:rPr>
          <w:rFonts w:ascii="Times New Roman" w:hAnsi="Times New Roman"/>
          <w:sz w:val="16"/>
          <w:szCs w:val="16"/>
          <w:vertAlign w:val="superscript"/>
          <w:lang w:val="fr-FR"/>
        </w:rPr>
        <w:footnoteRef/>
      </w:r>
      <w:r w:rsidRPr="00167D2A">
        <w:rPr>
          <w:rFonts w:ascii="Times New Roman" w:hAnsi="Times New Roman"/>
          <w:sz w:val="16"/>
          <w:szCs w:val="16"/>
        </w:rPr>
        <w:t xml:space="preserve"> National Program</w:t>
      </w:r>
      <w:r>
        <w:rPr>
          <w:rFonts w:ascii="Times New Roman" w:hAnsi="Times New Roman"/>
          <w:sz w:val="16"/>
          <w:szCs w:val="16"/>
        </w:rPr>
        <w:t>me</w:t>
      </w:r>
      <w:r w:rsidRPr="00167D2A">
        <w:rPr>
          <w:rFonts w:ascii="Times New Roman" w:hAnsi="Times New Roman"/>
          <w:sz w:val="16"/>
          <w:szCs w:val="16"/>
        </w:rPr>
        <w:t xml:space="preserve"> for Agricultural Investment, Food Security and Nutrition</w:t>
      </w:r>
      <w:r>
        <w:rPr>
          <w:rFonts w:ascii="Times New Roman" w:hAnsi="Times New Roman"/>
          <w:sz w:val="16"/>
          <w:szCs w:val="16"/>
        </w:rPr>
        <w:t>,</w:t>
      </w:r>
      <w:r w:rsidRPr="00167D2A" w:rsidDel="009D35AB">
        <w:rPr>
          <w:rFonts w:ascii="Times New Roman" w:hAnsi="Times New Roman"/>
          <w:sz w:val="16"/>
          <w:szCs w:val="16"/>
        </w:rPr>
        <w:t xml:space="preserve"> </w:t>
      </w:r>
      <w:r w:rsidRPr="00167D2A">
        <w:rPr>
          <w:rFonts w:ascii="Times New Roman" w:hAnsi="Times New Roman"/>
          <w:sz w:val="16"/>
          <w:szCs w:val="16"/>
        </w:rPr>
        <w:t>2017-2026</w:t>
      </w:r>
      <w:r>
        <w:rPr>
          <w:rFonts w:ascii="Times New Roman" w:hAnsi="Times New Roman"/>
          <w:sz w:val="16"/>
          <w:szCs w:val="16"/>
        </w:rPr>
        <w:t>.</w:t>
      </w:r>
    </w:p>
  </w:footnote>
  <w:footnote w:id="12">
    <w:p w14:paraId="5969048F" w14:textId="7001A4FD" w:rsidR="007C74B0" w:rsidRPr="000807BB" w:rsidRDefault="007C74B0" w:rsidP="006D6393">
      <w:pPr>
        <w:pStyle w:val="FootnoteText"/>
        <w:rPr>
          <w:rFonts w:ascii="Times New Roman" w:hAnsi="Times New Roman"/>
          <w:sz w:val="16"/>
          <w:szCs w:val="16"/>
          <w:lang w:val="fr-FR"/>
        </w:rPr>
      </w:pPr>
      <w:r w:rsidRPr="00273F18">
        <w:rPr>
          <w:rFonts w:ascii="Times New Roman" w:hAnsi="Times New Roman"/>
          <w:sz w:val="16"/>
          <w:szCs w:val="16"/>
          <w:vertAlign w:val="superscript"/>
          <w:lang w:val="fr-FR"/>
        </w:rPr>
        <w:footnoteRef/>
      </w:r>
      <w:r w:rsidRPr="000807BB">
        <w:rPr>
          <w:rFonts w:ascii="Times New Roman" w:hAnsi="Times New Roman"/>
          <w:sz w:val="16"/>
          <w:szCs w:val="16"/>
          <w:lang w:val="fr-FR"/>
        </w:rPr>
        <w:t xml:space="preserve"> INSEED, Poverty Profile, 2015.</w:t>
      </w:r>
    </w:p>
  </w:footnote>
  <w:footnote w:id="13">
    <w:p w14:paraId="2CE0B9FE" w14:textId="0A61120D" w:rsidR="007C74B0" w:rsidRPr="000807BB" w:rsidRDefault="007C74B0" w:rsidP="00DE5140">
      <w:pPr>
        <w:pStyle w:val="FootnoteText"/>
        <w:rPr>
          <w:rFonts w:ascii="Times New Roman" w:hAnsi="Times New Roman"/>
          <w:sz w:val="16"/>
          <w:szCs w:val="16"/>
          <w:lang w:val="fr-FR"/>
        </w:rPr>
      </w:pPr>
      <w:r w:rsidRPr="00273F18">
        <w:rPr>
          <w:rFonts w:ascii="Times New Roman" w:hAnsi="Times New Roman"/>
          <w:sz w:val="16"/>
          <w:szCs w:val="16"/>
          <w:vertAlign w:val="superscript"/>
          <w:lang w:val="fr-FR"/>
        </w:rPr>
        <w:footnoteRef/>
      </w:r>
      <w:r w:rsidRPr="000807BB">
        <w:rPr>
          <w:rFonts w:ascii="Times New Roman" w:hAnsi="Times New Roman"/>
          <w:sz w:val="16"/>
          <w:szCs w:val="16"/>
          <w:lang w:val="fr-FR"/>
        </w:rPr>
        <w:t xml:space="preserve"> Basic Living Standards Questionnaire (Questionnaire des Indicateurs de Base du Bien-être (QUIBB) 2011 and 2015,</w:t>
      </w:r>
    </w:p>
  </w:footnote>
  <w:footnote w:id="14">
    <w:p w14:paraId="444C0929" w14:textId="77777777" w:rsidR="007C74B0" w:rsidRPr="00A9116B" w:rsidRDefault="007C74B0">
      <w:pPr>
        <w:pStyle w:val="FootnoteText"/>
        <w:rPr>
          <w:rFonts w:ascii="Times New Roman" w:hAnsi="Times New Roman"/>
          <w:sz w:val="16"/>
          <w:szCs w:val="16"/>
        </w:rPr>
      </w:pPr>
      <w:r w:rsidRPr="00A9116B">
        <w:rPr>
          <w:rStyle w:val="FootnoteReference"/>
          <w:rFonts w:ascii="Times New Roman" w:hAnsi="Times New Roman"/>
          <w:sz w:val="16"/>
          <w:szCs w:val="16"/>
        </w:rPr>
        <w:footnoteRef/>
      </w:r>
      <w:r w:rsidRPr="00A9116B">
        <w:rPr>
          <w:rFonts w:ascii="Times New Roman" w:hAnsi="Times New Roman"/>
          <w:sz w:val="16"/>
          <w:szCs w:val="16"/>
        </w:rPr>
        <w:t xml:space="preserve"> </w:t>
      </w:r>
      <w:r w:rsidRPr="00167D2A">
        <w:rPr>
          <w:rFonts w:ascii="Times New Roman" w:hAnsi="Times New Roman"/>
          <w:sz w:val="16"/>
          <w:szCs w:val="16"/>
        </w:rPr>
        <w:t>Strategic Response Framework for Environmental and Natural Resource Management 2018</w:t>
      </w:r>
      <w:r>
        <w:rPr>
          <w:rFonts w:ascii="Times New Roman" w:hAnsi="Times New Roman"/>
          <w:sz w:val="16"/>
          <w:szCs w:val="16"/>
        </w:rPr>
        <w:t>.</w:t>
      </w:r>
    </w:p>
  </w:footnote>
  <w:footnote w:id="15">
    <w:p w14:paraId="3408331A" w14:textId="77777777" w:rsidR="007C74B0" w:rsidRPr="00A9116B" w:rsidRDefault="007C74B0">
      <w:pPr>
        <w:pStyle w:val="FootnoteText"/>
        <w:rPr>
          <w:rFonts w:ascii="Times New Roman" w:hAnsi="Times New Roman"/>
          <w:sz w:val="16"/>
          <w:szCs w:val="16"/>
        </w:rPr>
      </w:pPr>
      <w:r w:rsidRPr="00A9116B">
        <w:rPr>
          <w:rStyle w:val="FootnoteReference"/>
          <w:rFonts w:ascii="Times New Roman" w:hAnsi="Times New Roman"/>
          <w:sz w:val="16"/>
          <w:szCs w:val="16"/>
        </w:rPr>
        <w:footnoteRef/>
      </w:r>
      <w:r w:rsidRPr="00A9116B">
        <w:rPr>
          <w:rFonts w:ascii="Times New Roman" w:hAnsi="Times New Roman"/>
          <w:sz w:val="16"/>
          <w:szCs w:val="16"/>
        </w:rPr>
        <w:t xml:space="preserve"> </w:t>
      </w:r>
      <w:r w:rsidRPr="00167D2A">
        <w:rPr>
          <w:rFonts w:ascii="Times New Roman" w:hAnsi="Times New Roman"/>
          <w:sz w:val="16"/>
          <w:szCs w:val="16"/>
        </w:rPr>
        <w:t>QUIBB 2015</w:t>
      </w:r>
      <w:r>
        <w:rPr>
          <w:rFonts w:ascii="Times New Roman" w:hAnsi="Times New Roman"/>
          <w:sz w:val="16"/>
          <w:szCs w:val="16"/>
        </w:rPr>
        <w:t>.</w:t>
      </w:r>
    </w:p>
  </w:footnote>
  <w:footnote w:id="16">
    <w:p w14:paraId="399D31AE" w14:textId="77777777" w:rsidR="007C74B0" w:rsidRPr="00A9116B" w:rsidRDefault="007C74B0">
      <w:pPr>
        <w:pStyle w:val="FootnoteText"/>
        <w:rPr>
          <w:rFonts w:ascii="Times New Roman" w:hAnsi="Times New Roman"/>
          <w:sz w:val="16"/>
          <w:szCs w:val="16"/>
        </w:rPr>
      </w:pPr>
      <w:r w:rsidRPr="00A9116B">
        <w:rPr>
          <w:rStyle w:val="FootnoteReference"/>
          <w:rFonts w:ascii="Times New Roman" w:hAnsi="Times New Roman"/>
          <w:sz w:val="16"/>
          <w:szCs w:val="16"/>
        </w:rPr>
        <w:footnoteRef/>
      </w:r>
      <w:r w:rsidRPr="00A9116B">
        <w:rPr>
          <w:rFonts w:ascii="Times New Roman" w:hAnsi="Times New Roman"/>
          <w:sz w:val="16"/>
          <w:szCs w:val="16"/>
        </w:rPr>
        <w:t xml:space="preserve"> </w:t>
      </w:r>
      <w:r w:rsidRPr="00167D2A">
        <w:rPr>
          <w:rFonts w:ascii="Times New Roman" w:hAnsi="Times New Roman"/>
          <w:sz w:val="16"/>
          <w:szCs w:val="16"/>
        </w:rPr>
        <w:t>National Reforestation Programme 2017</w:t>
      </w:r>
      <w:r>
        <w:rPr>
          <w:rFonts w:ascii="Times New Roman" w:hAnsi="Times New Roman"/>
          <w:sz w:val="16"/>
          <w:szCs w:val="16"/>
        </w:rPr>
        <w:t>.</w:t>
      </w:r>
    </w:p>
  </w:footnote>
  <w:footnote w:id="17">
    <w:p w14:paraId="5E87B3C1" w14:textId="77777777" w:rsidR="007C74B0" w:rsidRPr="00A9116B" w:rsidRDefault="007C74B0">
      <w:pPr>
        <w:pStyle w:val="FootnoteText"/>
        <w:rPr>
          <w:rFonts w:ascii="Times New Roman" w:hAnsi="Times New Roman"/>
          <w:sz w:val="16"/>
          <w:szCs w:val="16"/>
        </w:rPr>
      </w:pPr>
      <w:r w:rsidRPr="00A9116B">
        <w:rPr>
          <w:rStyle w:val="FootnoteReference"/>
          <w:rFonts w:ascii="Times New Roman" w:hAnsi="Times New Roman"/>
          <w:sz w:val="16"/>
          <w:szCs w:val="16"/>
        </w:rPr>
        <w:footnoteRef/>
      </w:r>
      <w:r w:rsidRPr="00A9116B">
        <w:rPr>
          <w:rFonts w:ascii="Times New Roman" w:hAnsi="Times New Roman"/>
          <w:sz w:val="16"/>
          <w:szCs w:val="16"/>
        </w:rPr>
        <w:t xml:space="preserve"> </w:t>
      </w:r>
      <w:r w:rsidRPr="00167D2A">
        <w:rPr>
          <w:rFonts w:ascii="Times New Roman" w:hAnsi="Times New Roman"/>
          <w:sz w:val="16"/>
          <w:szCs w:val="16"/>
        </w:rPr>
        <w:t>National Agricultural Census 2013</w:t>
      </w:r>
      <w:r>
        <w:rPr>
          <w:rFonts w:ascii="Times New Roman" w:hAnsi="Times New Roman"/>
          <w:sz w:val="16"/>
          <w:szCs w:val="16"/>
        </w:rPr>
        <w:t>.</w:t>
      </w:r>
    </w:p>
  </w:footnote>
  <w:footnote w:id="18">
    <w:p w14:paraId="1707E143" w14:textId="0CA261DA" w:rsidR="007C74B0" w:rsidRPr="00A9116B" w:rsidRDefault="007C74B0">
      <w:pPr>
        <w:pStyle w:val="FootnoteText"/>
        <w:rPr>
          <w:rFonts w:ascii="Times New Roman" w:hAnsi="Times New Roman"/>
          <w:sz w:val="16"/>
          <w:szCs w:val="16"/>
        </w:rPr>
      </w:pPr>
      <w:r w:rsidRPr="00A9116B">
        <w:rPr>
          <w:rStyle w:val="FootnoteReference"/>
          <w:rFonts w:ascii="Times New Roman" w:hAnsi="Times New Roman"/>
          <w:sz w:val="16"/>
          <w:szCs w:val="16"/>
        </w:rPr>
        <w:footnoteRef/>
      </w:r>
      <w:r w:rsidRPr="00A9116B">
        <w:rPr>
          <w:rFonts w:ascii="Times New Roman" w:hAnsi="Times New Roman"/>
          <w:sz w:val="16"/>
          <w:szCs w:val="16"/>
        </w:rPr>
        <w:t xml:space="preserve"> </w:t>
      </w:r>
      <w:r w:rsidRPr="00167D2A">
        <w:rPr>
          <w:rFonts w:ascii="Times New Roman" w:hAnsi="Times New Roman"/>
          <w:sz w:val="16"/>
          <w:szCs w:val="16"/>
        </w:rPr>
        <w:t>Togo Third National Communication on Climate Change, 2015</w:t>
      </w:r>
      <w:r>
        <w:rPr>
          <w:rFonts w:ascii="Times New Roman" w:hAnsi="Times New Roman"/>
          <w:sz w:val="16"/>
          <w:szCs w:val="16"/>
        </w:rPr>
        <w:t>.</w:t>
      </w:r>
    </w:p>
  </w:footnote>
  <w:footnote w:id="19">
    <w:p w14:paraId="24597B44" w14:textId="2F69B500" w:rsidR="007C74B0" w:rsidRPr="00A9116B" w:rsidRDefault="007C74B0">
      <w:pPr>
        <w:pStyle w:val="FootnoteText"/>
        <w:rPr>
          <w:rFonts w:ascii="Times New Roman" w:hAnsi="Times New Roman"/>
          <w:sz w:val="16"/>
          <w:szCs w:val="16"/>
        </w:rPr>
      </w:pPr>
      <w:r w:rsidRPr="00A9116B">
        <w:rPr>
          <w:rStyle w:val="FootnoteReference"/>
          <w:rFonts w:ascii="Times New Roman" w:hAnsi="Times New Roman"/>
          <w:sz w:val="16"/>
          <w:szCs w:val="16"/>
        </w:rPr>
        <w:footnoteRef/>
      </w:r>
      <w:r w:rsidRPr="00A9116B">
        <w:rPr>
          <w:rFonts w:ascii="Times New Roman" w:hAnsi="Times New Roman"/>
          <w:sz w:val="16"/>
          <w:szCs w:val="16"/>
        </w:rPr>
        <w:t xml:space="preserve"> </w:t>
      </w:r>
      <w:r>
        <w:rPr>
          <w:rFonts w:ascii="Times New Roman" w:hAnsi="Times New Roman"/>
          <w:sz w:val="16"/>
          <w:szCs w:val="16"/>
        </w:rPr>
        <w:t>Togo Climate S</w:t>
      </w:r>
      <w:r w:rsidRPr="00167D2A">
        <w:rPr>
          <w:rFonts w:ascii="Times New Roman" w:hAnsi="Times New Roman"/>
          <w:sz w:val="16"/>
          <w:szCs w:val="16"/>
        </w:rPr>
        <w:t xml:space="preserve">cenario </w:t>
      </w:r>
      <w:r>
        <w:rPr>
          <w:rFonts w:ascii="Times New Roman" w:hAnsi="Times New Roman"/>
          <w:sz w:val="16"/>
          <w:szCs w:val="16"/>
        </w:rPr>
        <w:t>Report</w:t>
      </w:r>
      <w:r w:rsidRPr="00167D2A">
        <w:rPr>
          <w:rFonts w:ascii="Times New Roman" w:hAnsi="Times New Roman"/>
          <w:sz w:val="16"/>
          <w:szCs w:val="16"/>
        </w:rPr>
        <w:t>, 2015</w:t>
      </w:r>
      <w:r>
        <w:rPr>
          <w:rFonts w:ascii="Times New Roman" w:hAnsi="Times New Roman"/>
          <w:sz w:val="16"/>
          <w:szCs w:val="16"/>
        </w:rPr>
        <w:t>.</w:t>
      </w:r>
    </w:p>
  </w:footnote>
  <w:footnote w:id="20">
    <w:p w14:paraId="17DAB4D3" w14:textId="69FBB3FD" w:rsidR="007C74B0" w:rsidRDefault="007C74B0">
      <w:pPr>
        <w:pStyle w:val="FootnoteText"/>
      </w:pPr>
      <w:r w:rsidRPr="00A9116B">
        <w:rPr>
          <w:rStyle w:val="FootnoteReference"/>
          <w:rFonts w:ascii="Times New Roman" w:hAnsi="Times New Roman"/>
          <w:sz w:val="16"/>
          <w:szCs w:val="16"/>
        </w:rPr>
        <w:footnoteRef/>
      </w:r>
      <w:r w:rsidRPr="00A9116B">
        <w:rPr>
          <w:rFonts w:ascii="Times New Roman" w:hAnsi="Times New Roman"/>
          <w:sz w:val="16"/>
          <w:szCs w:val="16"/>
        </w:rPr>
        <w:t xml:space="preserve"> </w:t>
      </w:r>
      <w:r>
        <w:rPr>
          <w:rFonts w:ascii="Times New Roman" w:hAnsi="Times New Roman"/>
          <w:sz w:val="16"/>
          <w:szCs w:val="16"/>
        </w:rPr>
        <w:t xml:space="preserve">Ministry of Environment and Forest Resources, </w:t>
      </w:r>
      <w:r w:rsidRPr="00167D2A">
        <w:rPr>
          <w:rFonts w:ascii="Times New Roman" w:hAnsi="Times New Roman"/>
          <w:sz w:val="16"/>
          <w:szCs w:val="16"/>
        </w:rPr>
        <w:t>Post-Disaster Needs Assessment, 2010</w:t>
      </w:r>
      <w:r>
        <w:rPr>
          <w:rFonts w:ascii="Times New Roman" w:hAnsi="Times New Roman"/>
          <w:sz w:val="16"/>
          <w:szCs w:val="16"/>
        </w:rPr>
        <w:t>.</w:t>
      </w:r>
    </w:p>
  </w:footnote>
  <w:footnote w:id="21">
    <w:p w14:paraId="22DF16A3" w14:textId="4DD03CA2" w:rsidR="007C74B0" w:rsidRPr="00C57239" w:rsidRDefault="007C74B0">
      <w:pPr>
        <w:pStyle w:val="FootnoteText"/>
        <w:rPr>
          <w:sz w:val="16"/>
          <w:szCs w:val="16"/>
        </w:rPr>
      </w:pPr>
      <w:r w:rsidRPr="00C57239">
        <w:rPr>
          <w:rStyle w:val="FootnoteReference"/>
          <w:rFonts w:ascii="Times New Roman" w:hAnsi="Times New Roman"/>
          <w:sz w:val="16"/>
          <w:szCs w:val="16"/>
        </w:rPr>
        <w:footnoteRef/>
      </w:r>
      <w:r w:rsidRPr="00C57239">
        <w:rPr>
          <w:sz w:val="16"/>
          <w:szCs w:val="16"/>
        </w:rPr>
        <w:t xml:space="preserve"> </w:t>
      </w:r>
      <w:r w:rsidRPr="00C57239">
        <w:rPr>
          <w:rFonts w:ascii="Times New Roman" w:hAnsi="Times New Roman"/>
          <w:sz w:val="16"/>
          <w:szCs w:val="16"/>
        </w:rPr>
        <w:t>Demographic and Health Survey, 2013-2014.</w:t>
      </w:r>
    </w:p>
  </w:footnote>
  <w:footnote w:id="22">
    <w:p w14:paraId="0DECCAE7" w14:textId="63406CFF" w:rsidR="007C74B0" w:rsidRPr="00A9116B" w:rsidRDefault="007C74B0">
      <w:pPr>
        <w:pStyle w:val="FootnoteText"/>
        <w:rPr>
          <w:rFonts w:ascii="Times New Roman" w:hAnsi="Times New Roman"/>
          <w:sz w:val="16"/>
          <w:szCs w:val="16"/>
        </w:rPr>
      </w:pPr>
      <w:r w:rsidRPr="00A9116B">
        <w:rPr>
          <w:rStyle w:val="FootnoteReference"/>
          <w:rFonts w:ascii="Times New Roman" w:hAnsi="Times New Roman"/>
          <w:sz w:val="16"/>
          <w:szCs w:val="16"/>
        </w:rPr>
        <w:footnoteRef/>
      </w:r>
      <w:r w:rsidRPr="00A9116B">
        <w:rPr>
          <w:rFonts w:ascii="Times New Roman" w:hAnsi="Times New Roman"/>
          <w:sz w:val="16"/>
          <w:szCs w:val="16"/>
        </w:rPr>
        <w:t xml:space="preserve"> </w:t>
      </w:r>
      <w:r>
        <w:rPr>
          <w:rFonts w:ascii="Times New Roman" w:hAnsi="Times New Roman"/>
          <w:sz w:val="16"/>
          <w:szCs w:val="16"/>
        </w:rPr>
        <w:t xml:space="preserve">Togo has a rating of 32 of 100 on the 2017 Transparency International </w:t>
      </w:r>
      <w:r w:rsidRPr="00A9116B">
        <w:rPr>
          <w:rFonts w:ascii="Times New Roman" w:hAnsi="Times New Roman"/>
          <w:sz w:val="16"/>
          <w:szCs w:val="16"/>
        </w:rPr>
        <w:t xml:space="preserve">Corruption </w:t>
      </w:r>
      <w:r>
        <w:rPr>
          <w:rFonts w:ascii="Times New Roman" w:hAnsi="Times New Roman"/>
          <w:sz w:val="16"/>
          <w:szCs w:val="16"/>
        </w:rPr>
        <w:t>Perception I</w:t>
      </w:r>
      <w:r w:rsidRPr="00A9116B">
        <w:rPr>
          <w:rFonts w:ascii="Times New Roman" w:hAnsi="Times New Roman"/>
          <w:sz w:val="16"/>
          <w:szCs w:val="16"/>
        </w:rPr>
        <w:t>ndex 2017</w:t>
      </w:r>
      <w:r>
        <w:rPr>
          <w:rFonts w:ascii="Times New Roman" w:hAnsi="Times New Roman"/>
          <w:sz w:val="16"/>
          <w:szCs w:val="16"/>
        </w:rPr>
        <w:t>.</w:t>
      </w:r>
    </w:p>
  </w:footnote>
  <w:footnote w:id="23">
    <w:p w14:paraId="5030B68A" w14:textId="77777777" w:rsidR="007C74B0" w:rsidRPr="00A9116B" w:rsidRDefault="007C74B0" w:rsidP="00470F7E">
      <w:pPr>
        <w:pStyle w:val="FootnoteText"/>
        <w:rPr>
          <w:rFonts w:ascii="Times New Roman" w:hAnsi="Times New Roman"/>
          <w:sz w:val="16"/>
          <w:szCs w:val="16"/>
        </w:rPr>
      </w:pPr>
      <w:r w:rsidRPr="00A9116B">
        <w:rPr>
          <w:rStyle w:val="FootnoteReference"/>
          <w:rFonts w:ascii="Times New Roman" w:hAnsi="Times New Roman"/>
          <w:sz w:val="16"/>
          <w:szCs w:val="16"/>
        </w:rPr>
        <w:footnoteRef/>
      </w:r>
      <w:r w:rsidRPr="00A9116B">
        <w:rPr>
          <w:rFonts w:ascii="Times New Roman" w:hAnsi="Times New Roman"/>
          <w:sz w:val="16"/>
          <w:szCs w:val="16"/>
        </w:rPr>
        <w:t xml:space="preserve"> NDP</w:t>
      </w:r>
      <w:r>
        <w:rPr>
          <w:rFonts w:ascii="Times New Roman" w:hAnsi="Times New Roman"/>
          <w:sz w:val="16"/>
          <w:szCs w:val="16"/>
        </w:rPr>
        <w:t>.</w:t>
      </w:r>
    </w:p>
  </w:footnote>
  <w:footnote w:id="24">
    <w:p w14:paraId="77D7B5EE" w14:textId="0D8C89F8" w:rsidR="007C74B0" w:rsidRPr="00A9116B" w:rsidRDefault="007C74B0">
      <w:pPr>
        <w:pStyle w:val="FootnoteText"/>
        <w:rPr>
          <w:rFonts w:ascii="Times New Roman" w:hAnsi="Times New Roman"/>
          <w:sz w:val="16"/>
          <w:szCs w:val="16"/>
        </w:rPr>
      </w:pPr>
      <w:r w:rsidRPr="00A9116B">
        <w:rPr>
          <w:rStyle w:val="FootnoteReference"/>
          <w:rFonts w:ascii="Times New Roman" w:hAnsi="Times New Roman"/>
          <w:sz w:val="16"/>
          <w:szCs w:val="16"/>
        </w:rPr>
        <w:footnoteRef/>
      </w:r>
      <w:r w:rsidRPr="00A9116B">
        <w:rPr>
          <w:rFonts w:ascii="Times New Roman" w:hAnsi="Times New Roman"/>
          <w:sz w:val="16"/>
          <w:szCs w:val="16"/>
        </w:rPr>
        <w:t xml:space="preserve"> </w:t>
      </w:r>
      <w:r>
        <w:rPr>
          <w:rFonts w:ascii="Times New Roman" w:hAnsi="Times New Roman"/>
          <w:sz w:val="16"/>
          <w:szCs w:val="16"/>
        </w:rPr>
        <w:t>PUDC 2017 Steering Committee R</w:t>
      </w:r>
      <w:r w:rsidRPr="00167D2A">
        <w:rPr>
          <w:rFonts w:ascii="Times New Roman" w:hAnsi="Times New Roman"/>
          <w:sz w:val="16"/>
          <w:szCs w:val="16"/>
        </w:rPr>
        <w:t>eport</w:t>
      </w:r>
      <w:r>
        <w:rPr>
          <w:rFonts w:ascii="Times New Roman" w:hAnsi="Times New Roman"/>
          <w:sz w:val="16"/>
          <w:szCs w:val="16"/>
        </w:rPr>
        <w:t>.</w:t>
      </w:r>
    </w:p>
  </w:footnote>
  <w:footnote w:id="25">
    <w:p w14:paraId="296B5796" w14:textId="77777777" w:rsidR="007C74B0" w:rsidRPr="00295E40" w:rsidRDefault="007C74B0" w:rsidP="00B24E2F">
      <w:pPr>
        <w:rPr>
          <w:sz w:val="16"/>
          <w:szCs w:val="16"/>
        </w:rPr>
      </w:pPr>
      <w:r w:rsidRPr="00295E40">
        <w:rPr>
          <w:rStyle w:val="FootnoteReference"/>
          <w:sz w:val="16"/>
          <w:szCs w:val="16"/>
        </w:rPr>
        <w:footnoteRef/>
      </w:r>
      <w:r w:rsidRPr="00295E40">
        <w:rPr>
          <w:sz w:val="16"/>
          <w:szCs w:val="16"/>
        </w:rPr>
        <w:t xml:space="preserve"> </w:t>
      </w:r>
      <w:bookmarkStart w:id="19" w:name="_Hlk518322924"/>
      <w:r w:rsidRPr="00295E40">
        <w:rPr>
          <w:sz w:val="16"/>
          <w:szCs w:val="16"/>
        </w:rPr>
        <w:t>1</w:t>
      </w:r>
      <w:r>
        <w:rPr>
          <w:sz w:val="16"/>
          <w:szCs w:val="16"/>
        </w:rPr>
        <w:t xml:space="preserve">: </w:t>
      </w:r>
      <w:r w:rsidRPr="00295E40">
        <w:rPr>
          <w:sz w:val="16"/>
          <w:szCs w:val="16"/>
        </w:rPr>
        <w:t>system is not in place; 2: strategic and centralized system is in place but not utilized; 3: system is operational but not fully utilized; 4: all functions are utilized</w:t>
      </w:r>
      <w:bookmarkEnd w:id="19"/>
    </w:p>
    <w:p w14:paraId="160BCD2B" w14:textId="77777777" w:rsidR="007C74B0" w:rsidRPr="00295E40" w:rsidRDefault="007C74B0" w:rsidP="00B24E2F">
      <w:pPr>
        <w:pStyle w:val="FootnoteText"/>
        <w:rPr>
          <w:rFonts w:ascii="Times New Roman" w:hAnsi="Times New Roman"/>
          <w:sz w:val="16"/>
          <w:szCs w:val="16"/>
        </w:rPr>
      </w:pPr>
    </w:p>
  </w:footnote>
  <w:footnote w:id="26">
    <w:p w14:paraId="5DCA9C86" w14:textId="77777777" w:rsidR="007C74B0" w:rsidRPr="00295E40" w:rsidRDefault="007C74B0" w:rsidP="00B24E2F">
      <w:pPr>
        <w:pStyle w:val="FootnoteText"/>
        <w:rPr>
          <w:rFonts w:ascii="Times New Roman" w:hAnsi="Times New Roman"/>
          <w:sz w:val="16"/>
          <w:szCs w:val="16"/>
        </w:rPr>
      </w:pPr>
      <w:r w:rsidRPr="00295E40">
        <w:rPr>
          <w:rStyle w:val="FootnoteReference"/>
          <w:rFonts w:ascii="Times New Roman" w:hAnsi="Times New Roman"/>
          <w:sz w:val="16"/>
          <w:szCs w:val="16"/>
        </w:rPr>
        <w:footnoteRef/>
      </w:r>
      <w:r w:rsidRPr="00295E40">
        <w:rPr>
          <w:rFonts w:ascii="Times New Roman" w:hAnsi="Times New Roman"/>
          <w:sz w:val="16"/>
          <w:szCs w:val="16"/>
        </w:rPr>
        <w:t xml:space="preserve"> 1: no simplification; 2: some simplification; 3: significant simplification; 4: all procedures are simplified</w:t>
      </w:r>
    </w:p>
  </w:footnote>
  <w:footnote w:id="27">
    <w:p w14:paraId="40E39978" w14:textId="77777777" w:rsidR="007C74B0" w:rsidRPr="00295E40" w:rsidRDefault="007C74B0" w:rsidP="00B24E2F">
      <w:pPr>
        <w:pStyle w:val="FootnoteText"/>
        <w:rPr>
          <w:rFonts w:ascii="Times New Roman" w:hAnsi="Times New Roman"/>
          <w:sz w:val="16"/>
          <w:szCs w:val="16"/>
        </w:rPr>
      </w:pPr>
      <w:r w:rsidRPr="00295E40">
        <w:rPr>
          <w:rStyle w:val="FootnoteReference"/>
          <w:rFonts w:ascii="Times New Roman" w:hAnsi="Times New Roman"/>
          <w:sz w:val="16"/>
          <w:szCs w:val="16"/>
        </w:rPr>
        <w:footnoteRef/>
      </w:r>
      <w:r w:rsidRPr="00295E40">
        <w:rPr>
          <w:rFonts w:ascii="Times New Roman" w:hAnsi="Times New Roman"/>
          <w:sz w:val="16"/>
          <w:szCs w:val="16"/>
        </w:rPr>
        <w:t xml:space="preserve"> 1</w:t>
      </w:r>
      <w:r>
        <w:rPr>
          <w:rFonts w:ascii="Times New Roman" w:hAnsi="Times New Roman"/>
          <w:sz w:val="16"/>
          <w:szCs w:val="16"/>
        </w:rPr>
        <w:t xml:space="preserve">: </w:t>
      </w:r>
      <w:r w:rsidRPr="00295E40">
        <w:rPr>
          <w:rFonts w:ascii="Times New Roman" w:hAnsi="Times New Roman"/>
          <w:sz w:val="16"/>
          <w:szCs w:val="16"/>
        </w:rPr>
        <w:t>No measures exist; 2: very weak measures are adopted; 3: some significant measures; 4: appropriate measures</w:t>
      </w:r>
    </w:p>
  </w:footnote>
  <w:footnote w:id="28">
    <w:p w14:paraId="768373CC" w14:textId="77777777" w:rsidR="007C74B0" w:rsidRPr="00295E40" w:rsidRDefault="007C74B0" w:rsidP="00B24E2F">
      <w:pPr>
        <w:pStyle w:val="FootnoteText"/>
        <w:rPr>
          <w:rFonts w:ascii="Times New Roman" w:hAnsi="Times New Roman"/>
          <w:sz w:val="16"/>
          <w:szCs w:val="16"/>
        </w:rPr>
      </w:pPr>
      <w:r w:rsidRPr="00295E40">
        <w:rPr>
          <w:rStyle w:val="FootnoteReference"/>
          <w:rFonts w:ascii="Times New Roman" w:hAnsi="Times New Roman"/>
          <w:sz w:val="16"/>
          <w:szCs w:val="16"/>
        </w:rPr>
        <w:footnoteRef/>
      </w:r>
      <w:r w:rsidRPr="00295E40">
        <w:rPr>
          <w:rFonts w:ascii="Times New Roman" w:hAnsi="Times New Roman"/>
          <w:sz w:val="16"/>
          <w:szCs w:val="16"/>
        </w:rPr>
        <w:t xml:space="preserve"> 1 less than 25% of capacities</w:t>
      </w:r>
      <w:r>
        <w:rPr>
          <w:rFonts w:ascii="Times New Roman" w:hAnsi="Times New Roman"/>
          <w:sz w:val="16"/>
          <w:szCs w:val="16"/>
        </w:rPr>
        <w:t>/</w:t>
      </w:r>
      <w:r w:rsidRPr="00295E40">
        <w:rPr>
          <w:rFonts w:ascii="Times New Roman" w:hAnsi="Times New Roman"/>
          <w:sz w:val="16"/>
          <w:szCs w:val="16"/>
        </w:rPr>
        <w:t>resources are transferred; 2: Between 25%</w:t>
      </w:r>
      <w:r>
        <w:rPr>
          <w:rFonts w:ascii="Times New Roman" w:hAnsi="Times New Roman"/>
          <w:sz w:val="16"/>
          <w:szCs w:val="16"/>
        </w:rPr>
        <w:t>-</w:t>
      </w:r>
      <w:r w:rsidRPr="00295E40">
        <w:rPr>
          <w:rFonts w:ascii="Times New Roman" w:hAnsi="Times New Roman"/>
          <w:sz w:val="16"/>
          <w:szCs w:val="16"/>
        </w:rPr>
        <w:t>50% of capacities</w:t>
      </w:r>
      <w:r>
        <w:rPr>
          <w:rFonts w:ascii="Times New Roman" w:hAnsi="Times New Roman"/>
          <w:sz w:val="16"/>
          <w:szCs w:val="16"/>
        </w:rPr>
        <w:t>/</w:t>
      </w:r>
      <w:r w:rsidRPr="00295E40">
        <w:rPr>
          <w:rFonts w:ascii="Times New Roman" w:hAnsi="Times New Roman"/>
          <w:sz w:val="16"/>
          <w:szCs w:val="16"/>
        </w:rPr>
        <w:t>resources are transferred;</w:t>
      </w:r>
      <w:r>
        <w:rPr>
          <w:rFonts w:ascii="Times New Roman" w:hAnsi="Times New Roman"/>
          <w:sz w:val="16"/>
          <w:szCs w:val="16"/>
        </w:rPr>
        <w:t xml:space="preserve"> </w:t>
      </w:r>
      <w:r w:rsidRPr="00295E40">
        <w:rPr>
          <w:rFonts w:ascii="Times New Roman" w:hAnsi="Times New Roman"/>
          <w:sz w:val="16"/>
          <w:szCs w:val="16"/>
        </w:rPr>
        <w:t>3: Between 50%</w:t>
      </w:r>
      <w:r>
        <w:rPr>
          <w:rFonts w:ascii="Times New Roman" w:hAnsi="Times New Roman"/>
          <w:sz w:val="16"/>
          <w:szCs w:val="16"/>
        </w:rPr>
        <w:t>-</w:t>
      </w:r>
      <w:r w:rsidRPr="00295E40">
        <w:rPr>
          <w:rFonts w:ascii="Times New Roman" w:hAnsi="Times New Roman"/>
          <w:sz w:val="16"/>
          <w:szCs w:val="16"/>
        </w:rPr>
        <w:t>75% of capacities</w:t>
      </w:r>
      <w:r>
        <w:rPr>
          <w:rFonts w:ascii="Times New Roman" w:hAnsi="Times New Roman"/>
          <w:sz w:val="16"/>
          <w:szCs w:val="16"/>
        </w:rPr>
        <w:t>/</w:t>
      </w:r>
      <w:r w:rsidRPr="00295E40">
        <w:rPr>
          <w:rFonts w:ascii="Times New Roman" w:hAnsi="Times New Roman"/>
          <w:sz w:val="16"/>
          <w:szCs w:val="16"/>
        </w:rPr>
        <w:t>resources are transferred; 4: More than 75% of capacities</w:t>
      </w:r>
      <w:r>
        <w:rPr>
          <w:rFonts w:ascii="Times New Roman" w:hAnsi="Times New Roman"/>
          <w:sz w:val="16"/>
          <w:szCs w:val="16"/>
        </w:rPr>
        <w:t>/</w:t>
      </w:r>
      <w:r w:rsidRPr="00295E40">
        <w:rPr>
          <w:rFonts w:ascii="Times New Roman" w:hAnsi="Times New Roman"/>
          <w:sz w:val="16"/>
          <w:szCs w:val="16"/>
        </w:rPr>
        <w:t>resources are transferred</w:t>
      </w:r>
    </w:p>
  </w:footnote>
  <w:footnote w:id="29">
    <w:p w14:paraId="2BFE45D5" w14:textId="77777777" w:rsidR="007C74B0" w:rsidRPr="007C7C03" w:rsidRDefault="007C74B0" w:rsidP="00B24E2F">
      <w:pPr>
        <w:pStyle w:val="FootnoteText"/>
      </w:pPr>
      <w:r>
        <w:rPr>
          <w:rStyle w:val="FootnoteReference"/>
        </w:rPr>
        <w:footnoteRef/>
      </w:r>
      <w:r>
        <w:t xml:space="preserve"> </w:t>
      </w:r>
      <w:r>
        <w:rPr>
          <w:rFonts w:ascii="Times New Roman" w:hAnsi="Times New Roman"/>
          <w:sz w:val="16"/>
          <w:szCs w:val="16"/>
        </w:rPr>
        <w:t xml:space="preserve">1. No participation; </w:t>
      </w:r>
      <w:r w:rsidRPr="00295E40">
        <w:rPr>
          <w:rFonts w:ascii="Times New Roman" w:hAnsi="Times New Roman"/>
          <w:sz w:val="16"/>
          <w:szCs w:val="16"/>
        </w:rPr>
        <w:t xml:space="preserve">2: </w:t>
      </w:r>
      <w:r>
        <w:rPr>
          <w:rFonts w:ascii="Times New Roman" w:hAnsi="Times New Roman"/>
          <w:sz w:val="16"/>
          <w:szCs w:val="16"/>
        </w:rPr>
        <w:t>low participation</w:t>
      </w:r>
      <w:r w:rsidRPr="00295E40">
        <w:rPr>
          <w:rFonts w:ascii="Times New Roman" w:hAnsi="Times New Roman"/>
          <w:sz w:val="16"/>
          <w:szCs w:val="16"/>
        </w:rPr>
        <w:t xml:space="preserve">; 3: some significant </w:t>
      </w:r>
      <w:r>
        <w:rPr>
          <w:rFonts w:ascii="Times New Roman" w:hAnsi="Times New Roman"/>
          <w:sz w:val="16"/>
          <w:szCs w:val="16"/>
        </w:rPr>
        <w:t>participation; 4: full participation</w:t>
      </w:r>
    </w:p>
  </w:footnote>
  <w:footnote w:id="30">
    <w:p w14:paraId="54C9C56F" w14:textId="77777777" w:rsidR="007C74B0" w:rsidRPr="00295E40" w:rsidRDefault="007C74B0" w:rsidP="00CB475A">
      <w:pPr>
        <w:pStyle w:val="FootnoteText"/>
        <w:rPr>
          <w:rFonts w:ascii="Times New Roman" w:hAnsi="Times New Roman"/>
          <w:sz w:val="16"/>
          <w:szCs w:val="16"/>
        </w:rPr>
      </w:pPr>
      <w:r w:rsidRPr="00295E40">
        <w:rPr>
          <w:rStyle w:val="FootnoteReference"/>
          <w:rFonts w:ascii="Times New Roman" w:hAnsi="Times New Roman"/>
          <w:sz w:val="16"/>
          <w:szCs w:val="16"/>
        </w:rPr>
        <w:footnoteRef/>
      </w:r>
      <w:r w:rsidRPr="00295E40">
        <w:rPr>
          <w:rFonts w:ascii="Times New Roman" w:hAnsi="Times New Roman"/>
          <w:sz w:val="16"/>
          <w:szCs w:val="16"/>
        </w:rPr>
        <w:t xml:space="preserve"> 1: low capacities 2: Some capacities 3: significant capacities 4: adequate capacities</w:t>
      </w:r>
    </w:p>
  </w:footnote>
  <w:footnote w:id="31">
    <w:p w14:paraId="5BA810FC" w14:textId="727F02D3" w:rsidR="007C74B0" w:rsidRPr="00295E40" w:rsidRDefault="007C74B0" w:rsidP="000B4EB5">
      <w:pPr>
        <w:pStyle w:val="FootnoteText"/>
        <w:rPr>
          <w:rFonts w:ascii="Times New Roman" w:hAnsi="Times New Roman"/>
          <w:sz w:val="16"/>
          <w:szCs w:val="16"/>
        </w:rPr>
      </w:pPr>
      <w:r w:rsidRPr="00295E40">
        <w:rPr>
          <w:rStyle w:val="FootnoteReference"/>
          <w:sz w:val="16"/>
          <w:szCs w:val="16"/>
        </w:rPr>
        <w:footnoteRef/>
      </w:r>
      <w:r w:rsidRPr="00295E40">
        <w:rPr>
          <w:rFonts w:ascii="Times New Roman" w:hAnsi="Times New Roman"/>
          <w:sz w:val="16"/>
          <w:szCs w:val="16"/>
        </w:rPr>
        <w:t xml:space="preserve"> 1</w:t>
      </w:r>
      <w:r>
        <w:rPr>
          <w:rFonts w:ascii="Times New Roman" w:hAnsi="Times New Roman"/>
          <w:sz w:val="16"/>
          <w:szCs w:val="16"/>
        </w:rPr>
        <w:t xml:space="preserve">: </w:t>
      </w:r>
      <w:r w:rsidRPr="00295E40">
        <w:rPr>
          <w:rFonts w:ascii="Times New Roman" w:hAnsi="Times New Roman"/>
          <w:sz w:val="16"/>
          <w:szCs w:val="16"/>
        </w:rPr>
        <w:t>few data</w:t>
      </w:r>
      <w:r>
        <w:rPr>
          <w:rFonts w:ascii="Times New Roman" w:hAnsi="Times New Roman"/>
          <w:sz w:val="16"/>
          <w:szCs w:val="16"/>
        </w:rPr>
        <w:t>-</w:t>
      </w:r>
      <w:r w:rsidRPr="00295E40">
        <w:rPr>
          <w:rFonts w:ascii="Times New Roman" w:hAnsi="Times New Roman"/>
          <w:sz w:val="16"/>
          <w:szCs w:val="16"/>
        </w:rPr>
        <w:t>informed plans; 2: Some data</w:t>
      </w:r>
      <w:r>
        <w:rPr>
          <w:rFonts w:ascii="Times New Roman" w:hAnsi="Times New Roman"/>
          <w:sz w:val="16"/>
          <w:szCs w:val="16"/>
        </w:rPr>
        <w:t>-</w:t>
      </w:r>
      <w:r w:rsidRPr="00295E40">
        <w:rPr>
          <w:rFonts w:ascii="Times New Roman" w:hAnsi="Times New Roman"/>
          <w:sz w:val="16"/>
          <w:szCs w:val="16"/>
        </w:rPr>
        <w:t>informed plans; 3: major data</w:t>
      </w:r>
      <w:r>
        <w:rPr>
          <w:rFonts w:ascii="Times New Roman" w:hAnsi="Times New Roman"/>
          <w:sz w:val="16"/>
          <w:szCs w:val="16"/>
        </w:rPr>
        <w:t>-</w:t>
      </w:r>
      <w:r w:rsidRPr="00295E40">
        <w:rPr>
          <w:rFonts w:ascii="Times New Roman" w:hAnsi="Times New Roman"/>
          <w:sz w:val="16"/>
          <w:szCs w:val="16"/>
        </w:rPr>
        <w:t>informed plans; 4: all plans are data</w:t>
      </w:r>
      <w:r>
        <w:rPr>
          <w:rFonts w:ascii="Times New Roman" w:hAnsi="Times New Roman"/>
          <w:sz w:val="16"/>
          <w:szCs w:val="16"/>
        </w:rPr>
        <w:t>-</w:t>
      </w:r>
      <w:r w:rsidRPr="00295E40">
        <w:rPr>
          <w:rFonts w:ascii="Times New Roman" w:hAnsi="Times New Roman"/>
          <w:sz w:val="16"/>
          <w:szCs w:val="16"/>
        </w:rPr>
        <w:t>informed</w:t>
      </w:r>
    </w:p>
    <w:p w14:paraId="59A06F55" w14:textId="77777777" w:rsidR="007C74B0" w:rsidRPr="00295E40" w:rsidRDefault="007C74B0" w:rsidP="000B4EB5">
      <w:pPr>
        <w:pStyle w:val="FootnoteText"/>
        <w:rPr>
          <w:rFonts w:ascii="Times New Roman" w:hAnsi="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9261" w14:textId="77777777" w:rsidR="007C74B0" w:rsidRPr="00816CFE" w:rsidRDefault="007C74B0">
    <w:pPr>
      <w:pStyle w:val="Header"/>
      <w:jc w:val="center"/>
      <w:rPr>
        <w:rFonts w:ascii="Times New Roman" w:hAnsi="Times New Roman"/>
        <w:sz w:val="18"/>
        <w:szCs w:val="24"/>
        <w:lang w:val="en-US"/>
      </w:rPr>
    </w:pPr>
    <w:r w:rsidRPr="00816CFE">
      <w:rPr>
        <w:rFonts w:ascii="Times New Roman" w:hAnsi="Times New Roman"/>
        <w:b/>
        <w:sz w:val="18"/>
        <w:szCs w:val="24"/>
        <w:lang w:val="en-US"/>
      </w:rPr>
      <w:t>Version Date</w:t>
    </w:r>
    <w:r w:rsidRPr="00816CFE">
      <w:rPr>
        <w:rFonts w:ascii="Times New Roman" w:hAnsi="Times New Roman"/>
        <w:b/>
        <w:noProof/>
        <w:sz w:val="18"/>
        <w:szCs w:val="24"/>
      </w:rPr>
      <w:t>:</w:t>
    </w:r>
    <w:r w:rsidRPr="00816CFE">
      <w:rPr>
        <w:rFonts w:ascii="Times New Roman" w:hAnsi="Times New Roman"/>
        <w:sz w:val="18"/>
        <w:szCs w:val="24"/>
        <w:lang w:val="en-US"/>
      </w:rPr>
      <w:t xml:space="preserve"> 2017</w:t>
    </w:r>
  </w:p>
  <w:p w14:paraId="4C658FB2" w14:textId="77777777" w:rsidR="007C74B0" w:rsidRPr="00816CFE" w:rsidRDefault="007C74B0">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7C74B0" w:rsidRPr="0075300F" w14:paraId="0D7611F5" w14:textId="77777777" w:rsidTr="0075300F">
      <w:trPr>
        <w:trHeight w:hRule="exact" w:val="864"/>
      </w:trPr>
      <w:tc>
        <w:tcPr>
          <w:tcW w:w="1267" w:type="dxa"/>
          <w:tcBorders>
            <w:bottom w:val="single" w:sz="4" w:space="0" w:color="auto"/>
          </w:tcBorders>
          <w:shd w:val="clear" w:color="auto" w:fill="auto"/>
          <w:vAlign w:val="bottom"/>
        </w:tcPr>
        <w:p w14:paraId="36C470A7" w14:textId="77777777" w:rsidR="007C74B0" w:rsidRPr="0075300F" w:rsidRDefault="007C74B0" w:rsidP="0075300F">
          <w:pPr>
            <w:tabs>
              <w:tab w:val="center" w:pos="4320"/>
              <w:tab w:val="right" w:pos="8640"/>
            </w:tabs>
            <w:spacing w:after="120"/>
            <w:rPr>
              <w:noProof/>
              <w:snapToGrid/>
              <w:sz w:val="17"/>
              <w:lang w:eastAsia="en-US"/>
            </w:rPr>
          </w:pPr>
        </w:p>
      </w:tc>
      <w:tc>
        <w:tcPr>
          <w:tcW w:w="1872" w:type="dxa"/>
          <w:tcBorders>
            <w:bottom w:val="single" w:sz="4" w:space="0" w:color="auto"/>
          </w:tcBorders>
          <w:shd w:val="clear" w:color="auto" w:fill="auto"/>
          <w:vAlign w:val="bottom"/>
        </w:tcPr>
        <w:p w14:paraId="29228618" w14:textId="77777777" w:rsidR="007C74B0" w:rsidRPr="0075300F" w:rsidRDefault="007C74B0" w:rsidP="0075300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napToGrid/>
              <w:spacing w:val="2"/>
              <w:w w:val="96"/>
              <w:kern w:val="14"/>
              <w:sz w:val="28"/>
              <w:lang w:val="en-GB" w:eastAsia="en-US"/>
            </w:rPr>
          </w:pPr>
          <w:r w:rsidRPr="0075300F">
            <w:rPr>
              <w:snapToGrid/>
              <w:spacing w:val="2"/>
              <w:w w:val="96"/>
              <w:kern w:val="14"/>
              <w:sz w:val="28"/>
              <w:lang w:val="en-GB" w:eastAsia="en-US"/>
            </w:rPr>
            <w:t>United Nations</w:t>
          </w:r>
        </w:p>
      </w:tc>
      <w:tc>
        <w:tcPr>
          <w:tcW w:w="245" w:type="dxa"/>
          <w:tcBorders>
            <w:bottom w:val="single" w:sz="4" w:space="0" w:color="auto"/>
          </w:tcBorders>
          <w:shd w:val="clear" w:color="auto" w:fill="auto"/>
          <w:vAlign w:val="bottom"/>
        </w:tcPr>
        <w:p w14:paraId="2C7F0EE0" w14:textId="77777777" w:rsidR="007C74B0" w:rsidRPr="0075300F" w:rsidRDefault="007C74B0" w:rsidP="0075300F">
          <w:pPr>
            <w:tabs>
              <w:tab w:val="center" w:pos="4320"/>
              <w:tab w:val="right" w:pos="8640"/>
            </w:tabs>
            <w:spacing w:after="120"/>
            <w:rPr>
              <w:noProof/>
              <w:snapToGrid/>
              <w:sz w:val="17"/>
              <w:lang w:eastAsia="en-US"/>
            </w:rPr>
          </w:pPr>
        </w:p>
      </w:tc>
      <w:tc>
        <w:tcPr>
          <w:tcW w:w="6523" w:type="dxa"/>
          <w:gridSpan w:val="4"/>
          <w:tcBorders>
            <w:bottom w:val="single" w:sz="4" w:space="0" w:color="auto"/>
          </w:tcBorders>
          <w:shd w:val="clear" w:color="auto" w:fill="auto"/>
          <w:vAlign w:val="bottom"/>
        </w:tcPr>
        <w:p w14:paraId="216A7E25" w14:textId="77777777" w:rsidR="007C74B0" w:rsidRPr="0075300F" w:rsidRDefault="007C74B0" w:rsidP="0075300F">
          <w:pPr>
            <w:suppressAutoHyphens/>
            <w:spacing w:after="80"/>
            <w:jc w:val="right"/>
            <w:rPr>
              <w:snapToGrid/>
              <w:spacing w:val="4"/>
              <w:w w:val="103"/>
              <w:kern w:val="14"/>
              <w:position w:val="-4"/>
              <w:lang w:val="en-GB" w:eastAsia="en-US"/>
            </w:rPr>
          </w:pPr>
          <w:r w:rsidRPr="0075300F">
            <w:rPr>
              <w:snapToGrid/>
              <w:spacing w:val="4"/>
              <w:w w:val="103"/>
              <w:kern w:val="14"/>
              <w:position w:val="-4"/>
              <w:sz w:val="40"/>
              <w:lang w:val="en-GB" w:eastAsia="en-US"/>
            </w:rPr>
            <w:t>DP</w:t>
          </w:r>
          <w:r w:rsidRPr="0075300F">
            <w:rPr>
              <w:snapToGrid/>
              <w:spacing w:val="4"/>
              <w:w w:val="103"/>
              <w:kern w:val="14"/>
              <w:position w:val="-4"/>
              <w:lang w:val="en-GB" w:eastAsia="en-US"/>
            </w:rPr>
            <w:t>/DCP/</w:t>
          </w:r>
          <w:r>
            <w:rPr>
              <w:snapToGrid/>
              <w:spacing w:val="4"/>
              <w:w w:val="103"/>
              <w:kern w:val="14"/>
              <w:position w:val="-4"/>
              <w:lang w:val="en-GB" w:eastAsia="en-US"/>
            </w:rPr>
            <w:t>TGO</w:t>
          </w:r>
          <w:r w:rsidRPr="0075300F">
            <w:rPr>
              <w:snapToGrid/>
              <w:spacing w:val="4"/>
              <w:w w:val="103"/>
              <w:kern w:val="14"/>
              <w:position w:val="-4"/>
              <w:lang w:val="en-GB" w:eastAsia="en-US"/>
            </w:rPr>
            <w:t>/</w:t>
          </w:r>
          <w:r>
            <w:rPr>
              <w:snapToGrid/>
              <w:spacing w:val="4"/>
              <w:w w:val="103"/>
              <w:kern w:val="14"/>
              <w:position w:val="-4"/>
              <w:lang w:val="en-GB" w:eastAsia="en-US"/>
            </w:rPr>
            <w:t>3</w:t>
          </w:r>
        </w:p>
      </w:tc>
    </w:tr>
    <w:tr w:rsidR="007C74B0" w:rsidRPr="0075300F" w14:paraId="7627BF29" w14:textId="77777777" w:rsidTr="0075300F">
      <w:trPr>
        <w:gridAfter w:val="1"/>
        <w:wAfter w:w="28" w:type="dxa"/>
        <w:trHeight w:hRule="exact" w:val="2880"/>
      </w:trPr>
      <w:tc>
        <w:tcPr>
          <w:tcW w:w="1267" w:type="dxa"/>
          <w:tcBorders>
            <w:top w:val="single" w:sz="4" w:space="0" w:color="auto"/>
            <w:bottom w:val="single" w:sz="12" w:space="0" w:color="auto"/>
          </w:tcBorders>
          <w:shd w:val="clear" w:color="auto" w:fill="auto"/>
        </w:tcPr>
        <w:p w14:paraId="059BA68B" w14:textId="77777777" w:rsidR="007C74B0" w:rsidRPr="0075300F" w:rsidRDefault="007C74B0" w:rsidP="0075300F">
          <w:pPr>
            <w:tabs>
              <w:tab w:val="center" w:pos="4320"/>
              <w:tab w:val="right" w:pos="8640"/>
            </w:tabs>
            <w:spacing w:before="109"/>
            <w:rPr>
              <w:noProof/>
              <w:snapToGrid/>
              <w:sz w:val="17"/>
              <w:lang w:eastAsia="en-US"/>
            </w:rPr>
          </w:pPr>
          <w:r w:rsidRPr="0075300F">
            <w:rPr>
              <w:noProof/>
              <w:snapToGrid/>
              <w:sz w:val="17"/>
              <w:lang w:eastAsia="en-US"/>
            </w:rPr>
            <w:t xml:space="preserve"> </w:t>
          </w:r>
          <w:r w:rsidRPr="0075300F">
            <w:rPr>
              <w:rFonts w:eastAsia="MS Mincho"/>
              <w:noProof/>
              <w:snapToGrid/>
              <w:sz w:val="17"/>
              <w:lang w:eastAsia="en-US"/>
            </w:rPr>
            <w:drawing>
              <wp:inline distT="0" distB="0" distL="0" distR="0" wp14:anchorId="38D0F2E8" wp14:editId="430391CA">
                <wp:extent cx="714375" cy="590550"/>
                <wp:effectExtent l="0" t="0" r="9525" b="0"/>
                <wp:docPr id="30" name="Picture 30"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p w14:paraId="3F50E15C" w14:textId="77777777" w:rsidR="007C74B0" w:rsidRPr="0075300F" w:rsidRDefault="007C74B0" w:rsidP="0075300F">
          <w:pPr>
            <w:tabs>
              <w:tab w:val="center" w:pos="4320"/>
              <w:tab w:val="right" w:pos="8640"/>
            </w:tabs>
            <w:spacing w:before="109"/>
            <w:rPr>
              <w:noProof/>
              <w:snapToGrid/>
              <w:sz w:val="17"/>
              <w:lang w:eastAsia="en-US"/>
            </w:rPr>
          </w:pPr>
        </w:p>
      </w:tc>
      <w:tc>
        <w:tcPr>
          <w:tcW w:w="5227" w:type="dxa"/>
          <w:gridSpan w:val="3"/>
          <w:tcBorders>
            <w:top w:val="single" w:sz="4" w:space="0" w:color="auto"/>
            <w:bottom w:val="single" w:sz="12" w:space="0" w:color="auto"/>
          </w:tcBorders>
          <w:shd w:val="clear" w:color="auto" w:fill="auto"/>
        </w:tcPr>
        <w:p w14:paraId="1CE26F79" w14:textId="77777777" w:rsidR="007C74B0" w:rsidRPr="0075300F" w:rsidRDefault="007C74B0" w:rsidP="0075300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line="330" w:lineRule="exact"/>
            <w:outlineLvl w:val="0"/>
            <w:rPr>
              <w:b/>
              <w:snapToGrid/>
              <w:spacing w:val="-4"/>
              <w:w w:val="98"/>
              <w:kern w:val="14"/>
              <w:sz w:val="34"/>
              <w:lang w:val="en-GB" w:eastAsia="en-US"/>
            </w:rPr>
          </w:pPr>
          <w:r w:rsidRPr="0075300F">
            <w:rPr>
              <w:b/>
              <w:snapToGrid/>
              <w:spacing w:val="-4"/>
              <w:w w:val="98"/>
              <w:kern w:val="14"/>
              <w:sz w:val="34"/>
              <w:lang w:val="en-GB" w:eastAsia="en-US"/>
            </w:rPr>
            <w:t>Executive Board of the</w:t>
          </w:r>
          <w:r w:rsidRPr="0075300F">
            <w:rPr>
              <w:b/>
              <w:snapToGrid/>
              <w:spacing w:val="-4"/>
              <w:w w:val="98"/>
              <w:kern w:val="14"/>
              <w:sz w:val="34"/>
              <w:lang w:val="en-GB" w:eastAsia="en-US"/>
            </w:rPr>
            <w:br/>
            <w:t>United Nations Development</w:t>
          </w:r>
          <w:r w:rsidRPr="0075300F">
            <w:rPr>
              <w:b/>
              <w:snapToGrid/>
              <w:spacing w:val="-4"/>
              <w:w w:val="98"/>
              <w:kern w:val="14"/>
              <w:sz w:val="34"/>
              <w:lang w:val="en-GB" w:eastAsia="en-US"/>
            </w:rPr>
            <w:br/>
            <w:t>Programme, the United Nations Population Fund and the</w:t>
          </w:r>
          <w:r w:rsidRPr="0075300F">
            <w:rPr>
              <w:b/>
              <w:snapToGrid/>
              <w:spacing w:val="-4"/>
              <w:w w:val="98"/>
              <w:kern w:val="14"/>
              <w:sz w:val="34"/>
              <w:lang w:val="en-GB" w:eastAsia="en-US"/>
            </w:rPr>
            <w:br/>
            <w:t>United Nations Office for</w:t>
          </w:r>
          <w:r w:rsidRPr="0075300F">
            <w:rPr>
              <w:b/>
              <w:snapToGrid/>
              <w:spacing w:val="-4"/>
              <w:w w:val="98"/>
              <w:kern w:val="14"/>
              <w:sz w:val="34"/>
              <w:lang w:val="en-GB" w:eastAsia="en-US"/>
            </w:rPr>
            <w:br/>
            <w:t>Project Services</w:t>
          </w:r>
        </w:p>
        <w:p w14:paraId="35DB41C2" w14:textId="77777777" w:rsidR="007C74B0" w:rsidRPr="0075300F" w:rsidRDefault="007C74B0" w:rsidP="0075300F">
          <w:pPr>
            <w:tabs>
              <w:tab w:val="left" w:pos="1742"/>
            </w:tabs>
            <w:rPr>
              <w:snapToGrid/>
              <w:sz w:val="34"/>
              <w:lang w:val="en-GB" w:eastAsia="en-US"/>
            </w:rPr>
          </w:pPr>
          <w:r w:rsidRPr="0075300F">
            <w:rPr>
              <w:snapToGrid/>
              <w:sz w:val="34"/>
              <w:lang w:val="en-GB" w:eastAsia="en-US"/>
            </w:rPr>
            <w:tab/>
          </w:r>
        </w:p>
      </w:tc>
      <w:tc>
        <w:tcPr>
          <w:tcW w:w="245" w:type="dxa"/>
          <w:tcBorders>
            <w:top w:val="single" w:sz="4" w:space="0" w:color="auto"/>
            <w:bottom w:val="single" w:sz="12" w:space="0" w:color="auto"/>
          </w:tcBorders>
          <w:shd w:val="clear" w:color="auto" w:fill="auto"/>
        </w:tcPr>
        <w:p w14:paraId="37769049" w14:textId="77777777" w:rsidR="007C74B0" w:rsidRPr="0075300F" w:rsidRDefault="007C74B0" w:rsidP="0075300F">
          <w:pPr>
            <w:tabs>
              <w:tab w:val="center" w:pos="4320"/>
              <w:tab w:val="right" w:pos="8640"/>
            </w:tabs>
            <w:spacing w:before="109"/>
            <w:rPr>
              <w:noProof/>
              <w:snapToGrid/>
              <w:sz w:val="17"/>
              <w:lang w:eastAsia="en-US"/>
            </w:rPr>
          </w:pPr>
        </w:p>
      </w:tc>
      <w:tc>
        <w:tcPr>
          <w:tcW w:w="3140" w:type="dxa"/>
          <w:tcBorders>
            <w:top w:val="single" w:sz="4" w:space="0" w:color="auto"/>
            <w:bottom w:val="single" w:sz="12" w:space="0" w:color="auto"/>
          </w:tcBorders>
          <w:shd w:val="clear" w:color="auto" w:fill="auto"/>
        </w:tcPr>
        <w:p w14:paraId="5A8A0E12" w14:textId="77777777" w:rsidR="007C74B0" w:rsidRPr="0075300F" w:rsidRDefault="007C74B0" w:rsidP="0075300F">
          <w:pPr>
            <w:suppressAutoHyphens/>
            <w:spacing w:before="240" w:line="240" w:lineRule="exact"/>
            <w:rPr>
              <w:snapToGrid/>
              <w:spacing w:val="4"/>
              <w:w w:val="103"/>
              <w:kern w:val="14"/>
              <w:lang w:val="en-GB" w:eastAsia="en-US"/>
            </w:rPr>
          </w:pPr>
          <w:r w:rsidRPr="0075300F">
            <w:rPr>
              <w:snapToGrid/>
              <w:spacing w:val="4"/>
              <w:w w:val="103"/>
              <w:kern w:val="14"/>
              <w:lang w:val="en-GB" w:eastAsia="en-US"/>
            </w:rPr>
            <w:t>Distr.: General</w:t>
          </w:r>
        </w:p>
        <w:p w14:paraId="7D4AA24D" w14:textId="5777E335" w:rsidR="007C74B0" w:rsidRPr="0075300F" w:rsidRDefault="007C74B0" w:rsidP="0075300F">
          <w:pPr>
            <w:suppressAutoHyphens/>
            <w:spacing w:line="240" w:lineRule="exact"/>
            <w:rPr>
              <w:snapToGrid/>
              <w:spacing w:val="4"/>
              <w:w w:val="103"/>
              <w:kern w:val="14"/>
              <w:lang w:val="en-GB" w:eastAsia="en-US"/>
            </w:rPr>
          </w:pPr>
          <w:r>
            <w:rPr>
              <w:snapToGrid/>
              <w:spacing w:val="4"/>
              <w:w w:val="103"/>
              <w:kern w:val="14"/>
              <w:lang w:val="en-GB" w:eastAsia="en-US"/>
            </w:rPr>
            <w:t xml:space="preserve">29 </w:t>
          </w:r>
          <w:r w:rsidRPr="0075300F">
            <w:rPr>
              <w:snapToGrid/>
              <w:spacing w:val="4"/>
              <w:w w:val="103"/>
              <w:kern w:val="14"/>
              <w:lang w:val="en-GB" w:eastAsia="en-US"/>
            </w:rPr>
            <w:t>October 2018</w:t>
          </w:r>
        </w:p>
        <w:p w14:paraId="3341550A" w14:textId="77777777" w:rsidR="007C74B0" w:rsidRPr="0075300F" w:rsidRDefault="007C74B0" w:rsidP="0075300F">
          <w:pPr>
            <w:suppressAutoHyphens/>
            <w:spacing w:line="240" w:lineRule="exact"/>
            <w:rPr>
              <w:snapToGrid/>
              <w:spacing w:val="4"/>
              <w:w w:val="103"/>
              <w:kern w:val="14"/>
              <w:lang w:val="en-GB" w:eastAsia="en-US"/>
            </w:rPr>
          </w:pPr>
        </w:p>
        <w:p w14:paraId="6C683E37" w14:textId="77777777" w:rsidR="007C74B0" w:rsidRPr="0075300F" w:rsidRDefault="007C74B0" w:rsidP="0075300F">
          <w:pPr>
            <w:suppressAutoHyphens/>
            <w:spacing w:line="240" w:lineRule="exact"/>
            <w:rPr>
              <w:snapToGrid/>
              <w:spacing w:val="4"/>
              <w:w w:val="103"/>
              <w:kern w:val="14"/>
              <w:lang w:val="en-GB" w:eastAsia="en-US"/>
            </w:rPr>
          </w:pPr>
          <w:r w:rsidRPr="0075300F">
            <w:rPr>
              <w:snapToGrid/>
              <w:spacing w:val="4"/>
              <w:w w:val="103"/>
              <w:kern w:val="14"/>
              <w:lang w:val="en-GB" w:eastAsia="en-US"/>
            </w:rPr>
            <w:t>Original: English</w:t>
          </w:r>
        </w:p>
      </w:tc>
    </w:tr>
  </w:tbl>
  <w:p w14:paraId="6DDD7969" w14:textId="77777777" w:rsidR="007C74B0" w:rsidRPr="00EC59A3" w:rsidRDefault="007C74B0">
    <w:pPr>
      <w:pStyle w:val="Header"/>
      <w:rPr>
        <w:sz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7C74B0" w:rsidRPr="00816CFE" w14:paraId="3A004FE1" w14:textId="77777777">
      <w:trPr>
        <w:trHeight w:hRule="exact" w:val="864"/>
      </w:trPr>
      <w:tc>
        <w:tcPr>
          <w:tcW w:w="4838" w:type="dxa"/>
          <w:tcBorders>
            <w:bottom w:val="single" w:sz="4" w:space="0" w:color="auto"/>
          </w:tcBorders>
          <w:vAlign w:val="bottom"/>
        </w:tcPr>
        <w:p w14:paraId="3FFFAAE1" w14:textId="77777777" w:rsidR="007C74B0" w:rsidRPr="00816CFE" w:rsidRDefault="007C74B0">
          <w:pPr>
            <w:widowControl w:val="0"/>
            <w:tabs>
              <w:tab w:val="center" w:pos="4320"/>
              <w:tab w:val="right" w:pos="8640"/>
            </w:tabs>
            <w:spacing w:after="80"/>
            <w:rPr>
              <w:b/>
              <w:sz w:val="17"/>
              <w:szCs w:val="24"/>
            </w:rPr>
          </w:pPr>
          <w:r w:rsidRPr="00816CFE">
            <w:rPr>
              <w:b/>
              <w:noProof/>
              <w:sz w:val="17"/>
              <w:szCs w:val="24"/>
            </w:rPr>
            <w:t>DP/DCP/</w:t>
          </w:r>
          <w:r>
            <w:rPr>
              <w:b/>
              <w:noProof/>
              <w:sz w:val="17"/>
              <w:szCs w:val="24"/>
            </w:rPr>
            <w:t>TGO</w:t>
          </w:r>
          <w:r w:rsidRPr="00816CFE">
            <w:rPr>
              <w:b/>
              <w:noProof/>
              <w:sz w:val="17"/>
              <w:szCs w:val="24"/>
            </w:rPr>
            <w:t>/</w:t>
          </w:r>
          <w:r>
            <w:rPr>
              <w:b/>
              <w:noProof/>
              <w:sz w:val="17"/>
              <w:szCs w:val="24"/>
            </w:rPr>
            <w:t>3</w:t>
          </w:r>
        </w:p>
      </w:tc>
      <w:tc>
        <w:tcPr>
          <w:tcW w:w="5047" w:type="dxa"/>
          <w:tcBorders>
            <w:bottom w:val="single" w:sz="4" w:space="0" w:color="auto"/>
          </w:tcBorders>
          <w:vAlign w:val="bottom"/>
        </w:tcPr>
        <w:p w14:paraId="4E4B4E1B" w14:textId="77777777" w:rsidR="007C74B0" w:rsidRPr="00816CFE" w:rsidRDefault="007C74B0">
          <w:pPr>
            <w:widowControl w:val="0"/>
            <w:tabs>
              <w:tab w:val="center" w:pos="4320"/>
              <w:tab w:val="right" w:pos="8640"/>
            </w:tabs>
            <w:rPr>
              <w:sz w:val="17"/>
              <w:szCs w:val="24"/>
            </w:rPr>
          </w:pPr>
        </w:p>
      </w:tc>
    </w:tr>
  </w:tbl>
  <w:p w14:paraId="39053E0F" w14:textId="77777777" w:rsidR="007C74B0" w:rsidRPr="0075300F" w:rsidRDefault="007C74B0">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7C74B0" w:rsidRPr="0075300F" w14:paraId="480FA66C" w14:textId="77777777" w:rsidTr="0075300F">
      <w:trPr>
        <w:trHeight w:hRule="exact" w:val="864"/>
      </w:trPr>
      <w:tc>
        <w:tcPr>
          <w:tcW w:w="4838" w:type="dxa"/>
          <w:tcBorders>
            <w:bottom w:val="single" w:sz="4" w:space="0" w:color="auto"/>
          </w:tcBorders>
          <w:vAlign w:val="bottom"/>
        </w:tcPr>
        <w:p w14:paraId="1316AC98" w14:textId="77777777" w:rsidR="007C74B0" w:rsidRPr="0075300F" w:rsidRDefault="007C74B0" w:rsidP="0075300F">
          <w:pPr>
            <w:widowControl w:val="0"/>
            <w:tabs>
              <w:tab w:val="center" w:pos="4320"/>
              <w:tab w:val="right" w:pos="8640"/>
            </w:tabs>
            <w:spacing w:after="80"/>
            <w:rPr>
              <w:b/>
              <w:snapToGrid/>
              <w:sz w:val="17"/>
              <w:szCs w:val="17"/>
              <w:lang w:eastAsia="en-US"/>
            </w:rPr>
          </w:pPr>
        </w:p>
      </w:tc>
      <w:tc>
        <w:tcPr>
          <w:tcW w:w="5047" w:type="dxa"/>
          <w:tcBorders>
            <w:bottom w:val="single" w:sz="4" w:space="0" w:color="auto"/>
          </w:tcBorders>
          <w:vAlign w:val="bottom"/>
        </w:tcPr>
        <w:p w14:paraId="67E7F0D9" w14:textId="77777777" w:rsidR="007C74B0" w:rsidRPr="0075300F" w:rsidRDefault="007C74B0" w:rsidP="0075300F">
          <w:pPr>
            <w:widowControl w:val="0"/>
            <w:tabs>
              <w:tab w:val="center" w:pos="4320"/>
              <w:tab w:val="right" w:pos="8640"/>
            </w:tabs>
            <w:jc w:val="right"/>
            <w:rPr>
              <w:snapToGrid/>
              <w:sz w:val="17"/>
              <w:szCs w:val="17"/>
              <w:lang w:eastAsia="en-US"/>
            </w:rPr>
          </w:pPr>
          <w:r w:rsidRPr="0075300F">
            <w:rPr>
              <w:b/>
              <w:snapToGrid/>
              <w:sz w:val="17"/>
              <w:szCs w:val="17"/>
              <w:lang w:eastAsia="en-US"/>
            </w:rPr>
            <w:t>DP/DCP/</w:t>
          </w:r>
          <w:r>
            <w:rPr>
              <w:b/>
              <w:snapToGrid/>
              <w:sz w:val="17"/>
              <w:szCs w:val="17"/>
              <w:lang w:eastAsia="en-US"/>
            </w:rPr>
            <w:t>TGO</w:t>
          </w:r>
          <w:r w:rsidRPr="0075300F">
            <w:rPr>
              <w:b/>
              <w:snapToGrid/>
              <w:sz w:val="17"/>
              <w:szCs w:val="17"/>
              <w:lang w:eastAsia="en-US"/>
            </w:rPr>
            <w:t>/</w:t>
          </w:r>
          <w:r>
            <w:rPr>
              <w:b/>
              <w:snapToGrid/>
              <w:sz w:val="17"/>
              <w:szCs w:val="17"/>
              <w:lang w:eastAsia="en-US"/>
            </w:rPr>
            <w:t>3</w:t>
          </w:r>
        </w:p>
      </w:tc>
    </w:tr>
  </w:tbl>
  <w:p w14:paraId="1B70652A" w14:textId="77777777" w:rsidR="007C74B0" w:rsidRPr="001709A6" w:rsidRDefault="007C74B0">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86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022"/>
    </w:tblGrid>
    <w:tr w:rsidR="007C74B0" w:rsidRPr="00816CFE" w14:paraId="4C123395" w14:textId="77777777" w:rsidTr="001709A6">
      <w:trPr>
        <w:trHeight w:hRule="exact" w:val="864"/>
      </w:trPr>
      <w:tc>
        <w:tcPr>
          <w:tcW w:w="4838" w:type="dxa"/>
          <w:tcBorders>
            <w:bottom w:val="single" w:sz="4" w:space="0" w:color="auto"/>
          </w:tcBorders>
          <w:vAlign w:val="bottom"/>
        </w:tcPr>
        <w:p w14:paraId="2334B53D" w14:textId="77777777" w:rsidR="007C74B0" w:rsidRPr="00816CFE" w:rsidRDefault="007C74B0">
          <w:pPr>
            <w:widowControl w:val="0"/>
            <w:tabs>
              <w:tab w:val="center" w:pos="4320"/>
              <w:tab w:val="right" w:pos="8640"/>
            </w:tabs>
            <w:spacing w:after="80"/>
            <w:rPr>
              <w:b/>
              <w:sz w:val="17"/>
              <w:szCs w:val="24"/>
            </w:rPr>
          </w:pPr>
          <w:r w:rsidRPr="00816CFE">
            <w:rPr>
              <w:b/>
              <w:noProof/>
              <w:sz w:val="17"/>
              <w:szCs w:val="24"/>
            </w:rPr>
            <w:t>DP/DCP/</w:t>
          </w:r>
          <w:r>
            <w:rPr>
              <w:b/>
              <w:noProof/>
              <w:sz w:val="17"/>
              <w:szCs w:val="24"/>
            </w:rPr>
            <w:t>TGO</w:t>
          </w:r>
          <w:r w:rsidRPr="00816CFE">
            <w:rPr>
              <w:b/>
              <w:noProof/>
              <w:sz w:val="17"/>
              <w:szCs w:val="24"/>
            </w:rPr>
            <w:t>/</w:t>
          </w:r>
          <w:r>
            <w:rPr>
              <w:b/>
              <w:noProof/>
              <w:sz w:val="17"/>
              <w:szCs w:val="24"/>
            </w:rPr>
            <w:t>3</w:t>
          </w:r>
        </w:p>
      </w:tc>
      <w:tc>
        <w:tcPr>
          <w:tcW w:w="9022" w:type="dxa"/>
          <w:tcBorders>
            <w:bottom w:val="single" w:sz="4" w:space="0" w:color="auto"/>
          </w:tcBorders>
          <w:vAlign w:val="bottom"/>
        </w:tcPr>
        <w:p w14:paraId="3819AD18" w14:textId="77777777" w:rsidR="007C74B0" w:rsidRPr="00816CFE" w:rsidRDefault="007C74B0">
          <w:pPr>
            <w:widowControl w:val="0"/>
            <w:tabs>
              <w:tab w:val="center" w:pos="4320"/>
              <w:tab w:val="right" w:pos="8640"/>
            </w:tabs>
            <w:rPr>
              <w:sz w:val="17"/>
              <w:szCs w:val="24"/>
            </w:rPr>
          </w:pPr>
        </w:p>
      </w:tc>
    </w:tr>
  </w:tbl>
  <w:p w14:paraId="7151A801" w14:textId="77777777" w:rsidR="007C74B0" w:rsidRPr="0075300F" w:rsidRDefault="007C74B0">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892"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054"/>
    </w:tblGrid>
    <w:tr w:rsidR="007C74B0" w:rsidRPr="00816CFE" w14:paraId="1CF099BA" w14:textId="77777777" w:rsidTr="00E5527E">
      <w:trPr>
        <w:trHeight w:hRule="exact" w:val="864"/>
      </w:trPr>
      <w:tc>
        <w:tcPr>
          <w:tcW w:w="4838" w:type="dxa"/>
          <w:tcBorders>
            <w:bottom w:val="single" w:sz="4" w:space="0" w:color="auto"/>
          </w:tcBorders>
          <w:vAlign w:val="bottom"/>
        </w:tcPr>
        <w:tbl>
          <w:tblPr>
            <w:tblW w:w="40" w:type="dxa"/>
            <w:tblBorders>
              <w:bottom w:val="single" w:sz="4" w:space="0" w:color="auto"/>
            </w:tblBorders>
            <w:tblLayout w:type="fixed"/>
            <w:tblCellMar>
              <w:left w:w="0" w:type="dxa"/>
              <w:right w:w="0" w:type="dxa"/>
            </w:tblCellMar>
            <w:tblLook w:val="0000" w:firstRow="0" w:lastRow="0" w:firstColumn="0" w:lastColumn="0" w:noHBand="0" w:noVBand="0"/>
          </w:tblPr>
          <w:tblGrid>
            <w:gridCol w:w="20"/>
            <w:gridCol w:w="20"/>
          </w:tblGrid>
          <w:tr w:rsidR="007C74B0" w:rsidRPr="00816CFE" w14:paraId="526DB438" w14:textId="77777777" w:rsidTr="00E5527E">
            <w:trPr>
              <w:trHeight w:hRule="exact" w:val="1020"/>
            </w:trPr>
            <w:tc>
              <w:tcPr>
                <w:tcW w:w="20" w:type="dxa"/>
                <w:tcBorders>
                  <w:top w:val="nil"/>
                  <w:left w:val="nil"/>
                  <w:bottom w:val="single" w:sz="4" w:space="0" w:color="auto"/>
                  <w:right w:val="nil"/>
                </w:tcBorders>
                <w:vAlign w:val="bottom"/>
              </w:tcPr>
              <w:p w14:paraId="79092C94" w14:textId="77777777" w:rsidR="007C74B0" w:rsidRPr="00816CFE" w:rsidRDefault="007C74B0">
                <w:pPr>
                  <w:widowControl w:val="0"/>
                  <w:tabs>
                    <w:tab w:val="center" w:pos="4320"/>
                    <w:tab w:val="right" w:pos="8640"/>
                  </w:tabs>
                  <w:spacing w:after="80"/>
                  <w:rPr>
                    <w:b/>
                    <w:sz w:val="17"/>
                    <w:szCs w:val="24"/>
                  </w:rPr>
                </w:pPr>
              </w:p>
            </w:tc>
            <w:tc>
              <w:tcPr>
                <w:tcW w:w="20" w:type="dxa"/>
                <w:tcBorders>
                  <w:top w:val="nil"/>
                  <w:left w:val="nil"/>
                  <w:bottom w:val="single" w:sz="4" w:space="0" w:color="auto"/>
                  <w:right w:val="nil"/>
                </w:tcBorders>
                <w:vAlign w:val="bottom"/>
              </w:tcPr>
              <w:p w14:paraId="7000313C" w14:textId="77777777" w:rsidR="007C74B0" w:rsidRPr="00816CFE" w:rsidRDefault="007C74B0">
                <w:pPr>
                  <w:widowControl w:val="0"/>
                  <w:tabs>
                    <w:tab w:val="center" w:pos="4320"/>
                    <w:tab w:val="right" w:pos="8640"/>
                  </w:tabs>
                  <w:rPr>
                    <w:sz w:val="17"/>
                    <w:szCs w:val="24"/>
                  </w:rPr>
                </w:pPr>
              </w:p>
            </w:tc>
          </w:tr>
        </w:tbl>
        <w:p w14:paraId="55A7B810" w14:textId="77777777" w:rsidR="007C74B0" w:rsidRPr="00816CFE" w:rsidRDefault="007C74B0">
          <w:pPr>
            <w:pStyle w:val="Header"/>
            <w:rPr>
              <w:szCs w:val="24"/>
            </w:rPr>
          </w:pPr>
        </w:p>
        <w:p w14:paraId="1E4D10FC" w14:textId="77777777" w:rsidR="007C74B0" w:rsidRPr="00816CFE" w:rsidRDefault="007C74B0">
          <w:pPr>
            <w:widowControl w:val="0"/>
            <w:tabs>
              <w:tab w:val="center" w:pos="4320"/>
              <w:tab w:val="right" w:pos="8640"/>
            </w:tabs>
            <w:spacing w:after="80"/>
            <w:rPr>
              <w:b/>
              <w:sz w:val="17"/>
              <w:szCs w:val="24"/>
            </w:rPr>
          </w:pPr>
        </w:p>
      </w:tc>
      <w:tc>
        <w:tcPr>
          <w:tcW w:w="9054" w:type="dxa"/>
          <w:tcBorders>
            <w:bottom w:val="single" w:sz="4" w:space="0" w:color="auto"/>
          </w:tcBorders>
          <w:vAlign w:val="bottom"/>
        </w:tcPr>
        <w:p w14:paraId="0D915EDA" w14:textId="77777777" w:rsidR="007C74B0" w:rsidRPr="00816CFE" w:rsidRDefault="007C74B0">
          <w:pPr>
            <w:widowControl w:val="0"/>
            <w:tabs>
              <w:tab w:val="center" w:pos="4320"/>
              <w:tab w:val="right" w:pos="8640"/>
            </w:tabs>
            <w:jc w:val="right"/>
            <w:rPr>
              <w:sz w:val="17"/>
              <w:szCs w:val="24"/>
            </w:rPr>
          </w:pPr>
          <w:r>
            <w:rPr>
              <w:b/>
              <w:noProof/>
              <w:sz w:val="17"/>
              <w:szCs w:val="24"/>
            </w:rPr>
            <w:t>DP/DCP/TGO/3</w:t>
          </w:r>
        </w:p>
      </w:tc>
    </w:tr>
  </w:tbl>
  <w:p w14:paraId="554647D1" w14:textId="77777777" w:rsidR="007C74B0" w:rsidRPr="00816CFE" w:rsidRDefault="007C74B0">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6C51"/>
    <w:multiLevelType w:val="hybridMultilevel"/>
    <w:tmpl w:val="0C6ABDE2"/>
    <w:lvl w:ilvl="0" w:tplc="099C2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560AB"/>
    <w:multiLevelType w:val="hybridMultilevel"/>
    <w:tmpl w:val="854A0D0C"/>
    <w:lvl w:ilvl="0" w:tplc="0D944C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BDA1D78"/>
    <w:multiLevelType w:val="hybridMultilevel"/>
    <w:tmpl w:val="817600A8"/>
    <w:lvl w:ilvl="0" w:tplc="72C2F4A8">
      <w:start w:val="1"/>
      <w:numFmt w:val="decimal"/>
      <w:lvlText w:val="%1."/>
      <w:lvlJc w:val="left"/>
      <w:pPr>
        <w:ind w:left="927" w:hanging="360"/>
      </w:pPr>
      <w:rPr>
        <w:rFonts w:ascii="Times New Roman" w:eastAsia="Times New Roman" w:hAnsi="Times New Roman" w:cs="Times New Roman"/>
        <w:b w:val="0"/>
      </w:rPr>
    </w:lvl>
    <w:lvl w:ilvl="1" w:tplc="04090019" w:tentative="1">
      <w:start w:val="1"/>
      <w:numFmt w:val="lowerLetter"/>
      <w:lvlText w:val="%2."/>
      <w:lvlJc w:val="left"/>
      <w:pPr>
        <w:ind w:left="173" w:hanging="360"/>
      </w:pPr>
    </w:lvl>
    <w:lvl w:ilvl="2" w:tplc="0409001B" w:tentative="1">
      <w:start w:val="1"/>
      <w:numFmt w:val="lowerRoman"/>
      <w:lvlText w:val="%3."/>
      <w:lvlJc w:val="right"/>
      <w:pPr>
        <w:ind w:left="893" w:hanging="180"/>
      </w:pPr>
    </w:lvl>
    <w:lvl w:ilvl="3" w:tplc="0409000F" w:tentative="1">
      <w:start w:val="1"/>
      <w:numFmt w:val="decimal"/>
      <w:lvlText w:val="%4."/>
      <w:lvlJc w:val="left"/>
      <w:pPr>
        <w:ind w:left="1613" w:hanging="360"/>
      </w:p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abstractNum w:abstractNumId="4" w15:restartNumberingAfterBreak="0">
    <w:nsid w:val="5C8E024D"/>
    <w:multiLevelType w:val="hybridMultilevel"/>
    <w:tmpl w:val="1368D912"/>
    <w:lvl w:ilvl="0" w:tplc="099C2422">
      <w:start w:val="1"/>
      <w:numFmt w:val="lowerLetter"/>
      <w:lvlText w:val="(%1)"/>
      <w:lvlJc w:val="left"/>
      <w:pPr>
        <w:ind w:left="720" w:hanging="360"/>
      </w:pPr>
      <w:rPr>
        <w:rFonts w:hint="default"/>
        <w:sz w:val="20"/>
      </w:rPr>
    </w:lvl>
    <w:lvl w:ilvl="1" w:tplc="6EB200D0">
      <w:start w:val="1"/>
      <w:numFmt w:val="lowerLetter"/>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72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ZA" w:vendorID="64" w:dllVersion="4096" w:nlCheck="1" w:checkStyle="0"/>
  <w:proofState w:spelling="clean" w:grammar="clean"/>
  <w:doNotTrackFormatting/>
  <w:defaultTabStop w:val="706"/>
  <w:hyphenationZone w:val="425"/>
  <w:evenAndOddHeaders/>
  <w:characterSpacingControl w:val="doNotCompress"/>
  <w:hdrShapeDefaults>
    <o:shapedefaults v:ext="edit" spidmax="2049"/>
  </w:hdrShapeDefaults>
  <w:footnotePr>
    <w:numRestart w:val="eachSect"/>
    <w:footnote w:id="-1"/>
    <w:footnote w:id="0"/>
    <w:footnote w:id="1"/>
  </w:footnotePr>
  <w:endnotePr>
    <w:numFmt w:val="decimal"/>
    <w:numStart w:val="7"/>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53"/>
    <w:rsid w:val="000006A8"/>
    <w:rsid w:val="00000AC5"/>
    <w:rsid w:val="00002F65"/>
    <w:rsid w:val="0000350D"/>
    <w:rsid w:val="00003C18"/>
    <w:rsid w:val="000040D1"/>
    <w:rsid w:val="0000445E"/>
    <w:rsid w:val="00004F6A"/>
    <w:rsid w:val="00004FD4"/>
    <w:rsid w:val="0000553C"/>
    <w:rsid w:val="00006558"/>
    <w:rsid w:val="000067CA"/>
    <w:rsid w:val="000068E8"/>
    <w:rsid w:val="00006D49"/>
    <w:rsid w:val="00007694"/>
    <w:rsid w:val="00010DBF"/>
    <w:rsid w:val="00012E5D"/>
    <w:rsid w:val="000138C8"/>
    <w:rsid w:val="00013E86"/>
    <w:rsid w:val="0001406E"/>
    <w:rsid w:val="00014494"/>
    <w:rsid w:val="0001536F"/>
    <w:rsid w:val="000155D3"/>
    <w:rsid w:val="00015885"/>
    <w:rsid w:val="0001654A"/>
    <w:rsid w:val="00016743"/>
    <w:rsid w:val="00016D54"/>
    <w:rsid w:val="00017216"/>
    <w:rsid w:val="00017830"/>
    <w:rsid w:val="00020594"/>
    <w:rsid w:val="000206EE"/>
    <w:rsid w:val="00020AE9"/>
    <w:rsid w:val="00021399"/>
    <w:rsid w:val="0002192E"/>
    <w:rsid w:val="0002247D"/>
    <w:rsid w:val="000225FF"/>
    <w:rsid w:val="0002384B"/>
    <w:rsid w:val="000239F5"/>
    <w:rsid w:val="00023F6C"/>
    <w:rsid w:val="000247B7"/>
    <w:rsid w:val="00025180"/>
    <w:rsid w:val="000254C1"/>
    <w:rsid w:val="00025672"/>
    <w:rsid w:val="000257D3"/>
    <w:rsid w:val="000259CB"/>
    <w:rsid w:val="00025C2B"/>
    <w:rsid w:val="00025C40"/>
    <w:rsid w:val="000266BE"/>
    <w:rsid w:val="00026A94"/>
    <w:rsid w:val="00026E0A"/>
    <w:rsid w:val="00026FFA"/>
    <w:rsid w:val="00027608"/>
    <w:rsid w:val="00031A2B"/>
    <w:rsid w:val="00031A36"/>
    <w:rsid w:val="00031E43"/>
    <w:rsid w:val="00031F04"/>
    <w:rsid w:val="00032CEE"/>
    <w:rsid w:val="00032D85"/>
    <w:rsid w:val="00032E38"/>
    <w:rsid w:val="000332D4"/>
    <w:rsid w:val="00033C28"/>
    <w:rsid w:val="000358AA"/>
    <w:rsid w:val="00035D67"/>
    <w:rsid w:val="00035DA5"/>
    <w:rsid w:val="00035DB5"/>
    <w:rsid w:val="00036D9A"/>
    <w:rsid w:val="00036F4F"/>
    <w:rsid w:val="0003708B"/>
    <w:rsid w:val="000370B0"/>
    <w:rsid w:val="00037147"/>
    <w:rsid w:val="00037D77"/>
    <w:rsid w:val="00037FE8"/>
    <w:rsid w:val="00040872"/>
    <w:rsid w:val="000408B7"/>
    <w:rsid w:val="00040D05"/>
    <w:rsid w:val="000417A6"/>
    <w:rsid w:val="0004191B"/>
    <w:rsid w:val="00041F72"/>
    <w:rsid w:val="000423E7"/>
    <w:rsid w:val="00042A0B"/>
    <w:rsid w:val="0004380E"/>
    <w:rsid w:val="00043924"/>
    <w:rsid w:val="0004436C"/>
    <w:rsid w:val="00044AD9"/>
    <w:rsid w:val="00044D0F"/>
    <w:rsid w:val="000460DF"/>
    <w:rsid w:val="00046506"/>
    <w:rsid w:val="0004664C"/>
    <w:rsid w:val="000476A3"/>
    <w:rsid w:val="00047A82"/>
    <w:rsid w:val="00050A68"/>
    <w:rsid w:val="00050C2E"/>
    <w:rsid w:val="00051538"/>
    <w:rsid w:val="00051BEF"/>
    <w:rsid w:val="00051D00"/>
    <w:rsid w:val="000526D1"/>
    <w:rsid w:val="0005345F"/>
    <w:rsid w:val="000534A6"/>
    <w:rsid w:val="00053A6E"/>
    <w:rsid w:val="00053D49"/>
    <w:rsid w:val="00054545"/>
    <w:rsid w:val="000548F1"/>
    <w:rsid w:val="000563C2"/>
    <w:rsid w:val="00056BC5"/>
    <w:rsid w:val="00056D58"/>
    <w:rsid w:val="00057485"/>
    <w:rsid w:val="00057608"/>
    <w:rsid w:val="00057C52"/>
    <w:rsid w:val="000602D7"/>
    <w:rsid w:val="000603EE"/>
    <w:rsid w:val="00061A66"/>
    <w:rsid w:val="00061A79"/>
    <w:rsid w:val="00061F19"/>
    <w:rsid w:val="00061F8C"/>
    <w:rsid w:val="000638A2"/>
    <w:rsid w:val="00064C1C"/>
    <w:rsid w:val="00065BBB"/>
    <w:rsid w:val="00065E0A"/>
    <w:rsid w:val="00066398"/>
    <w:rsid w:val="0006640D"/>
    <w:rsid w:val="00066522"/>
    <w:rsid w:val="0006697A"/>
    <w:rsid w:val="0006785C"/>
    <w:rsid w:val="00067D0F"/>
    <w:rsid w:val="00067F54"/>
    <w:rsid w:val="000710C7"/>
    <w:rsid w:val="00071640"/>
    <w:rsid w:val="00071DC0"/>
    <w:rsid w:val="000724FF"/>
    <w:rsid w:val="00072A14"/>
    <w:rsid w:val="00072A39"/>
    <w:rsid w:val="0007338E"/>
    <w:rsid w:val="0007382D"/>
    <w:rsid w:val="00073A27"/>
    <w:rsid w:val="00074686"/>
    <w:rsid w:val="000747E2"/>
    <w:rsid w:val="00074F95"/>
    <w:rsid w:val="000752F8"/>
    <w:rsid w:val="00075932"/>
    <w:rsid w:val="00075AE2"/>
    <w:rsid w:val="00075FAF"/>
    <w:rsid w:val="00076155"/>
    <w:rsid w:val="00076A60"/>
    <w:rsid w:val="00076C16"/>
    <w:rsid w:val="00076DE1"/>
    <w:rsid w:val="000804A9"/>
    <w:rsid w:val="000807BB"/>
    <w:rsid w:val="00081457"/>
    <w:rsid w:val="00081EBA"/>
    <w:rsid w:val="00082200"/>
    <w:rsid w:val="00082DCA"/>
    <w:rsid w:val="000834E5"/>
    <w:rsid w:val="000838CA"/>
    <w:rsid w:val="00083AA1"/>
    <w:rsid w:val="00083BA5"/>
    <w:rsid w:val="00084268"/>
    <w:rsid w:val="000844EC"/>
    <w:rsid w:val="0008498D"/>
    <w:rsid w:val="00084EA4"/>
    <w:rsid w:val="00085352"/>
    <w:rsid w:val="00085597"/>
    <w:rsid w:val="00085CC6"/>
    <w:rsid w:val="00085D06"/>
    <w:rsid w:val="000868B8"/>
    <w:rsid w:val="00087353"/>
    <w:rsid w:val="00087372"/>
    <w:rsid w:val="000874CB"/>
    <w:rsid w:val="00087EBF"/>
    <w:rsid w:val="00090384"/>
    <w:rsid w:val="00090490"/>
    <w:rsid w:val="00090533"/>
    <w:rsid w:val="00090793"/>
    <w:rsid w:val="00090EB4"/>
    <w:rsid w:val="00091373"/>
    <w:rsid w:val="000919E2"/>
    <w:rsid w:val="00091B39"/>
    <w:rsid w:val="00091EF9"/>
    <w:rsid w:val="0009275A"/>
    <w:rsid w:val="00092D26"/>
    <w:rsid w:val="00092E11"/>
    <w:rsid w:val="00093300"/>
    <w:rsid w:val="00093376"/>
    <w:rsid w:val="00093483"/>
    <w:rsid w:val="00093C39"/>
    <w:rsid w:val="00093F93"/>
    <w:rsid w:val="000940E6"/>
    <w:rsid w:val="000967E8"/>
    <w:rsid w:val="0009692D"/>
    <w:rsid w:val="00096D28"/>
    <w:rsid w:val="000A13E9"/>
    <w:rsid w:val="000A14EC"/>
    <w:rsid w:val="000A154A"/>
    <w:rsid w:val="000A15BF"/>
    <w:rsid w:val="000A17C4"/>
    <w:rsid w:val="000A2171"/>
    <w:rsid w:val="000A24F3"/>
    <w:rsid w:val="000A28F8"/>
    <w:rsid w:val="000A347D"/>
    <w:rsid w:val="000A3817"/>
    <w:rsid w:val="000A3CCE"/>
    <w:rsid w:val="000A3F23"/>
    <w:rsid w:val="000A462E"/>
    <w:rsid w:val="000A4977"/>
    <w:rsid w:val="000A4F66"/>
    <w:rsid w:val="000A50B1"/>
    <w:rsid w:val="000A5229"/>
    <w:rsid w:val="000A574D"/>
    <w:rsid w:val="000A587B"/>
    <w:rsid w:val="000A5BF7"/>
    <w:rsid w:val="000A5D56"/>
    <w:rsid w:val="000A674C"/>
    <w:rsid w:val="000A6A15"/>
    <w:rsid w:val="000A6DDE"/>
    <w:rsid w:val="000A6E2C"/>
    <w:rsid w:val="000A78E0"/>
    <w:rsid w:val="000B017C"/>
    <w:rsid w:val="000B0CC7"/>
    <w:rsid w:val="000B0E6B"/>
    <w:rsid w:val="000B2670"/>
    <w:rsid w:val="000B2704"/>
    <w:rsid w:val="000B2923"/>
    <w:rsid w:val="000B2BFA"/>
    <w:rsid w:val="000B2DCD"/>
    <w:rsid w:val="000B3FE5"/>
    <w:rsid w:val="000B4648"/>
    <w:rsid w:val="000B4961"/>
    <w:rsid w:val="000B4EB5"/>
    <w:rsid w:val="000B4F31"/>
    <w:rsid w:val="000B54B0"/>
    <w:rsid w:val="000B5C96"/>
    <w:rsid w:val="000B69E4"/>
    <w:rsid w:val="000B79B4"/>
    <w:rsid w:val="000B7DB0"/>
    <w:rsid w:val="000C05E0"/>
    <w:rsid w:val="000C0673"/>
    <w:rsid w:val="000C160A"/>
    <w:rsid w:val="000C17A6"/>
    <w:rsid w:val="000C1A4F"/>
    <w:rsid w:val="000C2213"/>
    <w:rsid w:val="000C274B"/>
    <w:rsid w:val="000C3633"/>
    <w:rsid w:val="000C3C7E"/>
    <w:rsid w:val="000C4456"/>
    <w:rsid w:val="000C5FEA"/>
    <w:rsid w:val="000C621E"/>
    <w:rsid w:val="000C6499"/>
    <w:rsid w:val="000C66AB"/>
    <w:rsid w:val="000C6CA1"/>
    <w:rsid w:val="000C7144"/>
    <w:rsid w:val="000C74D8"/>
    <w:rsid w:val="000C78B6"/>
    <w:rsid w:val="000D02F8"/>
    <w:rsid w:val="000D0B58"/>
    <w:rsid w:val="000D2765"/>
    <w:rsid w:val="000D2CEA"/>
    <w:rsid w:val="000D3469"/>
    <w:rsid w:val="000D380C"/>
    <w:rsid w:val="000D3C77"/>
    <w:rsid w:val="000D42E3"/>
    <w:rsid w:val="000D4922"/>
    <w:rsid w:val="000D4BD8"/>
    <w:rsid w:val="000D5717"/>
    <w:rsid w:val="000D5B2B"/>
    <w:rsid w:val="000D6301"/>
    <w:rsid w:val="000D659E"/>
    <w:rsid w:val="000D6E94"/>
    <w:rsid w:val="000D7002"/>
    <w:rsid w:val="000D7181"/>
    <w:rsid w:val="000D7634"/>
    <w:rsid w:val="000D76E7"/>
    <w:rsid w:val="000D79E4"/>
    <w:rsid w:val="000E0508"/>
    <w:rsid w:val="000E0CA2"/>
    <w:rsid w:val="000E1041"/>
    <w:rsid w:val="000E1280"/>
    <w:rsid w:val="000E1756"/>
    <w:rsid w:val="000E1B8A"/>
    <w:rsid w:val="000E244E"/>
    <w:rsid w:val="000E26E2"/>
    <w:rsid w:val="000E2AEC"/>
    <w:rsid w:val="000E3036"/>
    <w:rsid w:val="000E359A"/>
    <w:rsid w:val="000E36D0"/>
    <w:rsid w:val="000E394A"/>
    <w:rsid w:val="000E3ACF"/>
    <w:rsid w:val="000E3B3E"/>
    <w:rsid w:val="000E408C"/>
    <w:rsid w:val="000E4A69"/>
    <w:rsid w:val="000E4E53"/>
    <w:rsid w:val="000E4F74"/>
    <w:rsid w:val="000E55BB"/>
    <w:rsid w:val="000E5FE9"/>
    <w:rsid w:val="000E7467"/>
    <w:rsid w:val="000F01AF"/>
    <w:rsid w:val="000F060F"/>
    <w:rsid w:val="000F1A65"/>
    <w:rsid w:val="000F1CEE"/>
    <w:rsid w:val="000F1F38"/>
    <w:rsid w:val="000F242C"/>
    <w:rsid w:val="000F373D"/>
    <w:rsid w:val="000F3B7D"/>
    <w:rsid w:val="000F3BA7"/>
    <w:rsid w:val="000F504D"/>
    <w:rsid w:val="000F519A"/>
    <w:rsid w:val="000F5B28"/>
    <w:rsid w:val="000F5C2B"/>
    <w:rsid w:val="000F60B7"/>
    <w:rsid w:val="000F64CD"/>
    <w:rsid w:val="000F6B7E"/>
    <w:rsid w:val="000F6E84"/>
    <w:rsid w:val="000F7047"/>
    <w:rsid w:val="000F75B6"/>
    <w:rsid w:val="00100016"/>
    <w:rsid w:val="00100364"/>
    <w:rsid w:val="001006EE"/>
    <w:rsid w:val="00101223"/>
    <w:rsid w:val="001013B5"/>
    <w:rsid w:val="00102A9C"/>
    <w:rsid w:val="00102CED"/>
    <w:rsid w:val="001033A7"/>
    <w:rsid w:val="00103866"/>
    <w:rsid w:val="001038C3"/>
    <w:rsid w:val="0010392B"/>
    <w:rsid w:val="00103B4D"/>
    <w:rsid w:val="00103FA3"/>
    <w:rsid w:val="00104ADA"/>
    <w:rsid w:val="00104CC9"/>
    <w:rsid w:val="0010546D"/>
    <w:rsid w:val="0010554E"/>
    <w:rsid w:val="0010566D"/>
    <w:rsid w:val="001058BC"/>
    <w:rsid w:val="00105974"/>
    <w:rsid w:val="00105A82"/>
    <w:rsid w:val="0010692A"/>
    <w:rsid w:val="001075B9"/>
    <w:rsid w:val="0010792B"/>
    <w:rsid w:val="00107A28"/>
    <w:rsid w:val="00107A4C"/>
    <w:rsid w:val="001101F7"/>
    <w:rsid w:val="00110ECD"/>
    <w:rsid w:val="00110F9E"/>
    <w:rsid w:val="001119CA"/>
    <w:rsid w:val="00111D56"/>
    <w:rsid w:val="00111E74"/>
    <w:rsid w:val="00112652"/>
    <w:rsid w:val="00112F7A"/>
    <w:rsid w:val="00113201"/>
    <w:rsid w:val="0011387D"/>
    <w:rsid w:val="001154BB"/>
    <w:rsid w:val="00115835"/>
    <w:rsid w:val="00115A85"/>
    <w:rsid w:val="00116070"/>
    <w:rsid w:val="001161BE"/>
    <w:rsid w:val="001176A4"/>
    <w:rsid w:val="00117FB8"/>
    <w:rsid w:val="00120CBC"/>
    <w:rsid w:val="00121114"/>
    <w:rsid w:val="00121BC7"/>
    <w:rsid w:val="00122AFE"/>
    <w:rsid w:val="001232C6"/>
    <w:rsid w:val="0012373B"/>
    <w:rsid w:val="00123E8C"/>
    <w:rsid w:val="00123F8F"/>
    <w:rsid w:val="0012594C"/>
    <w:rsid w:val="00125DF9"/>
    <w:rsid w:val="001266F3"/>
    <w:rsid w:val="00126B6A"/>
    <w:rsid w:val="00126D8C"/>
    <w:rsid w:val="0012786C"/>
    <w:rsid w:val="001279AE"/>
    <w:rsid w:val="00127D9A"/>
    <w:rsid w:val="00130643"/>
    <w:rsid w:val="00130944"/>
    <w:rsid w:val="00131D0C"/>
    <w:rsid w:val="001320AC"/>
    <w:rsid w:val="00132119"/>
    <w:rsid w:val="001328D7"/>
    <w:rsid w:val="0013319F"/>
    <w:rsid w:val="00133259"/>
    <w:rsid w:val="00133599"/>
    <w:rsid w:val="00134689"/>
    <w:rsid w:val="001346DF"/>
    <w:rsid w:val="00134705"/>
    <w:rsid w:val="001354B3"/>
    <w:rsid w:val="00136AF1"/>
    <w:rsid w:val="00137928"/>
    <w:rsid w:val="0014075B"/>
    <w:rsid w:val="00140A5D"/>
    <w:rsid w:val="00140C03"/>
    <w:rsid w:val="00140F42"/>
    <w:rsid w:val="0014143C"/>
    <w:rsid w:val="00141759"/>
    <w:rsid w:val="00141B1F"/>
    <w:rsid w:val="00142612"/>
    <w:rsid w:val="00143167"/>
    <w:rsid w:val="00143704"/>
    <w:rsid w:val="00143D90"/>
    <w:rsid w:val="001442BD"/>
    <w:rsid w:val="00144405"/>
    <w:rsid w:val="00145487"/>
    <w:rsid w:val="0014560D"/>
    <w:rsid w:val="001463B8"/>
    <w:rsid w:val="0014641E"/>
    <w:rsid w:val="00146EAD"/>
    <w:rsid w:val="00146EE9"/>
    <w:rsid w:val="001470D0"/>
    <w:rsid w:val="001472E6"/>
    <w:rsid w:val="00147A18"/>
    <w:rsid w:val="00150986"/>
    <w:rsid w:val="001509AE"/>
    <w:rsid w:val="00151170"/>
    <w:rsid w:val="00151E83"/>
    <w:rsid w:val="00152C26"/>
    <w:rsid w:val="00153260"/>
    <w:rsid w:val="00153B33"/>
    <w:rsid w:val="00154042"/>
    <w:rsid w:val="001543C7"/>
    <w:rsid w:val="00154FD9"/>
    <w:rsid w:val="00156A04"/>
    <w:rsid w:val="001572B3"/>
    <w:rsid w:val="001576D9"/>
    <w:rsid w:val="00157A0A"/>
    <w:rsid w:val="00157FD9"/>
    <w:rsid w:val="001606B8"/>
    <w:rsid w:val="00160907"/>
    <w:rsid w:val="00160AC3"/>
    <w:rsid w:val="00160C8C"/>
    <w:rsid w:val="00160FBB"/>
    <w:rsid w:val="00161246"/>
    <w:rsid w:val="001618CA"/>
    <w:rsid w:val="00161A56"/>
    <w:rsid w:val="00161A62"/>
    <w:rsid w:val="00161CD9"/>
    <w:rsid w:val="00161E01"/>
    <w:rsid w:val="001623F1"/>
    <w:rsid w:val="00162A68"/>
    <w:rsid w:val="00162DD9"/>
    <w:rsid w:val="00163075"/>
    <w:rsid w:val="0016310B"/>
    <w:rsid w:val="001635CB"/>
    <w:rsid w:val="00163CD2"/>
    <w:rsid w:val="001646AB"/>
    <w:rsid w:val="00165675"/>
    <w:rsid w:val="00165F39"/>
    <w:rsid w:val="0016649A"/>
    <w:rsid w:val="00166763"/>
    <w:rsid w:val="001667F6"/>
    <w:rsid w:val="001672BE"/>
    <w:rsid w:val="00167688"/>
    <w:rsid w:val="00167855"/>
    <w:rsid w:val="00167A84"/>
    <w:rsid w:val="00167B4E"/>
    <w:rsid w:val="00167D2A"/>
    <w:rsid w:val="001704D7"/>
    <w:rsid w:val="001709A6"/>
    <w:rsid w:val="00171EAF"/>
    <w:rsid w:val="0017240D"/>
    <w:rsid w:val="00172714"/>
    <w:rsid w:val="00172EF9"/>
    <w:rsid w:val="00173065"/>
    <w:rsid w:val="00173964"/>
    <w:rsid w:val="00174067"/>
    <w:rsid w:val="00174EBB"/>
    <w:rsid w:val="00175356"/>
    <w:rsid w:val="00175666"/>
    <w:rsid w:val="00175709"/>
    <w:rsid w:val="00176AE5"/>
    <w:rsid w:val="0017750C"/>
    <w:rsid w:val="00177FAF"/>
    <w:rsid w:val="0018003E"/>
    <w:rsid w:val="001801C4"/>
    <w:rsid w:val="001809EF"/>
    <w:rsid w:val="00181D9F"/>
    <w:rsid w:val="00182130"/>
    <w:rsid w:val="0018233B"/>
    <w:rsid w:val="00182A40"/>
    <w:rsid w:val="00183CA4"/>
    <w:rsid w:val="001845C2"/>
    <w:rsid w:val="001852A1"/>
    <w:rsid w:val="001858C9"/>
    <w:rsid w:val="00185C2A"/>
    <w:rsid w:val="00186271"/>
    <w:rsid w:val="001862F1"/>
    <w:rsid w:val="001869CC"/>
    <w:rsid w:val="00186CC9"/>
    <w:rsid w:val="00187146"/>
    <w:rsid w:val="00190993"/>
    <w:rsid w:val="00191155"/>
    <w:rsid w:val="00191CEB"/>
    <w:rsid w:val="0019294B"/>
    <w:rsid w:val="001934C1"/>
    <w:rsid w:val="001934EE"/>
    <w:rsid w:val="00193E6C"/>
    <w:rsid w:val="0019430D"/>
    <w:rsid w:val="001947BE"/>
    <w:rsid w:val="00194C7E"/>
    <w:rsid w:val="00194DDE"/>
    <w:rsid w:val="00194F03"/>
    <w:rsid w:val="001952AD"/>
    <w:rsid w:val="00195861"/>
    <w:rsid w:val="00195CFC"/>
    <w:rsid w:val="001968B6"/>
    <w:rsid w:val="00196BE9"/>
    <w:rsid w:val="001A02E7"/>
    <w:rsid w:val="001A040E"/>
    <w:rsid w:val="001A0AD5"/>
    <w:rsid w:val="001A0EE6"/>
    <w:rsid w:val="001A242E"/>
    <w:rsid w:val="001A2F5F"/>
    <w:rsid w:val="001A3C5C"/>
    <w:rsid w:val="001A4DC5"/>
    <w:rsid w:val="001A5730"/>
    <w:rsid w:val="001A58AE"/>
    <w:rsid w:val="001A5D97"/>
    <w:rsid w:val="001A62A3"/>
    <w:rsid w:val="001A6B11"/>
    <w:rsid w:val="001A6EDE"/>
    <w:rsid w:val="001A6F5E"/>
    <w:rsid w:val="001A72E8"/>
    <w:rsid w:val="001A7B47"/>
    <w:rsid w:val="001A7B6A"/>
    <w:rsid w:val="001B0D61"/>
    <w:rsid w:val="001B1CE9"/>
    <w:rsid w:val="001B2DE6"/>
    <w:rsid w:val="001B3295"/>
    <w:rsid w:val="001B335C"/>
    <w:rsid w:val="001B3E88"/>
    <w:rsid w:val="001B4527"/>
    <w:rsid w:val="001B4693"/>
    <w:rsid w:val="001B488C"/>
    <w:rsid w:val="001B4F0D"/>
    <w:rsid w:val="001B509A"/>
    <w:rsid w:val="001B60EA"/>
    <w:rsid w:val="001B6775"/>
    <w:rsid w:val="001B6A55"/>
    <w:rsid w:val="001B6D1F"/>
    <w:rsid w:val="001B71EC"/>
    <w:rsid w:val="001C017A"/>
    <w:rsid w:val="001C0D3E"/>
    <w:rsid w:val="001C0FB3"/>
    <w:rsid w:val="001C1303"/>
    <w:rsid w:val="001C1449"/>
    <w:rsid w:val="001C1BB8"/>
    <w:rsid w:val="001C1C05"/>
    <w:rsid w:val="001C21DD"/>
    <w:rsid w:val="001C22D3"/>
    <w:rsid w:val="001C3BF7"/>
    <w:rsid w:val="001C463D"/>
    <w:rsid w:val="001C5333"/>
    <w:rsid w:val="001C610F"/>
    <w:rsid w:val="001C6236"/>
    <w:rsid w:val="001C64D6"/>
    <w:rsid w:val="001C67CE"/>
    <w:rsid w:val="001C6E73"/>
    <w:rsid w:val="001C713A"/>
    <w:rsid w:val="001C74BF"/>
    <w:rsid w:val="001C758B"/>
    <w:rsid w:val="001C7687"/>
    <w:rsid w:val="001C7D85"/>
    <w:rsid w:val="001D0046"/>
    <w:rsid w:val="001D01FB"/>
    <w:rsid w:val="001D03DB"/>
    <w:rsid w:val="001D053B"/>
    <w:rsid w:val="001D0824"/>
    <w:rsid w:val="001D0B99"/>
    <w:rsid w:val="001D119C"/>
    <w:rsid w:val="001D16C8"/>
    <w:rsid w:val="001D224C"/>
    <w:rsid w:val="001D2480"/>
    <w:rsid w:val="001D2489"/>
    <w:rsid w:val="001D280A"/>
    <w:rsid w:val="001D2E6D"/>
    <w:rsid w:val="001D40DB"/>
    <w:rsid w:val="001D41F9"/>
    <w:rsid w:val="001D4209"/>
    <w:rsid w:val="001D49CC"/>
    <w:rsid w:val="001D49FB"/>
    <w:rsid w:val="001D523F"/>
    <w:rsid w:val="001D5363"/>
    <w:rsid w:val="001D5383"/>
    <w:rsid w:val="001D58CD"/>
    <w:rsid w:val="001D5E1E"/>
    <w:rsid w:val="001D5F29"/>
    <w:rsid w:val="001D6020"/>
    <w:rsid w:val="001D63C5"/>
    <w:rsid w:val="001D6447"/>
    <w:rsid w:val="001D685B"/>
    <w:rsid w:val="001D6C5E"/>
    <w:rsid w:val="001D7147"/>
    <w:rsid w:val="001D7858"/>
    <w:rsid w:val="001E0B46"/>
    <w:rsid w:val="001E0E44"/>
    <w:rsid w:val="001E1457"/>
    <w:rsid w:val="001E2399"/>
    <w:rsid w:val="001E3011"/>
    <w:rsid w:val="001E3744"/>
    <w:rsid w:val="001E3D11"/>
    <w:rsid w:val="001E41CC"/>
    <w:rsid w:val="001E44B0"/>
    <w:rsid w:val="001E4EB1"/>
    <w:rsid w:val="001E531C"/>
    <w:rsid w:val="001E53F2"/>
    <w:rsid w:val="001E545C"/>
    <w:rsid w:val="001E6271"/>
    <w:rsid w:val="001E7569"/>
    <w:rsid w:val="001F0662"/>
    <w:rsid w:val="001F070E"/>
    <w:rsid w:val="001F0BB4"/>
    <w:rsid w:val="001F189A"/>
    <w:rsid w:val="001F26D5"/>
    <w:rsid w:val="001F26DB"/>
    <w:rsid w:val="001F289E"/>
    <w:rsid w:val="001F2B97"/>
    <w:rsid w:val="001F2D4B"/>
    <w:rsid w:val="001F3C21"/>
    <w:rsid w:val="001F4AC5"/>
    <w:rsid w:val="001F5991"/>
    <w:rsid w:val="001F5B78"/>
    <w:rsid w:val="001F61DC"/>
    <w:rsid w:val="001F6558"/>
    <w:rsid w:val="0020006E"/>
    <w:rsid w:val="00200799"/>
    <w:rsid w:val="002009B3"/>
    <w:rsid w:val="002009DB"/>
    <w:rsid w:val="00200C14"/>
    <w:rsid w:val="00201862"/>
    <w:rsid w:val="0020199A"/>
    <w:rsid w:val="0020294C"/>
    <w:rsid w:val="00202A94"/>
    <w:rsid w:val="00203B19"/>
    <w:rsid w:val="00203B5A"/>
    <w:rsid w:val="00204032"/>
    <w:rsid w:val="00204EF1"/>
    <w:rsid w:val="00205E73"/>
    <w:rsid w:val="002065AB"/>
    <w:rsid w:val="00206B50"/>
    <w:rsid w:val="00206D74"/>
    <w:rsid w:val="00207673"/>
    <w:rsid w:val="0020774F"/>
    <w:rsid w:val="002079B6"/>
    <w:rsid w:val="00207F88"/>
    <w:rsid w:val="0021072A"/>
    <w:rsid w:val="00210AD8"/>
    <w:rsid w:val="00211210"/>
    <w:rsid w:val="00211AD1"/>
    <w:rsid w:val="00212405"/>
    <w:rsid w:val="00212606"/>
    <w:rsid w:val="00213020"/>
    <w:rsid w:val="0021302C"/>
    <w:rsid w:val="00213092"/>
    <w:rsid w:val="0021315C"/>
    <w:rsid w:val="00213331"/>
    <w:rsid w:val="00213D76"/>
    <w:rsid w:val="002142D9"/>
    <w:rsid w:val="002144DC"/>
    <w:rsid w:val="00214BC0"/>
    <w:rsid w:val="00214DE5"/>
    <w:rsid w:val="002158EF"/>
    <w:rsid w:val="00215ED8"/>
    <w:rsid w:val="00215F92"/>
    <w:rsid w:val="0021645C"/>
    <w:rsid w:val="002169E4"/>
    <w:rsid w:val="002172DB"/>
    <w:rsid w:val="002174F8"/>
    <w:rsid w:val="00217CFA"/>
    <w:rsid w:val="0022000D"/>
    <w:rsid w:val="002203BC"/>
    <w:rsid w:val="0022068A"/>
    <w:rsid w:val="002207E2"/>
    <w:rsid w:val="002209B2"/>
    <w:rsid w:val="00220D98"/>
    <w:rsid w:val="00222003"/>
    <w:rsid w:val="002221BB"/>
    <w:rsid w:val="00222815"/>
    <w:rsid w:val="002229BB"/>
    <w:rsid w:val="002234F9"/>
    <w:rsid w:val="00223577"/>
    <w:rsid w:val="00223CDF"/>
    <w:rsid w:val="00224200"/>
    <w:rsid w:val="002244A9"/>
    <w:rsid w:val="00224536"/>
    <w:rsid w:val="00224AE4"/>
    <w:rsid w:val="00225282"/>
    <w:rsid w:val="0022530C"/>
    <w:rsid w:val="002257EA"/>
    <w:rsid w:val="00225ACD"/>
    <w:rsid w:val="00225F2D"/>
    <w:rsid w:val="0022644B"/>
    <w:rsid w:val="002270C5"/>
    <w:rsid w:val="00227F0C"/>
    <w:rsid w:val="002301FD"/>
    <w:rsid w:val="00230254"/>
    <w:rsid w:val="00230937"/>
    <w:rsid w:val="0023096C"/>
    <w:rsid w:val="002309ED"/>
    <w:rsid w:val="002309F6"/>
    <w:rsid w:val="00230D03"/>
    <w:rsid w:val="002321CD"/>
    <w:rsid w:val="0023254E"/>
    <w:rsid w:val="0023266C"/>
    <w:rsid w:val="002327E6"/>
    <w:rsid w:val="002334A8"/>
    <w:rsid w:val="00233735"/>
    <w:rsid w:val="00233864"/>
    <w:rsid w:val="002338F8"/>
    <w:rsid w:val="00233BF6"/>
    <w:rsid w:val="00234180"/>
    <w:rsid w:val="00234554"/>
    <w:rsid w:val="002345D6"/>
    <w:rsid w:val="00234621"/>
    <w:rsid w:val="00234CF1"/>
    <w:rsid w:val="00234FF0"/>
    <w:rsid w:val="002351CF"/>
    <w:rsid w:val="002355B8"/>
    <w:rsid w:val="00235AA1"/>
    <w:rsid w:val="00236360"/>
    <w:rsid w:val="00236D47"/>
    <w:rsid w:val="00237764"/>
    <w:rsid w:val="00240800"/>
    <w:rsid w:val="00241046"/>
    <w:rsid w:val="00241685"/>
    <w:rsid w:val="00242E5C"/>
    <w:rsid w:val="00243722"/>
    <w:rsid w:val="00244384"/>
    <w:rsid w:val="00244D3A"/>
    <w:rsid w:val="00244EF2"/>
    <w:rsid w:val="00245297"/>
    <w:rsid w:val="00245997"/>
    <w:rsid w:val="00246001"/>
    <w:rsid w:val="00246633"/>
    <w:rsid w:val="00247543"/>
    <w:rsid w:val="0025059B"/>
    <w:rsid w:val="00250A76"/>
    <w:rsid w:val="00251085"/>
    <w:rsid w:val="0025215E"/>
    <w:rsid w:val="002527CB"/>
    <w:rsid w:val="0025363E"/>
    <w:rsid w:val="00254456"/>
    <w:rsid w:val="002546A6"/>
    <w:rsid w:val="0025495C"/>
    <w:rsid w:val="00254DE1"/>
    <w:rsid w:val="002555EA"/>
    <w:rsid w:val="002556EC"/>
    <w:rsid w:val="0025574F"/>
    <w:rsid w:val="0025593C"/>
    <w:rsid w:val="00255991"/>
    <w:rsid w:val="00255D81"/>
    <w:rsid w:val="00257387"/>
    <w:rsid w:val="0025739F"/>
    <w:rsid w:val="00257698"/>
    <w:rsid w:val="002579AA"/>
    <w:rsid w:val="00257BCF"/>
    <w:rsid w:val="00257F26"/>
    <w:rsid w:val="00260538"/>
    <w:rsid w:val="0026135F"/>
    <w:rsid w:val="0026161E"/>
    <w:rsid w:val="002616F3"/>
    <w:rsid w:val="00261847"/>
    <w:rsid w:val="00261B48"/>
    <w:rsid w:val="00261C56"/>
    <w:rsid w:val="00262E08"/>
    <w:rsid w:val="00262EF6"/>
    <w:rsid w:val="0026309A"/>
    <w:rsid w:val="00264251"/>
    <w:rsid w:val="00264EBB"/>
    <w:rsid w:val="002650E3"/>
    <w:rsid w:val="002652E4"/>
    <w:rsid w:val="00265675"/>
    <w:rsid w:val="00265C58"/>
    <w:rsid w:val="00265D45"/>
    <w:rsid w:val="00266713"/>
    <w:rsid w:val="00266DAB"/>
    <w:rsid w:val="00266EDF"/>
    <w:rsid w:val="00267155"/>
    <w:rsid w:val="002672E6"/>
    <w:rsid w:val="002674FB"/>
    <w:rsid w:val="002677E5"/>
    <w:rsid w:val="00267BFE"/>
    <w:rsid w:val="00270D1A"/>
    <w:rsid w:val="0027102D"/>
    <w:rsid w:val="0027117D"/>
    <w:rsid w:val="00271809"/>
    <w:rsid w:val="00273023"/>
    <w:rsid w:val="00273F18"/>
    <w:rsid w:val="0027446F"/>
    <w:rsid w:val="00274A98"/>
    <w:rsid w:val="00274CDC"/>
    <w:rsid w:val="00275130"/>
    <w:rsid w:val="0027543C"/>
    <w:rsid w:val="00276E1A"/>
    <w:rsid w:val="002777F5"/>
    <w:rsid w:val="002777F7"/>
    <w:rsid w:val="00277882"/>
    <w:rsid w:val="00277CE7"/>
    <w:rsid w:val="00277EBC"/>
    <w:rsid w:val="00280177"/>
    <w:rsid w:val="002805B6"/>
    <w:rsid w:val="00280B8B"/>
    <w:rsid w:val="002810E0"/>
    <w:rsid w:val="00281FCF"/>
    <w:rsid w:val="00282087"/>
    <w:rsid w:val="002821C3"/>
    <w:rsid w:val="00282539"/>
    <w:rsid w:val="002827B2"/>
    <w:rsid w:val="002837EF"/>
    <w:rsid w:val="00283835"/>
    <w:rsid w:val="00284790"/>
    <w:rsid w:val="002847AD"/>
    <w:rsid w:val="00284884"/>
    <w:rsid w:val="002848A5"/>
    <w:rsid w:val="00285397"/>
    <w:rsid w:val="0028567A"/>
    <w:rsid w:val="00285A90"/>
    <w:rsid w:val="002863C3"/>
    <w:rsid w:val="00286E71"/>
    <w:rsid w:val="00287B47"/>
    <w:rsid w:val="002900C7"/>
    <w:rsid w:val="00290449"/>
    <w:rsid w:val="002904FC"/>
    <w:rsid w:val="00290583"/>
    <w:rsid w:val="002905BD"/>
    <w:rsid w:val="00290916"/>
    <w:rsid w:val="00290D67"/>
    <w:rsid w:val="00290F81"/>
    <w:rsid w:val="00291403"/>
    <w:rsid w:val="00291A3A"/>
    <w:rsid w:val="00292F1C"/>
    <w:rsid w:val="00293112"/>
    <w:rsid w:val="002942BA"/>
    <w:rsid w:val="00294589"/>
    <w:rsid w:val="00294DB1"/>
    <w:rsid w:val="002951BD"/>
    <w:rsid w:val="002956F4"/>
    <w:rsid w:val="0029571B"/>
    <w:rsid w:val="00295CFC"/>
    <w:rsid w:val="00295E40"/>
    <w:rsid w:val="00296099"/>
    <w:rsid w:val="0029670E"/>
    <w:rsid w:val="00297052"/>
    <w:rsid w:val="002A02C9"/>
    <w:rsid w:val="002A03D7"/>
    <w:rsid w:val="002A0BDF"/>
    <w:rsid w:val="002A1894"/>
    <w:rsid w:val="002A213F"/>
    <w:rsid w:val="002A297A"/>
    <w:rsid w:val="002A35D8"/>
    <w:rsid w:val="002A3A47"/>
    <w:rsid w:val="002A3AD3"/>
    <w:rsid w:val="002A3FB7"/>
    <w:rsid w:val="002A48E5"/>
    <w:rsid w:val="002A506B"/>
    <w:rsid w:val="002A6FC5"/>
    <w:rsid w:val="002A7213"/>
    <w:rsid w:val="002A730A"/>
    <w:rsid w:val="002A77D4"/>
    <w:rsid w:val="002A7830"/>
    <w:rsid w:val="002A7C77"/>
    <w:rsid w:val="002A7E3E"/>
    <w:rsid w:val="002B0D15"/>
    <w:rsid w:val="002B1003"/>
    <w:rsid w:val="002B113D"/>
    <w:rsid w:val="002B139C"/>
    <w:rsid w:val="002B23B1"/>
    <w:rsid w:val="002B240A"/>
    <w:rsid w:val="002B264D"/>
    <w:rsid w:val="002B2700"/>
    <w:rsid w:val="002B27AC"/>
    <w:rsid w:val="002B2C17"/>
    <w:rsid w:val="002B330B"/>
    <w:rsid w:val="002B33AF"/>
    <w:rsid w:val="002B3468"/>
    <w:rsid w:val="002B3652"/>
    <w:rsid w:val="002B40D2"/>
    <w:rsid w:val="002B47B8"/>
    <w:rsid w:val="002B502A"/>
    <w:rsid w:val="002B52A4"/>
    <w:rsid w:val="002B5DEC"/>
    <w:rsid w:val="002B6976"/>
    <w:rsid w:val="002B712B"/>
    <w:rsid w:val="002B7488"/>
    <w:rsid w:val="002B79B8"/>
    <w:rsid w:val="002C0067"/>
    <w:rsid w:val="002C00B7"/>
    <w:rsid w:val="002C01AE"/>
    <w:rsid w:val="002C069A"/>
    <w:rsid w:val="002C08AE"/>
    <w:rsid w:val="002C08F8"/>
    <w:rsid w:val="002C1628"/>
    <w:rsid w:val="002C1C14"/>
    <w:rsid w:val="002C2000"/>
    <w:rsid w:val="002C210D"/>
    <w:rsid w:val="002C282C"/>
    <w:rsid w:val="002C2AFB"/>
    <w:rsid w:val="002C2B3D"/>
    <w:rsid w:val="002C2E0D"/>
    <w:rsid w:val="002C4C35"/>
    <w:rsid w:val="002C539F"/>
    <w:rsid w:val="002C564B"/>
    <w:rsid w:val="002C5942"/>
    <w:rsid w:val="002C5BFD"/>
    <w:rsid w:val="002C684B"/>
    <w:rsid w:val="002C6981"/>
    <w:rsid w:val="002C7236"/>
    <w:rsid w:val="002C7315"/>
    <w:rsid w:val="002C7971"/>
    <w:rsid w:val="002D0A99"/>
    <w:rsid w:val="002D159F"/>
    <w:rsid w:val="002D15C8"/>
    <w:rsid w:val="002D204A"/>
    <w:rsid w:val="002D27AC"/>
    <w:rsid w:val="002D2CCC"/>
    <w:rsid w:val="002D307C"/>
    <w:rsid w:val="002D3BE2"/>
    <w:rsid w:val="002D3CB7"/>
    <w:rsid w:val="002D4419"/>
    <w:rsid w:val="002D44DB"/>
    <w:rsid w:val="002D4882"/>
    <w:rsid w:val="002D51EC"/>
    <w:rsid w:val="002D52D4"/>
    <w:rsid w:val="002D582A"/>
    <w:rsid w:val="002D5C23"/>
    <w:rsid w:val="002D6045"/>
    <w:rsid w:val="002D685C"/>
    <w:rsid w:val="002D6E19"/>
    <w:rsid w:val="002D7FC7"/>
    <w:rsid w:val="002E0096"/>
    <w:rsid w:val="002E03F6"/>
    <w:rsid w:val="002E0700"/>
    <w:rsid w:val="002E0975"/>
    <w:rsid w:val="002E1C5F"/>
    <w:rsid w:val="002E1C78"/>
    <w:rsid w:val="002E1EA1"/>
    <w:rsid w:val="002E3BBB"/>
    <w:rsid w:val="002E4EF8"/>
    <w:rsid w:val="002E6799"/>
    <w:rsid w:val="002E67C1"/>
    <w:rsid w:val="002E7148"/>
    <w:rsid w:val="002E7E14"/>
    <w:rsid w:val="002F054C"/>
    <w:rsid w:val="002F0E86"/>
    <w:rsid w:val="002F15E7"/>
    <w:rsid w:val="002F32D4"/>
    <w:rsid w:val="002F3431"/>
    <w:rsid w:val="002F3438"/>
    <w:rsid w:val="002F35CB"/>
    <w:rsid w:val="002F390F"/>
    <w:rsid w:val="002F39EF"/>
    <w:rsid w:val="002F3AE5"/>
    <w:rsid w:val="002F3F16"/>
    <w:rsid w:val="002F54A7"/>
    <w:rsid w:val="002F556F"/>
    <w:rsid w:val="002F56A0"/>
    <w:rsid w:val="002F5DF9"/>
    <w:rsid w:val="002F6AE1"/>
    <w:rsid w:val="002F6C6F"/>
    <w:rsid w:val="002F7CDE"/>
    <w:rsid w:val="002F7FAC"/>
    <w:rsid w:val="003003C0"/>
    <w:rsid w:val="003003D3"/>
    <w:rsid w:val="003008ED"/>
    <w:rsid w:val="00301035"/>
    <w:rsid w:val="00301228"/>
    <w:rsid w:val="003012EB"/>
    <w:rsid w:val="00301369"/>
    <w:rsid w:val="00301C55"/>
    <w:rsid w:val="00301DE7"/>
    <w:rsid w:val="00301E1E"/>
    <w:rsid w:val="00301F92"/>
    <w:rsid w:val="00302188"/>
    <w:rsid w:val="00302ED1"/>
    <w:rsid w:val="0030316E"/>
    <w:rsid w:val="00303297"/>
    <w:rsid w:val="00303E84"/>
    <w:rsid w:val="00304459"/>
    <w:rsid w:val="00304855"/>
    <w:rsid w:val="00304A23"/>
    <w:rsid w:val="00304F7E"/>
    <w:rsid w:val="00305077"/>
    <w:rsid w:val="00305084"/>
    <w:rsid w:val="00305363"/>
    <w:rsid w:val="003057D4"/>
    <w:rsid w:val="00305AF1"/>
    <w:rsid w:val="00305E7C"/>
    <w:rsid w:val="00305FF4"/>
    <w:rsid w:val="00306DAB"/>
    <w:rsid w:val="00306E4E"/>
    <w:rsid w:val="0030712D"/>
    <w:rsid w:val="0030734A"/>
    <w:rsid w:val="0030796C"/>
    <w:rsid w:val="00307A3A"/>
    <w:rsid w:val="00310840"/>
    <w:rsid w:val="00310AB0"/>
    <w:rsid w:val="00310D26"/>
    <w:rsid w:val="00310F00"/>
    <w:rsid w:val="0031107A"/>
    <w:rsid w:val="003116DD"/>
    <w:rsid w:val="003127B8"/>
    <w:rsid w:val="00312AE9"/>
    <w:rsid w:val="00313C5A"/>
    <w:rsid w:val="0031428D"/>
    <w:rsid w:val="003142F2"/>
    <w:rsid w:val="00314353"/>
    <w:rsid w:val="0031518A"/>
    <w:rsid w:val="00315D2E"/>
    <w:rsid w:val="00316117"/>
    <w:rsid w:val="003163DE"/>
    <w:rsid w:val="003166AC"/>
    <w:rsid w:val="00316B24"/>
    <w:rsid w:val="00316F94"/>
    <w:rsid w:val="0031715C"/>
    <w:rsid w:val="00320889"/>
    <w:rsid w:val="00320B3B"/>
    <w:rsid w:val="00320C04"/>
    <w:rsid w:val="00320F21"/>
    <w:rsid w:val="00321175"/>
    <w:rsid w:val="003216C4"/>
    <w:rsid w:val="00321731"/>
    <w:rsid w:val="00322493"/>
    <w:rsid w:val="0032355F"/>
    <w:rsid w:val="00323D0B"/>
    <w:rsid w:val="00324461"/>
    <w:rsid w:val="00324D7F"/>
    <w:rsid w:val="003264D4"/>
    <w:rsid w:val="00326AD0"/>
    <w:rsid w:val="00326CAC"/>
    <w:rsid w:val="00326D5D"/>
    <w:rsid w:val="00327039"/>
    <w:rsid w:val="003277AA"/>
    <w:rsid w:val="00327A59"/>
    <w:rsid w:val="00327A98"/>
    <w:rsid w:val="00327FF5"/>
    <w:rsid w:val="0033003F"/>
    <w:rsid w:val="003300E5"/>
    <w:rsid w:val="00330519"/>
    <w:rsid w:val="0033052E"/>
    <w:rsid w:val="003305DA"/>
    <w:rsid w:val="00330B34"/>
    <w:rsid w:val="0033111F"/>
    <w:rsid w:val="003318B9"/>
    <w:rsid w:val="00331B35"/>
    <w:rsid w:val="00332C7A"/>
    <w:rsid w:val="00334A7F"/>
    <w:rsid w:val="00334EB7"/>
    <w:rsid w:val="00334EC4"/>
    <w:rsid w:val="00335023"/>
    <w:rsid w:val="00335478"/>
    <w:rsid w:val="00335514"/>
    <w:rsid w:val="00335889"/>
    <w:rsid w:val="00335972"/>
    <w:rsid w:val="00335C1D"/>
    <w:rsid w:val="00336203"/>
    <w:rsid w:val="003364D8"/>
    <w:rsid w:val="00337544"/>
    <w:rsid w:val="00337BEF"/>
    <w:rsid w:val="00337CE0"/>
    <w:rsid w:val="003400A6"/>
    <w:rsid w:val="003414A8"/>
    <w:rsid w:val="0034152C"/>
    <w:rsid w:val="0034364A"/>
    <w:rsid w:val="0034378C"/>
    <w:rsid w:val="00343D13"/>
    <w:rsid w:val="003445C3"/>
    <w:rsid w:val="00344874"/>
    <w:rsid w:val="00344F30"/>
    <w:rsid w:val="00345472"/>
    <w:rsid w:val="0034690A"/>
    <w:rsid w:val="00346B43"/>
    <w:rsid w:val="00346EDC"/>
    <w:rsid w:val="0034778C"/>
    <w:rsid w:val="00347BE4"/>
    <w:rsid w:val="003501F5"/>
    <w:rsid w:val="003503DF"/>
    <w:rsid w:val="0035089B"/>
    <w:rsid w:val="0035166A"/>
    <w:rsid w:val="0035168B"/>
    <w:rsid w:val="003517E2"/>
    <w:rsid w:val="00351822"/>
    <w:rsid w:val="003523A6"/>
    <w:rsid w:val="003524EF"/>
    <w:rsid w:val="00352731"/>
    <w:rsid w:val="0035307F"/>
    <w:rsid w:val="00353D09"/>
    <w:rsid w:val="0035442F"/>
    <w:rsid w:val="003544C2"/>
    <w:rsid w:val="0035462B"/>
    <w:rsid w:val="0035568F"/>
    <w:rsid w:val="00355698"/>
    <w:rsid w:val="00355CB1"/>
    <w:rsid w:val="00356648"/>
    <w:rsid w:val="003578F3"/>
    <w:rsid w:val="00357A7A"/>
    <w:rsid w:val="003605B6"/>
    <w:rsid w:val="00360BA1"/>
    <w:rsid w:val="0036153B"/>
    <w:rsid w:val="00361787"/>
    <w:rsid w:val="00361F9B"/>
    <w:rsid w:val="0036297D"/>
    <w:rsid w:val="003636C7"/>
    <w:rsid w:val="00363D3D"/>
    <w:rsid w:val="00364550"/>
    <w:rsid w:val="00364552"/>
    <w:rsid w:val="00364757"/>
    <w:rsid w:val="00364D85"/>
    <w:rsid w:val="00365870"/>
    <w:rsid w:val="00365D3B"/>
    <w:rsid w:val="003663C9"/>
    <w:rsid w:val="003669AF"/>
    <w:rsid w:val="00366C4C"/>
    <w:rsid w:val="00367A4B"/>
    <w:rsid w:val="00367BA9"/>
    <w:rsid w:val="00367C2B"/>
    <w:rsid w:val="00367C6F"/>
    <w:rsid w:val="003703EC"/>
    <w:rsid w:val="00370500"/>
    <w:rsid w:val="00371E06"/>
    <w:rsid w:val="0037247F"/>
    <w:rsid w:val="003729CF"/>
    <w:rsid w:val="00372C57"/>
    <w:rsid w:val="00372C68"/>
    <w:rsid w:val="003737D6"/>
    <w:rsid w:val="00374048"/>
    <w:rsid w:val="00374891"/>
    <w:rsid w:val="00374FFC"/>
    <w:rsid w:val="003751B6"/>
    <w:rsid w:val="003751EF"/>
    <w:rsid w:val="00375337"/>
    <w:rsid w:val="00375946"/>
    <w:rsid w:val="00376478"/>
    <w:rsid w:val="00376B32"/>
    <w:rsid w:val="0037700E"/>
    <w:rsid w:val="0037701F"/>
    <w:rsid w:val="003770B2"/>
    <w:rsid w:val="003771FA"/>
    <w:rsid w:val="00377622"/>
    <w:rsid w:val="00377654"/>
    <w:rsid w:val="00377B4D"/>
    <w:rsid w:val="00377DE4"/>
    <w:rsid w:val="00377F6D"/>
    <w:rsid w:val="003801AC"/>
    <w:rsid w:val="003809B8"/>
    <w:rsid w:val="00381012"/>
    <w:rsid w:val="003814A0"/>
    <w:rsid w:val="003816D9"/>
    <w:rsid w:val="00381D92"/>
    <w:rsid w:val="00381DD4"/>
    <w:rsid w:val="003821BC"/>
    <w:rsid w:val="0038242D"/>
    <w:rsid w:val="00383103"/>
    <w:rsid w:val="00383D6B"/>
    <w:rsid w:val="00383E1E"/>
    <w:rsid w:val="003841BE"/>
    <w:rsid w:val="003844C0"/>
    <w:rsid w:val="0038466E"/>
    <w:rsid w:val="003848CE"/>
    <w:rsid w:val="00384943"/>
    <w:rsid w:val="00384A8F"/>
    <w:rsid w:val="00384ECA"/>
    <w:rsid w:val="0038533A"/>
    <w:rsid w:val="00385932"/>
    <w:rsid w:val="0038612F"/>
    <w:rsid w:val="00386D98"/>
    <w:rsid w:val="00387139"/>
    <w:rsid w:val="00387891"/>
    <w:rsid w:val="00390955"/>
    <w:rsid w:val="003917E9"/>
    <w:rsid w:val="003917EC"/>
    <w:rsid w:val="00391864"/>
    <w:rsid w:val="00391ADA"/>
    <w:rsid w:val="00392BF3"/>
    <w:rsid w:val="003931DE"/>
    <w:rsid w:val="0039365C"/>
    <w:rsid w:val="00394369"/>
    <w:rsid w:val="003943FB"/>
    <w:rsid w:val="00394696"/>
    <w:rsid w:val="003947C4"/>
    <w:rsid w:val="00394A31"/>
    <w:rsid w:val="00394B65"/>
    <w:rsid w:val="003955C3"/>
    <w:rsid w:val="00396254"/>
    <w:rsid w:val="00396347"/>
    <w:rsid w:val="00396576"/>
    <w:rsid w:val="00396803"/>
    <w:rsid w:val="00396D79"/>
    <w:rsid w:val="00397875"/>
    <w:rsid w:val="003A0026"/>
    <w:rsid w:val="003A0065"/>
    <w:rsid w:val="003A1040"/>
    <w:rsid w:val="003A1827"/>
    <w:rsid w:val="003A1AF6"/>
    <w:rsid w:val="003A2D91"/>
    <w:rsid w:val="003A4001"/>
    <w:rsid w:val="003A474D"/>
    <w:rsid w:val="003A4D9D"/>
    <w:rsid w:val="003A4F0B"/>
    <w:rsid w:val="003A4FD1"/>
    <w:rsid w:val="003A5565"/>
    <w:rsid w:val="003A621D"/>
    <w:rsid w:val="003A7037"/>
    <w:rsid w:val="003A7897"/>
    <w:rsid w:val="003A79D0"/>
    <w:rsid w:val="003A7CA9"/>
    <w:rsid w:val="003A7D99"/>
    <w:rsid w:val="003A7F87"/>
    <w:rsid w:val="003B0F8B"/>
    <w:rsid w:val="003B1712"/>
    <w:rsid w:val="003B1F9F"/>
    <w:rsid w:val="003B27CB"/>
    <w:rsid w:val="003B33A4"/>
    <w:rsid w:val="003B3496"/>
    <w:rsid w:val="003B3B2C"/>
    <w:rsid w:val="003B3F36"/>
    <w:rsid w:val="003B4543"/>
    <w:rsid w:val="003B477F"/>
    <w:rsid w:val="003B4A54"/>
    <w:rsid w:val="003B4A96"/>
    <w:rsid w:val="003B4DEE"/>
    <w:rsid w:val="003B5726"/>
    <w:rsid w:val="003B57C1"/>
    <w:rsid w:val="003B5D34"/>
    <w:rsid w:val="003B6397"/>
    <w:rsid w:val="003B68C2"/>
    <w:rsid w:val="003B6C45"/>
    <w:rsid w:val="003B7CF7"/>
    <w:rsid w:val="003B7D85"/>
    <w:rsid w:val="003C07F0"/>
    <w:rsid w:val="003C0A2B"/>
    <w:rsid w:val="003C0A42"/>
    <w:rsid w:val="003C253E"/>
    <w:rsid w:val="003C28A1"/>
    <w:rsid w:val="003C28C4"/>
    <w:rsid w:val="003C36EE"/>
    <w:rsid w:val="003C46ED"/>
    <w:rsid w:val="003C4706"/>
    <w:rsid w:val="003C5123"/>
    <w:rsid w:val="003C5334"/>
    <w:rsid w:val="003C5E07"/>
    <w:rsid w:val="003C6926"/>
    <w:rsid w:val="003C6ED1"/>
    <w:rsid w:val="003C743C"/>
    <w:rsid w:val="003C7FF3"/>
    <w:rsid w:val="003D00CF"/>
    <w:rsid w:val="003D03B6"/>
    <w:rsid w:val="003D19E7"/>
    <w:rsid w:val="003D2207"/>
    <w:rsid w:val="003D29A3"/>
    <w:rsid w:val="003D2D90"/>
    <w:rsid w:val="003D31FA"/>
    <w:rsid w:val="003D3411"/>
    <w:rsid w:val="003D469A"/>
    <w:rsid w:val="003D553A"/>
    <w:rsid w:val="003D5B0E"/>
    <w:rsid w:val="003D616B"/>
    <w:rsid w:val="003D61D1"/>
    <w:rsid w:val="003D680C"/>
    <w:rsid w:val="003D7561"/>
    <w:rsid w:val="003D76E4"/>
    <w:rsid w:val="003D7FBF"/>
    <w:rsid w:val="003E00BC"/>
    <w:rsid w:val="003E027A"/>
    <w:rsid w:val="003E0565"/>
    <w:rsid w:val="003E1012"/>
    <w:rsid w:val="003E1037"/>
    <w:rsid w:val="003E140D"/>
    <w:rsid w:val="003E1646"/>
    <w:rsid w:val="003E1808"/>
    <w:rsid w:val="003E208A"/>
    <w:rsid w:val="003E26D8"/>
    <w:rsid w:val="003E3173"/>
    <w:rsid w:val="003E473E"/>
    <w:rsid w:val="003E5F1D"/>
    <w:rsid w:val="003E606E"/>
    <w:rsid w:val="003E63F0"/>
    <w:rsid w:val="003E72D3"/>
    <w:rsid w:val="003E7531"/>
    <w:rsid w:val="003E7CAA"/>
    <w:rsid w:val="003F056C"/>
    <w:rsid w:val="003F0CCC"/>
    <w:rsid w:val="003F0F45"/>
    <w:rsid w:val="003F11C1"/>
    <w:rsid w:val="003F13DC"/>
    <w:rsid w:val="003F13E9"/>
    <w:rsid w:val="003F1DE0"/>
    <w:rsid w:val="003F285F"/>
    <w:rsid w:val="003F2DF8"/>
    <w:rsid w:val="003F2EE6"/>
    <w:rsid w:val="003F3728"/>
    <w:rsid w:val="003F3850"/>
    <w:rsid w:val="003F443A"/>
    <w:rsid w:val="003F5187"/>
    <w:rsid w:val="003F537B"/>
    <w:rsid w:val="003F56D8"/>
    <w:rsid w:val="003F5FA4"/>
    <w:rsid w:val="003F60AF"/>
    <w:rsid w:val="003F6119"/>
    <w:rsid w:val="003F62E8"/>
    <w:rsid w:val="003F64A3"/>
    <w:rsid w:val="003F6D94"/>
    <w:rsid w:val="003F6E72"/>
    <w:rsid w:val="003F7357"/>
    <w:rsid w:val="003F73C1"/>
    <w:rsid w:val="003F7CF3"/>
    <w:rsid w:val="00400009"/>
    <w:rsid w:val="00400903"/>
    <w:rsid w:val="00400954"/>
    <w:rsid w:val="004009B8"/>
    <w:rsid w:val="004010AF"/>
    <w:rsid w:val="0040174F"/>
    <w:rsid w:val="00401EC1"/>
    <w:rsid w:val="004021A7"/>
    <w:rsid w:val="0040279D"/>
    <w:rsid w:val="00402D2B"/>
    <w:rsid w:val="0040342F"/>
    <w:rsid w:val="00403830"/>
    <w:rsid w:val="00403943"/>
    <w:rsid w:val="0040445A"/>
    <w:rsid w:val="00404BF3"/>
    <w:rsid w:val="00404F2A"/>
    <w:rsid w:val="00405571"/>
    <w:rsid w:val="00405614"/>
    <w:rsid w:val="004057C1"/>
    <w:rsid w:val="0040585C"/>
    <w:rsid w:val="00405BFB"/>
    <w:rsid w:val="004079F3"/>
    <w:rsid w:val="00411375"/>
    <w:rsid w:val="0041152E"/>
    <w:rsid w:val="0041176D"/>
    <w:rsid w:val="00411A4B"/>
    <w:rsid w:val="0041233F"/>
    <w:rsid w:val="0041243F"/>
    <w:rsid w:val="00413734"/>
    <w:rsid w:val="0041401A"/>
    <w:rsid w:val="00414824"/>
    <w:rsid w:val="00414CCC"/>
    <w:rsid w:val="00414D2F"/>
    <w:rsid w:val="00415297"/>
    <w:rsid w:val="00415430"/>
    <w:rsid w:val="00416087"/>
    <w:rsid w:val="00416E71"/>
    <w:rsid w:val="00416E85"/>
    <w:rsid w:val="00417A41"/>
    <w:rsid w:val="004201D2"/>
    <w:rsid w:val="00420645"/>
    <w:rsid w:val="00420775"/>
    <w:rsid w:val="00420C42"/>
    <w:rsid w:val="00420CBD"/>
    <w:rsid w:val="00421760"/>
    <w:rsid w:val="004219E7"/>
    <w:rsid w:val="00422434"/>
    <w:rsid w:val="0042244C"/>
    <w:rsid w:val="0042274F"/>
    <w:rsid w:val="00422A24"/>
    <w:rsid w:val="00422E9D"/>
    <w:rsid w:val="004236A3"/>
    <w:rsid w:val="004237ED"/>
    <w:rsid w:val="004238E5"/>
    <w:rsid w:val="00423D38"/>
    <w:rsid w:val="00424E0B"/>
    <w:rsid w:val="00425399"/>
    <w:rsid w:val="00425415"/>
    <w:rsid w:val="00425513"/>
    <w:rsid w:val="004261BB"/>
    <w:rsid w:val="0042747C"/>
    <w:rsid w:val="00427506"/>
    <w:rsid w:val="0042756B"/>
    <w:rsid w:val="0042756F"/>
    <w:rsid w:val="004279E8"/>
    <w:rsid w:val="00427AE8"/>
    <w:rsid w:val="00427B6B"/>
    <w:rsid w:val="00427EA9"/>
    <w:rsid w:val="00431088"/>
    <w:rsid w:val="0043115F"/>
    <w:rsid w:val="00431244"/>
    <w:rsid w:val="00431545"/>
    <w:rsid w:val="00431883"/>
    <w:rsid w:val="0043240C"/>
    <w:rsid w:val="00432EC1"/>
    <w:rsid w:val="00433C20"/>
    <w:rsid w:val="00434021"/>
    <w:rsid w:val="00434328"/>
    <w:rsid w:val="00434927"/>
    <w:rsid w:val="00434992"/>
    <w:rsid w:val="004359F8"/>
    <w:rsid w:val="0043666A"/>
    <w:rsid w:val="0043695F"/>
    <w:rsid w:val="00436E07"/>
    <w:rsid w:val="0043751D"/>
    <w:rsid w:val="00437B97"/>
    <w:rsid w:val="004407EA"/>
    <w:rsid w:val="00441104"/>
    <w:rsid w:val="00442219"/>
    <w:rsid w:val="00443186"/>
    <w:rsid w:val="004435A0"/>
    <w:rsid w:val="004435C9"/>
    <w:rsid w:val="004440BD"/>
    <w:rsid w:val="0044432A"/>
    <w:rsid w:val="00444386"/>
    <w:rsid w:val="0044452C"/>
    <w:rsid w:val="00444661"/>
    <w:rsid w:val="00444CBF"/>
    <w:rsid w:val="00445055"/>
    <w:rsid w:val="004452A6"/>
    <w:rsid w:val="00445304"/>
    <w:rsid w:val="004455C8"/>
    <w:rsid w:val="00445AD3"/>
    <w:rsid w:val="00445B1A"/>
    <w:rsid w:val="00446088"/>
    <w:rsid w:val="00446412"/>
    <w:rsid w:val="00446464"/>
    <w:rsid w:val="004464B5"/>
    <w:rsid w:val="00446AE2"/>
    <w:rsid w:val="00447025"/>
    <w:rsid w:val="004474DA"/>
    <w:rsid w:val="0044753C"/>
    <w:rsid w:val="00447551"/>
    <w:rsid w:val="0045078A"/>
    <w:rsid w:val="00451B28"/>
    <w:rsid w:val="00451ED7"/>
    <w:rsid w:val="00451F98"/>
    <w:rsid w:val="00452590"/>
    <w:rsid w:val="004537F0"/>
    <w:rsid w:val="00453E66"/>
    <w:rsid w:val="00453FC9"/>
    <w:rsid w:val="0045470B"/>
    <w:rsid w:val="00454C1A"/>
    <w:rsid w:val="00455870"/>
    <w:rsid w:val="00456E69"/>
    <w:rsid w:val="00456F56"/>
    <w:rsid w:val="00456F88"/>
    <w:rsid w:val="00457778"/>
    <w:rsid w:val="00460CEA"/>
    <w:rsid w:val="00460FED"/>
    <w:rsid w:val="00461569"/>
    <w:rsid w:val="004616D5"/>
    <w:rsid w:val="0046188E"/>
    <w:rsid w:val="00462C18"/>
    <w:rsid w:val="00462C2A"/>
    <w:rsid w:val="00462E41"/>
    <w:rsid w:val="00463AA3"/>
    <w:rsid w:val="00463AFE"/>
    <w:rsid w:val="00464055"/>
    <w:rsid w:val="004644BB"/>
    <w:rsid w:val="0046482F"/>
    <w:rsid w:val="00464A6E"/>
    <w:rsid w:val="004654E5"/>
    <w:rsid w:val="0046553A"/>
    <w:rsid w:val="00465C19"/>
    <w:rsid w:val="00465C2C"/>
    <w:rsid w:val="0046614E"/>
    <w:rsid w:val="00466262"/>
    <w:rsid w:val="004664BA"/>
    <w:rsid w:val="004666E9"/>
    <w:rsid w:val="004668D0"/>
    <w:rsid w:val="00466B1D"/>
    <w:rsid w:val="004671DC"/>
    <w:rsid w:val="004673B7"/>
    <w:rsid w:val="00467497"/>
    <w:rsid w:val="004701D2"/>
    <w:rsid w:val="0047020B"/>
    <w:rsid w:val="0047020C"/>
    <w:rsid w:val="00470F7E"/>
    <w:rsid w:val="00470F85"/>
    <w:rsid w:val="004712EC"/>
    <w:rsid w:val="00471367"/>
    <w:rsid w:val="00471B64"/>
    <w:rsid w:val="00472253"/>
    <w:rsid w:val="00472367"/>
    <w:rsid w:val="0047269C"/>
    <w:rsid w:val="004729E6"/>
    <w:rsid w:val="00473351"/>
    <w:rsid w:val="00473353"/>
    <w:rsid w:val="0047392B"/>
    <w:rsid w:val="00473A6E"/>
    <w:rsid w:val="00473AD4"/>
    <w:rsid w:val="00473B63"/>
    <w:rsid w:val="00473DF2"/>
    <w:rsid w:val="00473FCC"/>
    <w:rsid w:val="00474358"/>
    <w:rsid w:val="004745EC"/>
    <w:rsid w:val="004748C3"/>
    <w:rsid w:val="00474BE6"/>
    <w:rsid w:val="00474DC7"/>
    <w:rsid w:val="00474E66"/>
    <w:rsid w:val="00475707"/>
    <w:rsid w:val="00475717"/>
    <w:rsid w:val="004761A2"/>
    <w:rsid w:val="004761C1"/>
    <w:rsid w:val="00476BB8"/>
    <w:rsid w:val="00476D45"/>
    <w:rsid w:val="00477063"/>
    <w:rsid w:val="0047751C"/>
    <w:rsid w:val="00477850"/>
    <w:rsid w:val="00477A0E"/>
    <w:rsid w:val="00480478"/>
    <w:rsid w:val="004809B6"/>
    <w:rsid w:val="00480D5C"/>
    <w:rsid w:val="00481538"/>
    <w:rsid w:val="00481829"/>
    <w:rsid w:val="00481B26"/>
    <w:rsid w:val="00482765"/>
    <w:rsid w:val="004832F6"/>
    <w:rsid w:val="004839A3"/>
    <w:rsid w:val="00483A17"/>
    <w:rsid w:val="00483C77"/>
    <w:rsid w:val="00483E9C"/>
    <w:rsid w:val="00484653"/>
    <w:rsid w:val="004847C0"/>
    <w:rsid w:val="0048492B"/>
    <w:rsid w:val="00484EE0"/>
    <w:rsid w:val="00485169"/>
    <w:rsid w:val="0048592C"/>
    <w:rsid w:val="00485974"/>
    <w:rsid w:val="00486B62"/>
    <w:rsid w:val="00487B71"/>
    <w:rsid w:val="00490465"/>
    <w:rsid w:val="004905B4"/>
    <w:rsid w:val="004908D0"/>
    <w:rsid w:val="00491757"/>
    <w:rsid w:val="00492635"/>
    <w:rsid w:val="00492E50"/>
    <w:rsid w:val="00493250"/>
    <w:rsid w:val="004936EE"/>
    <w:rsid w:val="0049434A"/>
    <w:rsid w:val="0049464D"/>
    <w:rsid w:val="004946B9"/>
    <w:rsid w:val="004947C0"/>
    <w:rsid w:val="0049547B"/>
    <w:rsid w:val="00495A0C"/>
    <w:rsid w:val="00495FD0"/>
    <w:rsid w:val="00496180"/>
    <w:rsid w:val="0049637E"/>
    <w:rsid w:val="004966F5"/>
    <w:rsid w:val="0049678E"/>
    <w:rsid w:val="00497B5D"/>
    <w:rsid w:val="004A027A"/>
    <w:rsid w:val="004A080E"/>
    <w:rsid w:val="004A08E8"/>
    <w:rsid w:val="004A0DFF"/>
    <w:rsid w:val="004A0EBE"/>
    <w:rsid w:val="004A1440"/>
    <w:rsid w:val="004A1E3B"/>
    <w:rsid w:val="004A2460"/>
    <w:rsid w:val="004A251F"/>
    <w:rsid w:val="004A2AA2"/>
    <w:rsid w:val="004A2B62"/>
    <w:rsid w:val="004A3425"/>
    <w:rsid w:val="004A35F6"/>
    <w:rsid w:val="004A397A"/>
    <w:rsid w:val="004A3ADF"/>
    <w:rsid w:val="004A3F2B"/>
    <w:rsid w:val="004A419E"/>
    <w:rsid w:val="004A4355"/>
    <w:rsid w:val="004A445E"/>
    <w:rsid w:val="004A461C"/>
    <w:rsid w:val="004A50CD"/>
    <w:rsid w:val="004A6CF6"/>
    <w:rsid w:val="004A6F5C"/>
    <w:rsid w:val="004A7DF2"/>
    <w:rsid w:val="004B06D4"/>
    <w:rsid w:val="004B084C"/>
    <w:rsid w:val="004B0928"/>
    <w:rsid w:val="004B0D0C"/>
    <w:rsid w:val="004B1DD3"/>
    <w:rsid w:val="004B1E70"/>
    <w:rsid w:val="004B203E"/>
    <w:rsid w:val="004B21BC"/>
    <w:rsid w:val="004B2433"/>
    <w:rsid w:val="004B2519"/>
    <w:rsid w:val="004B3468"/>
    <w:rsid w:val="004B3544"/>
    <w:rsid w:val="004B35D1"/>
    <w:rsid w:val="004B3AC6"/>
    <w:rsid w:val="004B4004"/>
    <w:rsid w:val="004B43B7"/>
    <w:rsid w:val="004B4DF7"/>
    <w:rsid w:val="004B511F"/>
    <w:rsid w:val="004B5E80"/>
    <w:rsid w:val="004B7A85"/>
    <w:rsid w:val="004C0325"/>
    <w:rsid w:val="004C0AD5"/>
    <w:rsid w:val="004C0EE3"/>
    <w:rsid w:val="004C1234"/>
    <w:rsid w:val="004C2D40"/>
    <w:rsid w:val="004C2DE4"/>
    <w:rsid w:val="004C3800"/>
    <w:rsid w:val="004C3CF6"/>
    <w:rsid w:val="004C404D"/>
    <w:rsid w:val="004C408E"/>
    <w:rsid w:val="004C4781"/>
    <w:rsid w:val="004C47C6"/>
    <w:rsid w:val="004C64F6"/>
    <w:rsid w:val="004C68EC"/>
    <w:rsid w:val="004C7112"/>
    <w:rsid w:val="004C711A"/>
    <w:rsid w:val="004C7258"/>
    <w:rsid w:val="004C74C3"/>
    <w:rsid w:val="004C79FD"/>
    <w:rsid w:val="004D0AC4"/>
    <w:rsid w:val="004D1FD7"/>
    <w:rsid w:val="004D23AC"/>
    <w:rsid w:val="004D2464"/>
    <w:rsid w:val="004D2527"/>
    <w:rsid w:val="004D2724"/>
    <w:rsid w:val="004D29A4"/>
    <w:rsid w:val="004D29F3"/>
    <w:rsid w:val="004D31AD"/>
    <w:rsid w:val="004D32BF"/>
    <w:rsid w:val="004D3772"/>
    <w:rsid w:val="004D399F"/>
    <w:rsid w:val="004D4D35"/>
    <w:rsid w:val="004D58DD"/>
    <w:rsid w:val="004D6367"/>
    <w:rsid w:val="004D6479"/>
    <w:rsid w:val="004D7047"/>
    <w:rsid w:val="004D7C2A"/>
    <w:rsid w:val="004E022B"/>
    <w:rsid w:val="004E06B1"/>
    <w:rsid w:val="004E0917"/>
    <w:rsid w:val="004E0EC3"/>
    <w:rsid w:val="004E179B"/>
    <w:rsid w:val="004E24FB"/>
    <w:rsid w:val="004E2650"/>
    <w:rsid w:val="004E2829"/>
    <w:rsid w:val="004E3803"/>
    <w:rsid w:val="004E395E"/>
    <w:rsid w:val="004E44CF"/>
    <w:rsid w:val="004E451A"/>
    <w:rsid w:val="004E4B08"/>
    <w:rsid w:val="004E5171"/>
    <w:rsid w:val="004E563F"/>
    <w:rsid w:val="004E6085"/>
    <w:rsid w:val="004E665F"/>
    <w:rsid w:val="004E689B"/>
    <w:rsid w:val="004E7209"/>
    <w:rsid w:val="004E7B2E"/>
    <w:rsid w:val="004F05AB"/>
    <w:rsid w:val="004F0A45"/>
    <w:rsid w:val="004F141B"/>
    <w:rsid w:val="004F1CA7"/>
    <w:rsid w:val="004F1D3B"/>
    <w:rsid w:val="004F1FFC"/>
    <w:rsid w:val="004F2B0F"/>
    <w:rsid w:val="004F2F9B"/>
    <w:rsid w:val="004F34C7"/>
    <w:rsid w:val="004F35C9"/>
    <w:rsid w:val="004F4177"/>
    <w:rsid w:val="004F4443"/>
    <w:rsid w:val="004F4AD1"/>
    <w:rsid w:val="004F4B5F"/>
    <w:rsid w:val="004F503C"/>
    <w:rsid w:val="004F51DB"/>
    <w:rsid w:val="004F5AEA"/>
    <w:rsid w:val="004F5B5B"/>
    <w:rsid w:val="004F5CA6"/>
    <w:rsid w:val="004F6656"/>
    <w:rsid w:val="004F679C"/>
    <w:rsid w:val="004F695B"/>
    <w:rsid w:val="004F6A06"/>
    <w:rsid w:val="004F6BFA"/>
    <w:rsid w:val="00500444"/>
    <w:rsid w:val="005013AA"/>
    <w:rsid w:val="00501D44"/>
    <w:rsid w:val="00501E62"/>
    <w:rsid w:val="00502524"/>
    <w:rsid w:val="005040B2"/>
    <w:rsid w:val="005044B9"/>
    <w:rsid w:val="005055D4"/>
    <w:rsid w:val="00505B6F"/>
    <w:rsid w:val="00505E07"/>
    <w:rsid w:val="00506459"/>
    <w:rsid w:val="00506DAB"/>
    <w:rsid w:val="00507021"/>
    <w:rsid w:val="0050718E"/>
    <w:rsid w:val="0050761C"/>
    <w:rsid w:val="00507D54"/>
    <w:rsid w:val="00510217"/>
    <w:rsid w:val="00510A76"/>
    <w:rsid w:val="005115E9"/>
    <w:rsid w:val="00511C56"/>
    <w:rsid w:val="005121B3"/>
    <w:rsid w:val="0051254F"/>
    <w:rsid w:val="00512616"/>
    <w:rsid w:val="0051349A"/>
    <w:rsid w:val="00513E3D"/>
    <w:rsid w:val="00513FA0"/>
    <w:rsid w:val="00514176"/>
    <w:rsid w:val="00514220"/>
    <w:rsid w:val="00514978"/>
    <w:rsid w:val="00514E23"/>
    <w:rsid w:val="005159FF"/>
    <w:rsid w:val="00515FF7"/>
    <w:rsid w:val="0051670A"/>
    <w:rsid w:val="00517083"/>
    <w:rsid w:val="0051797D"/>
    <w:rsid w:val="005204A7"/>
    <w:rsid w:val="00520E8E"/>
    <w:rsid w:val="005213CA"/>
    <w:rsid w:val="0052195C"/>
    <w:rsid w:val="00521D21"/>
    <w:rsid w:val="0052235A"/>
    <w:rsid w:val="00523C37"/>
    <w:rsid w:val="00523E0C"/>
    <w:rsid w:val="00524334"/>
    <w:rsid w:val="0052477A"/>
    <w:rsid w:val="00524851"/>
    <w:rsid w:val="00524A36"/>
    <w:rsid w:val="00525404"/>
    <w:rsid w:val="00525D0B"/>
    <w:rsid w:val="005264D9"/>
    <w:rsid w:val="0052651C"/>
    <w:rsid w:val="0052694C"/>
    <w:rsid w:val="00526A11"/>
    <w:rsid w:val="00526C52"/>
    <w:rsid w:val="00526F5F"/>
    <w:rsid w:val="0052737D"/>
    <w:rsid w:val="005273A8"/>
    <w:rsid w:val="005277A9"/>
    <w:rsid w:val="00527BC9"/>
    <w:rsid w:val="00527E9B"/>
    <w:rsid w:val="0053030F"/>
    <w:rsid w:val="00530B46"/>
    <w:rsid w:val="00530F2E"/>
    <w:rsid w:val="005313B8"/>
    <w:rsid w:val="005321D2"/>
    <w:rsid w:val="005323CD"/>
    <w:rsid w:val="0053260F"/>
    <w:rsid w:val="00532E0F"/>
    <w:rsid w:val="00533829"/>
    <w:rsid w:val="00533B38"/>
    <w:rsid w:val="00533FC6"/>
    <w:rsid w:val="00534159"/>
    <w:rsid w:val="00534164"/>
    <w:rsid w:val="00534DE3"/>
    <w:rsid w:val="00534E09"/>
    <w:rsid w:val="005365A7"/>
    <w:rsid w:val="00536667"/>
    <w:rsid w:val="00536D31"/>
    <w:rsid w:val="005370F8"/>
    <w:rsid w:val="00537CC8"/>
    <w:rsid w:val="00537FB0"/>
    <w:rsid w:val="0054011D"/>
    <w:rsid w:val="005407B9"/>
    <w:rsid w:val="00540F1C"/>
    <w:rsid w:val="00542631"/>
    <w:rsid w:val="00542BC7"/>
    <w:rsid w:val="0054326D"/>
    <w:rsid w:val="00543439"/>
    <w:rsid w:val="005437A5"/>
    <w:rsid w:val="00543A50"/>
    <w:rsid w:val="00543F48"/>
    <w:rsid w:val="00544AE3"/>
    <w:rsid w:val="005455BE"/>
    <w:rsid w:val="005457A3"/>
    <w:rsid w:val="00545A1E"/>
    <w:rsid w:val="00545DC9"/>
    <w:rsid w:val="00546340"/>
    <w:rsid w:val="005473CC"/>
    <w:rsid w:val="005474AB"/>
    <w:rsid w:val="00547559"/>
    <w:rsid w:val="00547A38"/>
    <w:rsid w:val="00550FDD"/>
    <w:rsid w:val="00551192"/>
    <w:rsid w:val="00551B5B"/>
    <w:rsid w:val="00551C55"/>
    <w:rsid w:val="00552B0F"/>
    <w:rsid w:val="00552FAD"/>
    <w:rsid w:val="00552FF4"/>
    <w:rsid w:val="005536AD"/>
    <w:rsid w:val="0055382A"/>
    <w:rsid w:val="00554304"/>
    <w:rsid w:val="00554519"/>
    <w:rsid w:val="00554C29"/>
    <w:rsid w:val="0055500E"/>
    <w:rsid w:val="00556392"/>
    <w:rsid w:val="005568A4"/>
    <w:rsid w:val="00556ACA"/>
    <w:rsid w:val="00556FF5"/>
    <w:rsid w:val="005577B2"/>
    <w:rsid w:val="00560299"/>
    <w:rsid w:val="005602C5"/>
    <w:rsid w:val="00560C5F"/>
    <w:rsid w:val="00560D39"/>
    <w:rsid w:val="00561492"/>
    <w:rsid w:val="00561663"/>
    <w:rsid w:val="005616D0"/>
    <w:rsid w:val="005628F5"/>
    <w:rsid w:val="00562A54"/>
    <w:rsid w:val="00563409"/>
    <w:rsid w:val="005635AD"/>
    <w:rsid w:val="00563FDE"/>
    <w:rsid w:val="00564D5F"/>
    <w:rsid w:val="00564F85"/>
    <w:rsid w:val="00565A18"/>
    <w:rsid w:val="00565AB6"/>
    <w:rsid w:val="005663AA"/>
    <w:rsid w:val="005666D5"/>
    <w:rsid w:val="00566C90"/>
    <w:rsid w:val="0056707A"/>
    <w:rsid w:val="00567D5F"/>
    <w:rsid w:val="00570468"/>
    <w:rsid w:val="0057064D"/>
    <w:rsid w:val="0057118D"/>
    <w:rsid w:val="005719F1"/>
    <w:rsid w:val="00571DA6"/>
    <w:rsid w:val="00572085"/>
    <w:rsid w:val="00572E76"/>
    <w:rsid w:val="00572ED1"/>
    <w:rsid w:val="00573073"/>
    <w:rsid w:val="0057393C"/>
    <w:rsid w:val="00573B94"/>
    <w:rsid w:val="00573B9A"/>
    <w:rsid w:val="00575CD3"/>
    <w:rsid w:val="00575E6A"/>
    <w:rsid w:val="00576416"/>
    <w:rsid w:val="005769EC"/>
    <w:rsid w:val="00576AA3"/>
    <w:rsid w:val="00577646"/>
    <w:rsid w:val="00577EC7"/>
    <w:rsid w:val="00580276"/>
    <w:rsid w:val="00580BE4"/>
    <w:rsid w:val="00580E57"/>
    <w:rsid w:val="00580FCD"/>
    <w:rsid w:val="00581E19"/>
    <w:rsid w:val="00582607"/>
    <w:rsid w:val="005839F9"/>
    <w:rsid w:val="00584086"/>
    <w:rsid w:val="005843D5"/>
    <w:rsid w:val="00584CF7"/>
    <w:rsid w:val="00585FA6"/>
    <w:rsid w:val="00586632"/>
    <w:rsid w:val="0058680E"/>
    <w:rsid w:val="00587404"/>
    <w:rsid w:val="00587B61"/>
    <w:rsid w:val="00587D3C"/>
    <w:rsid w:val="00591258"/>
    <w:rsid w:val="00591543"/>
    <w:rsid w:val="00591AB1"/>
    <w:rsid w:val="00591BB6"/>
    <w:rsid w:val="00591EE4"/>
    <w:rsid w:val="00592DF0"/>
    <w:rsid w:val="00592E82"/>
    <w:rsid w:val="00593971"/>
    <w:rsid w:val="00593EA1"/>
    <w:rsid w:val="00593F26"/>
    <w:rsid w:val="005954A6"/>
    <w:rsid w:val="00596589"/>
    <w:rsid w:val="00596918"/>
    <w:rsid w:val="00596D3B"/>
    <w:rsid w:val="00596E9B"/>
    <w:rsid w:val="0059785C"/>
    <w:rsid w:val="005978A0"/>
    <w:rsid w:val="00597A08"/>
    <w:rsid w:val="00597FAD"/>
    <w:rsid w:val="005A07B7"/>
    <w:rsid w:val="005A0D43"/>
    <w:rsid w:val="005A1073"/>
    <w:rsid w:val="005A128C"/>
    <w:rsid w:val="005A28E8"/>
    <w:rsid w:val="005A2976"/>
    <w:rsid w:val="005A2DBF"/>
    <w:rsid w:val="005A3543"/>
    <w:rsid w:val="005A36CD"/>
    <w:rsid w:val="005A3CC5"/>
    <w:rsid w:val="005A4B4A"/>
    <w:rsid w:val="005A53E1"/>
    <w:rsid w:val="005A6E19"/>
    <w:rsid w:val="005A73AB"/>
    <w:rsid w:val="005A76F1"/>
    <w:rsid w:val="005A79A1"/>
    <w:rsid w:val="005A7FF2"/>
    <w:rsid w:val="005B02E8"/>
    <w:rsid w:val="005B0494"/>
    <w:rsid w:val="005B06B9"/>
    <w:rsid w:val="005B0B8E"/>
    <w:rsid w:val="005B0C38"/>
    <w:rsid w:val="005B0C46"/>
    <w:rsid w:val="005B101C"/>
    <w:rsid w:val="005B12DB"/>
    <w:rsid w:val="005B146F"/>
    <w:rsid w:val="005B15CF"/>
    <w:rsid w:val="005B267D"/>
    <w:rsid w:val="005B312C"/>
    <w:rsid w:val="005B3188"/>
    <w:rsid w:val="005B31C7"/>
    <w:rsid w:val="005B3385"/>
    <w:rsid w:val="005B3657"/>
    <w:rsid w:val="005B374A"/>
    <w:rsid w:val="005B37E5"/>
    <w:rsid w:val="005B48A0"/>
    <w:rsid w:val="005B503C"/>
    <w:rsid w:val="005B51FF"/>
    <w:rsid w:val="005B589B"/>
    <w:rsid w:val="005B60F6"/>
    <w:rsid w:val="005B6562"/>
    <w:rsid w:val="005B665B"/>
    <w:rsid w:val="005B676F"/>
    <w:rsid w:val="005B69D6"/>
    <w:rsid w:val="005C029D"/>
    <w:rsid w:val="005C07AE"/>
    <w:rsid w:val="005C0807"/>
    <w:rsid w:val="005C1C63"/>
    <w:rsid w:val="005C21EC"/>
    <w:rsid w:val="005C23E1"/>
    <w:rsid w:val="005C2A25"/>
    <w:rsid w:val="005C2AE0"/>
    <w:rsid w:val="005C2BFE"/>
    <w:rsid w:val="005C36FA"/>
    <w:rsid w:val="005C376F"/>
    <w:rsid w:val="005C3891"/>
    <w:rsid w:val="005C39BE"/>
    <w:rsid w:val="005C3A46"/>
    <w:rsid w:val="005C3DC3"/>
    <w:rsid w:val="005C4195"/>
    <w:rsid w:val="005C46D9"/>
    <w:rsid w:val="005C4CF3"/>
    <w:rsid w:val="005C5044"/>
    <w:rsid w:val="005C524D"/>
    <w:rsid w:val="005C5632"/>
    <w:rsid w:val="005C563D"/>
    <w:rsid w:val="005C6526"/>
    <w:rsid w:val="005C6DF8"/>
    <w:rsid w:val="005C6FFF"/>
    <w:rsid w:val="005C7320"/>
    <w:rsid w:val="005C73CD"/>
    <w:rsid w:val="005C77F8"/>
    <w:rsid w:val="005C7E87"/>
    <w:rsid w:val="005D01C1"/>
    <w:rsid w:val="005D057D"/>
    <w:rsid w:val="005D0A72"/>
    <w:rsid w:val="005D0D8F"/>
    <w:rsid w:val="005D174F"/>
    <w:rsid w:val="005D1BEF"/>
    <w:rsid w:val="005D1C6D"/>
    <w:rsid w:val="005D273F"/>
    <w:rsid w:val="005D275E"/>
    <w:rsid w:val="005D2843"/>
    <w:rsid w:val="005D3C26"/>
    <w:rsid w:val="005D43E3"/>
    <w:rsid w:val="005D52B6"/>
    <w:rsid w:val="005D533F"/>
    <w:rsid w:val="005D5FC4"/>
    <w:rsid w:val="005D65FD"/>
    <w:rsid w:val="005D7275"/>
    <w:rsid w:val="005D7396"/>
    <w:rsid w:val="005D7885"/>
    <w:rsid w:val="005D7C59"/>
    <w:rsid w:val="005E01E7"/>
    <w:rsid w:val="005E04B2"/>
    <w:rsid w:val="005E0A0A"/>
    <w:rsid w:val="005E131E"/>
    <w:rsid w:val="005E2060"/>
    <w:rsid w:val="005E2203"/>
    <w:rsid w:val="005E2E54"/>
    <w:rsid w:val="005E3477"/>
    <w:rsid w:val="005E35E8"/>
    <w:rsid w:val="005E3C0E"/>
    <w:rsid w:val="005E404A"/>
    <w:rsid w:val="005E4243"/>
    <w:rsid w:val="005E4619"/>
    <w:rsid w:val="005E4675"/>
    <w:rsid w:val="005E4C14"/>
    <w:rsid w:val="005E4DD5"/>
    <w:rsid w:val="005E568A"/>
    <w:rsid w:val="005E581D"/>
    <w:rsid w:val="005E5DA5"/>
    <w:rsid w:val="005E6F1A"/>
    <w:rsid w:val="005E72AF"/>
    <w:rsid w:val="005E77EE"/>
    <w:rsid w:val="005E7B09"/>
    <w:rsid w:val="005E7CF7"/>
    <w:rsid w:val="005E7D44"/>
    <w:rsid w:val="005F12A1"/>
    <w:rsid w:val="005F1A4C"/>
    <w:rsid w:val="005F2936"/>
    <w:rsid w:val="005F2954"/>
    <w:rsid w:val="005F31E8"/>
    <w:rsid w:val="005F4256"/>
    <w:rsid w:val="005F4D69"/>
    <w:rsid w:val="005F6091"/>
    <w:rsid w:val="005F68DA"/>
    <w:rsid w:val="005F75B8"/>
    <w:rsid w:val="00600D8D"/>
    <w:rsid w:val="00600E20"/>
    <w:rsid w:val="00600F4F"/>
    <w:rsid w:val="006019B5"/>
    <w:rsid w:val="00601AFB"/>
    <w:rsid w:val="00602691"/>
    <w:rsid w:val="006031F5"/>
    <w:rsid w:val="006031FA"/>
    <w:rsid w:val="006033A3"/>
    <w:rsid w:val="00604A2B"/>
    <w:rsid w:val="00604BCC"/>
    <w:rsid w:val="00604CB7"/>
    <w:rsid w:val="00604E50"/>
    <w:rsid w:val="00605E27"/>
    <w:rsid w:val="006060B0"/>
    <w:rsid w:val="0060645B"/>
    <w:rsid w:val="00606644"/>
    <w:rsid w:val="00606FED"/>
    <w:rsid w:val="00607182"/>
    <w:rsid w:val="00607454"/>
    <w:rsid w:val="00607E8B"/>
    <w:rsid w:val="006103E0"/>
    <w:rsid w:val="0061065E"/>
    <w:rsid w:val="0061096B"/>
    <w:rsid w:val="006115FB"/>
    <w:rsid w:val="0061242F"/>
    <w:rsid w:val="00612E83"/>
    <w:rsid w:val="00613033"/>
    <w:rsid w:val="00614295"/>
    <w:rsid w:val="006143A3"/>
    <w:rsid w:val="006143BB"/>
    <w:rsid w:val="0061472C"/>
    <w:rsid w:val="006153F0"/>
    <w:rsid w:val="00616143"/>
    <w:rsid w:val="00616196"/>
    <w:rsid w:val="00616292"/>
    <w:rsid w:val="00616B58"/>
    <w:rsid w:val="00616E07"/>
    <w:rsid w:val="00616E24"/>
    <w:rsid w:val="0061708C"/>
    <w:rsid w:val="006172AB"/>
    <w:rsid w:val="00617511"/>
    <w:rsid w:val="0062050A"/>
    <w:rsid w:val="00620F09"/>
    <w:rsid w:val="006214D3"/>
    <w:rsid w:val="006217DA"/>
    <w:rsid w:val="00621A1B"/>
    <w:rsid w:val="00622241"/>
    <w:rsid w:val="00622B01"/>
    <w:rsid w:val="0062376F"/>
    <w:rsid w:val="006249C0"/>
    <w:rsid w:val="006250DE"/>
    <w:rsid w:val="006256DF"/>
    <w:rsid w:val="00625B1A"/>
    <w:rsid w:val="00625CD1"/>
    <w:rsid w:val="00626A2E"/>
    <w:rsid w:val="00626A5B"/>
    <w:rsid w:val="0062771A"/>
    <w:rsid w:val="00627D41"/>
    <w:rsid w:val="00627E21"/>
    <w:rsid w:val="00631064"/>
    <w:rsid w:val="00631A0C"/>
    <w:rsid w:val="00631B7D"/>
    <w:rsid w:val="00631BD7"/>
    <w:rsid w:val="00631CC3"/>
    <w:rsid w:val="00632095"/>
    <w:rsid w:val="00632196"/>
    <w:rsid w:val="00632A91"/>
    <w:rsid w:val="00632C42"/>
    <w:rsid w:val="00633801"/>
    <w:rsid w:val="00635ABB"/>
    <w:rsid w:val="00636748"/>
    <w:rsid w:val="006369CF"/>
    <w:rsid w:val="00636B8F"/>
    <w:rsid w:val="00637154"/>
    <w:rsid w:val="00637FF4"/>
    <w:rsid w:val="006411AD"/>
    <w:rsid w:val="006411F5"/>
    <w:rsid w:val="00641DDF"/>
    <w:rsid w:val="00641FC1"/>
    <w:rsid w:val="00642279"/>
    <w:rsid w:val="0064239B"/>
    <w:rsid w:val="0064294D"/>
    <w:rsid w:val="00642D6E"/>
    <w:rsid w:val="00643348"/>
    <w:rsid w:val="006434C5"/>
    <w:rsid w:val="00643D85"/>
    <w:rsid w:val="006442EF"/>
    <w:rsid w:val="006443C3"/>
    <w:rsid w:val="006446A9"/>
    <w:rsid w:val="006447FE"/>
    <w:rsid w:val="00644B78"/>
    <w:rsid w:val="0064501B"/>
    <w:rsid w:val="0064516C"/>
    <w:rsid w:val="0064562D"/>
    <w:rsid w:val="006457BF"/>
    <w:rsid w:val="00645C23"/>
    <w:rsid w:val="00645DE9"/>
    <w:rsid w:val="006466FA"/>
    <w:rsid w:val="006467C6"/>
    <w:rsid w:val="00646FEE"/>
    <w:rsid w:val="00647EF7"/>
    <w:rsid w:val="0065013E"/>
    <w:rsid w:val="00650613"/>
    <w:rsid w:val="00650A3B"/>
    <w:rsid w:val="00650E5A"/>
    <w:rsid w:val="00650FB5"/>
    <w:rsid w:val="00651E79"/>
    <w:rsid w:val="006521AF"/>
    <w:rsid w:val="0065233E"/>
    <w:rsid w:val="00652470"/>
    <w:rsid w:val="0065301B"/>
    <w:rsid w:val="00653970"/>
    <w:rsid w:val="00653ECB"/>
    <w:rsid w:val="00656087"/>
    <w:rsid w:val="006565E4"/>
    <w:rsid w:val="00656819"/>
    <w:rsid w:val="00660DA2"/>
    <w:rsid w:val="00660E66"/>
    <w:rsid w:val="00660EE4"/>
    <w:rsid w:val="00661763"/>
    <w:rsid w:val="00661868"/>
    <w:rsid w:val="00661886"/>
    <w:rsid w:val="00661A54"/>
    <w:rsid w:val="006620EF"/>
    <w:rsid w:val="00662AD3"/>
    <w:rsid w:val="00663331"/>
    <w:rsid w:val="006638EA"/>
    <w:rsid w:val="00663D89"/>
    <w:rsid w:val="00664372"/>
    <w:rsid w:val="0066506B"/>
    <w:rsid w:val="00665AD9"/>
    <w:rsid w:val="00665C7F"/>
    <w:rsid w:val="006660E6"/>
    <w:rsid w:val="00666AD7"/>
    <w:rsid w:val="00666BCE"/>
    <w:rsid w:val="006676E4"/>
    <w:rsid w:val="00667B27"/>
    <w:rsid w:val="00670607"/>
    <w:rsid w:val="006707C8"/>
    <w:rsid w:val="00672BB0"/>
    <w:rsid w:val="006730B6"/>
    <w:rsid w:val="006732D4"/>
    <w:rsid w:val="0067374B"/>
    <w:rsid w:val="00673E92"/>
    <w:rsid w:val="00675657"/>
    <w:rsid w:val="00675BDA"/>
    <w:rsid w:val="00676121"/>
    <w:rsid w:val="00676496"/>
    <w:rsid w:val="00676640"/>
    <w:rsid w:val="006767FB"/>
    <w:rsid w:val="00676DC7"/>
    <w:rsid w:val="0067719D"/>
    <w:rsid w:val="00680005"/>
    <w:rsid w:val="00680C5E"/>
    <w:rsid w:val="00680EA7"/>
    <w:rsid w:val="00680FD5"/>
    <w:rsid w:val="006813BE"/>
    <w:rsid w:val="00681703"/>
    <w:rsid w:val="0068255B"/>
    <w:rsid w:val="006828D1"/>
    <w:rsid w:val="00682951"/>
    <w:rsid w:val="006835AE"/>
    <w:rsid w:val="006838AF"/>
    <w:rsid w:val="00683B00"/>
    <w:rsid w:val="00683B02"/>
    <w:rsid w:val="006844ED"/>
    <w:rsid w:val="00684FCC"/>
    <w:rsid w:val="00685003"/>
    <w:rsid w:val="00686941"/>
    <w:rsid w:val="006873E5"/>
    <w:rsid w:val="00687A9C"/>
    <w:rsid w:val="00690323"/>
    <w:rsid w:val="0069075F"/>
    <w:rsid w:val="00690BFB"/>
    <w:rsid w:val="00691B5F"/>
    <w:rsid w:val="00692658"/>
    <w:rsid w:val="0069286C"/>
    <w:rsid w:val="00692CB3"/>
    <w:rsid w:val="00692D74"/>
    <w:rsid w:val="00692F72"/>
    <w:rsid w:val="00693068"/>
    <w:rsid w:val="00694298"/>
    <w:rsid w:val="00694B31"/>
    <w:rsid w:val="00694CE5"/>
    <w:rsid w:val="00694D17"/>
    <w:rsid w:val="0069507C"/>
    <w:rsid w:val="00695C4D"/>
    <w:rsid w:val="00696419"/>
    <w:rsid w:val="00696D78"/>
    <w:rsid w:val="00696EE3"/>
    <w:rsid w:val="0069786C"/>
    <w:rsid w:val="006A1541"/>
    <w:rsid w:val="006A1923"/>
    <w:rsid w:val="006A197C"/>
    <w:rsid w:val="006A262A"/>
    <w:rsid w:val="006A27EB"/>
    <w:rsid w:val="006A2A1F"/>
    <w:rsid w:val="006A2DF0"/>
    <w:rsid w:val="006A335A"/>
    <w:rsid w:val="006A3B9C"/>
    <w:rsid w:val="006A4ACE"/>
    <w:rsid w:val="006A5140"/>
    <w:rsid w:val="006A543A"/>
    <w:rsid w:val="006A5793"/>
    <w:rsid w:val="006A5D65"/>
    <w:rsid w:val="006A6F23"/>
    <w:rsid w:val="006A72F8"/>
    <w:rsid w:val="006A7458"/>
    <w:rsid w:val="006A770D"/>
    <w:rsid w:val="006B060E"/>
    <w:rsid w:val="006B19CE"/>
    <w:rsid w:val="006B1E38"/>
    <w:rsid w:val="006B2295"/>
    <w:rsid w:val="006B26A6"/>
    <w:rsid w:val="006B2E8B"/>
    <w:rsid w:val="006B2FD9"/>
    <w:rsid w:val="006B3225"/>
    <w:rsid w:val="006B3676"/>
    <w:rsid w:val="006B3811"/>
    <w:rsid w:val="006B3A74"/>
    <w:rsid w:val="006B3F59"/>
    <w:rsid w:val="006B5100"/>
    <w:rsid w:val="006B5773"/>
    <w:rsid w:val="006B5A78"/>
    <w:rsid w:val="006B5C10"/>
    <w:rsid w:val="006B5C6B"/>
    <w:rsid w:val="006B5E39"/>
    <w:rsid w:val="006B79A1"/>
    <w:rsid w:val="006C0FA8"/>
    <w:rsid w:val="006C13CF"/>
    <w:rsid w:val="006C14AE"/>
    <w:rsid w:val="006C151E"/>
    <w:rsid w:val="006C1A15"/>
    <w:rsid w:val="006C1A89"/>
    <w:rsid w:val="006C1B3D"/>
    <w:rsid w:val="006C1DC9"/>
    <w:rsid w:val="006C3472"/>
    <w:rsid w:val="006C420E"/>
    <w:rsid w:val="006C4261"/>
    <w:rsid w:val="006C4402"/>
    <w:rsid w:val="006C46C8"/>
    <w:rsid w:val="006C4810"/>
    <w:rsid w:val="006C54C8"/>
    <w:rsid w:val="006C5510"/>
    <w:rsid w:val="006C567C"/>
    <w:rsid w:val="006C5B43"/>
    <w:rsid w:val="006C5B7B"/>
    <w:rsid w:val="006C602E"/>
    <w:rsid w:val="006C679B"/>
    <w:rsid w:val="006C6D73"/>
    <w:rsid w:val="006C7210"/>
    <w:rsid w:val="006D00EB"/>
    <w:rsid w:val="006D04EF"/>
    <w:rsid w:val="006D0759"/>
    <w:rsid w:val="006D1103"/>
    <w:rsid w:val="006D13FA"/>
    <w:rsid w:val="006D3437"/>
    <w:rsid w:val="006D3D52"/>
    <w:rsid w:val="006D44FE"/>
    <w:rsid w:val="006D4781"/>
    <w:rsid w:val="006D486F"/>
    <w:rsid w:val="006D4996"/>
    <w:rsid w:val="006D5200"/>
    <w:rsid w:val="006D547B"/>
    <w:rsid w:val="006D5B05"/>
    <w:rsid w:val="006D6393"/>
    <w:rsid w:val="006D6CA0"/>
    <w:rsid w:val="006D6D78"/>
    <w:rsid w:val="006D6F9D"/>
    <w:rsid w:val="006D70B2"/>
    <w:rsid w:val="006D73DD"/>
    <w:rsid w:val="006D75B7"/>
    <w:rsid w:val="006D7C08"/>
    <w:rsid w:val="006D7CF8"/>
    <w:rsid w:val="006D7D0B"/>
    <w:rsid w:val="006E0451"/>
    <w:rsid w:val="006E1618"/>
    <w:rsid w:val="006E1C90"/>
    <w:rsid w:val="006E1D90"/>
    <w:rsid w:val="006E21F1"/>
    <w:rsid w:val="006E2600"/>
    <w:rsid w:val="006E2B2C"/>
    <w:rsid w:val="006E2BBF"/>
    <w:rsid w:val="006E2C1E"/>
    <w:rsid w:val="006E2C5D"/>
    <w:rsid w:val="006E372E"/>
    <w:rsid w:val="006E38BF"/>
    <w:rsid w:val="006E3AB3"/>
    <w:rsid w:val="006E3D6C"/>
    <w:rsid w:val="006E4CB5"/>
    <w:rsid w:val="006E5DAF"/>
    <w:rsid w:val="006E7223"/>
    <w:rsid w:val="006E7B7D"/>
    <w:rsid w:val="006E7BDD"/>
    <w:rsid w:val="006F0059"/>
    <w:rsid w:val="006F0239"/>
    <w:rsid w:val="006F088F"/>
    <w:rsid w:val="006F0908"/>
    <w:rsid w:val="006F0F20"/>
    <w:rsid w:val="006F13F1"/>
    <w:rsid w:val="006F1D9A"/>
    <w:rsid w:val="006F1EF1"/>
    <w:rsid w:val="006F260D"/>
    <w:rsid w:val="006F26EB"/>
    <w:rsid w:val="006F2956"/>
    <w:rsid w:val="006F347C"/>
    <w:rsid w:val="006F44DD"/>
    <w:rsid w:val="006F452E"/>
    <w:rsid w:val="006F4D6D"/>
    <w:rsid w:val="006F5097"/>
    <w:rsid w:val="006F51E2"/>
    <w:rsid w:val="006F55BF"/>
    <w:rsid w:val="006F647A"/>
    <w:rsid w:val="006F64A7"/>
    <w:rsid w:val="006F65BD"/>
    <w:rsid w:val="006F70EE"/>
    <w:rsid w:val="006F7264"/>
    <w:rsid w:val="007004E7"/>
    <w:rsid w:val="007010AF"/>
    <w:rsid w:val="007015CC"/>
    <w:rsid w:val="007016E3"/>
    <w:rsid w:val="0070196E"/>
    <w:rsid w:val="007024E2"/>
    <w:rsid w:val="007024FA"/>
    <w:rsid w:val="0070294F"/>
    <w:rsid w:val="00702AE3"/>
    <w:rsid w:val="00703051"/>
    <w:rsid w:val="00703C23"/>
    <w:rsid w:val="00704985"/>
    <w:rsid w:val="0070523F"/>
    <w:rsid w:val="00705AD5"/>
    <w:rsid w:val="00705E12"/>
    <w:rsid w:val="0070678D"/>
    <w:rsid w:val="0070757E"/>
    <w:rsid w:val="00707617"/>
    <w:rsid w:val="00710096"/>
    <w:rsid w:val="00710306"/>
    <w:rsid w:val="0071039C"/>
    <w:rsid w:val="007107A3"/>
    <w:rsid w:val="00710B69"/>
    <w:rsid w:val="00710EDA"/>
    <w:rsid w:val="00711635"/>
    <w:rsid w:val="00712154"/>
    <w:rsid w:val="007125B4"/>
    <w:rsid w:val="00712A9E"/>
    <w:rsid w:val="00712E81"/>
    <w:rsid w:val="007139DA"/>
    <w:rsid w:val="007143D7"/>
    <w:rsid w:val="0071450E"/>
    <w:rsid w:val="00714566"/>
    <w:rsid w:val="0071521F"/>
    <w:rsid w:val="00715974"/>
    <w:rsid w:val="00715DC6"/>
    <w:rsid w:val="00716084"/>
    <w:rsid w:val="00716E4F"/>
    <w:rsid w:val="00716F38"/>
    <w:rsid w:val="0071709E"/>
    <w:rsid w:val="007175BF"/>
    <w:rsid w:val="00717A60"/>
    <w:rsid w:val="00717F59"/>
    <w:rsid w:val="00720ED8"/>
    <w:rsid w:val="00720FCA"/>
    <w:rsid w:val="00721647"/>
    <w:rsid w:val="00721F28"/>
    <w:rsid w:val="007222C3"/>
    <w:rsid w:val="00722488"/>
    <w:rsid w:val="00722748"/>
    <w:rsid w:val="00722942"/>
    <w:rsid w:val="00722AEB"/>
    <w:rsid w:val="007230CF"/>
    <w:rsid w:val="007238F3"/>
    <w:rsid w:val="00723E6E"/>
    <w:rsid w:val="00724A58"/>
    <w:rsid w:val="00724CFD"/>
    <w:rsid w:val="007258F2"/>
    <w:rsid w:val="00726595"/>
    <w:rsid w:val="007267AC"/>
    <w:rsid w:val="00726AB0"/>
    <w:rsid w:val="00726EFB"/>
    <w:rsid w:val="00727336"/>
    <w:rsid w:val="00727C7B"/>
    <w:rsid w:val="00727CA9"/>
    <w:rsid w:val="00730261"/>
    <w:rsid w:val="0073062E"/>
    <w:rsid w:val="00731694"/>
    <w:rsid w:val="00731EA9"/>
    <w:rsid w:val="00733246"/>
    <w:rsid w:val="00733C24"/>
    <w:rsid w:val="007348D7"/>
    <w:rsid w:val="00734930"/>
    <w:rsid w:val="00734A48"/>
    <w:rsid w:val="00734B57"/>
    <w:rsid w:val="00735441"/>
    <w:rsid w:val="00735F87"/>
    <w:rsid w:val="0073659A"/>
    <w:rsid w:val="00740C4F"/>
    <w:rsid w:val="00740EDF"/>
    <w:rsid w:val="00741689"/>
    <w:rsid w:val="007418D0"/>
    <w:rsid w:val="00741A61"/>
    <w:rsid w:val="00741C69"/>
    <w:rsid w:val="0074299C"/>
    <w:rsid w:val="00742D97"/>
    <w:rsid w:val="00743766"/>
    <w:rsid w:val="0074386D"/>
    <w:rsid w:val="00743C0A"/>
    <w:rsid w:val="00743D8B"/>
    <w:rsid w:val="00744494"/>
    <w:rsid w:val="00746334"/>
    <w:rsid w:val="00747022"/>
    <w:rsid w:val="00747540"/>
    <w:rsid w:val="0075025B"/>
    <w:rsid w:val="0075107F"/>
    <w:rsid w:val="00751917"/>
    <w:rsid w:val="007522AA"/>
    <w:rsid w:val="007527C2"/>
    <w:rsid w:val="00752B1B"/>
    <w:rsid w:val="0075300F"/>
    <w:rsid w:val="00754782"/>
    <w:rsid w:val="00754CB8"/>
    <w:rsid w:val="00754D99"/>
    <w:rsid w:val="00754E5E"/>
    <w:rsid w:val="00755997"/>
    <w:rsid w:val="00755AC2"/>
    <w:rsid w:val="00756F1D"/>
    <w:rsid w:val="00757213"/>
    <w:rsid w:val="00760087"/>
    <w:rsid w:val="00760E35"/>
    <w:rsid w:val="0076107A"/>
    <w:rsid w:val="00762AE3"/>
    <w:rsid w:val="00762D4D"/>
    <w:rsid w:val="00763413"/>
    <w:rsid w:val="007637E7"/>
    <w:rsid w:val="0076428F"/>
    <w:rsid w:val="00764383"/>
    <w:rsid w:val="00764AA4"/>
    <w:rsid w:val="0076534A"/>
    <w:rsid w:val="007655C1"/>
    <w:rsid w:val="00765A47"/>
    <w:rsid w:val="007661AA"/>
    <w:rsid w:val="007664E4"/>
    <w:rsid w:val="0076679C"/>
    <w:rsid w:val="00766F2F"/>
    <w:rsid w:val="007671D2"/>
    <w:rsid w:val="007671F2"/>
    <w:rsid w:val="00767A00"/>
    <w:rsid w:val="00767A61"/>
    <w:rsid w:val="0077040F"/>
    <w:rsid w:val="00770457"/>
    <w:rsid w:val="007704FD"/>
    <w:rsid w:val="00770F62"/>
    <w:rsid w:val="00771978"/>
    <w:rsid w:val="00771A09"/>
    <w:rsid w:val="00772526"/>
    <w:rsid w:val="0077260D"/>
    <w:rsid w:val="007727EC"/>
    <w:rsid w:val="00772884"/>
    <w:rsid w:val="007733FB"/>
    <w:rsid w:val="00773780"/>
    <w:rsid w:val="00773A32"/>
    <w:rsid w:val="00774EA4"/>
    <w:rsid w:val="00774EA7"/>
    <w:rsid w:val="00774EFD"/>
    <w:rsid w:val="007750AA"/>
    <w:rsid w:val="007752B9"/>
    <w:rsid w:val="007759D0"/>
    <w:rsid w:val="00775D10"/>
    <w:rsid w:val="0077653A"/>
    <w:rsid w:val="007769F2"/>
    <w:rsid w:val="0077706F"/>
    <w:rsid w:val="007806AF"/>
    <w:rsid w:val="00780C04"/>
    <w:rsid w:val="00780D0F"/>
    <w:rsid w:val="00780ED7"/>
    <w:rsid w:val="00781142"/>
    <w:rsid w:val="00781A4C"/>
    <w:rsid w:val="00782177"/>
    <w:rsid w:val="007825D3"/>
    <w:rsid w:val="007828F6"/>
    <w:rsid w:val="00782D5E"/>
    <w:rsid w:val="00783353"/>
    <w:rsid w:val="007833B5"/>
    <w:rsid w:val="0078396D"/>
    <w:rsid w:val="007841DB"/>
    <w:rsid w:val="00784753"/>
    <w:rsid w:val="007848D4"/>
    <w:rsid w:val="00784DE7"/>
    <w:rsid w:val="00785B42"/>
    <w:rsid w:val="00785D7C"/>
    <w:rsid w:val="00785E89"/>
    <w:rsid w:val="00786C5E"/>
    <w:rsid w:val="007870C3"/>
    <w:rsid w:val="007870CA"/>
    <w:rsid w:val="007870E0"/>
    <w:rsid w:val="00787E13"/>
    <w:rsid w:val="00787F8F"/>
    <w:rsid w:val="007908CE"/>
    <w:rsid w:val="00790C60"/>
    <w:rsid w:val="00790D97"/>
    <w:rsid w:val="00791747"/>
    <w:rsid w:val="00792027"/>
    <w:rsid w:val="00792101"/>
    <w:rsid w:val="00792129"/>
    <w:rsid w:val="00792799"/>
    <w:rsid w:val="00792983"/>
    <w:rsid w:val="007939C6"/>
    <w:rsid w:val="00793EA8"/>
    <w:rsid w:val="00794D22"/>
    <w:rsid w:val="0079503F"/>
    <w:rsid w:val="00795794"/>
    <w:rsid w:val="00795FAE"/>
    <w:rsid w:val="0079602F"/>
    <w:rsid w:val="00796940"/>
    <w:rsid w:val="00796F53"/>
    <w:rsid w:val="007978E1"/>
    <w:rsid w:val="007979C3"/>
    <w:rsid w:val="007A03EF"/>
    <w:rsid w:val="007A0EEC"/>
    <w:rsid w:val="007A17D5"/>
    <w:rsid w:val="007A2A5B"/>
    <w:rsid w:val="007A2C88"/>
    <w:rsid w:val="007A4227"/>
    <w:rsid w:val="007A43E1"/>
    <w:rsid w:val="007A48FF"/>
    <w:rsid w:val="007A5004"/>
    <w:rsid w:val="007A50E1"/>
    <w:rsid w:val="007A5A11"/>
    <w:rsid w:val="007A628A"/>
    <w:rsid w:val="007A697E"/>
    <w:rsid w:val="007A7171"/>
    <w:rsid w:val="007A755E"/>
    <w:rsid w:val="007A798A"/>
    <w:rsid w:val="007A7C3A"/>
    <w:rsid w:val="007B0564"/>
    <w:rsid w:val="007B0605"/>
    <w:rsid w:val="007B0ACB"/>
    <w:rsid w:val="007B1324"/>
    <w:rsid w:val="007B17AB"/>
    <w:rsid w:val="007B20D2"/>
    <w:rsid w:val="007B24D0"/>
    <w:rsid w:val="007B2CC0"/>
    <w:rsid w:val="007B3EEF"/>
    <w:rsid w:val="007B4488"/>
    <w:rsid w:val="007B4548"/>
    <w:rsid w:val="007B471E"/>
    <w:rsid w:val="007B5536"/>
    <w:rsid w:val="007B55E7"/>
    <w:rsid w:val="007B56B6"/>
    <w:rsid w:val="007B5783"/>
    <w:rsid w:val="007B59A5"/>
    <w:rsid w:val="007B6947"/>
    <w:rsid w:val="007C0030"/>
    <w:rsid w:val="007C0181"/>
    <w:rsid w:val="007C0AF9"/>
    <w:rsid w:val="007C0FDC"/>
    <w:rsid w:val="007C115F"/>
    <w:rsid w:val="007C11C7"/>
    <w:rsid w:val="007C1997"/>
    <w:rsid w:val="007C20F5"/>
    <w:rsid w:val="007C30DB"/>
    <w:rsid w:val="007C335F"/>
    <w:rsid w:val="007C3E14"/>
    <w:rsid w:val="007C405A"/>
    <w:rsid w:val="007C508A"/>
    <w:rsid w:val="007C5249"/>
    <w:rsid w:val="007C52FF"/>
    <w:rsid w:val="007C5564"/>
    <w:rsid w:val="007C618D"/>
    <w:rsid w:val="007C6EA4"/>
    <w:rsid w:val="007C74B0"/>
    <w:rsid w:val="007C79FD"/>
    <w:rsid w:val="007C7CC5"/>
    <w:rsid w:val="007D24EF"/>
    <w:rsid w:val="007D36B1"/>
    <w:rsid w:val="007D3959"/>
    <w:rsid w:val="007D3B92"/>
    <w:rsid w:val="007D4954"/>
    <w:rsid w:val="007D52B4"/>
    <w:rsid w:val="007D5562"/>
    <w:rsid w:val="007D5A4D"/>
    <w:rsid w:val="007D5F73"/>
    <w:rsid w:val="007D6846"/>
    <w:rsid w:val="007D6C84"/>
    <w:rsid w:val="007D71F8"/>
    <w:rsid w:val="007D7E32"/>
    <w:rsid w:val="007E0FAE"/>
    <w:rsid w:val="007E1CBB"/>
    <w:rsid w:val="007E3008"/>
    <w:rsid w:val="007E43E4"/>
    <w:rsid w:val="007E5672"/>
    <w:rsid w:val="007E5BCC"/>
    <w:rsid w:val="007E5E18"/>
    <w:rsid w:val="007E5E59"/>
    <w:rsid w:val="007E703A"/>
    <w:rsid w:val="007E750D"/>
    <w:rsid w:val="007E7531"/>
    <w:rsid w:val="007E7E83"/>
    <w:rsid w:val="007F06E8"/>
    <w:rsid w:val="007F1327"/>
    <w:rsid w:val="007F1D77"/>
    <w:rsid w:val="007F20E7"/>
    <w:rsid w:val="007F25C2"/>
    <w:rsid w:val="007F2934"/>
    <w:rsid w:val="007F37EA"/>
    <w:rsid w:val="007F392F"/>
    <w:rsid w:val="007F3ADA"/>
    <w:rsid w:val="007F3E41"/>
    <w:rsid w:val="007F40B9"/>
    <w:rsid w:val="007F493C"/>
    <w:rsid w:val="007F49D7"/>
    <w:rsid w:val="007F5761"/>
    <w:rsid w:val="007F62BD"/>
    <w:rsid w:val="007F6E2C"/>
    <w:rsid w:val="007F6F22"/>
    <w:rsid w:val="007F72F7"/>
    <w:rsid w:val="00801625"/>
    <w:rsid w:val="00801804"/>
    <w:rsid w:val="00801F79"/>
    <w:rsid w:val="00802113"/>
    <w:rsid w:val="008026F8"/>
    <w:rsid w:val="00802914"/>
    <w:rsid w:val="00803576"/>
    <w:rsid w:val="00803673"/>
    <w:rsid w:val="008041B3"/>
    <w:rsid w:val="0080438A"/>
    <w:rsid w:val="008043A3"/>
    <w:rsid w:val="00804416"/>
    <w:rsid w:val="00804695"/>
    <w:rsid w:val="008048A6"/>
    <w:rsid w:val="008048C1"/>
    <w:rsid w:val="00804CF0"/>
    <w:rsid w:val="00804E59"/>
    <w:rsid w:val="008053F0"/>
    <w:rsid w:val="00805934"/>
    <w:rsid w:val="00805A66"/>
    <w:rsid w:val="00805EE7"/>
    <w:rsid w:val="00805F5F"/>
    <w:rsid w:val="00806247"/>
    <w:rsid w:val="008062B5"/>
    <w:rsid w:val="00806D10"/>
    <w:rsid w:val="00806DF9"/>
    <w:rsid w:val="00810318"/>
    <w:rsid w:val="00811468"/>
    <w:rsid w:val="00811C75"/>
    <w:rsid w:val="00811D78"/>
    <w:rsid w:val="00812574"/>
    <w:rsid w:val="00812CDC"/>
    <w:rsid w:val="008132E1"/>
    <w:rsid w:val="0081354C"/>
    <w:rsid w:val="0081394E"/>
    <w:rsid w:val="00813EDF"/>
    <w:rsid w:val="00814692"/>
    <w:rsid w:val="0081566B"/>
    <w:rsid w:val="008163C5"/>
    <w:rsid w:val="00816923"/>
    <w:rsid w:val="0081696A"/>
    <w:rsid w:val="00816CFE"/>
    <w:rsid w:val="00817049"/>
    <w:rsid w:val="00817D6F"/>
    <w:rsid w:val="008200FE"/>
    <w:rsid w:val="008202D3"/>
    <w:rsid w:val="00820999"/>
    <w:rsid w:val="00821076"/>
    <w:rsid w:val="008213E6"/>
    <w:rsid w:val="0082143F"/>
    <w:rsid w:val="00821945"/>
    <w:rsid w:val="00822432"/>
    <w:rsid w:val="00822897"/>
    <w:rsid w:val="00822E95"/>
    <w:rsid w:val="0082316C"/>
    <w:rsid w:val="008234C0"/>
    <w:rsid w:val="00823EE7"/>
    <w:rsid w:val="008245F2"/>
    <w:rsid w:val="0082462B"/>
    <w:rsid w:val="008246F6"/>
    <w:rsid w:val="00824C80"/>
    <w:rsid w:val="00824F45"/>
    <w:rsid w:val="00825D9A"/>
    <w:rsid w:val="00826190"/>
    <w:rsid w:val="008261BE"/>
    <w:rsid w:val="008262B2"/>
    <w:rsid w:val="008265D1"/>
    <w:rsid w:val="00826656"/>
    <w:rsid w:val="0082684C"/>
    <w:rsid w:val="008271E2"/>
    <w:rsid w:val="00827302"/>
    <w:rsid w:val="00827381"/>
    <w:rsid w:val="00827394"/>
    <w:rsid w:val="00827690"/>
    <w:rsid w:val="00827B02"/>
    <w:rsid w:val="00827CAD"/>
    <w:rsid w:val="00830016"/>
    <w:rsid w:val="008301B2"/>
    <w:rsid w:val="0083074F"/>
    <w:rsid w:val="00830BDE"/>
    <w:rsid w:val="00832245"/>
    <w:rsid w:val="00832329"/>
    <w:rsid w:val="008328FF"/>
    <w:rsid w:val="00832EF3"/>
    <w:rsid w:val="00833C20"/>
    <w:rsid w:val="0083405B"/>
    <w:rsid w:val="0083466D"/>
    <w:rsid w:val="00834959"/>
    <w:rsid w:val="00834BCE"/>
    <w:rsid w:val="00834DC8"/>
    <w:rsid w:val="00834EB0"/>
    <w:rsid w:val="00834FAC"/>
    <w:rsid w:val="00835207"/>
    <w:rsid w:val="00835B23"/>
    <w:rsid w:val="00835E9D"/>
    <w:rsid w:val="0083644A"/>
    <w:rsid w:val="00836D95"/>
    <w:rsid w:val="0083746E"/>
    <w:rsid w:val="008405ED"/>
    <w:rsid w:val="00840EA9"/>
    <w:rsid w:val="00841135"/>
    <w:rsid w:val="008413CA"/>
    <w:rsid w:val="00841665"/>
    <w:rsid w:val="008416CE"/>
    <w:rsid w:val="00842012"/>
    <w:rsid w:val="0084248D"/>
    <w:rsid w:val="008425D8"/>
    <w:rsid w:val="00842697"/>
    <w:rsid w:val="008429A5"/>
    <w:rsid w:val="00843764"/>
    <w:rsid w:val="008448A4"/>
    <w:rsid w:val="00847BDF"/>
    <w:rsid w:val="00850980"/>
    <w:rsid w:val="008509F0"/>
    <w:rsid w:val="00850D55"/>
    <w:rsid w:val="008515D0"/>
    <w:rsid w:val="008518E0"/>
    <w:rsid w:val="00851FA8"/>
    <w:rsid w:val="00852D53"/>
    <w:rsid w:val="008533C9"/>
    <w:rsid w:val="0085354A"/>
    <w:rsid w:val="00853585"/>
    <w:rsid w:val="00853ABC"/>
    <w:rsid w:val="00853F68"/>
    <w:rsid w:val="0085406E"/>
    <w:rsid w:val="00856085"/>
    <w:rsid w:val="0085633F"/>
    <w:rsid w:val="00857AF9"/>
    <w:rsid w:val="00857C1C"/>
    <w:rsid w:val="00860385"/>
    <w:rsid w:val="008603A2"/>
    <w:rsid w:val="00860749"/>
    <w:rsid w:val="00860A63"/>
    <w:rsid w:val="008616E5"/>
    <w:rsid w:val="0086171A"/>
    <w:rsid w:val="008618D3"/>
    <w:rsid w:val="00861E53"/>
    <w:rsid w:val="008621B2"/>
    <w:rsid w:val="00862C70"/>
    <w:rsid w:val="00863C35"/>
    <w:rsid w:val="008655EE"/>
    <w:rsid w:val="008657B6"/>
    <w:rsid w:val="00865E72"/>
    <w:rsid w:val="00865F75"/>
    <w:rsid w:val="00866957"/>
    <w:rsid w:val="0086705F"/>
    <w:rsid w:val="0086787D"/>
    <w:rsid w:val="00867D67"/>
    <w:rsid w:val="00870322"/>
    <w:rsid w:val="00870582"/>
    <w:rsid w:val="00870AFE"/>
    <w:rsid w:val="00870DD5"/>
    <w:rsid w:val="00871198"/>
    <w:rsid w:val="00872B05"/>
    <w:rsid w:val="00872C99"/>
    <w:rsid w:val="00873155"/>
    <w:rsid w:val="00873595"/>
    <w:rsid w:val="00873835"/>
    <w:rsid w:val="0087384C"/>
    <w:rsid w:val="00873D8F"/>
    <w:rsid w:val="00874387"/>
    <w:rsid w:val="00874AA2"/>
    <w:rsid w:val="00876621"/>
    <w:rsid w:val="008766DF"/>
    <w:rsid w:val="0087692A"/>
    <w:rsid w:val="00876D4B"/>
    <w:rsid w:val="00877186"/>
    <w:rsid w:val="00877668"/>
    <w:rsid w:val="00877751"/>
    <w:rsid w:val="008779D2"/>
    <w:rsid w:val="00880BB0"/>
    <w:rsid w:val="00880F43"/>
    <w:rsid w:val="008814CA"/>
    <w:rsid w:val="00881E09"/>
    <w:rsid w:val="00883681"/>
    <w:rsid w:val="00884170"/>
    <w:rsid w:val="008845D2"/>
    <w:rsid w:val="00884954"/>
    <w:rsid w:val="008852B4"/>
    <w:rsid w:val="008858E8"/>
    <w:rsid w:val="00885946"/>
    <w:rsid w:val="00885A30"/>
    <w:rsid w:val="00886024"/>
    <w:rsid w:val="00886553"/>
    <w:rsid w:val="00886A6B"/>
    <w:rsid w:val="008871AB"/>
    <w:rsid w:val="00887890"/>
    <w:rsid w:val="00887B77"/>
    <w:rsid w:val="00887D68"/>
    <w:rsid w:val="00890857"/>
    <w:rsid w:val="00890A41"/>
    <w:rsid w:val="00890B7F"/>
    <w:rsid w:val="00890E45"/>
    <w:rsid w:val="008917CB"/>
    <w:rsid w:val="008918F2"/>
    <w:rsid w:val="00892105"/>
    <w:rsid w:val="00893435"/>
    <w:rsid w:val="008937BE"/>
    <w:rsid w:val="008947D6"/>
    <w:rsid w:val="00894CAA"/>
    <w:rsid w:val="0089544A"/>
    <w:rsid w:val="00895603"/>
    <w:rsid w:val="0089568A"/>
    <w:rsid w:val="008956F7"/>
    <w:rsid w:val="00895BF6"/>
    <w:rsid w:val="0089628D"/>
    <w:rsid w:val="00896385"/>
    <w:rsid w:val="008969C5"/>
    <w:rsid w:val="00896FEA"/>
    <w:rsid w:val="008970EF"/>
    <w:rsid w:val="0089753A"/>
    <w:rsid w:val="008A000D"/>
    <w:rsid w:val="008A25F3"/>
    <w:rsid w:val="008A30D3"/>
    <w:rsid w:val="008A3474"/>
    <w:rsid w:val="008A3804"/>
    <w:rsid w:val="008A421A"/>
    <w:rsid w:val="008A475A"/>
    <w:rsid w:val="008A4AD7"/>
    <w:rsid w:val="008A4C1A"/>
    <w:rsid w:val="008A4DD4"/>
    <w:rsid w:val="008A4E00"/>
    <w:rsid w:val="008A55BA"/>
    <w:rsid w:val="008A5A43"/>
    <w:rsid w:val="008A5B23"/>
    <w:rsid w:val="008A5D27"/>
    <w:rsid w:val="008A6550"/>
    <w:rsid w:val="008A6AEC"/>
    <w:rsid w:val="008A6CBD"/>
    <w:rsid w:val="008A6ED0"/>
    <w:rsid w:val="008A72B6"/>
    <w:rsid w:val="008A732B"/>
    <w:rsid w:val="008A7B4D"/>
    <w:rsid w:val="008A7C14"/>
    <w:rsid w:val="008A7C8B"/>
    <w:rsid w:val="008A7E82"/>
    <w:rsid w:val="008A7F3F"/>
    <w:rsid w:val="008B0C13"/>
    <w:rsid w:val="008B0D6A"/>
    <w:rsid w:val="008B101A"/>
    <w:rsid w:val="008B117F"/>
    <w:rsid w:val="008B147E"/>
    <w:rsid w:val="008B16A6"/>
    <w:rsid w:val="008B1B1C"/>
    <w:rsid w:val="008B311C"/>
    <w:rsid w:val="008B31C6"/>
    <w:rsid w:val="008B389E"/>
    <w:rsid w:val="008B524E"/>
    <w:rsid w:val="008B62E4"/>
    <w:rsid w:val="008B6ECB"/>
    <w:rsid w:val="008B70D6"/>
    <w:rsid w:val="008B7851"/>
    <w:rsid w:val="008B7D74"/>
    <w:rsid w:val="008B7E7A"/>
    <w:rsid w:val="008B7F8F"/>
    <w:rsid w:val="008C0007"/>
    <w:rsid w:val="008C0AF0"/>
    <w:rsid w:val="008C2B00"/>
    <w:rsid w:val="008C311C"/>
    <w:rsid w:val="008C3124"/>
    <w:rsid w:val="008C3393"/>
    <w:rsid w:val="008C4909"/>
    <w:rsid w:val="008C5460"/>
    <w:rsid w:val="008C583E"/>
    <w:rsid w:val="008C5D10"/>
    <w:rsid w:val="008C6935"/>
    <w:rsid w:val="008C6AE6"/>
    <w:rsid w:val="008C6C58"/>
    <w:rsid w:val="008C6EE3"/>
    <w:rsid w:val="008C6FA3"/>
    <w:rsid w:val="008C707D"/>
    <w:rsid w:val="008C7171"/>
    <w:rsid w:val="008C72F4"/>
    <w:rsid w:val="008C78B6"/>
    <w:rsid w:val="008D0DBD"/>
    <w:rsid w:val="008D108B"/>
    <w:rsid w:val="008D12DB"/>
    <w:rsid w:val="008D1820"/>
    <w:rsid w:val="008D2895"/>
    <w:rsid w:val="008D2D10"/>
    <w:rsid w:val="008D370C"/>
    <w:rsid w:val="008D3E5B"/>
    <w:rsid w:val="008D42DA"/>
    <w:rsid w:val="008D4E35"/>
    <w:rsid w:val="008D52A4"/>
    <w:rsid w:val="008D5363"/>
    <w:rsid w:val="008D5C68"/>
    <w:rsid w:val="008D608A"/>
    <w:rsid w:val="008D66CA"/>
    <w:rsid w:val="008D6B9E"/>
    <w:rsid w:val="008D74BA"/>
    <w:rsid w:val="008D7533"/>
    <w:rsid w:val="008D76ED"/>
    <w:rsid w:val="008D79D4"/>
    <w:rsid w:val="008E0E11"/>
    <w:rsid w:val="008E1282"/>
    <w:rsid w:val="008E14B9"/>
    <w:rsid w:val="008E1A7D"/>
    <w:rsid w:val="008E2448"/>
    <w:rsid w:val="008E2597"/>
    <w:rsid w:val="008E2B3A"/>
    <w:rsid w:val="008E395F"/>
    <w:rsid w:val="008E3DA0"/>
    <w:rsid w:val="008E412D"/>
    <w:rsid w:val="008E48CD"/>
    <w:rsid w:val="008E4EFE"/>
    <w:rsid w:val="008E5BD6"/>
    <w:rsid w:val="008E709A"/>
    <w:rsid w:val="008E70EE"/>
    <w:rsid w:val="008E748B"/>
    <w:rsid w:val="008E7779"/>
    <w:rsid w:val="008E7AF1"/>
    <w:rsid w:val="008F0381"/>
    <w:rsid w:val="008F0B8B"/>
    <w:rsid w:val="008F0D90"/>
    <w:rsid w:val="008F12B9"/>
    <w:rsid w:val="008F161C"/>
    <w:rsid w:val="008F181D"/>
    <w:rsid w:val="008F1D67"/>
    <w:rsid w:val="008F25C7"/>
    <w:rsid w:val="008F2A20"/>
    <w:rsid w:val="008F40E4"/>
    <w:rsid w:val="008F4163"/>
    <w:rsid w:val="008F482F"/>
    <w:rsid w:val="008F5413"/>
    <w:rsid w:val="008F56B5"/>
    <w:rsid w:val="008F5808"/>
    <w:rsid w:val="008F6E40"/>
    <w:rsid w:val="008F74F8"/>
    <w:rsid w:val="008F76C7"/>
    <w:rsid w:val="008F7DD9"/>
    <w:rsid w:val="009004B3"/>
    <w:rsid w:val="009017F5"/>
    <w:rsid w:val="009020CA"/>
    <w:rsid w:val="00902D0B"/>
    <w:rsid w:val="00902E3F"/>
    <w:rsid w:val="009031F1"/>
    <w:rsid w:val="009035A4"/>
    <w:rsid w:val="00904BF6"/>
    <w:rsid w:val="00905397"/>
    <w:rsid w:val="00906026"/>
    <w:rsid w:val="009067CE"/>
    <w:rsid w:val="0090717D"/>
    <w:rsid w:val="00907B45"/>
    <w:rsid w:val="0091026C"/>
    <w:rsid w:val="00910577"/>
    <w:rsid w:val="0091085E"/>
    <w:rsid w:val="00911D49"/>
    <w:rsid w:val="00911D99"/>
    <w:rsid w:val="00912132"/>
    <w:rsid w:val="00912524"/>
    <w:rsid w:val="00912B23"/>
    <w:rsid w:val="00912EFA"/>
    <w:rsid w:val="0091348A"/>
    <w:rsid w:val="00913892"/>
    <w:rsid w:val="00913D80"/>
    <w:rsid w:val="009140BF"/>
    <w:rsid w:val="0091417B"/>
    <w:rsid w:val="00915DC8"/>
    <w:rsid w:val="009160CD"/>
    <w:rsid w:val="00916AA8"/>
    <w:rsid w:val="00917602"/>
    <w:rsid w:val="00917965"/>
    <w:rsid w:val="00917AE7"/>
    <w:rsid w:val="00920123"/>
    <w:rsid w:val="00920587"/>
    <w:rsid w:val="00920B07"/>
    <w:rsid w:val="00922D00"/>
    <w:rsid w:val="009236E8"/>
    <w:rsid w:val="009239B0"/>
    <w:rsid w:val="00923D5D"/>
    <w:rsid w:val="00923F2E"/>
    <w:rsid w:val="00924430"/>
    <w:rsid w:val="0092466F"/>
    <w:rsid w:val="00925126"/>
    <w:rsid w:val="00925A7D"/>
    <w:rsid w:val="00925F4E"/>
    <w:rsid w:val="00925F96"/>
    <w:rsid w:val="009261CC"/>
    <w:rsid w:val="009269D0"/>
    <w:rsid w:val="009274CF"/>
    <w:rsid w:val="00927A45"/>
    <w:rsid w:val="00927DC6"/>
    <w:rsid w:val="00930521"/>
    <w:rsid w:val="00930BD2"/>
    <w:rsid w:val="0093193B"/>
    <w:rsid w:val="00931A53"/>
    <w:rsid w:val="00931CF8"/>
    <w:rsid w:val="00931E6F"/>
    <w:rsid w:val="00932042"/>
    <w:rsid w:val="009331EF"/>
    <w:rsid w:val="00933358"/>
    <w:rsid w:val="0093335D"/>
    <w:rsid w:val="00933547"/>
    <w:rsid w:val="009335A0"/>
    <w:rsid w:val="00934074"/>
    <w:rsid w:val="00934512"/>
    <w:rsid w:val="00935031"/>
    <w:rsid w:val="00935A9E"/>
    <w:rsid w:val="00935BEE"/>
    <w:rsid w:val="00935DE1"/>
    <w:rsid w:val="0093608D"/>
    <w:rsid w:val="00936197"/>
    <w:rsid w:val="00936389"/>
    <w:rsid w:val="009366FA"/>
    <w:rsid w:val="00936C0C"/>
    <w:rsid w:val="00937675"/>
    <w:rsid w:val="009379F4"/>
    <w:rsid w:val="00937A75"/>
    <w:rsid w:val="00937D43"/>
    <w:rsid w:val="00937DE5"/>
    <w:rsid w:val="00937FB8"/>
    <w:rsid w:val="0094028E"/>
    <w:rsid w:val="009406AF"/>
    <w:rsid w:val="00940D1A"/>
    <w:rsid w:val="00940F18"/>
    <w:rsid w:val="00941880"/>
    <w:rsid w:val="00941D9D"/>
    <w:rsid w:val="00941DDF"/>
    <w:rsid w:val="00942434"/>
    <w:rsid w:val="00942528"/>
    <w:rsid w:val="00942827"/>
    <w:rsid w:val="00942EEF"/>
    <w:rsid w:val="00942F1C"/>
    <w:rsid w:val="00943593"/>
    <w:rsid w:val="00943A35"/>
    <w:rsid w:val="00943D22"/>
    <w:rsid w:val="00943D90"/>
    <w:rsid w:val="00944B6C"/>
    <w:rsid w:val="00944DC2"/>
    <w:rsid w:val="0094521C"/>
    <w:rsid w:val="00945E78"/>
    <w:rsid w:val="00946068"/>
    <w:rsid w:val="00946515"/>
    <w:rsid w:val="00946519"/>
    <w:rsid w:val="00946884"/>
    <w:rsid w:val="00946A58"/>
    <w:rsid w:val="009502C4"/>
    <w:rsid w:val="009508FB"/>
    <w:rsid w:val="00950929"/>
    <w:rsid w:val="00950DB2"/>
    <w:rsid w:val="00951A1E"/>
    <w:rsid w:val="00951EB5"/>
    <w:rsid w:val="00951EDA"/>
    <w:rsid w:val="0095229E"/>
    <w:rsid w:val="00952841"/>
    <w:rsid w:val="00952C0F"/>
    <w:rsid w:val="009530CA"/>
    <w:rsid w:val="00953268"/>
    <w:rsid w:val="00953482"/>
    <w:rsid w:val="00953999"/>
    <w:rsid w:val="00954A9E"/>
    <w:rsid w:val="00955027"/>
    <w:rsid w:val="00955CD6"/>
    <w:rsid w:val="0095703B"/>
    <w:rsid w:val="0095762D"/>
    <w:rsid w:val="009578B2"/>
    <w:rsid w:val="009602C8"/>
    <w:rsid w:val="00960349"/>
    <w:rsid w:val="009605EC"/>
    <w:rsid w:val="00960802"/>
    <w:rsid w:val="00960B6B"/>
    <w:rsid w:val="00960B8A"/>
    <w:rsid w:val="00960DD5"/>
    <w:rsid w:val="00961006"/>
    <w:rsid w:val="00961577"/>
    <w:rsid w:val="009617F0"/>
    <w:rsid w:val="00961966"/>
    <w:rsid w:val="00961E24"/>
    <w:rsid w:val="009621E9"/>
    <w:rsid w:val="00963336"/>
    <w:rsid w:val="00963C7A"/>
    <w:rsid w:val="00963E64"/>
    <w:rsid w:val="00963E86"/>
    <w:rsid w:val="0096473D"/>
    <w:rsid w:val="00964BFE"/>
    <w:rsid w:val="00965105"/>
    <w:rsid w:val="00965E50"/>
    <w:rsid w:val="009663FD"/>
    <w:rsid w:val="0096642B"/>
    <w:rsid w:val="00967135"/>
    <w:rsid w:val="00967318"/>
    <w:rsid w:val="00967A5F"/>
    <w:rsid w:val="00967E73"/>
    <w:rsid w:val="009700A4"/>
    <w:rsid w:val="009706EF"/>
    <w:rsid w:val="009708B8"/>
    <w:rsid w:val="009708E4"/>
    <w:rsid w:val="00970E7C"/>
    <w:rsid w:val="0097130A"/>
    <w:rsid w:val="0097169B"/>
    <w:rsid w:val="00971EFA"/>
    <w:rsid w:val="009727B6"/>
    <w:rsid w:val="009732C4"/>
    <w:rsid w:val="00973919"/>
    <w:rsid w:val="00973BF2"/>
    <w:rsid w:val="00973EAE"/>
    <w:rsid w:val="00973F4B"/>
    <w:rsid w:val="00974CBD"/>
    <w:rsid w:val="00975085"/>
    <w:rsid w:val="0097516B"/>
    <w:rsid w:val="00975745"/>
    <w:rsid w:val="00975BB3"/>
    <w:rsid w:val="0097713C"/>
    <w:rsid w:val="0097747B"/>
    <w:rsid w:val="00977E63"/>
    <w:rsid w:val="0098046F"/>
    <w:rsid w:val="0098088B"/>
    <w:rsid w:val="00980F71"/>
    <w:rsid w:val="00981190"/>
    <w:rsid w:val="00983479"/>
    <w:rsid w:val="0098375C"/>
    <w:rsid w:val="00983A9E"/>
    <w:rsid w:val="00983DE9"/>
    <w:rsid w:val="009845F8"/>
    <w:rsid w:val="00984A4A"/>
    <w:rsid w:val="00985CE1"/>
    <w:rsid w:val="00985D11"/>
    <w:rsid w:val="00986B52"/>
    <w:rsid w:val="00986B9C"/>
    <w:rsid w:val="00986C01"/>
    <w:rsid w:val="00986C2D"/>
    <w:rsid w:val="009876F9"/>
    <w:rsid w:val="00991040"/>
    <w:rsid w:val="00991A0E"/>
    <w:rsid w:val="00991D4E"/>
    <w:rsid w:val="00992E77"/>
    <w:rsid w:val="00993553"/>
    <w:rsid w:val="00993721"/>
    <w:rsid w:val="00993A96"/>
    <w:rsid w:val="00993C04"/>
    <w:rsid w:val="009943C3"/>
    <w:rsid w:val="0099446B"/>
    <w:rsid w:val="00994666"/>
    <w:rsid w:val="009952FD"/>
    <w:rsid w:val="00995FCA"/>
    <w:rsid w:val="0099608D"/>
    <w:rsid w:val="009961FC"/>
    <w:rsid w:val="009963B6"/>
    <w:rsid w:val="00996514"/>
    <w:rsid w:val="009972ED"/>
    <w:rsid w:val="00997479"/>
    <w:rsid w:val="009A0323"/>
    <w:rsid w:val="009A0C4A"/>
    <w:rsid w:val="009A0D6E"/>
    <w:rsid w:val="009A0E11"/>
    <w:rsid w:val="009A1936"/>
    <w:rsid w:val="009A1984"/>
    <w:rsid w:val="009A1AE7"/>
    <w:rsid w:val="009A218B"/>
    <w:rsid w:val="009A255A"/>
    <w:rsid w:val="009A3018"/>
    <w:rsid w:val="009A34FD"/>
    <w:rsid w:val="009A38BC"/>
    <w:rsid w:val="009A394F"/>
    <w:rsid w:val="009A3BBC"/>
    <w:rsid w:val="009A4382"/>
    <w:rsid w:val="009A4508"/>
    <w:rsid w:val="009A4552"/>
    <w:rsid w:val="009A485F"/>
    <w:rsid w:val="009A561F"/>
    <w:rsid w:val="009A5CD8"/>
    <w:rsid w:val="009A5D64"/>
    <w:rsid w:val="009A6038"/>
    <w:rsid w:val="009A647B"/>
    <w:rsid w:val="009A69B3"/>
    <w:rsid w:val="009A6A4B"/>
    <w:rsid w:val="009A6BDC"/>
    <w:rsid w:val="009A75CA"/>
    <w:rsid w:val="009A76A4"/>
    <w:rsid w:val="009A78F4"/>
    <w:rsid w:val="009B09E7"/>
    <w:rsid w:val="009B1536"/>
    <w:rsid w:val="009B1F2A"/>
    <w:rsid w:val="009B20F5"/>
    <w:rsid w:val="009B21B7"/>
    <w:rsid w:val="009B22A2"/>
    <w:rsid w:val="009B26CD"/>
    <w:rsid w:val="009B29F6"/>
    <w:rsid w:val="009B2CE9"/>
    <w:rsid w:val="009B2F0F"/>
    <w:rsid w:val="009B384B"/>
    <w:rsid w:val="009B3F50"/>
    <w:rsid w:val="009B3F63"/>
    <w:rsid w:val="009B4235"/>
    <w:rsid w:val="009B59F4"/>
    <w:rsid w:val="009B5A81"/>
    <w:rsid w:val="009B6057"/>
    <w:rsid w:val="009B671D"/>
    <w:rsid w:val="009B6B61"/>
    <w:rsid w:val="009B7182"/>
    <w:rsid w:val="009C0226"/>
    <w:rsid w:val="009C0545"/>
    <w:rsid w:val="009C071D"/>
    <w:rsid w:val="009C0E4E"/>
    <w:rsid w:val="009C13C0"/>
    <w:rsid w:val="009C17F5"/>
    <w:rsid w:val="009C2B9C"/>
    <w:rsid w:val="009C2E41"/>
    <w:rsid w:val="009C4C7B"/>
    <w:rsid w:val="009C51EE"/>
    <w:rsid w:val="009C5B54"/>
    <w:rsid w:val="009C74FB"/>
    <w:rsid w:val="009C7986"/>
    <w:rsid w:val="009C7E46"/>
    <w:rsid w:val="009D0E1B"/>
    <w:rsid w:val="009D159C"/>
    <w:rsid w:val="009D1628"/>
    <w:rsid w:val="009D25CB"/>
    <w:rsid w:val="009D28E3"/>
    <w:rsid w:val="009D297F"/>
    <w:rsid w:val="009D35AB"/>
    <w:rsid w:val="009D39E0"/>
    <w:rsid w:val="009D3A71"/>
    <w:rsid w:val="009D43BF"/>
    <w:rsid w:val="009D4740"/>
    <w:rsid w:val="009D4E2C"/>
    <w:rsid w:val="009D4FFE"/>
    <w:rsid w:val="009D5C5C"/>
    <w:rsid w:val="009D6373"/>
    <w:rsid w:val="009D64B5"/>
    <w:rsid w:val="009D6703"/>
    <w:rsid w:val="009D7A10"/>
    <w:rsid w:val="009D7FE2"/>
    <w:rsid w:val="009E071A"/>
    <w:rsid w:val="009E13CD"/>
    <w:rsid w:val="009E1721"/>
    <w:rsid w:val="009E1801"/>
    <w:rsid w:val="009E223C"/>
    <w:rsid w:val="009E23E7"/>
    <w:rsid w:val="009E255D"/>
    <w:rsid w:val="009E257E"/>
    <w:rsid w:val="009E3448"/>
    <w:rsid w:val="009E379E"/>
    <w:rsid w:val="009E39D3"/>
    <w:rsid w:val="009E3B26"/>
    <w:rsid w:val="009E43A4"/>
    <w:rsid w:val="009E43EE"/>
    <w:rsid w:val="009E4766"/>
    <w:rsid w:val="009E4D7A"/>
    <w:rsid w:val="009E5561"/>
    <w:rsid w:val="009E56B5"/>
    <w:rsid w:val="009E5E9A"/>
    <w:rsid w:val="009E660B"/>
    <w:rsid w:val="009E6C61"/>
    <w:rsid w:val="009F096D"/>
    <w:rsid w:val="009F0CF9"/>
    <w:rsid w:val="009F1923"/>
    <w:rsid w:val="009F1E5D"/>
    <w:rsid w:val="009F2134"/>
    <w:rsid w:val="009F22FB"/>
    <w:rsid w:val="009F2D7E"/>
    <w:rsid w:val="009F3191"/>
    <w:rsid w:val="009F3205"/>
    <w:rsid w:val="009F327D"/>
    <w:rsid w:val="009F4162"/>
    <w:rsid w:val="009F45EC"/>
    <w:rsid w:val="009F45EF"/>
    <w:rsid w:val="009F4B28"/>
    <w:rsid w:val="009F4BD9"/>
    <w:rsid w:val="009F4FA3"/>
    <w:rsid w:val="009F51A6"/>
    <w:rsid w:val="009F522F"/>
    <w:rsid w:val="009F614B"/>
    <w:rsid w:val="009F626C"/>
    <w:rsid w:val="009F643D"/>
    <w:rsid w:val="009F734B"/>
    <w:rsid w:val="009F7AFC"/>
    <w:rsid w:val="00A00235"/>
    <w:rsid w:val="00A00D00"/>
    <w:rsid w:val="00A00E65"/>
    <w:rsid w:val="00A01FB6"/>
    <w:rsid w:val="00A02A9A"/>
    <w:rsid w:val="00A03E67"/>
    <w:rsid w:val="00A03FBC"/>
    <w:rsid w:val="00A04255"/>
    <w:rsid w:val="00A047A0"/>
    <w:rsid w:val="00A04C7A"/>
    <w:rsid w:val="00A04EB8"/>
    <w:rsid w:val="00A05565"/>
    <w:rsid w:val="00A05845"/>
    <w:rsid w:val="00A058A3"/>
    <w:rsid w:val="00A05A32"/>
    <w:rsid w:val="00A061AB"/>
    <w:rsid w:val="00A0666E"/>
    <w:rsid w:val="00A073AC"/>
    <w:rsid w:val="00A07A66"/>
    <w:rsid w:val="00A07BF1"/>
    <w:rsid w:val="00A101EE"/>
    <w:rsid w:val="00A10ACA"/>
    <w:rsid w:val="00A10DB6"/>
    <w:rsid w:val="00A1125B"/>
    <w:rsid w:val="00A11FB1"/>
    <w:rsid w:val="00A1207E"/>
    <w:rsid w:val="00A122B6"/>
    <w:rsid w:val="00A128AD"/>
    <w:rsid w:val="00A128FF"/>
    <w:rsid w:val="00A12D4E"/>
    <w:rsid w:val="00A12FFB"/>
    <w:rsid w:val="00A1320F"/>
    <w:rsid w:val="00A13A3C"/>
    <w:rsid w:val="00A13BA5"/>
    <w:rsid w:val="00A13C3D"/>
    <w:rsid w:val="00A1452D"/>
    <w:rsid w:val="00A153F9"/>
    <w:rsid w:val="00A15629"/>
    <w:rsid w:val="00A1609B"/>
    <w:rsid w:val="00A1670D"/>
    <w:rsid w:val="00A16A02"/>
    <w:rsid w:val="00A16D7B"/>
    <w:rsid w:val="00A17087"/>
    <w:rsid w:val="00A1762C"/>
    <w:rsid w:val="00A17A86"/>
    <w:rsid w:val="00A2008A"/>
    <w:rsid w:val="00A20720"/>
    <w:rsid w:val="00A213BA"/>
    <w:rsid w:val="00A21517"/>
    <w:rsid w:val="00A222A2"/>
    <w:rsid w:val="00A22F35"/>
    <w:rsid w:val="00A231DF"/>
    <w:rsid w:val="00A2346E"/>
    <w:rsid w:val="00A234E1"/>
    <w:rsid w:val="00A23627"/>
    <w:rsid w:val="00A2368A"/>
    <w:rsid w:val="00A238AD"/>
    <w:rsid w:val="00A23EDC"/>
    <w:rsid w:val="00A25DB6"/>
    <w:rsid w:val="00A25DDC"/>
    <w:rsid w:val="00A260FB"/>
    <w:rsid w:val="00A261C0"/>
    <w:rsid w:val="00A265BC"/>
    <w:rsid w:val="00A26DDD"/>
    <w:rsid w:val="00A270B8"/>
    <w:rsid w:val="00A27AFC"/>
    <w:rsid w:val="00A30BC5"/>
    <w:rsid w:val="00A30C43"/>
    <w:rsid w:val="00A31366"/>
    <w:rsid w:val="00A31AA8"/>
    <w:rsid w:val="00A31F86"/>
    <w:rsid w:val="00A328D5"/>
    <w:rsid w:val="00A32B9E"/>
    <w:rsid w:val="00A330D9"/>
    <w:rsid w:val="00A33DF0"/>
    <w:rsid w:val="00A33E87"/>
    <w:rsid w:val="00A34282"/>
    <w:rsid w:val="00A343F1"/>
    <w:rsid w:val="00A345BF"/>
    <w:rsid w:val="00A346A9"/>
    <w:rsid w:val="00A35C94"/>
    <w:rsid w:val="00A35DE3"/>
    <w:rsid w:val="00A362CF"/>
    <w:rsid w:val="00A364A4"/>
    <w:rsid w:val="00A36824"/>
    <w:rsid w:val="00A36F40"/>
    <w:rsid w:val="00A3769C"/>
    <w:rsid w:val="00A376F5"/>
    <w:rsid w:val="00A37B9E"/>
    <w:rsid w:val="00A40C81"/>
    <w:rsid w:val="00A4189F"/>
    <w:rsid w:val="00A418B8"/>
    <w:rsid w:val="00A41DAE"/>
    <w:rsid w:val="00A421A5"/>
    <w:rsid w:val="00A42483"/>
    <w:rsid w:val="00A424C0"/>
    <w:rsid w:val="00A42C14"/>
    <w:rsid w:val="00A431F1"/>
    <w:rsid w:val="00A43519"/>
    <w:rsid w:val="00A44F0E"/>
    <w:rsid w:val="00A4529D"/>
    <w:rsid w:val="00A452D5"/>
    <w:rsid w:val="00A455CF"/>
    <w:rsid w:val="00A46D61"/>
    <w:rsid w:val="00A470AE"/>
    <w:rsid w:val="00A47106"/>
    <w:rsid w:val="00A47AE2"/>
    <w:rsid w:val="00A520E0"/>
    <w:rsid w:val="00A52471"/>
    <w:rsid w:val="00A5393C"/>
    <w:rsid w:val="00A53C8D"/>
    <w:rsid w:val="00A53E44"/>
    <w:rsid w:val="00A54279"/>
    <w:rsid w:val="00A54399"/>
    <w:rsid w:val="00A54E7B"/>
    <w:rsid w:val="00A54F39"/>
    <w:rsid w:val="00A551CC"/>
    <w:rsid w:val="00A554E2"/>
    <w:rsid w:val="00A55EDC"/>
    <w:rsid w:val="00A56511"/>
    <w:rsid w:val="00A5662F"/>
    <w:rsid w:val="00A5688B"/>
    <w:rsid w:val="00A5691D"/>
    <w:rsid w:val="00A5693E"/>
    <w:rsid w:val="00A56C33"/>
    <w:rsid w:val="00A57767"/>
    <w:rsid w:val="00A57C75"/>
    <w:rsid w:val="00A60CE3"/>
    <w:rsid w:val="00A60F9E"/>
    <w:rsid w:val="00A6150B"/>
    <w:rsid w:val="00A6163C"/>
    <w:rsid w:val="00A61820"/>
    <w:rsid w:val="00A61AF6"/>
    <w:rsid w:val="00A61C21"/>
    <w:rsid w:val="00A61CB2"/>
    <w:rsid w:val="00A62727"/>
    <w:rsid w:val="00A62ED4"/>
    <w:rsid w:val="00A62FA6"/>
    <w:rsid w:val="00A63080"/>
    <w:rsid w:val="00A631E0"/>
    <w:rsid w:val="00A63357"/>
    <w:rsid w:val="00A63414"/>
    <w:rsid w:val="00A63642"/>
    <w:rsid w:val="00A6438F"/>
    <w:rsid w:val="00A64648"/>
    <w:rsid w:val="00A649E8"/>
    <w:rsid w:val="00A6508B"/>
    <w:rsid w:val="00A654D9"/>
    <w:rsid w:val="00A65717"/>
    <w:rsid w:val="00A657F8"/>
    <w:rsid w:val="00A65DA0"/>
    <w:rsid w:val="00A666C9"/>
    <w:rsid w:val="00A679E0"/>
    <w:rsid w:val="00A7058F"/>
    <w:rsid w:val="00A70821"/>
    <w:rsid w:val="00A70D3C"/>
    <w:rsid w:val="00A7131B"/>
    <w:rsid w:val="00A715F3"/>
    <w:rsid w:val="00A7204C"/>
    <w:rsid w:val="00A72E06"/>
    <w:rsid w:val="00A72E60"/>
    <w:rsid w:val="00A731B7"/>
    <w:rsid w:val="00A732E1"/>
    <w:rsid w:val="00A7334F"/>
    <w:rsid w:val="00A73D14"/>
    <w:rsid w:val="00A73FD5"/>
    <w:rsid w:val="00A74ACE"/>
    <w:rsid w:val="00A74CDE"/>
    <w:rsid w:val="00A74F29"/>
    <w:rsid w:val="00A74F2C"/>
    <w:rsid w:val="00A7525E"/>
    <w:rsid w:val="00A7531D"/>
    <w:rsid w:val="00A75AEB"/>
    <w:rsid w:val="00A7636E"/>
    <w:rsid w:val="00A76792"/>
    <w:rsid w:val="00A7775E"/>
    <w:rsid w:val="00A77BD1"/>
    <w:rsid w:val="00A8063A"/>
    <w:rsid w:val="00A80775"/>
    <w:rsid w:val="00A80CAF"/>
    <w:rsid w:val="00A81CD3"/>
    <w:rsid w:val="00A82F1A"/>
    <w:rsid w:val="00A833C6"/>
    <w:rsid w:val="00A83974"/>
    <w:rsid w:val="00A84746"/>
    <w:rsid w:val="00A84782"/>
    <w:rsid w:val="00A84B0D"/>
    <w:rsid w:val="00A84B3B"/>
    <w:rsid w:val="00A8501E"/>
    <w:rsid w:val="00A85596"/>
    <w:rsid w:val="00A8629A"/>
    <w:rsid w:val="00A86831"/>
    <w:rsid w:val="00A86D9E"/>
    <w:rsid w:val="00A871B9"/>
    <w:rsid w:val="00A8755F"/>
    <w:rsid w:val="00A87910"/>
    <w:rsid w:val="00A90077"/>
    <w:rsid w:val="00A9024D"/>
    <w:rsid w:val="00A90436"/>
    <w:rsid w:val="00A9116B"/>
    <w:rsid w:val="00A91C4D"/>
    <w:rsid w:val="00A927D9"/>
    <w:rsid w:val="00A93104"/>
    <w:rsid w:val="00A9314F"/>
    <w:rsid w:val="00A93E33"/>
    <w:rsid w:val="00A93F0B"/>
    <w:rsid w:val="00A94033"/>
    <w:rsid w:val="00A948AD"/>
    <w:rsid w:val="00A948CA"/>
    <w:rsid w:val="00A94B27"/>
    <w:rsid w:val="00A94EF3"/>
    <w:rsid w:val="00A95E89"/>
    <w:rsid w:val="00A9609A"/>
    <w:rsid w:val="00A96712"/>
    <w:rsid w:val="00A96AF2"/>
    <w:rsid w:val="00A96BA8"/>
    <w:rsid w:val="00A96C4B"/>
    <w:rsid w:val="00A97231"/>
    <w:rsid w:val="00A97B8D"/>
    <w:rsid w:val="00A97C49"/>
    <w:rsid w:val="00AA03E8"/>
    <w:rsid w:val="00AA0947"/>
    <w:rsid w:val="00AA0C3A"/>
    <w:rsid w:val="00AA1091"/>
    <w:rsid w:val="00AA113B"/>
    <w:rsid w:val="00AA1200"/>
    <w:rsid w:val="00AA1CEC"/>
    <w:rsid w:val="00AA1DDE"/>
    <w:rsid w:val="00AA25E0"/>
    <w:rsid w:val="00AA2E55"/>
    <w:rsid w:val="00AA2F70"/>
    <w:rsid w:val="00AA3121"/>
    <w:rsid w:val="00AA3ACB"/>
    <w:rsid w:val="00AA3BC4"/>
    <w:rsid w:val="00AA3C5B"/>
    <w:rsid w:val="00AA3D7E"/>
    <w:rsid w:val="00AA3E44"/>
    <w:rsid w:val="00AA48B2"/>
    <w:rsid w:val="00AA57FA"/>
    <w:rsid w:val="00AA5BAA"/>
    <w:rsid w:val="00AA617A"/>
    <w:rsid w:val="00AA6FEA"/>
    <w:rsid w:val="00AA71C5"/>
    <w:rsid w:val="00AA73AE"/>
    <w:rsid w:val="00AA751D"/>
    <w:rsid w:val="00AA78CC"/>
    <w:rsid w:val="00AB0672"/>
    <w:rsid w:val="00AB2364"/>
    <w:rsid w:val="00AB274D"/>
    <w:rsid w:val="00AB2C18"/>
    <w:rsid w:val="00AB364B"/>
    <w:rsid w:val="00AB3BFA"/>
    <w:rsid w:val="00AB3FE9"/>
    <w:rsid w:val="00AB400B"/>
    <w:rsid w:val="00AB50F0"/>
    <w:rsid w:val="00AB515E"/>
    <w:rsid w:val="00AB5C0E"/>
    <w:rsid w:val="00AB5C12"/>
    <w:rsid w:val="00AB64CA"/>
    <w:rsid w:val="00AB6503"/>
    <w:rsid w:val="00AB6614"/>
    <w:rsid w:val="00AB67B6"/>
    <w:rsid w:val="00AB697F"/>
    <w:rsid w:val="00AB6B3C"/>
    <w:rsid w:val="00AB6ED3"/>
    <w:rsid w:val="00AC04E2"/>
    <w:rsid w:val="00AC0B00"/>
    <w:rsid w:val="00AC1538"/>
    <w:rsid w:val="00AC1B12"/>
    <w:rsid w:val="00AC1D9B"/>
    <w:rsid w:val="00AC2264"/>
    <w:rsid w:val="00AC25DA"/>
    <w:rsid w:val="00AC29CD"/>
    <w:rsid w:val="00AC2FF7"/>
    <w:rsid w:val="00AC3974"/>
    <w:rsid w:val="00AC3FFE"/>
    <w:rsid w:val="00AC43C0"/>
    <w:rsid w:val="00AC44BA"/>
    <w:rsid w:val="00AC4CEB"/>
    <w:rsid w:val="00AC4EF6"/>
    <w:rsid w:val="00AC5822"/>
    <w:rsid w:val="00AC6391"/>
    <w:rsid w:val="00AC6542"/>
    <w:rsid w:val="00AC761E"/>
    <w:rsid w:val="00AC7A14"/>
    <w:rsid w:val="00AD03BF"/>
    <w:rsid w:val="00AD0499"/>
    <w:rsid w:val="00AD05C4"/>
    <w:rsid w:val="00AD106A"/>
    <w:rsid w:val="00AD1194"/>
    <w:rsid w:val="00AD2C18"/>
    <w:rsid w:val="00AD2CF0"/>
    <w:rsid w:val="00AD2DDD"/>
    <w:rsid w:val="00AD34C0"/>
    <w:rsid w:val="00AD3D51"/>
    <w:rsid w:val="00AD40B2"/>
    <w:rsid w:val="00AD47E7"/>
    <w:rsid w:val="00AD58A0"/>
    <w:rsid w:val="00AD5D44"/>
    <w:rsid w:val="00AD65F7"/>
    <w:rsid w:val="00AD662E"/>
    <w:rsid w:val="00AD722B"/>
    <w:rsid w:val="00AE014C"/>
    <w:rsid w:val="00AE1244"/>
    <w:rsid w:val="00AE13A3"/>
    <w:rsid w:val="00AE1D41"/>
    <w:rsid w:val="00AE26AB"/>
    <w:rsid w:val="00AE3204"/>
    <w:rsid w:val="00AE3540"/>
    <w:rsid w:val="00AE3816"/>
    <w:rsid w:val="00AE3BCE"/>
    <w:rsid w:val="00AE442B"/>
    <w:rsid w:val="00AE4488"/>
    <w:rsid w:val="00AE4DF2"/>
    <w:rsid w:val="00AE4F19"/>
    <w:rsid w:val="00AE4F55"/>
    <w:rsid w:val="00AE585F"/>
    <w:rsid w:val="00AE6144"/>
    <w:rsid w:val="00AE6187"/>
    <w:rsid w:val="00AE6B58"/>
    <w:rsid w:val="00AE6F64"/>
    <w:rsid w:val="00AE745E"/>
    <w:rsid w:val="00AE7942"/>
    <w:rsid w:val="00AE7F45"/>
    <w:rsid w:val="00AF01A8"/>
    <w:rsid w:val="00AF0AF6"/>
    <w:rsid w:val="00AF0BA9"/>
    <w:rsid w:val="00AF0D3B"/>
    <w:rsid w:val="00AF0D44"/>
    <w:rsid w:val="00AF1128"/>
    <w:rsid w:val="00AF1A31"/>
    <w:rsid w:val="00AF1E14"/>
    <w:rsid w:val="00AF204F"/>
    <w:rsid w:val="00AF236B"/>
    <w:rsid w:val="00AF2751"/>
    <w:rsid w:val="00AF2A00"/>
    <w:rsid w:val="00AF3625"/>
    <w:rsid w:val="00AF3ABA"/>
    <w:rsid w:val="00AF4201"/>
    <w:rsid w:val="00AF47C4"/>
    <w:rsid w:val="00AF4B72"/>
    <w:rsid w:val="00AF4F10"/>
    <w:rsid w:val="00AF5BE7"/>
    <w:rsid w:val="00AF5C9D"/>
    <w:rsid w:val="00AF6745"/>
    <w:rsid w:val="00AF742F"/>
    <w:rsid w:val="00B001F7"/>
    <w:rsid w:val="00B0028E"/>
    <w:rsid w:val="00B0089A"/>
    <w:rsid w:val="00B01733"/>
    <w:rsid w:val="00B034D7"/>
    <w:rsid w:val="00B035EF"/>
    <w:rsid w:val="00B03838"/>
    <w:rsid w:val="00B03BF4"/>
    <w:rsid w:val="00B03DF7"/>
    <w:rsid w:val="00B0492A"/>
    <w:rsid w:val="00B05292"/>
    <w:rsid w:val="00B059DD"/>
    <w:rsid w:val="00B05E19"/>
    <w:rsid w:val="00B05F3A"/>
    <w:rsid w:val="00B064D7"/>
    <w:rsid w:val="00B06B2C"/>
    <w:rsid w:val="00B075E3"/>
    <w:rsid w:val="00B076E4"/>
    <w:rsid w:val="00B10059"/>
    <w:rsid w:val="00B102EB"/>
    <w:rsid w:val="00B1102B"/>
    <w:rsid w:val="00B11F31"/>
    <w:rsid w:val="00B122A1"/>
    <w:rsid w:val="00B125BB"/>
    <w:rsid w:val="00B126A2"/>
    <w:rsid w:val="00B136DF"/>
    <w:rsid w:val="00B14383"/>
    <w:rsid w:val="00B143DC"/>
    <w:rsid w:val="00B148DC"/>
    <w:rsid w:val="00B14AAE"/>
    <w:rsid w:val="00B14B0C"/>
    <w:rsid w:val="00B14E39"/>
    <w:rsid w:val="00B14F71"/>
    <w:rsid w:val="00B166A4"/>
    <w:rsid w:val="00B17569"/>
    <w:rsid w:val="00B17D9E"/>
    <w:rsid w:val="00B20036"/>
    <w:rsid w:val="00B20260"/>
    <w:rsid w:val="00B20764"/>
    <w:rsid w:val="00B20AFE"/>
    <w:rsid w:val="00B20D46"/>
    <w:rsid w:val="00B20D9D"/>
    <w:rsid w:val="00B21202"/>
    <w:rsid w:val="00B2153E"/>
    <w:rsid w:val="00B21AD8"/>
    <w:rsid w:val="00B21C72"/>
    <w:rsid w:val="00B22004"/>
    <w:rsid w:val="00B22226"/>
    <w:rsid w:val="00B229A0"/>
    <w:rsid w:val="00B22A17"/>
    <w:rsid w:val="00B22A2E"/>
    <w:rsid w:val="00B22B28"/>
    <w:rsid w:val="00B23853"/>
    <w:rsid w:val="00B23A54"/>
    <w:rsid w:val="00B240EF"/>
    <w:rsid w:val="00B24346"/>
    <w:rsid w:val="00B245CA"/>
    <w:rsid w:val="00B2481F"/>
    <w:rsid w:val="00B249CF"/>
    <w:rsid w:val="00B24AD8"/>
    <w:rsid w:val="00B24E2F"/>
    <w:rsid w:val="00B25291"/>
    <w:rsid w:val="00B2566C"/>
    <w:rsid w:val="00B25D36"/>
    <w:rsid w:val="00B26709"/>
    <w:rsid w:val="00B26AF2"/>
    <w:rsid w:val="00B273A8"/>
    <w:rsid w:val="00B277C6"/>
    <w:rsid w:val="00B2797A"/>
    <w:rsid w:val="00B279EF"/>
    <w:rsid w:val="00B301D1"/>
    <w:rsid w:val="00B302D5"/>
    <w:rsid w:val="00B30DF0"/>
    <w:rsid w:val="00B314BF"/>
    <w:rsid w:val="00B31AC6"/>
    <w:rsid w:val="00B3215A"/>
    <w:rsid w:val="00B32B29"/>
    <w:rsid w:val="00B333B6"/>
    <w:rsid w:val="00B3435E"/>
    <w:rsid w:val="00B34B46"/>
    <w:rsid w:val="00B34CFC"/>
    <w:rsid w:val="00B35122"/>
    <w:rsid w:val="00B352F3"/>
    <w:rsid w:val="00B35722"/>
    <w:rsid w:val="00B36894"/>
    <w:rsid w:val="00B3708E"/>
    <w:rsid w:val="00B370A1"/>
    <w:rsid w:val="00B37514"/>
    <w:rsid w:val="00B377CF"/>
    <w:rsid w:val="00B37E04"/>
    <w:rsid w:val="00B37E54"/>
    <w:rsid w:val="00B40B62"/>
    <w:rsid w:val="00B40CC8"/>
    <w:rsid w:val="00B418DB"/>
    <w:rsid w:val="00B41A9E"/>
    <w:rsid w:val="00B4206A"/>
    <w:rsid w:val="00B420D6"/>
    <w:rsid w:val="00B42C7E"/>
    <w:rsid w:val="00B42E9E"/>
    <w:rsid w:val="00B42EC5"/>
    <w:rsid w:val="00B42FD1"/>
    <w:rsid w:val="00B43329"/>
    <w:rsid w:val="00B43A9A"/>
    <w:rsid w:val="00B43D04"/>
    <w:rsid w:val="00B44137"/>
    <w:rsid w:val="00B44287"/>
    <w:rsid w:val="00B44863"/>
    <w:rsid w:val="00B44A55"/>
    <w:rsid w:val="00B44BD5"/>
    <w:rsid w:val="00B44D4F"/>
    <w:rsid w:val="00B452D8"/>
    <w:rsid w:val="00B45BA0"/>
    <w:rsid w:val="00B45BBD"/>
    <w:rsid w:val="00B45DF1"/>
    <w:rsid w:val="00B45F8F"/>
    <w:rsid w:val="00B46364"/>
    <w:rsid w:val="00B46D4C"/>
    <w:rsid w:val="00B46DC2"/>
    <w:rsid w:val="00B46E48"/>
    <w:rsid w:val="00B47E72"/>
    <w:rsid w:val="00B508F6"/>
    <w:rsid w:val="00B51224"/>
    <w:rsid w:val="00B5123E"/>
    <w:rsid w:val="00B513AD"/>
    <w:rsid w:val="00B51657"/>
    <w:rsid w:val="00B5174D"/>
    <w:rsid w:val="00B51780"/>
    <w:rsid w:val="00B518DA"/>
    <w:rsid w:val="00B52C41"/>
    <w:rsid w:val="00B535E0"/>
    <w:rsid w:val="00B53DD0"/>
    <w:rsid w:val="00B540F5"/>
    <w:rsid w:val="00B54AD4"/>
    <w:rsid w:val="00B54D18"/>
    <w:rsid w:val="00B54F04"/>
    <w:rsid w:val="00B558CC"/>
    <w:rsid w:val="00B55D2D"/>
    <w:rsid w:val="00B56505"/>
    <w:rsid w:val="00B56845"/>
    <w:rsid w:val="00B56F83"/>
    <w:rsid w:val="00B574EA"/>
    <w:rsid w:val="00B57693"/>
    <w:rsid w:val="00B57E2A"/>
    <w:rsid w:val="00B57E4D"/>
    <w:rsid w:val="00B6002C"/>
    <w:rsid w:val="00B60802"/>
    <w:rsid w:val="00B6103D"/>
    <w:rsid w:val="00B61310"/>
    <w:rsid w:val="00B62564"/>
    <w:rsid w:val="00B6297A"/>
    <w:rsid w:val="00B62C5E"/>
    <w:rsid w:val="00B638D0"/>
    <w:rsid w:val="00B63BC0"/>
    <w:rsid w:val="00B63CA6"/>
    <w:rsid w:val="00B63ED5"/>
    <w:rsid w:val="00B63F1D"/>
    <w:rsid w:val="00B63F24"/>
    <w:rsid w:val="00B646BE"/>
    <w:rsid w:val="00B64BD8"/>
    <w:rsid w:val="00B64C42"/>
    <w:rsid w:val="00B64F94"/>
    <w:rsid w:val="00B661F8"/>
    <w:rsid w:val="00B663CB"/>
    <w:rsid w:val="00B66609"/>
    <w:rsid w:val="00B673C4"/>
    <w:rsid w:val="00B70A62"/>
    <w:rsid w:val="00B72E21"/>
    <w:rsid w:val="00B7375F"/>
    <w:rsid w:val="00B7388F"/>
    <w:rsid w:val="00B73969"/>
    <w:rsid w:val="00B73B48"/>
    <w:rsid w:val="00B74FA5"/>
    <w:rsid w:val="00B75350"/>
    <w:rsid w:val="00B75507"/>
    <w:rsid w:val="00B763C3"/>
    <w:rsid w:val="00B76A30"/>
    <w:rsid w:val="00B76C4C"/>
    <w:rsid w:val="00B76F89"/>
    <w:rsid w:val="00B77402"/>
    <w:rsid w:val="00B77512"/>
    <w:rsid w:val="00B80665"/>
    <w:rsid w:val="00B80AA4"/>
    <w:rsid w:val="00B80BC5"/>
    <w:rsid w:val="00B80DC9"/>
    <w:rsid w:val="00B80E36"/>
    <w:rsid w:val="00B810DF"/>
    <w:rsid w:val="00B81E4F"/>
    <w:rsid w:val="00B81F9C"/>
    <w:rsid w:val="00B81FC8"/>
    <w:rsid w:val="00B82173"/>
    <w:rsid w:val="00B82C7C"/>
    <w:rsid w:val="00B82D4A"/>
    <w:rsid w:val="00B82FF9"/>
    <w:rsid w:val="00B8335B"/>
    <w:rsid w:val="00B8388E"/>
    <w:rsid w:val="00B83A4B"/>
    <w:rsid w:val="00B84139"/>
    <w:rsid w:val="00B8479F"/>
    <w:rsid w:val="00B84864"/>
    <w:rsid w:val="00B84974"/>
    <w:rsid w:val="00B84A18"/>
    <w:rsid w:val="00B84A19"/>
    <w:rsid w:val="00B84C88"/>
    <w:rsid w:val="00B85700"/>
    <w:rsid w:val="00B85E2F"/>
    <w:rsid w:val="00B863D1"/>
    <w:rsid w:val="00B86713"/>
    <w:rsid w:val="00B86F99"/>
    <w:rsid w:val="00B9037C"/>
    <w:rsid w:val="00B90850"/>
    <w:rsid w:val="00B9088E"/>
    <w:rsid w:val="00B911AE"/>
    <w:rsid w:val="00B91578"/>
    <w:rsid w:val="00B91A60"/>
    <w:rsid w:val="00B91E91"/>
    <w:rsid w:val="00B92886"/>
    <w:rsid w:val="00B92C78"/>
    <w:rsid w:val="00B92E0C"/>
    <w:rsid w:val="00B95A9F"/>
    <w:rsid w:val="00B95B48"/>
    <w:rsid w:val="00B96141"/>
    <w:rsid w:val="00B96F20"/>
    <w:rsid w:val="00B97062"/>
    <w:rsid w:val="00B970E1"/>
    <w:rsid w:val="00B9714D"/>
    <w:rsid w:val="00B971DF"/>
    <w:rsid w:val="00B97334"/>
    <w:rsid w:val="00B979DC"/>
    <w:rsid w:val="00BA0E79"/>
    <w:rsid w:val="00BA1614"/>
    <w:rsid w:val="00BA19FF"/>
    <w:rsid w:val="00BA1C87"/>
    <w:rsid w:val="00BA225D"/>
    <w:rsid w:val="00BA2A4F"/>
    <w:rsid w:val="00BA2F2D"/>
    <w:rsid w:val="00BA32C0"/>
    <w:rsid w:val="00BA4206"/>
    <w:rsid w:val="00BA549B"/>
    <w:rsid w:val="00BA5BB5"/>
    <w:rsid w:val="00BA648B"/>
    <w:rsid w:val="00BA668C"/>
    <w:rsid w:val="00BA6838"/>
    <w:rsid w:val="00BA6CE2"/>
    <w:rsid w:val="00BA7327"/>
    <w:rsid w:val="00BA78C4"/>
    <w:rsid w:val="00BA7AA9"/>
    <w:rsid w:val="00BA7D2F"/>
    <w:rsid w:val="00BB0287"/>
    <w:rsid w:val="00BB0925"/>
    <w:rsid w:val="00BB0A47"/>
    <w:rsid w:val="00BB1FD4"/>
    <w:rsid w:val="00BB2036"/>
    <w:rsid w:val="00BB206A"/>
    <w:rsid w:val="00BB22F5"/>
    <w:rsid w:val="00BB230B"/>
    <w:rsid w:val="00BB2602"/>
    <w:rsid w:val="00BB29D4"/>
    <w:rsid w:val="00BB32D5"/>
    <w:rsid w:val="00BB33EA"/>
    <w:rsid w:val="00BB37DF"/>
    <w:rsid w:val="00BB3C17"/>
    <w:rsid w:val="00BB4AD4"/>
    <w:rsid w:val="00BB4BC4"/>
    <w:rsid w:val="00BB58F3"/>
    <w:rsid w:val="00BB5A58"/>
    <w:rsid w:val="00BB66BC"/>
    <w:rsid w:val="00BB724E"/>
    <w:rsid w:val="00BB7869"/>
    <w:rsid w:val="00BB7C5F"/>
    <w:rsid w:val="00BB7E34"/>
    <w:rsid w:val="00BB7E88"/>
    <w:rsid w:val="00BC0265"/>
    <w:rsid w:val="00BC0605"/>
    <w:rsid w:val="00BC0FD7"/>
    <w:rsid w:val="00BC163B"/>
    <w:rsid w:val="00BC1A78"/>
    <w:rsid w:val="00BC1BF5"/>
    <w:rsid w:val="00BC1D02"/>
    <w:rsid w:val="00BC3C03"/>
    <w:rsid w:val="00BC3D93"/>
    <w:rsid w:val="00BC3F59"/>
    <w:rsid w:val="00BC44B6"/>
    <w:rsid w:val="00BC454B"/>
    <w:rsid w:val="00BC49E0"/>
    <w:rsid w:val="00BC4F1B"/>
    <w:rsid w:val="00BC50E1"/>
    <w:rsid w:val="00BC53FA"/>
    <w:rsid w:val="00BC60BB"/>
    <w:rsid w:val="00BC6466"/>
    <w:rsid w:val="00BC660C"/>
    <w:rsid w:val="00BC6707"/>
    <w:rsid w:val="00BC787C"/>
    <w:rsid w:val="00BC7D43"/>
    <w:rsid w:val="00BD005E"/>
    <w:rsid w:val="00BD1AE1"/>
    <w:rsid w:val="00BD1CAE"/>
    <w:rsid w:val="00BD1DA8"/>
    <w:rsid w:val="00BD2EA3"/>
    <w:rsid w:val="00BD30E3"/>
    <w:rsid w:val="00BD3298"/>
    <w:rsid w:val="00BD32F0"/>
    <w:rsid w:val="00BD3425"/>
    <w:rsid w:val="00BD3B14"/>
    <w:rsid w:val="00BD478E"/>
    <w:rsid w:val="00BD4B41"/>
    <w:rsid w:val="00BD4E72"/>
    <w:rsid w:val="00BD6C7C"/>
    <w:rsid w:val="00BD709D"/>
    <w:rsid w:val="00BE03BA"/>
    <w:rsid w:val="00BE070C"/>
    <w:rsid w:val="00BE0B12"/>
    <w:rsid w:val="00BE1241"/>
    <w:rsid w:val="00BE1614"/>
    <w:rsid w:val="00BE18E6"/>
    <w:rsid w:val="00BE1B1C"/>
    <w:rsid w:val="00BE1D0E"/>
    <w:rsid w:val="00BE1E5B"/>
    <w:rsid w:val="00BE2532"/>
    <w:rsid w:val="00BE254A"/>
    <w:rsid w:val="00BE2635"/>
    <w:rsid w:val="00BE286C"/>
    <w:rsid w:val="00BE3749"/>
    <w:rsid w:val="00BE3858"/>
    <w:rsid w:val="00BE446D"/>
    <w:rsid w:val="00BE4678"/>
    <w:rsid w:val="00BE49A9"/>
    <w:rsid w:val="00BE4A0A"/>
    <w:rsid w:val="00BE4B21"/>
    <w:rsid w:val="00BE52EC"/>
    <w:rsid w:val="00BE57F7"/>
    <w:rsid w:val="00BE6204"/>
    <w:rsid w:val="00BE6272"/>
    <w:rsid w:val="00BE63D6"/>
    <w:rsid w:val="00BE7D5B"/>
    <w:rsid w:val="00BF0FEA"/>
    <w:rsid w:val="00BF1BBE"/>
    <w:rsid w:val="00BF33EF"/>
    <w:rsid w:val="00BF35A6"/>
    <w:rsid w:val="00BF4CFA"/>
    <w:rsid w:val="00BF5426"/>
    <w:rsid w:val="00BF5FBC"/>
    <w:rsid w:val="00BF66DA"/>
    <w:rsid w:val="00BF76C2"/>
    <w:rsid w:val="00C006F9"/>
    <w:rsid w:val="00C00993"/>
    <w:rsid w:val="00C00D15"/>
    <w:rsid w:val="00C01D79"/>
    <w:rsid w:val="00C02209"/>
    <w:rsid w:val="00C02A99"/>
    <w:rsid w:val="00C02B79"/>
    <w:rsid w:val="00C02D6A"/>
    <w:rsid w:val="00C02E3E"/>
    <w:rsid w:val="00C0303F"/>
    <w:rsid w:val="00C03842"/>
    <w:rsid w:val="00C04032"/>
    <w:rsid w:val="00C047E6"/>
    <w:rsid w:val="00C04FCE"/>
    <w:rsid w:val="00C0512E"/>
    <w:rsid w:val="00C05D31"/>
    <w:rsid w:val="00C05EB8"/>
    <w:rsid w:val="00C073BB"/>
    <w:rsid w:val="00C0763D"/>
    <w:rsid w:val="00C0778D"/>
    <w:rsid w:val="00C104C4"/>
    <w:rsid w:val="00C109AF"/>
    <w:rsid w:val="00C112D8"/>
    <w:rsid w:val="00C1130E"/>
    <w:rsid w:val="00C1184C"/>
    <w:rsid w:val="00C119F5"/>
    <w:rsid w:val="00C11EA9"/>
    <w:rsid w:val="00C122CE"/>
    <w:rsid w:val="00C130B9"/>
    <w:rsid w:val="00C13DCA"/>
    <w:rsid w:val="00C143D8"/>
    <w:rsid w:val="00C14428"/>
    <w:rsid w:val="00C14652"/>
    <w:rsid w:val="00C14DC4"/>
    <w:rsid w:val="00C15BDE"/>
    <w:rsid w:val="00C15F88"/>
    <w:rsid w:val="00C162AF"/>
    <w:rsid w:val="00C166AD"/>
    <w:rsid w:val="00C16C0A"/>
    <w:rsid w:val="00C17233"/>
    <w:rsid w:val="00C1742D"/>
    <w:rsid w:val="00C20361"/>
    <w:rsid w:val="00C20A30"/>
    <w:rsid w:val="00C20C6A"/>
    <w:rsid w:val="00C20CF6"/>
    <w:rsid w:val="00C20DB6"/>
    <w:rsid w:val="00C20F91"/>
    <w:rsid w:val="00C21089"/>
    <w:rsid w:val="00C21199"/>
    <w:rsid w:val="00C213E6"/>
    <w:rsid w:val="00C21DA4"/>
    <w:rsid w:val="00C21E8E"/>
    <w:rsid w:val="00C22282"/>
    <w:rsid w:val="00C227CB"/>
    <w:rsid w:val="00C22EE3"/>
    <w:rsid w:val="00C23214"/>
    <w:rsid w:val="00C23441"/>
    <w:rsid w:val="00C23529"/>
    <w:rsid w:val="00C23803"/>
    <w:rsid w:val="00C23D9F"/>
    <w:rsid w:val="00C24279"/>
    <w:rsid w:val="00C245B3"/>
    <w:rsid w:val="00C2472C"/>
    <w:rsid w:val="00C24942"/>
    <w:rsid w:val="00C24F72"/>
    <w:rsid w:val="00C25666"/>
    <w:rsid w:val="00C25864"/>
    <w:rsid w:val="00C265BE"/>
    <w:rsid w:val="00C26C5A"/>
    <w:rsid w:val="00C26E37"/>
    <w:rsid w:val="00C27397"/>
    <w:rsid w:val="00C27752"/>
    <w:rsid w:val="00C30E23"/>
    <w:rsid w:val="00C31521"/>
    <w:rsid w:val="00C319C2"/>
    <w:rsid w:val="00C322F9"/>
    <w:rsid w:val="00C3336D"/>
    <w:rsid w:val="00C33B2A"/>
    <w:rsid w:val="00C34583"/>
    <w:rsid w:val="00C34FBD"/>
    <w:rsid w:val="00C3698E"/>
    <w:rsid w:val="00C36E37"/>
    <w:rsid w:val="00C36FDB"/>
    <w:rsid w:val="00C3770C"/>
    <w:rsid w:val="00C3790F"/>
    <w:rsid w:val="00C4002C"/>
    <w:rsid w:val="00C403D0"/>
    <w:rsid w:val="00C4068F"/>
    <w:rsid w:val="00C406FA"/>
    <w:rsid w:val="00C40BA7"/>
    <w:rsid w:val="00C41315"/>
    <w:rsid w:val="00C41A1C"/>
    <w:rsid w:val="00C41BF2"/>
    <w:rsid w:val="00C4219C"/>
    <w:rsid w:val="00C42532"/>
    <w:rsid w:val="00C42619"/>
    <w:rsid w:val="00C434CC"/>
    <w:rsid w:val="00C440D8"/>
    <w:rsid w:val="00C442FF"/>
    <w:rsid w:val="00C46202"/>
    <w:rsid w:val="00C4712D"/>
    <w:rsid w:val="00C4731E"/>
    <w:rsid w:val="00C50051"/>
    <w:rsid w:val="00C5011D"/>
    <w:rsid w:val="00C5096E"/>
    <w:rsid w:val="00C50FEA"/>
    <w:rsid w:val="00C511B6"/>
    <w:rsid w:val="00C52743"/>
    <w:rsid w:val="00C52817"/>
    <w:rsid w:val="00C5283A"/>
    <w:rsid w:val="00C529D0"/>
    <w:rsid w:val="00C52AE3"/>
    <w:rsid w:val="00C52DA2"/>
    <w:rsid w:val="00C52FF6"/>
    <w:rsid w:val="00C53E80"/>
    <w:rsid w:val="00C53F26"/>
    <w:rsid w:val="00C547BD"/>
    <w:rsid w:val="00C554B3"/>
    <w:rsid w:val="00C5551D"/>
    <w:rsid w:val="00C555C9"/>
    <w:rsid w:val="00C562FC"/>
    <w:rsid w:val="00C56E91"/>
    <w:rsid w:val="00C57239"/>
    <w:rsid w:val="00C57579"/>
    <w:rsid w:val="00C57957"/>
    <w:rsid w:val="00C57F9D"/>
    <w:rsid w:val="00C60B8A"/>
    <w:rsid w:val="00C6111A"/>
    <w:rsid w:val="00C613A9"/>
    <w:rsid w:val="00C615BE"/>
    <w:rsid w:val="00C61697"/>
    <w:rsid w:val="00C62165"/>
    <w:rsid w:val="00C627C4"/>
    <w:rsid w:val="00C6286C"/>
    <w:rsid w:val="00C62C18"/>
    <w:rsid w:val="00C62F5A"/>
    <w:rsid w:val="00C635E0"/>
    <w:rsid w:val="00C63AA7"/>
    <w:rsid w:val="00C63EA3"/>
    <w:rsid w:val="00C64147"/>
    <w:rsid w:val="00C64759"/>
    <w:rsid w:val="00C64BC1"/>
    <w:rsid w:val="00C64CD6"/>
    <w:rsid w:val="00C658AC"/>
    <w:rsid w:val="00C6617F"/>
    <w:rsid w:val="00C665B8"/>
    <w:rsid w:val="00C66770"/>
    <w:rsid w:val="00C66BF7"/>
    <w:rsid w:val="00C6750A"/>
    <w:rsid w:val="00C6784E"/>
    <w:rsid w:val="00C7020C"/>
    <w:rsid w:val="00C711C6"/>
    <w:rsid w:val="00C71278"/>
    <w:rsid w:val="00C712FF"/>
    <w:rsid w:val="00C718BC"/>
    <w:rsid w:val="00C71A19"/>
    <w:rsid w:val="00C71EA3"/>
    <w:rsid w:val="00C7220B"/>
    <w:rsid w:val="00C72640"/>
    <w:rsid w:val="00C733FB"/>
    <w:rsid w:val="00C73553"/>
    <w:rsid w:val="00C73DB0"/>
    <w:rsid w:val="00C751CC"/>
    <w:rsid w:val="00C75200"/>
    <w:rsid w:val="00C75B68"/>
    <w:rsid w:val="00C75C40"/>
    <w:rsid w:val="00C763A5"/>
    <w:rsid w:val="00C766FA"/>
    <w:rsid w:val="00C768A8"/>
    <w:rsid w:val="00C76BD1"/>
    <w:rsid w:val="00C77133"/>
    <w:rsid w:val="00C77742"/>
    <w:rsid w:val="00C7781D"/>
    <w:rsid w:val="00C77C55"/>
    <w:rsid w:val="00C804FA"/>
    <w:rsid w:val="00C80665"/>
    <w:rsid w:val="00C81F16"/>
    <w:rsid w:val="00C82B05"/>
    <w:rsid w:val="00C82BFE"/>
    <w:rsid w:val="00C83210"/>
    <w:rsid w:val="00C83931"/>
    <w:rsid w:val="00C84BE1"/>
    <w:rsid w:val="00C85FCE"/>
    <w:rsid w:val="00C87494"/>
    <w:rsid w:val="00C8785E"/>
    <w:rsid w:val="00C87EC3"/>
    <w:rsid w:val="00C906FF"/>
    <w:rsid w:val="00C913E0"/>
    <w:rsid w:val="00C919B2"/>
    <w:rsid w:val="00C91BB1"/>
    <w:rsid w:val="00C92473"/>
    <w:rsid w:val="00C93BF7"/>
    <w:rsid w:val="00C9422A"/>
    <w:rsid w:val="00C94A68"/>
    <w:rsid w:val="00C94A9C"/>
    <w:rsid w:val="00C9508B"/>
    <w:rsid w:val="00C95702"/>
    <w:rsid w:val="00C95BE4"/>
    <w:rsid w:val="00C9627D"/>
    <w:rsid w:val="00C965E5"/>
    <w:rsid w:val="00C96B90"/>
    <w:rsid w:val="00C976E3"/>
    <w:rsid w:val="00CA04B5"/>
    <w:rsid w:val="00CA04B9"/>
    <w:rsid w:val="00CA0570"/>
    <w:rsid w:val="00CA05AA"/>
    <w:rsid w:val="00CA10DC"/>
    <w:rsid w:val="00CA16D6"/>
    <w:rsid w:val="00CA1884"/>
    <w:rsid w:val="00CA2602"/>
    <w:rsid w:val="00CA261B"/>
    <w:rsid w:val="00CA2764"/>
    <w:rsid w:val="00CA2881"/>
    <w:rsid w:val="00CA3A39"/>
    <w:rsid w:val="00CA3B84"/>
    <w:rsid w:val="00CA3BC4"/>
    <w:rsid w:val="00CA3EFC"/>
    <w:rsid w:val="00CA3F79"/>
    <w:rsid w:val="00CA4692"/>
    <w:rsid w:val="00CA50A7"/>
    <w:rsid w:val="00CA6B73"/>
    <w:rsid w:val="00CA6F32"/>
    <w:rsid w:val="00CB0044"/>
    <w:rsid w:val="00CB1021"/>
    <w:rsid w:val="00CB1212"/>
    <w:rsid w:val="00CB1C5E"/>
    <w:rsid w:val="00CB1CC5"/>
    <w:rsid w:val="00CB1EB4"/>
    <w:rsid w:val="00CB1EB8"/>
    <w:rsid w:val="00CB28F0"/>
    <w:rsid w:val="00CB2EC0"/>
    <w:rsid w:val="00CB35A1"/>
    <w:rsid w:val="00CB3FC5"/>
    <w:rsid w:val="00CB4299"/>
    <w:rsid w:val="00CB4502"/>
    <w:rsid w:val="00CB45E8"/>
    <w:rsid w:val="00CB475A"/>
    <w:rsid w:val="00CB4A69"/>
    <w:rsid w:val="00CB4D9C"/>
    <w:rsid w:val="00CB4F04"/>
    <w:rsid w:val="00CB5431"/>
    <w:rsid w:val="00CB5C36"/>
    <w:rsid w:val="00CB619A"/>
    <w:rsid w:val="00CB6951"/>
    <w:rsid w:val="00CB6EB7"/>
    <w:rsid w:val="00CB7607"/>
    <w:rsid w:val="00CC0022"/>
    <w:rsid w:val="00CC01F1"/>
    <w:rsid w:val="00CC02DD"/>
    <w:rsid w:val="00CC0843"/>
    <w:rsid w:val="00CC086E"/>
    <w:rsid w:val="00CC08EA"/>
    <w:rsid w:val="00CC0912"/>
    <w:rsid w:val="00CC0BDC"/>
    <w:rsid w:val="00CC10CE"/>
    <w:rsid w:val="00CC17E0"/>
    <w:rsid w:val="00CC17E3"/>
    <w:rsid w:val="00CC1BCA"/>
    <w:rsid w:val="00CC1E81"/>
    <w:rsid w:val="00CC2BF5"/>
    <w:rsid w:val="00CC2C84"/>
    <w:rsid w:val="00CC3A42"/>
    <w:rsid w:val="00CC4060"/>
    <w:rsid w:val="00CC41F7"/>
    <w:rsid w:val="00CC475D"/>
    <w:rsid w:val="00CC48ED"/>
    <w:rsid w:val="00CC4FA0"/>
    <w:rsid w:val="00CC5283"/>
    <w:rsid w:val="00CC5D64"/>
    <w:rsid w:val="00CC5F8E"/>
    <w:rsid w:val="00CC6564"/>
    <w:rsid w:val="00CC7220"/>
    <w:rsid w:val="00CC73F2"/>
    <w:rsid w:val="00CC762C"/>
    <w:rsid w:val="00CC7D4B"/>
    <w:rsid w:val="00CD08CC"/>
    <w:rsid w:val="00CD0935"/>
    <w:rsid w:val="00CD113C"/>
    <w:rsid w:val="00CD11F5"/>
    <w:rsid w:val="00CD129A"/>
    <w:rsid w:val="00CD135D"/>
    <w:rsid w:val="00CD1F43"/>
    <w:rsid w:val="00CD21B8"/>
    <w:rsid w:val="00CD2370"/>
    <w:rsid w:val="00CD24DC"/>
    <w:rsid w:val="00CD2830"/>
    <w:rsid w:val="00CD2AE5"/>
    <w:rsid w:val="00CD2FEF"/>
    <w:rsid w:val="00CD3CB6"/>
    <w:rsid w:val="00CD3DE8"/>
    <w:rsid w:val="00CD4697"/>
    <w:rsid w:val="00CD46B0"/>
    <w:rsid w:val="00CD4921"/>
    <w:rsid w:val="00CD5092"/>
    <w:rsid w:val="00CD5331"/>
    <w:rsid w:val="00CD5C3D"/>
    <w:rsid w:val="00CD5CD7"/>
    <w:rsid w:val="00CD5EF7"/>
    <w:rsid w:val="00CD632A"/>
    <w:rsid w:val="00CD632B"/>
    <w:rsid w:val="00CD6356"/>
    <w:rsid w:val="00CD70B7"/>
    <w:rsid w:val="00CD738A"/>
    <w:rsid w:val="00CD7556"/>
    <w:rsid w:val="00CD7BEE"/>
    <w:rsid w:val="00CE05DF"/>
    <w:rsid w:val="00CE068E"/>
    <w:rsid w:val="00CE106F"/>
    <w:rsid w:val="00CE1A65"/>
    <w:rsid w:val="00CE2458"/>
    <w:rsid w:val="00CE272E"/>
    <w:rsid w:val="00CE2ACF"/>
    <w:rsid w:val="00CE3583"/>
    <w:rsid w:val="00CE36DE"/>
    <w:rsid w:val="00CE3BCD"/>
    <w:rsid w:val="00CE3F35"/>
    <w:rsid w:val="00CE4930"/>
    <w:rsid w:val="00CE5C46"/>
    <w:rsid w:val="00CE6557"/>
    <w:rsid w:val="00CE66CF"/>
    <w:rsid w:val="00CE66DF"/>
    <w:rsid w:val="00CE6752"/>
    <w:rsid w:val="00CE677A"/>
    <w:rsid w:val="00CE6AC2"/>
    <w:rsid w:val="00CE6CEA"/>
    <w:rsid w:val="00CE70DA"/>
    <w:rsid w:val="00CE7577"/>
    <w:rsid w:val="00CE7962"/>
    <w:rsid w:val="00CF06FE"/>
    <w:rsid w:val="00CF07DC"/>
    <w:rsid w:val="00CF1AC7"/>
    <w:rsid w:val="00CF21D8"/>
    <w:rsid w:val="00CF25EF"/>
    <w:rsid w:val="00CF26DA"/>
    <w:rsid w:val="00CF2C1A"/>
    <w:rsid w:val="00CF35A2"/>
    <w:rsid w:val="00CF383B"/>
    <w:rsid w:val="00CF3978"/>
    <w:rsid w:val="00CF3F3A"/>
    <w:rsid w:val="00CF40F6"/>
    <w:rsid w:val="00CF476D"/>
    <w:rsid w:val="00CF479E"/>
    <w:rsid w:val="00CF556F"/>
    <w:rsid w:val="00CF647C"/>
    <w:rsid w:val="00CF653C"/>
    <w:rsid w:val="00CF6635"/>
    <w:rsid w:val="00CF6916"/>
    <w:rsid w:val="00CF6E6E"/>
    <w:rsid w:val="00CF7107"/>
    <w:rsid w:val="00CF7F9D"/>
    <w:rsid w:val="00D006BC"/>
    <w:rsid w:val="00D00AF3"/>
    <w:rsid w:val="00D01499"/>
    <w:rsid w:val="00D01D08"/>
    <w:rsid w:val="00D02615"/>
    <w:rsid w:val="00D034F5"/>
    <w:rsid w:val="00D03E46"/>
    <w:rsid w:val="00D04A35"/>
    <w:rsid w:val="00D04D79"/>
    <w:rsid w:val="00D0508D"/>
    <w:rsid w:val="00D050C7"/>
    <w:rsid w:val="00D057CD"/>
    <w:rsid w:val="00D05A6F"/>
    <w:rsid w:val="00D0608A"/>
    <w:rsid w:val="00D06565"/>
    <w:rsid w:val="00D0669D"/>
    <w:rsid w:val="00D06CA9"/>
    <w:rsid w:val="00D072C6"/>
    <w:rsid w:val="00D07CBE"/>
    <w:rsid w:val="00D10C68"/>
    <w:rsid w:val="00D10FC1"/>
    <w:rsid w:val="00D113EB"/>
    <w:rsid w:val="00D11A6F"/>
    <w:rsid w:val="00D11E3D"/>
    <w:rsid w:val="00D12034"/>
    <w:rsid w:val="00D1206B"/>
    <w:rsid w:val="00D12391"/>
    <w:rsid w:val="00D1249A"/>
    <w:rsid w:val="00D12886"/>
    <w:rsid w:val="00D128B2"/>
    <w:rsid w:val="00D13806"/>
    <w:rsid w:val="00D13922"/>
    <w:rsid w:val="00D13C0A"/>
    <w:rsid w:val="00D1457F"/>
    <w:rsid w:val="00D14CBF"/>
    <w:rsid w:val="00D156BA"/>
    <w:rsid w:val="00D1583E"/>
    <w:rsid w:val="00D1617A"/>
    <w:rsid w:val="00D163EC"/>
    <w:rsid w:val="00D16F0E"/>
    <w:rsid w:val="00D1749F"/>
    <w:rsid w:val="00D1789E"/>
    <w:rsid w:val="00D17F84"/>
    <w:rsid w:val="00D2030C"/>
    <w:rsid w:val="00D20B80"/>
    <w:rsid w:val="00D219C7"/>
    <w:rsid w:val="00D21D4E"/>
    <w:rsid w:val="00D22008"/>
    <w:rsid w:val="00D2208F"/>
    <w:rsid w:val="00D2231B"/>
    <w:rsid w:val="00D22708"/>
    <w:rsid w:val="00D228FF"/>
    <w:rsid w:val="00D22C98"/>
    <w:rsid w:val="00D233AE"/>
    <w:rsid w:val="00D235DB"/>
    <w:rsid w:val="00D238FE"/>
    <w:rsid w:val="00D23988"/>
    <w:rsid w:val="00D23F7F"/>
    <w:rsid w:val="00D24988"/>
    <w:rsid w:val="00D2498F"/>
    <w:rsid w:val="00D25766"/>
    <w:rsid w:val="00D257DD"/>
    <w:rsid w:val="00D25A99"/>
    <w:rsid w:val="00D25CBC"/>
    <w:rsid w:val="00D25E7A"/>
    <w:rsid w:val="00D25E7F"/>
    <w:rsid w:val="00D26015"/>
    <w:rsid w:val="00D265E3"/>
    <w:rsid w:val="00D26F97"/>
    <w:rsid w:val="00D2740F"/>
    <w:rsid w:val="00D2777D"/>
    <w:rsid w:val="00D279FA"/>
    <w:rsid w:val="00D27AB1"/>
    <w:rsid w:val="00D27C3E"/>
    <w:rsid w:val="00D30788"/>
    <w:rsid w:val="00D3159E"/>
    <w:rsid w:val="00D31D5E"/>
    <w:rsid w:val="00D323C1"/>
    <w:rsid w:val="00D33EAB"/>
    <w:rsid w:val="00D33F97"/>
    <w:rsid w:val="00D34B4D"/>
    <w:rsid w:val="00D34EC1"/>
    <w:rsid w:val="00D35308"/>
    <w:rsid w:val="00D3561D"/>
    <w:rsid w:val="00D35A03"/>
    <w:rsid w:val="00D35C00"/>
    <w:rsid w:val="00D36EEA"/>
    <w:rsid w:val="00D372DF"/>
    <w:rsid w:val="00D3757F"/>
    <w:rsid w:val="00D377F0"/>
    <w:rsid w:val="00D3792E"/>
    <w:rsid w:val="00D40A1D"/>
    <w:rsid w:val="00D4171E"/>
    <w:rsid w:val="00D417CB"/>
    <w:rsid w:val="00D41C89"/>
    <w:rsid w:val="00D427A6"/>
    <w:rsid w:val="00D43291"/>
    <w:rsid w:val="00D43AEF"/>
    <w:rsid w:val="00D44361"/>
    <w:rsid w:val="00D44445"/>
    <w:rsid w:val="00D449DC"/>
    <w:rsid w:val="00D45A25"/>
    <w:rsid w:val="00D4606E"/>
    <w:rsid w:val="00D4669C"/>
    <w:rsid w:val="00D46AEC"/>
    <w:rsid w:val="00D46B15"/>
    <w:rsid w:val="00D46CE9"/>
    <w:rsid w:val="00D47715"/>
    <w:rsid w:val="00D50065"/>
    <w:rsid w:val="00D5025E"/>
    <w:rsid w:val="00D50970"/>
    <w:rsid w:val="00D51635"/>
    <w:rsid w:val="00D51A69"/>
    <w:rsid w:val="00D51C92"/>
    <w:rsid w:val="00D51DFB"/>
    <w:rsid w:val="00D51E04"/>
    <w:rsid w:val="00D51FC2"/>
    <w:rsid w:val="00D52222"/>
    <w:rsid w:val="00D5243B"/>
    <w:rsid w:val="00D52936"/>
    <w:rsid w:val="00D53081"/>
    <w:rsid w:val="00D533DB"/>
    <w:rsid w:val="00D53856"/>
    <w:rsid w:val="00D54963"/>
    <w:rsid w:val="00D54B1F"/>
    <w:rsid w:val="00D5516D"/>
    <w:rsid w:val="00D55FAB"/>
    <w:rsid w:val="00D56376"/>
    <w:rsid w:val="00D5640F"/>
    <w:rsid w:val="00D56846"/>
    <w:rsid w:val="00D5686D"/>
    <w:rsid w:val="00D575D0"/>
    <w:rsid w:val="00D57F41"/>
    <w:rsid w:val="00D60C66"/>
    <w:rsid w:val="00D612D6"/>
    <w:rsid w:val="00D6143F"/>
    <w:rsid w:val="00D61C18"/>
    <w:rsid w:val="00D62491"/>
    <w:rsid w:val="00D62B5C"/>
    <w:rsid w:val="00D62BD5"/>
    <w:rsid w:val="00D64468"/>
    <w:rsid w:val="00D6452A"/>
    <w:rsid w:val="00D64D1F"/>
    <w:rsid w:val="00D6658A"/>
    <w:rsid w:val="00D667CE"/>
    <w:rsid w:val="00D66A1F"/>
    <w:rsid w:val="00D66CFB"/>
    <w:rsid w:val="00D6707B"/>
    <w:rsid w:val="00D670C9"/>
    <w:rsid w:val="00D6718B"/>
    <w:rsid w:val="00D67714"/>
    <w:rsid w:val="00D67876"/>
    <w:rsid w:val="00D67B91"/>
    <w:rsid w:val="00D67F87"/>
    <w:rsid w:val="00D7004B"/>
    <w:rsid w:val="00D705CF"/>
    <w:rsid w:val="00D709EF"/>
    <w:rsid w:val="00D7106E"/>
    <w:rsid w:val="00D71118"/>
    <w:rsid w:val="00D719C1"/>
    <w:rsid w:val="00D71F89"/>
    <w:rsid w:val="00D72EE5"/>
    <w:rsid w:val="00D72FDA"/>
    <w:rsid w:val="00D73738"/>
    <w:rsid w:val="00D737B1"/>
    <w:rsid w:val="00D738E9"/>
    <w:rsid w:val="00D73981"/>
    <w:rsid w:val="00D73A80"/>
    <w:rsid w:val="00D73EA7"/>
    <w:rsid w:val="00D73EED"/>
    <w:rsid w:val="00D743A1"/>
    <w:rsid w:val="00D74822"/>
    <w:rsid w:val="00D74FA5"/>
    <w:rsid w:val="00D75368"/>
    <w:rsid w:val="00D75536"/>
    <w:rsid w:val="00D75698"/>
    <w:rsid w:val="00D759B5"/>
    <w:rsid w:val="00D76C7A"/>
    <w:rsid w:val="00D77A15"/>
    <w:rsid w:val="00D77C4E"/>
    <w:rsid w:val="00D77CAC"/>
    <w:rsid w:val="00D802B2"/>
    <w:rsid w:val="00D80F76"/>
    <w:rsid w:val="00D816E5"/>
    <w:rsid w:val="00D81BD2"/>
    <w:rsid w:val="00D81D3E"/>
    <w:rsid w:val="00D81F0F"/>
    <w:rsid w:val="00D823AD"/>
    <w:rsid w:val="00D82EB5"/>
    <w:rsid w:val="00D82F97"/>
    <w:rsid w:val="00D845AB"/>
    <w:rsid w:val="00D85163"/>
    <w:rsid w:val="00D86877"/>
    <w:rsid w:val="00D868F1"/>
    <w:rsid w:val="00D86A36"/>
    <w:rsid w:val="00D87C1C"/>
    <w:rsid w:val="00D905B8"/>
    <w:rsid w:val="00D91624"/>
    <w:rsid w:val="00D93A9E"/>
    <w:rsid w:val="00D93C47"/>
    <w:rsid w:val="00D94B98"/>
    <w:rsid w:val="00D951C9"/>
    <w:rsid w:val="00D96763"/>
    <w:rsid w:val="00D96EAC"/>
    <w:rsid w:val="00D977D1"/>
    <w:rsid w:val="00D979B7"/>
    <w:rsid w:val="00D97E88"/>
    <w:rsid w:val="00DA0144"/>
    <w:rsid w:val="00DA0252"/>
    <w:rsid w:val="00DA076C"/>
    <w:rsid w:val="00DA079F"/>
    <w:rsid w:val="00DA14DA"/>
    <w:rsid w:val="00DA222A"/>
    <w:rsid w:val="00DA230C"/>
    <w:rsid w:val="00DA247F"/>
    <w:rsid w:val="00DA2A60"/>
    <w:rsid w:val="00DA2ACF"/>
    <w:rsid w:val="00DA369F"/>
    <w:rsid w:val="00DA3935"/>
    <w:rsid w:val="00DA3B05"/>
    <w:rsid w:val="00DA47BC"/>
    <w:rsid w:val="00DA4B79"/>
    <w:rsid w:val="00DA4F47"/>
    <w:rsid w:val="00DA6FE8"/>
    <w:rsid w:val="00DA75B6"/>
    <w:rsid w:val="00DB0D00"/>
    <w:rsid w:val="00DB18EE"/>
    <w:rsid w:val="00DB19E3"/>
    <w:rsid w:val="00DB1D4A"/>
    <w:rsid w:val="00DB21E1"/>
    <w:rsid w:val="00DB23A1"/>
    <w:rsid w:val="00DB35CF"/>
    <w:rsid w:val="00DB3661"/>
    <w:rsid w:val="00DB38D8"/>
    <w:rsid w:val="00DB3B30"/>
    <w:rsid w:val="00DB3D0D"/>
    <w:rsid w:val="00DB4372"/>
    <w:rsid w:val="00DB4C86"/>
    <w:rsid w:val="00DB5248"/>
    <w:rsid w:val="00DB55EA"/>
    <w:rsid w:val="00DB5C49"/>
    <w:rsid w:val="00DB5EA2"/>
    <w:rsid w:val="00DB5F2E"/>
    <w:rsid w:val="00DB6035"/>
    <w:rsid w:val="00DB6231"/>
    <w:rsid w:val="00DB6737"/>
    <w:rsid w:val="00DB6B63"/>
    <w:rsid w:val="00DB6C9C"/>
    <w:rsid w:val="00DB704F"/>
    <w:rsid w:val="00DB7831"/>
    <w:rsid w:val="00DB7BEA"/>
    <w:rsid w:val="00DB7F5B"/>
    <w:rsid w:val="00DC0036"/>
    <w:rsid w:val="00DC0186"/>
    <w:rsid w:val="00DC12EB"/>
    <w:rsid w:val="00DC19AC"/>
    <w:rsid w:val="00DC1CBA"/>
    <w:rsid w:val="00DC25B6"/>
    <w:rsid w:val="00DC273A"/>
    <w:rsid w:val="00DC2DB3"/>
    <w:rsid w:val="00DC30F9"/>
    <w:rsid w:val="00DC37CA"/>
    <w:rsid w:val="00DC4192"/>
    <w:rsid w:val="00DC462C"/>
    <w:rsid w:val="00DC4C87"/>
    <w:rsid w:val="00DC4CF9"/>
    <w:rsid w:val="00DC4E48"/>
    <w:rsid w:val="00DC50FD"/>
    <w:rsid w:val="00DC56DE"/>
    <w:rsid w:val="00DC58E4"/>
    <w:rsid w:val="00DC5B2A"/>
    <w:rsid w:val="00DC5C4B"/>
    <w:rsid w:val="00DC60BC"/>
    <w:rsid w:val="00DC6923"/>
    <w:rsid w:val="00DC692F"/>
    <w:rsid w:val="00DC6CDD"/>
    <w:rsid w:val="00DC7137"/>
    <w:rsid w:val="00DC78CE"/>
    <w:rsid w:val="00DC78DD"/>
    <w:rsid w:val="00DC7C11"/>
    <w:rsid w:val="00DC7FE8"/>
    <w:rsid w:val="00DD0F42"/>
    <w:rsid w:val="00DD0F7B"/>
    <w:rsid w:val="00DD0FFF"/>
    <w:rsid w:val="00DD1018"/>
    <w:rsid w:val="00DD13ED"/>
    <w:rsid w:val="00DD2247"/>
    <w:rsid w:val="00DD23F5"/>
    <w:rsid w:val="00DD2A31"/>
    <w:rsid w:val="00DD2B81"/>
    <w:rsid w:val="00DD2C1C"/>
    <w:rsid w:val="00DD3AED"/>
    <w:rsid w:val="00DD41FA"/>
    <w:rsid w:val="00DD4263"/>
    <w:rsid w:val="00DD513E"/>
    <w:rsid w:val="00DD571A"/>
    <w:rsid w:val="00DD598D"/>
    <w:rsid w:val="00DD718F"/>
    <w:rsid w:val="00DD71A3"/>
    <w:rsid w:val="00DD7A31"/>
    <w:rsid w:val="00DD7FE9"/>
    <w:rsid w:val="00DE0B1A"/>
    <w:rsid w:val="00DE0C64"/>
    <w:rsid w:val="00DE0DD6"/>
    <w:rsid w:val="00DE0FB0"/>
    <w:rsid w:val="00DE14FA"/>
    <w:rsid w:val="00DE1511"/>
    <w:rsid w:val="00DE1B45"/>
    <w:rsid w:val="00DE1CB2"/>
    <w:rsid w:val="00DE209D"/>
    <w:rsid w:val="00DE2698"/>
    <w:rsid w:val="00DE2C18"/>
    <w:rsid w:val="00DE40F3"/>
    <w:rsid w:val="00DE4DA9"/>
    <w:rsid w:val="00DE5140"/>
    <w:rsid w:val="00DE5441"/>
    <w:rsid w:val="00DE5E48"/>
    <w:rsid w:val="00DE64B7"/>
    <w:rsid w:val="00DE71FC"/>
    <w:rsid w:val="00DE7E37"/>
    <w:rsid w:val="00DE7F57"/>
    <w:rsid w:val="00DF009C"/>
    <w:rsid w:val="00DF0550"/>
    <w:rsid w:val="00DF0C04"/>
    <w:rsid w:val="00DF112D"/>
    <w:rsid w:val="00DF182D"/>
    <w:rsid w:val="00DF1CA1"/>
    <w:rsid w:val="00DF297E"/>
    <w:rsid w:val="00DF2B2E"/>
    <w:rsid w:val="00DF2B58"/>
    <w:rsid w:val="00DF2EF1"/>
    <w:rsid w:val="00DF3A1C"/>
    <w:rsid w:val="00DF40D1"/>
    <w:rsid w:val="00DF414A"/>
    <w:rsid w:val="00DF450F"/>
    <w:rsid w:val="00DF4979"/>
    <w:rsid w:val="00DF4C9F"/>
    <w:rsid w:val="00DF502F"/>
    <w:rsid w:val="00DF53D8"/>
    <w:rsid w:val="00DF5EAE"/>
    <w:rsid w:val="00DF5FC5"/>
    <w:rsid w:val="00DF6449"/>
    <w:rsid w:val="00DF7779"/>
    <w:rsid w:val="00DF79C4"/>
    <w:rsid w:val="00DF7F2A"/>
    <w:rsid w:val="00E0231E"/>
    <w:rsid w:val="00E03498"/>
    <w:rsid w:val="00E03948"/>
    <w:rsid w:val="00E0395F"/>
    <w:rsid w:val="00E039C8"/>
    <w:rsid w:val="00E042BF"/>
    <w:rsid w:val="00E04FAA"/>
    <w:rsid w:val="00E05200"/>
    <w:rsid w:val="00E05749"/>
    <w:rsid w:val="00E05A17"/>
    <w:rsid w:val="00E07901"/>
    <w:rsid w:val="00E07B42"/>
    <w:rsid w:val="00E106AE"/>
    <w:rsid w:val="00E10AF5"/>
    <w:rsid w:val="00E11344"/>
    <w:rsid w:val="00E1134E"/>
    <w:rsid w:val="00E1249B"/>
    <w:rsid w:val="00E12E0F"/>
    <w:rsid w:val="00E13692"/>
    <w:rsid w:val="00E13F8C"/>
    <w:rsid w:val="00E13FF4"/>
    <w:rsid w:val="00E14B83"/>
    <w:rsid w:val="00E14C8D"/>
    <w:rsid w:val="00E166BD"/>
    <w:rsid w:val="00E16897"/>
    <w:rsid w:val="00E16CD0"/>
    <w:rsid w:val="00E214BF"/>
    <w:rsid w:val="00E215D7"/>
    <w:rsid w:val="00E217D9"/>
    <w:rsid w:val="00E21829"/>
    <w:rsid w:val="00E2193C"/>
    <w:rsid w:val="00E222DA"/>
    <w:rsid w:val="00E2313C"/>
    <w:rsid w:val="00E231E9"/>
    <w:rsid w:val="00E24B80"/>
    <w:rsid w:val="00E24FA4"/>
    <w:rsid w:val="00E251B6"/>
    <w:rsid w:val="00E25361"/>
    <w:rsid w:val="00E25B44"/>
    <w:rsid w:val="00E25D3D"/>
    <w:rsid w:val="00E25DEE"/>
    <w:rsid w:val="00E262EF"/>
    <w:rsid w:val="00E2775E"/>
    <w:rsid w:val="00E30745"/>
    <w:rsid w:val="00E309C1"/>
    <w:rsid w:val="00E30F8E"/>
    <w:rsid w:val="00E31A8A"/>
    <w:rsid w:val="00E3223F"/>
    <w:rsid w:val="00E3229D"/>
    <w:rsid w:val="00E33256"/>
    <w:rsid w:val="00E33333"/>
    <w:rsid w:val="00E337FF"/>
    <w:rsid w:val="00E3381E"/>
    <w:rsid w:val="00E3471F"/>
    <w:rsid w:val="00E34DE2"/>
    <w:rsid w:val="00E354FE"/>
    <w:rsid w:val="00E3556E"/>
    <w:rsid w:val="00E3559D"/>
    <w:rsid w:val="00E357C4"/>
    <w:rsid w:val="00E35EE8"/>
    <w:rsid w:val="00E36138"/>
    <w:rsid w:val="00E3693B"/>
    <w:rsid w:val="00E36BE8"/>
    <w:rsid w:val="00E3738C"/>
    <w:rsid w:val="00E376F8"/>
    <w:rsid w:val="00E37C56"/>
    <w:rsid w:val="00E4044E"/>
    <w:rsid w:val="00E40500"/>
    <w:rsid w:val="00E42A13"/>
    <w:rsid w:val="00E43297"/>
    <w:rsid w:val="00E43300"/>
    <w:rsid w:val="00E43528"/>
    <w:rsid w:val="00E439E7"/>
    <w:rsid w:val="00E43E42"/>
    <w:rsid w:val="00E4417D"/>
    <w:rsid w:val="00E4446A"/>
    <w:rsid w:val="00E44C01"/>
    <w:rsid w:val="00E45600"/>
    <w:rsid w:val="00E4575F"/>
    <w:rsid w:val="00E45C2C"/>
    <w:rsid w:val="00E45C74"/>
    <w:rsid w:val="00E45F5D"/>
    <w:rsid w:val="00E465BE"/>
    <w:rsid w:val="00E47196"/>
    <w:rsid w:val="00E47F1D"/>
    <w:rsid w:val="00E50659"/>
    <w:rsid w:val="00E50B7A"/>
    <w:rsid w:val="00E50E15"/>
    <w:rsid w:val="00E51101"/>
    <w:rsid w:val="00E51278"/>
    <w:rsid w:val="00E5132C"/>
    <w:rsid w:val="00E513DB"/>
    <w:rsid w:val="00E514DA"/>
    <w:rsid w:val="00E51873"/>
    <w:rsid w:val="00E52AB4"/>
    <w:rsid w:val="00E52D0B"/>
    <w:rsid w:val="00E52EA5"/>
    <w:rsid w:val="00E5329F"/>
    <w:rsid w:val="00E533E1"/>
    <w:rsid w:val="00E545EC"/>
    <w:rsid w:val="00E54A44"/>
    <w:rsid w:val="00E54E33"/>
    <w:rsid w:val="00E54F9F"/>
    <w:rsid w:val="00E5527E"/>
    <w:rsid w:val="00E5527F"/>
    <w:rsid w:val="00E555F0"/>
    <w:rsid w:val="00E5609F"/>
    <w:rsid w:val="00E5636F"/>
    <w:rsid w:val="00E5660E"/>
    <w:rsid w:val="00E5698A"/>
    <w:rsid w:val="00E5699A"/>
    <w:rsid w:val="00E5785D"/>
    <w:rsid w:val="00E60286"/>
    <w:rsid w:val="00E605BF"/>
    <w:rsid w:val="00E606D1"/>
    <w:rsid w:val="00E609F4"/>
    <w:rsid w:val="00E60BC2"/>
    <w:rsid w:val="00E60E24"/>
    <w:rsid w:val="00E61314"/>
    <w:rsid w:val="00E61647"/>
    <w:rsid w:val="00E62391"/>
    <w:rsid w:val="00E62972"/>
    <w:rsid w:val="00E6387C"/>
    <w:rsid w:val="00E639ED"/>
    <w:rsid w:val="00E63BD9"/>
    <w:rsid w:val="00E64935"/>
    <w:rsid w:val="00E649D7"/>
    <w:rsid w:val="00E65378"/>
    <w:rsid w:val="00E65F3E"/>
    <w:rsid w:val="00E65F49"/>
    <w:rsid w:val="00E662E1"/>
    <w:rsid w:val="00E66DFB"/>
    <w:rsid w:val="00E67807"/>
    <w:rsid w:val="00E67B40"/>
    <w:rsid w:val="00E67CC0"/>
    <w:rsid w:val="00E67D7B"/>
    <w:rsid w:val="00E700CD"/>
    <w:rsid w:val="00E70AD7"/>
    <w:rsid w:val="00E70E69"/>
    <w:rsid w:val="00E714A3"/>
    <w:rsid w:val="00E71549"/>
    <w:rsid w:val="00E71685"/>
    <w:rsid w:val="00E71755"/>
    <w:rsid w:val="00E71918"/>
    <w:rsid w:val="00E72963"/>
    <w:rsid w:val="00E72F3A"/>
    <w:rsid w:val="00E7362C"/>
    <w:rsid w:val="00E7371D"/>
    <w:rsid w:val="00E73912"/>
    <w:rsid w:val="00E746F2"/>
    <w:rsid w:val="00E754B3"/>
    <w:rsid w:val="00E75E70"/>
    <w:rsid w:val="00E767C3"/>
    <w:rsid w:val="00E76818"/>
    <w:rsid w:val="00E76998"/>
    <w:rsid w:val="00E8003B"/>
    <w:rsid w:val="00E802B8"/>
    <w:rsid w:val="00E805DF"/>
    <w:rsid w:val="00E80F76"/>
    <w:rsid w:val="00E812E4"/>
    <w:rsid w:val="00E814E5"/>
    <w:rsid w:val="00E81B1C"/>
    <w:rsid w:val="00E8297E"/>
    <w:rsid w:val="00E82B3C"/>
    <w:rsid w:val="00E8406D"/>
    <w:rsid w:val="00E84416"/>
    <w:rsid w:val="00E8455D"/>
    <w:rsid w:val="00E8505E"/>
    <w:rsid w:val="00E855C0"/>
    <w:rsid w:val="00E864A5"/>
    <w:rsid w:val="00E86A90"/>
    <w:rsid w:val="00E86BA1"/>
    <w:rsid w:val="00E86CAD"/>
    <w:rsid w:val="00E87001"/>
    <w:rsid w:val="00E873D2"/>
    <w:rsid w:val="00E878E0"/>
    <w:rsid w:val="00E87D8F"/>
    <w:rsid w:val="00E87FE0"/>
    <w:rsid w:val="00E902AE"/>
    <w:rsid w:val="00E903FF"/>
    <w:rsid w:val="00E909A4"/>
    <w:rsid w:val="00E910AB"/>
    <w:rsid w:val="00E91297"/>
    <w:rsid w:val="00E91582"/>
    <w:rsid w:val="00E91D37"/>
    <w:rsid w:val="00E91F2A"/>
    <w:rsid w:val="00E9254A"/>
    <w:rsid w:val="00E926A7"/>
    <w:rsid w:val="00E926AC"/>
    <w:rsid w:val="00E92BA7"/>
    <w:rsid w:val="00E92EB6"/>
    <w:rsid w:val="00E932A4"/>
    <w:rsid w:val="00E93ACA"/>
    <w:rsid w:val="00E93C79"/>
    <w:rsid w:val="00E94454"/>
    <w:rsid w:val="00E94849"/>
    <w:rsid w:val="00E948F9"/>
    <w:rsid w:val="00E94C60"/>
    <w:rsid w:val="00E94E53"/>
    <w:rsid w:val="00E9532E"/>
    <w:rsid w:val="00E95A06"/>
    <w:rsid w:val="00E9636C"/>
    <w:rsid w:val="00E963A1"/>
    <w:rsid w:val="00E966F2"/>
    <w:rsid w:val="00E967D6"/>
    <w:rsid w:val="00EA0347"/>
    <w:rsid w:val="00EA07D3"/>
    <w:rsid w:val="00EA07F4"/>
    <w:rsid w:val="00EA0F52"/>
    <w:rsid w:val="00EA1361"/>
    <w:rsid w:val="00EA13A8"/>
    <w:rsid w:val="00EA186C"/>
    <w:rsid w:val="00EA197B"/>
    <w:rsid w:val="00EA1FAD"/>
    <w:rsid w:val="00EA207F"/>
    <w:rsid w:val="00EA2601"/>
    <w:rsid w:val="00EA2BF6"/>
    <w:rsid w:val="00EA3471"/>
    <w:rsid w:val="00EA3830"/>
    <w:rsid w:val="00EA448B"/>
    <w:rsid w:val="00EA47CB"/>
    <w:rsid w:val="00EA49C7"/>
    <w:rsid w:val="00EA560D"/>
    <w:rsid w:val="00EA6614"/>
    <w:rsid w:val="00EA6668"/>
    <w:rsid w:val="00EA6A82"/>
    <w:rsid w:val="00EA78B2"/>
    <w:rsid w:val="00EA7C4F"/>
    <w:rsid w:val="00EA7EBB"/>
    <w:rsid w:val="00EA7EE2"/>
    <w:rsid w:val="00EB0068"/>
    <w:rsid w:val="00EB0453"/>
    <w:rsid w:val="00EB0B4E"/>
    <w:rsid w:val="00EB0EBA"/>
    <w:rsid w:val="00EB129A"/>
    <w:rsid w:val="00EB17F4"/>
    <w:rsid w:val="00EB19C8"/>
    <w:rsid w:val="00EB1DD9"/>
    <w:rsid w:val="00EB3A56"/>
    <w:rsid w:val="00EB420C"/>
    <w:rsid w:val="00EB5373"/>
    <w:rsid w:val="00EB5EC6"/>
    <w:rsid w:val="00EB62FE"/>
    <w:rsid w:val="00EB6320"/>
    <w:rsid w:val="00EB66CF"/>
    <w:rsid w:val="00EB684F"/>
    <w:rsid w:val="00EB6B51"/>
    <w:rsid w:val="00EB70AF"/>
    <w:rsid w:val="00EB735F"/>
    <w:rsid w:val="00EB7362"/>
    <w:rsid w:val="00EB738F"/>
    <w:rsid w:val="00EB77E7"/>
    <w:rsid w:val="00EB7C93"/>
    <w:rsid w:val="00EC0133"/>
    <w:rsid w:val="00EC05EB"/>
    <w:rsid w:val="00EC06F7"/>
    <w:rsid w:val="00EC0A19"/>
    <w:rsid w:val="00EC0FB3"/>
    <w:rsid w:val="00EC23E5"/>
    <w:rsid w:val="00EC378D"/>
    <w:rsid w:val="00EC45B8"/>
    <w:rsid w:val="00EC5363"/>
    <w:rsid w:val="00EC59A3"/>
    <w:rsid w:val="00EC6708"/>
    <w:rsid w:val="00EC69DE"/>
    <w:rsid w:val="00EC71E2"/>
    <w:rsid w:val="00EC771E"/>
    <w:rsid w:val="00ED1634"/>
    <w:rsid w:val="00ED1BB1"/>
    <w:rsid w:val="00ED22B8"/>
    <w:rsid w:val="00ED2951"/>
    <w:rsid w:val="00ED2AEE"/>
    <w:rsid w:val="00ED2D66"/>
    <w:rsid w:val="00ED2EF4"/>
    <w:rsid w:val="00ED3033"/>
    <w:rsid w:val="00ED304E"/>
    <w:rsid w:val="00ED37CF"/>
    <w:rsid w:val="00ED3898"/>
    <w:rsid w:val="00ED406B"/>
    <w:rsid w:val="00ED4C43"/>
    <w:rsid w:val="00ED4EE3"/>
    <w:rsid w:val="00ED51AD"/>
    <w:rsid w:val="00ED545E"/>
    <w:rsid w:val="00ED5947"/>
    <w:rsid w:val="00ED5AED"/>
    <w:rsid w:val="00ED5B70"/>
    <w:rsid w:val="00ED5D3F"/>
    <w:rsid w:val="00ED6B3D"/>
    <w:rsid w:val="00ED70FF"/>
    <w:rsid w:val="00ED71AE"/>
    <w:rsid w:val="00ED7786"/>
    <w:rsid w:val="00ED7A76"/>
    <w:rsid w:val="00ED7C4C"/>
    <w:rsid w:val="00ED7C91"/>
    <w:rsid w:val="00EE0695"/>
    <w:rsid w:val="00EE0972"/>
    <w:rsid w:val="00EE097C"/>
    <w:rsid w:val="00EE140A"/>
    <w:rsid w:val="00EE1C09"/>
    <w:rsid w:val="00EE1ECB"/>
    <w:rsid w:val="00EE20E7"/>
    <w:rsid w:val="00EE2BAA"/>
    <w:rsid w:val="00EE32DC"/>
    <w:rsid w:val="00EE3B80"/>
    <w:rsid w:val="00EE3D95"/>
    <w:rsid w:val="00EE4563"/>
    <w:rsid w:val="00EE45D2"/>
    <w:rsid w:val="00EE471E"/>
    <w:rsid w:val="00EE4870"/>
    <w:rsid w:val="00EE48C4"/>
    <w:rsid w:val="00EE50B1"/>
    <w:rsid w:val="00EE53BD"/>
    <w:rsid w:val="00EE573F"/>
    <w:rsid w:val="00EE5D9F"/>
    <w:rsid w:val="00EE6AB4"/>
    <w:rsid w:val="00EE7090"/>
    <w:rsid w:val="00EE718E"/>
    <w:rsid w:val="00EE72E0"/>
    <w:rsid w:val="00EE789D"/>
    <w:rsid w:val="00EF04FB"/>
    <w:rsid w:val="00EF16CF"/>
    <w:rsid w:val="00EF1AFD"/>
    <w:rsid w:val="00EF1BA7"/>
    <w:rsid w:val="00EF230B"/>
    <w:rsid w:val="00EF246F"/>
    <w:rsid w:val="00EF272E"/>
    <w:rsid w:val="00EF2C77"/>
    <w:rsid w:val="00EF3BDD"/>
    <w:rsid w:val="00EF4A7B"/>
    <w:rsid w:val="00EF5631"/>
    <w:rsid w:val="00EF5801"/>
    <w:rsid w:val="00EF58CD"/>
    <w:rsid w:val="00EF5BD6"/>
    <w:rsid w:val="00EF5C91"/>
    <w:rsid w:val="00EF6400"/>
    <w:rsid w:val="00EF688A"/>
    <w:rsid w:val="00EF6FE0"/>
    <w:rsid w:val="00EF70BB"/>
    <w:rsid w:val="00EF7935"/>
    <w:rsid w:val="00EF7AA4"/>
    <w:rsid w:val="00F0042A"/>
    <w:rsid w:val="00F0130C"/>
    <w:rsid w:val="00F01B87"/>
    <w:rsid w:val="00F01F60"/>
    <w:rsid w:val="00F026A9"/>
    <w:rsid w:val="00F02DE4"/>
    <w:rsid w:val="00F02EB6"/>
    <w:rsid w:val="00F038D2"/>
    <w:rsid w:val="00F039E9"/>
    <w:rsid w:val="00F041E0"/>
    <w:rsid w:val="00F04514"/>
    <w:rsid w:val="00F048D5"/>
    <w:rsid w:val="00F04E65"/>
    <w:rsid w:val="00F053B3"/>
    <w:rsid w:val="00F0550E"/>
    <w:rsid w:val="00F05571"/>
    <w:rsid w:val="00F05591"/>
    <w:rsid w:val="00F055D0"/>
    <w:rsid w:val="00F057B2"/>
    <w:rsid w:val="00F05DBE"/>
    <w:rsid w:val="00F06156"/>
    <w:rsid w:val="00F06160"/>
    <w:rsid w:val="00F061AC"/>
    <w:rsid w:val="00F073B2"/>
    <w:rsid w:val="00F07FAC"/>
    <w:rsid w:val="00F10052"/>
    <w:rsid w:val="00F1009E"/>
    <w:rsid w:val="00F10900"/>
    <w:rsid w:val="00F11388"/>
    <w:rsid w:val="00F11849"/>
    <w:rsid w:val="00F11E2D"/>
    <w:rsid w:val="00F11FDD"/>
    <w:rsid w:val="00F13010"/>
    <w:rsid w:val="00F134C3"/>
    <w:rsid w:val="00F136F7"/>
    <w:rsid w:val="00F14BB4"/>
    <w:rsid w:val="00F15050"/>
    <w:rsid w:val="00F151F7"/>
    <w:rsid w:val="00F156EA"/>
    <w:rsid w:val="00F15B3F"/>
    <w:rsid w:val="00F15BC3"/>
    <w:rsid w:val="00F15DBC"/>
    <w:rsid w:val="00F161DF"/>
    <w:rsid w:val="00F166C1"/>
    <w:rsid w:val="00F166FD"/>
    <w:rsid w:val="00F172E0"/>
    <w:rsid w:val="00F179E1"/>
    <w:rsid w:val="00F17A95"/>
    <w:rsid w:val="00F17F05"/>
    <w:rsid w:val="00F20B43"/>
    <w:rsid w:val="00F20E7C"/>
    <w:rsid w:val="00F2103C"/>
    <w:rsid w:val="00F2166D"/>
    <w:rsid w:val="00F21989"/>
    <w:rsid w:val="00F219CA"/>
    <w:rsid w:val="00F21B6C"/>
    <w:rsid w:val="00F227CC"/>
    <w:rsid w:val="00F22F25"/>
    <w:rsid w:val="00F234AF"/>
    <w:rsid w:val="00F23CAC"/>
    <w:rsid w:val="00F245EB"/>
    <w:rsid w:val="00F25B35"/>
    <w:rsid w:val="00F26348"/>
    <w:rsid w:val="00F26395"/>
    <w:rsid w:val="00F26793"/>
    <w:rsid w:val="00F274A3"/>
    <w:rsid w:val="00F27A1B"/>
    <w:rsid w:val="00F27C15"/>
    <w:rsid w:val="00F300F5"/>
    <w:rsid w:val="00F301CE"/>
    <w:rsid w:val="00F306D6"/>
    <w:rsid w:val="00F30C5A"/>
    <w:rsid w:val="00F31D60"/>
    <w:rsid w:val="00F31ED6"/>
    <w:rsid w:val="00F3223E"/>
    <w:rsid w:val="00F33A7C"/>
    <w:rsid w:val="00F33CF2"/>
    <w:rsid w:val="00F34875"/>
    <w:rsid w:val="00F35442"/>
    <w:rsid w:val="00F35AF3"/>
    <w:rsid w:val="00F35F63"/>
    <w:rsid w:val="00F36334"/>
    <w:rsid w:val="00F367CB"/>
    <w:rsid w:val="00F36985"/>
    <w:rsid w:val="00F3708F"/>
    <w:rsid w:val="00F401D4"/>
    <w:rsid w:val="00F40B07"/>
    <w:rsid w:val="00F40C37"/>
    <w:rsid w:val="00F411FB"/>
    <w:rsid w:val="00F41422"/>
    <w:rsid w:val="00F41D68"/>
    <w:rsid w:val="00F420DA"/>
    <w:rsid w:val="00F4237F"/>
    <w:rsid w:val="00F42B5E"/>
    <w:rsid w:val="00F42DD2"/>
    <w:rsid w:val="00F434B5"/>
    <w:rsid w:val="00F43A46"/>
    <w:rsid w:val="00F442E1"/>
    <w:rsid w:val="00F447C1"/>
    <w:rsid w:val="00F449B2"/>
    <w:rsid w:val="00F44A18"/>
    <w:rsid w:val="00F44B39"/>
    <w:rsid w:val="00F44CA4"/>
    <w:rsid w:val="00F45549"/>
    <w:rsid w:val="00F45EC7"/>
    <w:rsid w:val="00F460C6"/>
    <w:rsid w:val="00F46159"/>
    <w:rsid w:val="00F463AA"/>
    <w:rsid w:val="00F46874"/>
    <w:rsid w:val="00F46AEE"/>
    <w:rsid w:val="00F46D49"/>
    <w:rsid w:val="00F47205"/>
    <w:rsid w:val="00F47580"/>
    <w:rsid w:val="00F50B24"/>
    <w:rsid w:val="00F5254C"/>
    <w:rsid w:val="00F529B0"/>
    <w:rsid w:val="00F52B8E"/>
    <w:rsid w:val="00F531D4"/>
    <w:rsid w:val="00F532FC"/>
    <w:rsid w:val="00F53652"/>
    <w:rsid w:val="00F53C85"/>
    <w:rsid w:val="00F544C1"/>
    <w:rsid w:val="00F544D1"/>
    <w:rsid w:val="00F54990"/>
    <w:rsid w:val="00F55128"/>
    <w:rsid w:val="00F553D1"/>
    <w:rsid w:val="00F553EB"/>
    <w:rsid w:val="00F5579A"/>
    <w:rsid w:val="00F55B91"/>
    <w:rsid w:val="00F56304"/>
    <w:rsid w:val="00F56583"/>
    <w:rsid w:val="00F56717"/>
    <w:rsid w:val="00F56790"/>
    <w:rsid w:val="00F56D1B"/>
    <w:rsid w:val="00F56F5D"/>
    <w:rsid w:val="00F57BFC"/>
    <w:rsid w:val="00F60FB8"/>
    <w:rsid w:val="00F6115D"/>
    <w:rsid w:val="00F6148B"/>
    <w:rsid w:val="00F61DA0"/>
    <w:rsid w:val="00F61FDA"/>
    <w:rsid w:val="00F62698"/>
    <w:rsid w:val="00F6273F"/>
    <w:rsid w:val="00F6310D"/>
    <w:rsid w:val="00F63496"/>
    <w:rsid w:val="00F6358E"/>
    <w:rsid w:val="00F63BEA"/>
    <w:rsid w:val="00F640E7"/>
    <w:rsid w:val="00F64A72"/>
    <w:rsid w:val="00F660DA"/>
    <w:rsid w:val="00F6644D"/>
    <w:rsid w:val="00F673AB"/>
    <w:rsid w:val="00F6774B"/>
    <w:rsid w:val="00F703C0"/>
    <w:rsid w:val="00F704DE"/>
    <w:rsid w:val="00F705D8"/>
    <w:rsid w:val="00F70B2C"/>
    <w:rsid w:val="00F718E5"/>
    <w:rsid w:val="00F7194F"/>
    <w:rsid w:val="00F73130"/>
    <w:rsid w:val="00F73579"/>
    <w:rsid w:val="00F738E5"/>
    <w:rsid w:val="00F748A0"/>
    <w:rsid w:val="00F74A1E"/>
    <w:rsid w:val="00F751D0"/>
    <w:rsid w:val="00F757CD"/>
    <w:rsid w:val="00F75F05"/>
    <w:rsid w:val="00F75F24"/>
    <w:rsid w:val="00F760A9"/>
    <w:rsid w:val="00F762F4"/>
    <w:rsid w:val="00F76310"/>
    <w:rsid w:val="00F76863"/>
    <w:rsid w:val="00F76885"/>
    <w:rsid w:val="00F76A9A"/>
    <w:rsid w:val="00F76F3A"/>
    <w:rsid w:val="00F77097"/>
    <w:rsid w:val="00F77EC5"/>
    <w:rsid w:val="00F77FB3"/>
    <w:rsid w:val="00F80706"/>
    <w:rsid w:val="00F80E67"/>
    <w:rsid w:val="00F8164A"/>
    <w:rsid w:val="00F818B8"/>
    <w:rsid w:val="00F8191D"/>
    <w:rsid w:val="00F82187"/>
    <w:rsid w:val="00F8218F"/>
    <w:rsid w:val="00F823F4"/>
    <w:rsid w:val="00F82849"/>
    <w:rsid w:val="00F82B5B"/>
    <w:rsid w:val="00F82B73"/>
    <w:rsid w:val="00F82EBF"/>
    <w:rsid w:val="00F837C2"/>
    <w:rsid w:val="00F838C8"/>
    <w:rsid w:val="00F83B00"/>
    <w:rsid w:val="00F83BAB"/>
    <w:rsid w:val="00F83D9F"/>
    <w:rsid w:val="00F83EF4"/>
    <w:rsid w:val="00F8585A"/>
    <w:rsid w:val="00F86130"/>
    <w:rsid w:val="00F86371"/>
    <w:rsid w:val="00F8664A"/>
    <w:rsid w:val="00F9043E"/>
    <w:rsid w:val="00F9127B"/>
    <w:rsid w:val="00F91C6F"/>
    <w:rsid w:val="00F91D96"/>
    <w:rsid w:val="00F9222E"/>
    <w:rsid w:val="00F92384"/>
    <w:rsid w:val="00F92A7A"/>
    <w:rsid w:val="00F932AC"/>
    <w:rsid w:val="00F93965"/>
    <w:rsid w:val="00F93C15"/>
    <w:rsid w:val="00F93E03"/>
    <w:rsid w:val="00F93F3A"/>
    <w:rsid w:val="00F967D0"/>
    <w:rsid w:val="00F96979"/>
    <w:rsid w:val="00F97C14"/>
    <w:rsid w:val="00FA01C6"/>
    <w:rsid w:val="00FA02C1"/>
    <w:rsid w:val="00FA0483"/>
    <w:rsid w:val="00FA05CF"/>
    <w:rsid w:val="00FA0789"/>
    <w:rsid w:val="00FA079B"/>
    <w:rsid w:val="00FA0918"/>
    <w:rsid w:val="00FA091F"/>
    <w:rsid w:val="00FA10BD"/>
    <w:rsid w:val="00FA1243"/>
    <w:rsid w:val="00FA1E7A"/>
    <w:rsid w:val="00FA237F"/>
    <w:rsid w:val="00FA2423"/>
    <w:rsid w:val="00FA26C3"/>
    <w:rsid w:val="00FA2AF9"/>
    <w:rsid w:val="00FA355F"/>
    <w:rsid w:val="00FA37E7"/>
    <w:rsid w:val="00FA3B51"/>
    <w:rsid w:val="00FA3FC4"/>
    <w:rsid w:val="00FA453B"/>
    <w:rsid w:val="00FA4D8F"/>
    <w:rsid w:val="00FA512A"/>
    <w:rsid w:val="00FA5438"/>
    <w:rsid w:val="00FA5473"/>
    <w:rsid w:val="00FA582A"/>
    <w:rsid w:val="00FA62F5"/>
    <w:rsid w:val="00FA65E9"/>
    <w:rsid w:val="00FA6AA5"/>
    <w:rsid w:val="00FA6CD8"/>
    <w:rsid w:val="00FA73B5"/>
    <w:rsid w:val="00FA7A26"/>
    <w:rsid w:val="00FA7F32"/>
    <w:rsid w:val="00FB0192"/>
    <w:rsid w:val="00FB02CF"/>
    <w:rsid w:val="00FB0C40"/>
    <w:rsid w:val="00FB1028"/>
    <w:rsid w:val="00FB168D"/>
    <w:rsid w:val="00FB1746"/>
    <w:rsid w:val="00FB231A"/>
    <w:rsid w:val="00FB27EF"/>
    <w:rsid w:val="00FB2AC5"/>
    <w:rsid w:val="00FB2D18"/>
    <w:rsid w:val="00FB314F"/>
    <w:rsid w:val="00FB3B89"/>
    <w:rsid w:val="00FB3C02"/>
    <w:rsid w:val="00FB3CDC"/>
    <w:rsid w:val="00FB404E"/>
    <w:rsid w:val="00FB436F"/>
    <w:rsid w:val="00FB4B51"/>
    <w:rsid w:val="00FB5FEA"/>
    <w:rsid w:val="00FB646B"/>
    <w:rsid w:val="00FB6716"/>
    <w:rsid w:val="00FB7074"/>
    <w:rsid w:val="00FB7225"/>
    <w:rsid w:val="00FB7512"/>
    <w:rsid w:val="00FB752F"/>
    <w:rsid w:val="00FB7E02"/>
    <w:rsid w:val="00FC069E"/>
    <w:rsid w:val="00FC093F"/>
    <w:rsid w:val="00FC099E"/>
    <w:rsid w:val="00FC0FAF"/>
    <w:rsid w:val="00FC185F"/>
    <w:rsid w:val="00FC1A1E"/>
    <w:rsid w:val="00FC1ABC"/>
    <w:rsid w:val="00FC2528"/>
    <w:rsid w:val="00FC2F85"/>
    <w:rsid w:val="00FC3240"/>
    <w:rsid w:val="00FC4537"/>
    <w:rsid w:val="00FC45FF"/>
    <w:rsid w:val="00FC53F7"/>
    <w:rsid w:val="00FC546D"/>
    <w:rsid w:val="00FC57D7"/>
    <w:rsid w:val="00FC5EC6"/>
    <w:rsid w:val="00FC6151"/>
    <w:rsid w:val="00FC6A27"/>
    <w:rsid w:val="00FC6ECE"/>
    <w:rsid w:val="00FC7529"/>
    <w:rsid w:val="00FC7644"/>
    <w:rsid w:val="00FC7704"/>
    <w:rsid w:val="00FC771D"/>
    <w:rsid w:val="00FD05B7"/>
    <w:rsid w:val="00FD13E8"/>
    <w:rsid w:val="00FD16D6"/>
    <w:rsid w:val="00FD1C54"/>
    <w:rsid w:val="00FD1D0A"/>
    <w:rsid w:val="00FD1D3C"/>
    <w:rsid w:val="00FD2308"/>
    <w:rsid w:val="00FD2553"/>
    <w:rsid w:val="00FD25EF"/>
    <w:rsid w:val="00FD2A7D"/>
    <w:rsid w:val="00FD2FAD"/>
    <w:rsid w:val="00FD32C1"/>
    <w:rsid w:val="00FD3E01"/>
    <w:rsid w:val="00FD43E2"/>
    <w:rsid w:val="00FD4DA5"/>
    <w:rsid w:val="00FD5134"/>
    <w:rsid w:val="00FD61A3"/>
    <w:rsid w:val="00FD6322"/>
    <w:rsid w:val="00FD6525"/>
    <w:rsid w:val="00FD66F6"/>
    <w:rsid w:val="00FD7707"/>
    <w:rsid w:val="00FD7741"/>
    <w:rsid w:val="00FE064C"/>
    <w:rsid w:val="00FE0E2E"/>
    <w:rsid w:val="00FE10FF"/>
    <w:rsid w:val="00FE1640"/>
    <w:rsid w:val="00FE179C"/>
    <w:rsid w:val="00FE29E9"/>
    <w:rsid w:val="00FE3185"/>
    <w:rsid w:val="00FE33CF"/>
    <w:rsid w:val="00FE35DD"/>
    <w:rsid w:val="00FE38B8"/>
    <w:rsid w:val="00FE38BB"/>
    <w:rsid w:val="00FE39C4"/>
    <w:rsid w:val="00FE49AC"/>
    <w:rsid w:val="00FE4B3D"/>
    <w:rsid w:val="00FE4F01"/>
    <w:rsid w:val="00FE518C"/>
    <w:rsid w:val="00FE5494"/>
    <w:rsid w:val="00FE5B81"/>
    <w:rsid w:val="00FE60F9"/>
    <w:rsid w:val="00FE6783"/>
    <w:rsid w:val="00FE6F17"/>
    <w:rsid w:val="00FE75F3"/>
    <w:rsid w:val="00FE7F6E"/>
    <w:rsid w:val="00FF00F5"/>
    <w:rsid w:val="00FF113E"/>
    <w:rsid w:val="00FF29F5"/>
    <w:rsid w:val="00FF2D1D"/>
    <w:rsid w:val="00FF3161"/>
    <w:rsid w:val="00FF3AFA"/>
    <w:rsid w:val="00FF4126"/>
    <w:rsid w:val="00FF43D9"/>
    <w:rsid w:val="00FF4644"/>
    <w:rsid w:val="00FF46BB"/>
    <w:rsid w:val="00FF4C15"/>
    <w:rsid w:val="00FF5011"/>
    <w:rsid w:val="00FF5235"/>
    <w:rsid w:val="00FF533D"/>
    <w:rsid w:val="00FF593C"/>
    <w:rsid w:val="00FF6912"/>
    <w:rsid w:val="00FF6BD0"/>
    <w:rsid w:val="00FF6CCB"/>
    <w:rsid w:val="00FF79FE"/>
    <w:rsid w:val="00FF7C4E"/>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F021D8"/>
  <w14:defaultImageDpi w14:val="0"/>
  <w15:docId w15:val="{7342CA20-67D4-4549-AC78-6BBA1145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napToGrid w:val="0"/>
      <w:lang w:eastAsia="fr-FR"/>
    </w:rPr>
  </w:style>
  <w:style w:type="paragraph" w:styleId="Heading1">
    <w:name w:val="heading 1"/>
    <w:basedOn w:val="Normal"/>
    <w:next w:val="Normal"/>
    <w:uiPriority w:val="9"/>
    <w:qFormat/>
    <w:rsid w:val="003841BE"/>
    <w:pPr>
      <w:keepNext/>
      <w:widowControl w:val="0"/>
      <w:suppressAutoHyphens/>
      <w:outlineLvl w:val="0"/>
    </w:pPr>
    <w:rPr>
      <w:b/>
      <w:spacing w:val="-3"/>
      <w:sz w:val="24"/>
      <w:lang w:val="fr-FR"/>
    </w:rPr>
  </w:style>
  <w:style w:type="paragraph" w:styleId="Heading2">
    <w:name w:val="heading 2"/>
    <w:basedOn w:val="Normal"/>
    <w:next w:val="Normal"/>
    <w:uiPriority w:val="9"/>
    <w:qFormat/>
    <w:rsid w:val="003841BE"/>
    <w:pPr>
      <w:keepNext/>
      <w:jc w:val="center"/>
      <w:outlineLvl w:val="1"/>
    </w:pPr>
    <w:rPr>
      <w:b/>
      <w:i/>
      <w:sz w:val="24"/>
    </w:rPr>
  </w:style>
  <w:style w:type="paragraph" w:styleId="Heading4">
    <w:name w:val="heading 4"/>
    <w:basedOn w:val="Normal"/>
    <w:next w:val="Normal"/>
    <w:uiPriority w:val="9"/>
    <w:qFormat/>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uiPriority w:val="9"/>
    <w:locked/>
    <w:rPr>
      <w:rFonts w:ascii="Courier" w:hAnsi="Courier"/>
      <w:b/>
      <w:spacing w:val="-3"/>
      <w:sz w:val="20"/>
      <w:lang w:val="x-none"/>
    </w:rPr>
  </w:style>
  <w:style w:type="character" w:customStyle="1" w:styleId="Titre2Car">
    <w:name w:val="Titre 2 Car"/>
    <w:uiPriority w:val="9"/>
    <w:locked/>
    <w:rPr>
      <w:rFonts w:ascii="Arial" w:hAnsi="Arial"/>
      <w:b/>
      <w:sz w:val="20"/>
      <w:lang w:val="en-US"/>
    </w:rPr>
  </w:style>
  <w:style w:type="character" w:customStyle="1" w:styleId="Titre4Car">
    <w:name w:val="Titre 4 Car"/>
    <w:uiPriority w:val="9"/>
    <w:locked/>
    <w:rPr>
      <w:rFonts w:ascii="Arial" w:hAnsi="Arial"/>
      <w:b/>
      <w:sz w:val="20"/>
      <w:lang w:val="en-US"/>
    </w:rPr>
  </w:style>
  <w:style w:type="paragraph" w:styleId="Header">
    <w:name w:val="header"/>
    <w:basedOn w:val="Normal"/>
    <w:link w:val="CommentReference"/>
    <w:uiPriority w:val="99"/>
    <w:pPr>
      <w:widowControl w:val="0"/>
      <w:tabs>
        <w:tab w:val="center" w:pos="4320"/>
        <w:tab w:val="right" w:pos="8640"/>
      </w:tabs>
    </w:pPr>
    <w:rPr>
      <w:rFonts w:ascii="Courier" w:hAnsi="Courier"/>
      <w:sz w:val="22"/>
      <w:lang w:val="fr-FR"/>
    </w:rPr>
  </w:style>
  <w:style w:type="character" w:customStyle="1" w:styleId="En-tteCar">
    <w:name w:val="En-tête Car"/>
    <w:uiPriority w:val="99"/>
    <w:locked/>
    <w:rPr>
      <w:rFonts w:ascii="Courier" w:hAnsi="Courier"/>
      <w:sz w:val="20"/>
      <w:lang w:val="x-none"/>
    </w:rPr>
  </w:style>
  <w:style w:type="paragraph" w:styleId="FootnoteText">
    <w:name w:val="footnote text"/>
    <w:aliases w:val="Footnote Text Char1 Char,Footnote Text Char Char Char1,Footnote Text Char1 Char Char Char1,Footnote Text Char1 Char1 Char,Footnote Text Char Char Char Char,Footnote Text Char1 Char Char Char Char,single space,fn,Footnote Text1,12pt,A"/>
    <w:basedOn w:val="Normal"/>
    <w:link w:val="FootnoteTextChar"/>
    <w:uiPriority w:val="99"/>
    <w:pPr>
      <w:widowControl w:val="0"/>
    </w:pPr>
    <w:rPr>
      <w:rFonts w:ascii="Courier" w:hAnsi="Courier"/>
    </w:rPr>
  </w:style>
  <w:style w:type="character" w:customStyle="1" w:styleId="NotedebasdepageCar">
    <w:name w:val="Note de bas de page Car"/>
    <w:uiPriority w:val="99"/>
    <w:semiHidden/>
    <w:locked/>
    <w:rPr>
      <w:rFonts w:ascii="Courier" w:hAnsi="Courier"/>
      <w:sz w:val="20"/>
      <w:lang w:val="en-US"/>
    </w:rPr>
  </w:style>
  <w:style w:type="paragraph" w:styleId="Subtitle">
    <w:name w:val="Subtitle"/>
    <w:basedOn w:val="Normal"/>
    <w:link w:val="SubtitleChar"/>
    <w:uiPriority w:val="11"/>
    <w:qFormat/>
    <w:pPr>
      <w:spacing w:after="60"/>
      <w:jc w:val="center"/>
      <w:outlineLvl w:val="1"/>
    </w:pPr>
    <w:rPr>
      <w:rFonts w:ascii="Arial" w:hAnsi="Arial"/>
      <w:sz w:val="24"/>
      <w:szCs w:val="24"/>
    </w:rPr>
  </w:style>
  <w:style w:type="character" w:customStyle="1" w:styleId="SubtitleChar">
    <w:name w:val="Subtitle Char"/>
    <w:link w:val="Subtitle"/>
    <w:uiPriority w:val="11"/>
    <w:locked/>
    <w:rPr>
      <w:rFonts w:ascii="Arial" w:hAnsi="Arial"/>
      <w:sz w:val="24"/>
      <w:lang w:val="en-US"/>
    </w:rPr>
  </w:style>
  <w:style w:type="character" w:styleId="FootnoteReference">
    <w:name w:val="footnote reference"/>
    <w:aliases w:val="Note de bas de page Car1,ftref,Footnote Reference Superscript,BVI fnr,16 Point,Superscript 6 Point,Footnote Reference Char Char Char,Carattere Char Carattere Carattere Char Carattere Char Carattere Char Char Char1 Char,4_G,R"/>
    <w:link w:val="Char2"/>
    <w:uiPriority w:val="99"/>
    <w:qFormat/>
    <w:rPr>
      <w:vertAlign w:val="superscript"/>
    </w:rPr>
  </w:style>
  <w:style w:type="paragraph" w:styleId="Footer">
    <w:name w:val="footer"/>
    <w:basedOn w:val="Normal"/>
    <w:link w:val="FooterChar"/>
    <w:uiPriority w:val="99"/>
    <w:pPr>
      <w:tabs>
        <w:tab w:val="center" w:pos="4320"/>
        <w:tab w:val="right" w:pos="8640"/>
      </w:tabs>
    </w:pPr>
    <w:rPr>
      <w:lang w:val="fr-FR"/>
    </w:rPr>
  </w:style>
  <w:style w:type="character" w:customStyle="1" w:styleId="FooterChar">
    <w:name w:val="Footer Char"/>
    <w:link w:val="Footer"/>
    <w:uiPriority w:val="99"/>
    <w:locked/>
    <w:rPr>
      <w:rFonts w:ascii="Times New Roman" w:eastAsia="Times New Roman"/>
      <w:sz w:val="20"/>
      <w:lang w:val="x-none"/>
    </w:rPr>
  </w:style>
  <w:style w:type="paragraph" w:customStyle="1" w:styleId="HCh">
    <w:name w:val="_ H _Ch"/>
    <w:basedOn w:val="Normal"/>
    <w:next w:val="Normal"/>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link w:val="FollowedHyperlink"/>
    <w:uiPriority w:val="99"/>
    <w:semiHidden/>
    <w:rPr>
      <w:sz w:val="16"/>
      <w:szCs w:val="16"/>
    </w:rPr>
  </w:style>
  <w:style w:type="character" w:customStyle="1" w:styleId="TextedebullesCar">
    <w:name w:val="Texte de bulles Car"/>
    <w:uiPriority w:val="99"/>
    <w:semiHidden/>
    <w:locked/>
    <w:rPr>
      <w:rFonts w:ascii="Times New Roman" w:eastAsia="Times New Roman"/>
      <w:sz w:val="16"/>
      <w:lang w:val="en-US"/>
    </w:rPr>
  </w:style>
  <w:style w:type="character" w:styleId="Hyperlink">
    <w:name w:val="Hyperlink"/>
    <w:uiPriority w:val="99"/>
    <w:rPr>
      <w:color w:val="336699"/>
      <w:u w:val="none"/>
      <w:effect w:val="none"/>
    </w:rPr>
  </w:style>
  <w:style w:type="paragraph" w:styleId="ListParagraph">
    <w:name w:val="List Paragraph"/>
    <w:aliases w:val="List Paragraph (numbered (a)),References,Paragraphe de liste1,L_4,List Paragraph1,WB Para,titulo 3,Bullets,Párrafo de lista1,normal,Normal1,WB List Paragraph,Dot pt,F5 List Paragraph,No Spacing1,List Paragraph Char Char Char,列出段落"/>
    <w:basedOn w:val="Normal"/>
    <w:link w:val="ListParagraphChar"/>
    <w:uiPriority w:val="34"/>
    <w:qFormat/>
    <w:pPr>
      <w:ind w:left="720"/>
    </w:pPr>
  </w:style>
  <w:style w:type="paragraph" w:styleId="DocumentMap">
    <w:name w:val="Document Map"/>
    <w:basedOn w:val="Normal"/>
    <w:link w:val="DocumentMapChar"/>
    <w:uiPriority w:val="99"/>
    <w:semiHidden/>
    <w:rPr>
      <w:sz w:val="16"/>
      <w:szCs w:val="16"/>
      <w:lang w:val="fr-FR"/>
    </w:rPr>
  </w:style>
  <w:style w:type="character" w:customStyle="1" w:styleId="DocumentMapChar">
    <w:name w:val="Document Map Char"/>
    <w:link w:val="DocumentMap"/>
    <w:uiPriority w:val="99"/>
    <w:semiHidden/>
    <w:locked/>
    <w:rPr>
      <w:rFonts w:ascii="Times New Roman" w:eastAsia="Times New Roman"/>
      <w:sz w:val="16"/>
      <w:lang w:val="x-none"/>
    </w:rPr>
  </w:style>
  <w:style w:type="character" w:styleId="CommentReference">
    <w:name w:val="annotation reference"/>
    <w:aliases w:val="Header Char"/>
    <w:link w:val="Header"/>
    <w:uiPriority w:val="99"/>
    <w:rPr>
      <w:sz w:val="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locked/>
    <w:rPr>
      <w:rFonts w:ascii="Times New Roman" w:eastAsia="Times New Roman"/>
      <w:sz w:val="20"/>
      <w:lang w:val="en-US"/>
    </w:rPr>
  </w:style>
  <w:style w:type="paragraph" w:styleId="CommentSubject">
    <w:name w:val="annotation subject"/>
    <w:basedOn w:val="CommentText"/>
    <w:next w:val="CommentText"/>
    <w:link w:val="CommentSubjectChar"/>
    <w:rPr>
      <w:b/>
      <w:bCs/>
      <w:lang w:val="fr-FR"/>
    </w:rPr>
  </w:style>
  <w:style w:type="character" w:customStyle="1" w:styleId="CommentSubjectChar">
    <w:name w:val="Comment Subject Char"/>
    <w:link w:val="CommentSubject"/>
    <w:locked/>
    <w:rPr>
      <w:rFonts w:ascii="Times New Roman" w:eastAsia="Times New Roman"/>
      <w:b/>
      <w:sz w:val="20"/>
      <w:lang w:val="x-none"/>
    </w:rPr>
  </w:style>
  <w:style w:type="character" w:styleId="PageNumber">
    <w:name w:val="page number"/>
    <w:uiPriority w:val="99"/>
    <w:semiHidden/>
    <w:rPr>
      <w:rFonts w:cs="Times New Roman"/>
    </w:rPr>
  </w:style>
  <w:style w:type="paragraph" w:styleId="BodyText">
    <w:name w:val="Body Text"/>
    <w:basedOn w:val="Normal"/>
    <w:link w:val="BodyTextChar"/>
    <w:uiPriority w:val="99"/>
    <w:semiHidden/>
    <w:rPr>
      <w:b/>
      <w:bCs/>
      <w:sz w:val="24"/>
    </w:rPr>
  </w:style>
  <w:style w:type="character" w:customStyle="1" w:styleId="BodyTextChar">
    <w:name w:val="Body Text Char"/>
    <w:link w:val="BodyText"/>
    <w:uiPriority w:val="99"/>
    <w:semiHidden/>
    <w:locked/>
    <w:rPr>
      <w:rFonts w:ascii="Times New Roman" w:eastAsia="Times New Roman"/>
      <w:b/>
      <w:sz w:val="20"/>
      <w:lang w:val="en-US"/>
    </w:rPr>
  </w:style>
  <w:style w:type="paragraph" w:styleId="BodyText2">
    <w:name w:val="Body Text 2"/>
    <w:basedOn w:val="Normal"/>
    <w:link w:val="BodyText2Char"/>
    <w:uiPriority w:val="99"/>
    <w:semiHidden/>
    <w:rPr>
      <w:sz w:val="24"/>
    </w:rPr>
  </w:style>
  <w:style w:type="character" w:customStyle="1" w:styleId="BodyText2Char">
    <w:name w:val="Body Text 2 Char"/>
    <w:link w:val="BodyText2"/>
    <w:uiPriority w:val="99"/>
    <w:semiHidden/>
    <w:locked/>
    <w:rPr>
      <w:rFonts w:ascii="Times New Roman" w:eastAsia="Times New Roman"/>
      <w:sz w:val="20"/>
      <w:lang w:val="en-US"/>
    </w:rPr>
  </w:style>
  <w:style w:type="paragraph" w:styleId="BodyText3">
    <w:name w:val="Body Text 3"/>
    <w:basedOn w:val="Normal"/>
    <w:link w:val="BodyText3Char"/>
    <w:uiPriority w:val="99"/>
    <w:semiHidden/>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link w:val="BodyText3"/>
    <w:uiPriority w:val="99"/>
    <w:semiHidden/>
    <w:locked/>
    <w:rPr>
      <w:rFonts w:ascii="Times New Roman" w:eastAsia="Times New Roman"/>
      <w:sz w:val="20"/>
      <w:lang w:val="en-US"/>
    </w:rPr>
  </w:style>
  <w:style w:type="character" w:customStyle="1" w:styleId="ParagraphedelisteCar">
    <w:name w:val="Paragraphe de liste Car"/>
    <w:aliases w:val="List Paragraph (numbered (a)) Car,References Car,Paragraphe de liste1 Car,L_4 Car"/>
    <w:uiPriority w:val="34"/>
    <w:locked/>
    <w:rPr>
      <w:rFonts w:ascii="Times New Roman" w:eastAsia="Times New Roman"/>
      <w:sz w:val="20"/>
      <w:lang w:val="en-US"/>
    </w:rPr>
  </w:style>
  <w:style w:type="paragraph" w:styleId="Revision">
    <w:name w:val="Revision"/>
    <w:hidden/>
    <w:uiPriority w:val="99"/>
    <w:semiHidden/>
    <w:rPr>
      <w:rFonts w:ascii="Times New Roman" w:hAnsi="Times New Roman"/>
      <w:snapToGrid w:val="0"/>
      <w:lang w:eastAsia="fr-FR"/>
    </w:rPr>
  </w:style>
  <w:style w:type="character" w:styleId="FollowedHyperlink">
    <w:name w:val="FollowedHyperlink"/>
    <w:aliases w:val="Balloon Text Char"/>
    <w:link w:val="BalloonText"/>
    <w:uiPriority w:val="99"/>
    <w:semiHidden/>
    <w:rPr>
      <w:color w:val="800080"/>
      <w:u w:val="single"/>
    </w:rPr>
  </w:style>
  <w:style w:type="character" w:customStyle="1" w:styleId="Policepardfaut1">
    <w:name w:val="Police par défaut1"/>
  </w:style>
  <w:style w:type="paragraph" w:customStyle="1" w:styleId="Default">
    <w:name w:val="Default"/>
    <w:pPr>
      <w:autoSpaceDE w:val="0"/>
      <w:autoSpaceDN w:val="0"/>
      <w:adjustRightInd w:val="0"/>
    </w:pPr>
    <w:rPr>
      <w:rFonts w:ascii="Times New Roman" w:hAnsi="Times New Roman"/>
      <w:snapToGrid w:val="0"/>
      <w:color w:val="000000"/>
      <w:sz w:val="24"/>
      <w:szCs w:val="24"/>
      <w:lang w:eastAsia="fr-FR"/>
    </w:rPr>
  </w:style>
  <w:style w:type="character" w:customStyle="1" w:styleId="shorttext">
    <w:name w:val="short_text"/>
  </w:style>
  <w:style w:type="paragraph" w:styleId="NoSpacing">
    <w:name w:val="No Spacing"/>
    <w:uiPriority w:val="1"/>
    <w:qFormat/>
    <w:rPr>
      <w:rFonts w:ascii="Times New Roman" w:hAnsi="Times New Roman"/>
      <w:snapToGrid w:val="0"/>
      <w:lang w:eastAsia="fr-FR"/>
    </w:rPr>
  </w:style>
  <w:style w:type="character" w:customStyle="1" w:styleId="tw4winMark">
    <w:name w:val="tw4winMark"/>
    <w:uiPriority w:val="99"/>
    <w:rPr>
      <w:rFonts w:ascii="Courier New" w:hAnsi="Courier New"/>
      <w:vanish/>
      <w:color w:val="800080"/>
      <w:sz w:val="24"/>
      <w:vertAlign w:val="subscript"/>
    </w:rPr>
  </w:style>
  <w:style w:type="character" w:customStyle="1" w:styleId="apple-converted-space">
    <w:name w:val="apple-converted-space"/>
  </w:style>
  <w:style w:type="character" w:styleId="Emphasis">
    <w:name w:val="Emphasis"/>
    <w:uiPriority w:val="20"/>
    <w:qFormat/>
    <w:rPr>
      <w:i/>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Mention1">
    <w:name w:val="Mention1"/>
    <w:uiPriority w:val="99"/>
    <w:semiHidden/>
    <w:unhideWhenUsed/>
    <w:rsid w:val="00661763"/>
    <w:rPr>
      <w:color w:val="2B579A"/>
      <w:shd w:val="clear" w:color="auto" w:fill="E6E6E6"/>
    </w:rPr>
  </w:style>
  <w:style w:type="paragraph" w:styleId="EndnoteText">
    <w:name w:val="endnote text"/>
    <w:basedOn w:val="Normal"/>
    <w:link w:val="EndnoteTextChar"/>
    <w:uiPriority w:val="99"/>
    <w:semiHidden/>
    <w:unhideWhenUsed/>
    <w:rsid w:val="00163CD2"/>
  </w:style>
  <w:style w:type="character" w:customStyle="1" w:styleId="EndnoteTextChar">
    <w:name w:val="Endnote Text Char"/>
    <w:link w:val="EndnoteText"/>
    <w:uiPriority w:val="99"/>
    <w:semiHidden/>
    <w:rsid w:val="00163CD2"/>
    <w:rPr>
      <w:rFonts w:ascii="Times New Roman" w:hAnsi="Times New Roman"/>
      <w:snapToGrid w:val="0"/>
      <w:lang w:val="en-US" w:eastAsia="fr-FR"/>
    </w:rPr>
  </w:style>
  <w:style w:type="character" w:styleId="EndnoteReference">
    <w:name w:val="endnote reference"/>
    <w:uiPriority w:val="99"/>
    <w:semiHidden/>
    <w:unhideWhenUsed/>
    <w:rsid w:val="00163CD2"/>
    <w:rPr>
      <w:vertAlign w:val="superscript"/>
    </w:rPr>
  </w:style>
  <w:style w:type="paragraph" w:styleId="NormalWeb">
    <w:name w:val="Normal (Web)"/>
    <w:basedOn w:val="Normal"/>
    <w:uiPriority w:val="99"/>
    <w:unhideWhenUsed/>
    <w:rsid w:val="00992E77"/>
    <w:pPr>
      <w:spacing w:before="100" w:beforeAutospacing="1" w:after="100" w:afterAutospacing="1"/>
    </w:pPr>
    <w:rPr>
      <w:snapToGrid/>
      <w:sz w:val="24"/>
      <w:szCs w:val="24"/>
      <w:lang w:val="fr-FR"/>
    </w:rPr>
  </w:style>
  <w:style w:type="paragraph" w:customStyle="1" w:styleId="Char2">
    <w:name w:val="Char2"/>
    <w:basedOn w:val="Normal"/>
    <w:link w:val="FootnoteReference"/>
    <w:uiPriority w:val="99"/>
    <w:rsid w:val="00434992"/>
    <w:pPr>
      <w:spacing w:after="160" w:line="240" w:lineRule="exact"/>
    </w:pPr>
    <w:rPr>
      <w:rFonts w:ascii="Calibri" w:hAnsi="Calibri"/>
      <w:snapToGrid/>
      <w:vertAlign w:val="superscript"/>
      <w:lang w:val="en-ZA" w:eastAsia="en-ZA"/>
    </w:rPr>
  </w:style>
  <w:style w:type="paragraph" w:styleId="TOC1">
    <w:name w:val="toc 1"/>
    <w:basedOn w:val="Normal"/>
    <w:next w:val="Normal"/>
    <w:autoRedefine/>
    <w:uiPriority w:val="39"/>
    <w:unhideWhenUsed/>
    <w:rsid w:val="006E2C5D"/>
    <w:pPr>
      <w:tabs>
        <w:tab w:val="right" w:leader="dot" w:pos="9321"/>
      </w:tabs>
      <w:spacing w:after="100"/>
    </w:pPr>
  </w:style>
  <w:style w:type="paragraph" w:styleId="TOC2">
    <w:name w:val="toc 2"/>
    <w:basedOn w:val="Normal"/>
    <w:next w:val="Normal"/>
    <w:autoRedefine/>
    <w:uiPriority w:val="39"/>
    <w:unhideWhenUsed/>
    <w:rsid w:val="00402D2B"/>
    <w:pPr>
      <w:tabs>
        <w:tab w:val="right" w:leader="dot" w:pos="9321"/>
      </w:tabs>
      <w:spacing w:after="100"/>
      <w:ind w:left="200"/>
    </w:pPr>
  </w:style>
  <w:style w:type="paragraph" w:styleId="HTMLPreformatted">
    <w:name w:val="HTML Preformatted"/>
    <w:basedOn w:val="Normal"/>
    <w:link w:val="HTMLPreformattedChar"/>
    <w:uiPriority w:val="99"/>
    <w:unhideWhenUsed/>
    <w:rsid w:val="00CC0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ZA" w:eastAsia="en-ZA"/>
    </w:rPr>
  </w:style>
  <w:style w:type="character" w:customStyle="1" w:styleId="HTMLPreformattedChar">
    <w:name w:val="HTML Preformatted Char"/>
    <w:link w:val="HTMLPreformatted"/>
    <w:uiPriority w:val="99"/>
    <w:rsid w:val="00CC08EA"/>
    <w:rPr>
      <w:rFonts w:ascii="Courier New" w:hAnsi="Courier New" w:cs="Courier New"/>
      <w:lang w:val="en-ZA" w:eastAsia="en-ZA"/>
    </w:rPr>
  </w:style>
  <w:style w:type="character" w:customStyle="1" w:styleId="Mentionnonrsolue1">
    <w:name w:val="Mention non résolue1"/>
    <w:uiPriority w:val="99"/>
    <w:semiHidden/>
    <w:unhideWhenUsed/>
    <w:rsid w:val="009F1E5D"/>
    <w:rPr>
      <w:color w:val="808080"/>
      <w:shd w:val="clear" w:color="auto" w:fill="E6E6E6"/>
    </w:rPr>
  </w:style>
  <w:style w:type="character" w:customStyle="1" w:styleId="Mentionnonrsolue2">
    <w:name w:val="Mention non résolue2"/>
    <w:uiPriority w:val="99"/>
    <w:semiHidden/>
    <w:unhideWhenUsed/>
    <w:rsid w:val="00723E6E"/>
    <w:rPr>
      <w:color w:val="808080"/>
      <w:shd w:val="clear" w:color="auto" w:fill="E6E6E6"/>
    </w:rPr>
  </w:style>
  <w:style w:type="character" w:customStyle="1" w:styleId="ListParagraphChar">
    <w:name w:val="List Paragraph Char"/>
    <w:aliases w:val="List Paragraph (numbered (a)) Char,References Char,Paragraphe de liste1 Char,L_4 Char,List Paragraph1 Char,WB Para Char,titulo 3 Char,Bullets Char,Párrafo de lista1 Char,normal Char,Normal1 Char,WB List Paragraph Char,Dot pt Char"/>
    <w:link w:val="ListParagraph"/>
    <w:uiPriority w:val="34"/>
    <w:qFormat/>
    <w:locked/>
    <w:rsid w:val="00723E6E"/>
    <w:rPr>
      <w:rFonts w:ascii="Times New Roman" w:hAnsi="Times New Roman"/>
      <w:snapToGrid w:val="0"/>
      <w:lang w:eastAsia="fr-FR"/>
    </w:rPr>
  </w:style>
  <w:style w:type="character" w:customStyle="1" w:styleId="FootnoteTextChar">
    <w:name w:val="Footnote Text Char"/>
    <w:aliases w:val="Footnote Text Char1 Char Char,Footnote Text Char Char Char1 Char,Footnote Text Char1 Char Char Char1 Char,Footnote Text Char1 Char1 Char Char,Footnote Text Char Char Char Char Char,Footnote Text Char1 Char Char Char Char Char,fn Char"/>
    <w:basedOn w:val="DefaultParagraphFont"/>
    <w:link w:val="FootnoteText"/>
    <w:uiPriority w:val="99"/>
    <w:rsid w:val="00427B6B"/>
    <w:rPr>
      <w:rFonts w:ascii="Courier" w:hAnsi="Courier"/>
      <w:snapToGrid w:val="0"/>
      <w:lang w:eastAsia="fr-FR"/>
    </w:rPr>
  </w:style>
  <w:style w:type="paragraph" w:customStyle="1" w:styleId="BVIfnrCarCarCarCarChar">
    <w:name w:val="BVI fnr Car Car Car Car Char"/>
    <w:basedOn w:val="Normal"/>
    <w:uiPriority w:val="99"/>
    <w:rsid w:val="00427B6B"/>
    <w:pPr>
      <w:spacing w:after="160" w:line="240" w:lineRule="exact"/>
      <w:ind w:left="714" w:hanging="357"/>
    </w:pPr>
    <w:rPr>
      <w:snapToGrid/>
      <w:vertAlign w:val="superscript"/>
      <w:lang w:val="en-GB" w:eastAsia="en-GB"/>
    </w:rPr>
  </w:style>
  <w:style w:type="paragraph" w:customStyle="1" w:styleId="Body">
    <w:name w:val="Body"/>
    <w:uiPriority w:val="99"/>
    <w:rsid w:val="007B694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olor w:val="000000"/>
      <w:u w:color="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6978">
      <w:bodyDiv w:val="1"/>
      <w:marLeft w:val="0"/>
      <w:marRight w:val="0"/>
      <w:marTop w:val="0"/>
      <w:marBottom w:val="0"/>
      <w:divBdr>
        <w:top w:val="none" w:sz="0" w:space="0" w:color="auto"/>
        <w:left w:val="none" w:sz="0" w:space="0" w:color="auto"/>
        <w:bottom w:val="none" w:sz="0" w:space="0" w:color="auto"/>
        <w:right w:val="none" w:sz="0" w:space="0" w:color="auto"/>
      </w:divBdr>
    </w:div>
    <w:div w:id="136731411">
      <w:bodyDiv w:val="1"/>
      <w:marLeft w:val="0"/>
      <w:marRight w:val="0"/>
      <w:marTop w:val="0"/>
      <w:marBottom w:val="0"/>
      <w:divBdr>
        <w:top w:val="none" w:sz="0" w:space="0" w:color="auto"/>
        <w:left w:val="none" w:sz="0" w:space="0" w:color="auto"/>
        <w:bottom w:val="none" w:sz="0" w:space="0" w:color="auto"/>
        <w:right w:val="none" w:sz="0" w:space="0" w:color="auto"/>
      </w:divBdr>
    </w:div>
    <w:div w:id="188227129">
      <w:bodyDiv w:val="1"/>
      <w:marLeft w:val="0"/>
      <w:marRight w:val="0"/>
      <w:marTop w:val="0"/>
      <w:marBottom w:val="0"/>
      <w:divBdr>
        <w:top w:val="none" w:sz="0" w:space="0" w:color="auto"/>
        <w:left w:val="none" w:sz="0" w:space="0" w:color="auto"/>
        <w:bottom w:val="none" w:sz="0" w:space="0" w:color="auto"/>
        <w:right w:val="none" w:sz="0" w:space="0" w:color="auto"/>
      </w:divBdr>
    </w:div>
    <w:div w:id="195853484">
      <w:bodyDiv w:val="1"/>
      <w:marLeft w:val="0"/>
      <w:marRight w:val="0"/>
      <w:marTop w:val="0"/>
      <w:marBottom w:val="0"/>
      <w:divBdr>
        <w:top w:val="none" w:sz="0" w:space="0" w:color="auto"/>
        <w:left w:val="none" w:sz="0" w:space="0" w:color="auto"/>
        <w:bottom w:val="none" w:sz="0" w:space="0" w:color="auto"/>
        <w:right w:val="none" w:sz="0" w:space="0" w:color="auto"/>
      </w:divBdr>
    </w:div>
    <w:div w:id="212891431">
      <w:bodyDiv w:val="1"/>
      <w:marLeft w:val="0"/>
      <w:marRight w:val="0"/>
      <w:marTop w:val="0"/>
      <w:marBottom w:val="0"/>
      <w:divBdr>
        <w:top w:val="none" w:sz="0" w:space="0" w:color="auto"/>
        <w:left w:val="none" w:sz="0" w:space="0" w:color="auto"/>
        <w:bottom w:val="none" w:sz="0" w:space="0" w:color="auto"/>
        <w:right w:val="none" w:sz="0" w:space="0" w:color="auto"/>
      </w:divBdr>
    </w:div>
    <w:div w:id="226689132">
      <w:bodyDiv w:val="1"/>
      <w:marLeft w:val="0"/>
      <w:marRight w:val="0"/>
      <w:marTop w:val="0"/>
      <w:marBottom w:val="0"/>
      <w:divBdr>
        <w:top w:val="none" w:sz="0" w:space="0" w:color="auto"/>
        <w:left w:val="none" w:sz="0" w:space="0" w:color="auto"/>
        <w:bottom w:val="none" w:sz="0" w:space="0" w:color="auto"/>
        <w:right w:val="none" w:sz="0" w:space="0" w:color="auto"/>
      </w:divBdr>
      <w:divsChild>
        <w:div w:id="834806717">
          <w:marLeft w:val="547"/>
          <w:marRight w:val="0"/>
          <w:marTop w:val="0"/>
          <w:marBottom w:val="0"/>
          <w:divBdr>
            <w:top w:val="none" w:sz="0" w:space="0" w:color="auto"/>
            <w:left w:val="none" w:sz="0" w:space="0" w:color="auto"/>
            <w:bottom w:val="none" w:sz="0" w:space="0" w:color="auto"/>
            <w:right w:val="none" w:sz="0" w:space="0" w:color="auto"/>
          </w:divBdr>
        </w:div>
        <w:div w:id="916131131">
          <w:marLeft w:val="547"/>
          <w:marRight w:val="0"/>
          <w:marTop w:val="0"/>
          <w:marBottom w:val="0"/>
          <w:divBdr>
            <w:top w:val="none" w:sz="0" w:space="0" w:color="auto"/>
            <w:left w:val="none" w:sz="0" w:space="0" w:color="auto"/>
            <w:bottom w:val="none" w:sz="0" w:space="0" w:color="auto"/>
            <w:right w:val="none" w:sz="0" w:space="0" w:color="auto"/>
          </w:divBdr>
        </w:div>
      </w:divsChild>
    </w:div>
    <w:div w:id="233009029">
      <w:bodyDiv w:val="1"/>
      <w:marLeft w:val="0"/>
      <w:marRight w:val="0"/>
      <w:marTop w:val="0"/>
      <w:marBottom w:val="0"/>
      <w:divBdr>
        <w:top w:val="none" w:sz="0" w:space="0" w:color="auto"/>
        <w:left w:val="none" w:sz="0" w:space="0" w:color="auto"/>
        <w:bottom w:val="none" w:sz="0" w:space="0" w:color="auto"/>
        <w:right w:val="none" w:sz="0" w:space="0" w:color="auto"/>
      </w:divBdr>
    </w:div>
    <w:div w:id="246228768">
      <w:bodyDiv w:val="1"/>
      <w:marLeft w:val="0"/>
      <w:marRight w:val="0"/>
      <w:marTop w:val="0"/>
      <w:marBottom w:val="0"/>
      <w:divBdr>
        <w:top w:val="none" w:sz="0" w:space="0" w:color="auto"/>
        <w:left w:val="none" w:sz="0" w:space="0" w:color="auto"/>
        <w:bottom w:val="none" w:sz="0" w:space="0" w:color="auto"/>
        <w:right w:val="none" w:sz="0" w:space="0" w:color="auto"/>
      </w:divBdr>
    </w:div>
    <w:div w:id="308099641">
      <w:bodyDiv w:val="1"/>
      <w:marLeft w:val="0"/>
      <w:marRight w:val="0"/>
      <w:marTop w:val="0"/>
      <w:marBottom w:val="0"/>
      <w:divBdr>
        <w:top w:val="none" w:sz="0" w:space="0" w:color="auto"/>
        <w:left w:val="none" w:sz="0" w:space="0" w:color="auto"/>
        <w:bottom w:val="none" w:sz="0" w:space="0" w:color="auto"/>
        <w:right w:val="none" w:sz="0" w:space="0" w:color="auto"/>
      </w:divBdr>
      <w:divsChild>
        <w:div w:id="1103719222">
          <w:marLeft w:val="446"/>
          <w:marRight w:val="0"/>
          <w:marTop w:val="0"/>
          <w:marBottom w:val="0"/>
          <w:divBdr>
            <w:top w:val="none" w:sz="0" w:space="0" w:color="auto"/>
            <w:left w:val="none" w:sz="0" w:space="0" w:color="auto"/>
            <w:bottom w:val="none" w:sz="0" w:space="0" w:color="auto"/>
            <w:right w:val="none" w:sz="0" w:space="0" w:color="auto"/>
          </w:divBdr>
        </w:div>
      </w:divsChild>
    </w:div>
    <w:div w:id="319161140">
      <w:bodyDiv w:val="1"/>
      <w:marLeft w:val="0"/>
      <w:marRight w:val="0"/>
      <w:marTop w:val="0"/>
      <w:marBottom w:val="0"/>
      <w:divBdr>
        <w:top w:val="none" w:sz="0" w:space="0" w:color="auto"/>
        <w:left w:val="none" w:sz="0" w:space="0" w:color="auto"/>
        <w:bottom w:val="none" w:sz="0" w:space="0" w:color="auto"/>
        <w:right w:val="none" w:sz="0" w:space="0" w:color="auto"/>
      </w:divBdr>
    </w:div>
    <w:div w:id="396829480">
      <w:bodyDiv w:val="1"/>
      <w:marLeft w:val="0"/>
      <w:marRight w:val="0"/>
      <w:marTop w:val="0"/>
      <w:marBottom w:val="0"/>
      <w:divBdr>
        <w:top w:val="none" w:sz="0" w:space="0" w:color="auto"/>
        <w:left w:val="none" w:sz="0" w:space="0" w:color="auto"/>
        <w:bottom w:val="none" w:sz="0" w:space="0" w:color="auto"/>
        <w:right w:val="none" w:sz="0" w:space="0" w:color="auto"/>
      </w:divBdr>
    </w:div>
    <w:div w:id="417487383">
      <w:bodyDiv w:val="1"/>
      <w:marLeft w:val="0"/>
      <w:marRight w:val="0"/>
      <w:marTop w:val="0"/>
      <w:marBottom w:val="0"/>
      <w:divBdr>
        <w:top w:val="none" w:sz="0" w:space="0" w:color="auto"/>
        <w:left w:val="none" w:sz="0" w:space="0" w:color="auto"/>
        <w:bottom w:val="none" w:sz="0" w:space="0" w:color="auto"/>
        <w:right w:val="none" w:sz="0" w:space="0" w:color="auto"/>
      </w:divBdr>
    </w:div>
    <w:div w:id="478303604">
      <w:bodyDiv w:val="1"/>
      <w:marLeft w:val="0"/>
      <w:marRight w:val="0"/>
      <w:marTop w:val="0"/>
      <w:marBottom w:val="0"/>
      <w:divBdr>
        <w:top w:val="none" w:sz="0" w:space="0" w:color="auto"/>
        <w:left w:val="none" w:sz="0" w:space="0" w:color="auto"/>
        <w:bottom w:val="none" w:sz="0" w:space="0" w:color="auto"/>
        <w:right w:val="none" w:sz="0" w:space="0" w:color="auto"/>
      </w:divBdr>
    </w:div>
    <w:div w:id="483552807">
      <w:bodyDiv w:val="1"/>
      <w:marLeft w:val="0"/>
      <w:marRight w:val="0"/>
      <w:marTop w:val="0"/>
      <w:marBottom w:val="0"/>
      <w:divBdr>
        <w:top w:val="none" w:sz="0" w:space="0" w:color="auto"/>
        <w:left w:val="none" w:sz="0" w:space="0" w:color="auto"/>
        <w:bottom w:val="none" w:sz="0" w:space="0" w:color="auto"/>
        <w:right w:val="none" w:sz="0" w:space="0" w:color="auto"/>
      </w:divBdr>
    </w:div>
    <w:div w:id="532500054">
      <w:bodyDiv w:val="1"/>
      <w:marLeft w:val="0"/>
      <w:marRight w:val="0"/>
      <w:marTop w:val="0"/>
      <w:marBottom w:val="0"/>
      <w:divBdr>
        <w:top w:val="none" w:sz="0" w:space="0" w:color="auto"/>
        <w:left w:val="none" w:sz="0" w:space="0" w:color="auto"/>
        <w:bottom w:val="none" w:sz="0" w:space="0" w:color="auto"/>
        <w:right w:val="none" w:sz="0" w:space="0" w:color="auto"/>
      </w:divBdr>
      <w:divsChild>
        <w:div w:id="945893210">
          <w:marLeft w:val="547"/>
          <w:marRight w:val="0"/>
          <w:marTop w:val="0"/>
          <w:marBottom w:val="0"/>
          <w:divBdr>
            <w:top w:val="none" w:sz="0" w:space="0" w:color="auto"/>
            <w:left w:val="none" w:sz="0" w:space="0" w:color="auto"/>
            <w:bottom w:val="none" w:sz="0" w:space="0" w:color="auto"/>
            <w:right w:val="none" w:sz="0" w:space="0" w:color="auto"/>
          </w:divBdr>
        </w:div>
      </w:divsChild>
    </w:div>
    <w:div w:id="651179962">
      <w:bodyDiv w:val="1"/>
      <w:marLeft w:val="0"/>
      <w:marRight w:val="0"/>
      <w:marTop w:val="0"/>
      <w:marBottom w:val="0"/>
      <w:divBdr>
        <w:top w:val="none" w:sz="0" w:space="0" w:color="auto"/>
        <w:left w:val="none" w:sz="0" w:space="0" w:color="auto"/>
        <w:bottom w:val="none" w:sz="0" w:space="0" w:color="auto"/>
        <w:right w:val="none" w:sz="0" w:space="0" w:color="auto"/>
      </w:divBdr>
    </w:div>
    <w:div w:id="653611389">
      <w:bodyDiv w:val="1"/>
      <w:marLeft w:val="0"/>
      <w:marRight w:val="0"/>
      <w:marTop w:val="0"/>
      <w:marBottom w:val="0"/>
      <w:divBdr>
        <w:top w:val="none" w:sz="0" w:space="0" w:color="auto"/>
        <w:left w:val="none" w:sz="0" w:space="0" w:color="auto"/>
        <w:bottom w:val="none" w:sz="0" w:space="0" w:color="auto"/>
        <w:right w:val="none" w:sz="0" w:space="0" w:color="auto"/>
      </w:divBdr>
    </w:div>
    <w:div w:id="752820519">
      <w:bodyDiv w:val="1"/>
      <w:marLeft w:val="0"/>
      <w:marRight w:val="0"/>
      <w:marTop w:val="0"/>
      <w:marBottom w:val="0"/>
      <w:divBdr>
        <w:top w:val="none" w:sz="0" w:space="0" w:color="auto"/>
        <w:left w:val="none" w:sz="0" w:space="0" w:color="auto"/>
        <w:bottom w:val="none" w:sz="0" w:space="0" w:color="auto"/>
        <w:right w:val="none" w:sz="0" w:space="0" w:color="auto"/>
      </w:divBdr>
      <w:divsChild>
        <w:div w:id="268247414">
          <w:marLeft w:val="0"/>
          <w:marRight w:val="0"/>
          <w:marTop w:val="0"/>
          <w:marBottom w:val="0"/>
          <w:divBdr>
            <w:top w:val="none" w:sz="0" w:space="0" w:color="auto"/>
            <w:left w:val="none" w:sz="0" w:space="0" w:color="auto"/>
            <w:bottom w:val="none" w:sz="0" w:space="0" w:color="auto"/>
            <w:right w:val="none" w:sz="0" w:space="0" w:color="auto"/>
          </w:divBdr>
          <w:divsChild>
            <w:div w:id="434179520">
              <w:marLeft w:val="-150"/>
              <w:marRight w:val="-150"/>
              <w:marTop w:val="0"/>
              <w:marBottom w:val="0"/>
              <w:divBdr>
                <w:top w:val="none" w:sz="0" w:space="0" w:color="auto"/>
                <w:left w:val="none" w:sz="0" w:space="0" w:color="auto"/>
                <w:bottom w:val="none" w:sz="0" w:space="0" w:color="auto"/>
                <w:right w:val="none" w:sz="0" w:space="0" w:color="auto"/>
              </w:divBdr>
              <w:divsChild>
                <w:div w:id="380062172">
                  <w:marLeft w:val="0"/>
                  <w:marRight w:val="0"/>
                  <w:marTop w:val="0"/>
                  <w:marBottom w:val="0"/>
                  <w:divBdr>
                    <w:top w:val="none" w:sz="0" w:space="0" w:color="auto"/>
                    <w:left w:val="none" w:sz="0" w:space="0" w:color="auto"/>
                    <w:bottom w:val="none" w:sz="0" w:space="0" w:color="auto"/>
                    <w:right w:val="none" w:sz="0" w:space="0" w:color="auto"/>
                  </w:divBdr>
                  <w:divsChild>
                    <w:div w:id="151606118">
                      <w:marLeft w:val="0"/>
                      <w:marRight w:val="0"/>
                      <w:marTop w:val="0"/>
                      <w:marBottom w:val="0"/>
                      <w:divBdr>
                        <w:top w:val="none" w:sz="0" w:space="0" w:color="auto"/>
                        <w:left w:val="none" w:sz="0" w:space="0" w:color="auto"/>
                        <w:bottom w:val="none" w:sz="0" w:space="0" w:color="auto"/>
                        <w:right w:val="none" w:sz="0" w:space="0" w:color="auto"/>
                      </w:divBdr>
                    </w:div>
                    <w:div w:id="246306222">
                      <w:marLeft w:val="0"/>
                      <w:marRight w:val="0"/>
                      <w:marTop w:val="0"/>
                      <w:marBottom w:val="0"/>
                      <w:divBdr>
                        <w:top w:val="none" w:sz="0" w:space="0" w:color="auto"/>
                        <w:left w:val="none" w:sz="0" w:space="0" w:color="auto"/>
                        <w:bottom w:val="none" w:sz="0" w:space="0" w:color="auto"/>
                        <w:right w:val="none" w:sz="0" w:space="0" w:color="auto"/>
                      </w:divBdr>
                      <w:divsChild>
                        <w:div w:id="1191408975">
                          <w:marLeft w:val="0"/>
                          <w:marRight w:val="0"/>
                          <w:marTop w:val="0"/>
                          <w:marBottom w:val="0"/>
                          <w:divBdr>
                            <w:top w:val="none" w:sz="0" w:space="0" w:color="auto"/>
                            <w:left w:val="none" w:sz="0" w:space="0" w:color="auto"/>
                            <w:bottom w:val="none" w:sz="0" w:space="0" w:color="auto"/>
                            <w:right w:val="none" w:sz="0" w:space="0" w:color="auto"/>
                          </w:divBdr>
                          <w:divsChild>
                            <w:div w:id="1318995321">
                              <w:marLeft w:val="0"/>
                              <w:marRight w:val="0"/>
                              <w:marTop w:val="0"/>
                              <w:marBottom w:val="0"/>
                              <w:divBdr>
                                <w:top w:val="none" w:sz="0" w:space="0" w:color="auto"/>
                                <w:left w:val="none" w:sz="0" w:space="0" w:color="auto"/>
                                <w:bottom w:val="none" w:sz="0" w:space="0" w:color="auto"/>
                                <w:right w:val="none" w:sz="0" w:space="0" w:color="auto"/>
                              </w:divBdr>
                              <w:divsChild>
                                <w:div w:id="5216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38681">
                      <w:marLeft w:val="0"/>
                      <w:marRight w:val="0"/>
                      <w:marTop w:val="0"/>
                      <w:marBottom w:val="0"/>
                      <w:divBdr>
                        <w:top w:val="none" w:sz="0" w:space="0" w:color="auto"/>
                        <w:left w:val="none" w:sz="0" w:space="0" w:color="auto"/>
                        <w:bottom w:val="none" w:sz="0" w:space="0" w:color="auto"/>
                        <w:right w:val="none" w:sz="0" w:space="0" w:color="auto"/>
                      </w:divBdr>
                    </w:div>
                    <w:div w:id="14142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23449">
      <w:bodyDiv w:val="1"/>
      <w:marLeft w:val="0"/>
      <w:marRight w:val="0"/>
      <w:marTop w:val="0"/>
      <w:marBottom w:val="0"/>
      <w:divBdr>
        <w:top w:val="none" w:sz="0" w:space="0" w:color="auto"/>
        <w:left w:val="none" w:sz="0" w:space="0" w:color="auto"/>
        <w:bottom w:val="none" w:sz="0" w:space="0" w:color="auto"/>
        <w:right w:val="none" w:sz="0" w:space="0" w:color="auto"/>
      </w:divBdr>
    </w:div>
    <w:div w:id="851263977">
      <w:bodyDiv w:val="1"/>
      <w:marLeft w:val="0"/>
      <w:marRight w:val="0"/>
      <w:marTop w:val="0"/>
      <w:marBottom w:val="0"/>
      <w:divBdr>
        <w:top w:val="none" w:sz="0" w:space="0" w:color="auto"/>
        <w:left w:val="none" w:sz="0" w:space="0" w:color="auto"/>
        <w:bottom w:val="none" w:sz="0" w:space="0" w:color="auto"/>
        <w:right w:val="none" w:sz="0" w:space="0" w:color="auto"/>
      </w:divBdr>
    </w:div>
    <w:div w:id="858275720">
      <w:bodyDiv w:val="1"/>
      <w:marLeft w:val="0"/>
      <w:marRight w:val="0"/>
      <w:marTop w:val="0"/>
      <w:marBottom w:val="0"/>
      <w:divBdr>
        <w:top w:val="none" w:sz="0" w:space="0" w:color="auto"/>
        <w:left w:val="none" w:sz="0" w:space="0" w:color="auto"/>
        <w:bottom w:val="none" w:sz="0" w:space="0" w:color="auto"/>
        <w:right w:val="none" w:sz="0" w:space="0" w:color="auto"/>
      </w:divBdr>
    </w:div>
    <w:div w:id="876090755">
      <w:bodyDiv w:val="1"/>
      <w:marLeft w:val="0"/>
      <w:marRight w:val="0"/>
      <w:marTop w:val="0"/>
      <w:marBottom w:val="0"/>
      <w:divBdr>
        <w:top w:val="none" w:sz="0" w:space="0" w:color="auto"/>
        <w:left w:val="none" w:sz="0" w:space="0" w:color="auto"/>
        <w:bottom w:val="none" w:sz="0" w:space="0" w:color="auto"/>
        <w:right w:val="none" w:sz="0" w:space="0" w:color="auto"/>
      </w:divBdr>
    </w:div>
    <w:div w:id="905843101">
      <w:bodyDiv w:val="1"/>
      <w:marLeft w:val="0"/>
      <w:marRight w:val="0"/>
      <w:marTop w:val="0"/>
      <w:marBottom w:val="0"/>
      <w:divBdr>
        <w:top w:val="none" w:sz="0" w:space="0" w:color="auto"/>
        <w:left w:val="none" w:sz="0" w:space="0" w:color="auto"/>
        <w:bottom w:val="none" w:sz="0" w:space="0" w:color="auto"/>
        <w:right w:val="none" w:sz="0" w:space="0" w:color="auto"/>
      </w:divBdr>
      <w:divsChild>
        <w:div w:id="252978734">
          <w:marLeft w:val="446"/>
          <w:marRight w:val="0"/>
          <w:marTop w:val="0"/>
          <w:marBottom w:val="0"/>
          <w:divBdr>
            <w:top w:val="none" w:sz="0" w:space="0" w:color="auto"/>
            <w:left w:val="none" w:sz="0" w:space="0" w:color="auto"/>
            <w:bottom w:val="none" w:sz="0" w:space="0" w:color="auto"/>
            <w:right w:val="none" w:sz="0" w:space="0" w:color="auto"/>
          </w:divBdr>
        </w:div>
      </w:divsChild>
    </w:div>
    <w:div w:id="923688248">
      <w:bodyDiv w:val="1"/>
      <w:marLeft w:val="0"/>
      <w:marRight w:val="0"/>
      <w:marTop w:val="0"/>
      <w:marBottom w:val="0"/>
      <w:divBdr>
        <w:top w:val="none" w:sz="0" w:space="0" w:color="auto"/>
        <w:left w:val="none" w:sz="0" w:space="0" w:color="auto"/>
        <w:bottom w:val="none" w:sz="0" w:space="0" w:color="auto"/>
        <w:right w:val="none" w:sz="0" w:space="0" w:color="auto"/>
      </w:divBdr>
      <w:divsChild>
        <w:div w:id="670958186">
          <w:marLeft w:val="446"/>
          <w:marRight w:val="0"/>
          <w:marTop w:val="0"/>
          <w:marBottom w:val="0"/>
          <w:divBdr>
            <w:top w:val="none" w:sz="0" w:space="0" w:color="auto"/>
            <w:left w:val="none" w:sz="0" w:space="0" w:color="auto"/>
            <w:bottom w:val="none" w:sz="0" w:space="0" w:color="auto"/>
            <w:right w:val="none" w:sz="0" w:space="0" w:color="auto"/>
          </w:divBdr>
        </w:div>
      </w:divsChild>
    </w:div>
    <w:div w:id="1008752110">
      <w:bodyDiv w:val="1"/>
      <w:marLeft w:val="0"/>
      <w:marRight w:val="0"/>
      <w:marTop w:val="0"/>
      <w:marBottom w:val="0"/>
      <w:divBdr>
        <w:top w:val="none" w:sz="0" w:space="0" w:color="auto"/>
        <w:left w:val="none" w:sz="0" w:space="0" w:color="auto"/>
        <w:bottom w:val="none" w:sz="0" w:space="0" w:color="auto"/>
        <w:right w:val="none" w:sz="0" w:space="0" w:color="auto"/>
      </w:divBdr>
      <w:divsChild>
        <w:div w:id="799420224">
          <w:marLeft w:val="1123"/>
          <w:marRight w:val="0"/>
          <w:marTop w:val="140"/>
          <w:marBottom w:val="0"/>
          <w:divBdr>
            <w:top w:val="none" w:sz="0" w:space="0" w:color="auto"/>
            <w:left w:val="none" w:sz="0" w:space="0" w:color="auto"/>
            <w:bottom w:val="none" w:sz="0" w:space="0" w:color="auto"/>
            <w:right w:val="none" w:sz="0" w:space="0" w:color="auto"/>
          </w:divBdr>
        </w:div>
      </w:divsChild>
    </w:div>
    <w:div w:id="1010135070">
      <w:bodyDiv w:val="1"/>
      <w:marLeft w:val="0"/>
      <w:marRight w:val="0"/>
      <w:marTop w:val="0"/>
      <w:marBottom w:val="0"/>
      <w:divBdr>
        <w:top w:val="none" w:sz="0" w:space="0" w:color="auto"/>
        <w:left w:val="none" w:sz="0" w:space="0" w:color="auto"/>
        <w:bottom w:val="none" w:sz="0" w:space="0" w:color="auto"/>
        <w:right w:val="none" w:sz="0" w:space="0" w:color="auto"/>
      </w:divBdr>
    </w:div>
    <w:div w:id="1043411194">
      <w:bodyDiv w:val="1"/>
      <w:marLeft w:val="0"/>
      <w:marRight w:val="0"/>
      <w:marTop w:val="0"/>
      <w:marBottom w:val="0"/>
      <w:divBdr>
        <w:top w:val="none" w:sz="0" w:space="0" w:color="auto"/>
        <w:left w:val="none" w:sz="0" w:space="0" w:color="auto"/>
        <w:bottom w:val="none" w:sz="0" w:space="0" w:color="auto"/>
        <w:right w:val="none" w:sz="0" w:space="0" w:color="auto"/>
      </w:divBdr>
    </w:div>
    <w:div w:id="1054279837">
      <w:bodyDiv w:val="1"/>
      <w:marLeft w:val="0"/>
      <w:marRight w:val="0"/>
      <w:marTop w:val="0"/>
      <w:marBottom w:val="0"/>
      <w:divBdr>
        <w:top w:val="none" w:sz="0" w:space="0" w:color="auto"/>
        <w:left w:val="none" w:sz="0" w:space="0" w:color="auto"/>
        <w:bottom w:val="none" w:sz="0" w:space="0" w:color="auto"/>
        <w:right w:val="none" w:sz="0" w:space="0" w:color="auto"/>
      </w:divBdr>
    </w:div>
    <w:div w:id="1060906139">
      <w:bodyDiv w:val="1"/>
      <w:marLeft w:val="0"/>
      <w:marRight w:val="0"/>
      <w:marTop w:val="0"/>
      <w:marBottom w:val="0"/>
      <w:divBdr>
        <w:top w:val="none" w:sz="0" w:space="0" w:color="auto"/>
        <w:left w:val="none" w:sz="0" w:space="0" w:color="auto"/>
        <w:bottom w:val="none" w:sz="0" w:space="0" w:color="auto"/>
        <w:right w:val="none" w:sz="0" w:space="0" w:color="auto"/>
      </w:divBdr>
    </w:div>
    <w:div w:id="1086802706">
      <w:bodyDiv w:val="1"/>
      <w:marLeft w:val="0"/>
      <w:marRight w:val="0"/>
      <w:marTop w:val="0"/>
      <w:marBottom w:val="0"/>
      <w:divBdr>
        <w:top w:val="none" w:sz="0" w:space="0" w:color="auto"/>
        <w:left w:val="none" w:sz="0" w:space="0" w:color="auto"/>
        <w:bottom w:val="none" w:sz="0" w:space="0" w:color="auto"/>
        <w:right w:val="none" w:sz="0" w:space="0" w:color="auto"/>
      </w:divBdr>
    </w:div>
    <w:div w:id="1161966598">
      <w:marLeft w:val="0"/>
      <w:marRight w:val="0"/>
      <w:marTop w:val="0"/>
      <w:marBottom w:val="0"/>
      <w:divBdr>
        <w:top w:val="none" w:sz="0" w:space="0" w:color="auto"/>
        <w:left w:val="none" w:sz="0" w:space="0" w:color="auto"/>
        <w:bottom w:val="none" w:sz="0" w:space="0" w:color="auto"/>
        <w:right w:val="none" w:sz="0" w:space="0" w:color="auto"/>
      </w:divBdr>
    </w:div>
    <w:div w:id="1161966599">
      <w:marLeft w:val="0"/>
      <w:marRight w:val="0"/>
      <w:marTop w:val="0"/>
      <w:marBottom w:val="0"/>
      <w:divBdr>
        <w:top w:val="none" w:sz="0" w:space="0" w:color="auto"/>
        <w:left w:val="none" w:sz="0" w:space="0" w:color="auto"/>
        <w:bottom w:val="none" w:sz="0" w:space="0" w:color="auto"/>
        <w:right w:val="none" w:sz="0" w:space="0" w:color="auto"/>
      </w:divBdr>
    </w:div>
    <w:div w:id="1161966600">
      <w:marLeft w:val="0"/>
      <w:marRight w:val="0"/>
      <w:marTop w:val="0"/>
      <w:marBottom w:val="0"/>
      <w:divBdr>
        <w:top w:val="none" w:sz="0" w:space="0" w:color="auto"/>
        <w:left w:val="none" w:sz="0" w:space="0" w:color="auto"/>
        <w:bottom w:val="none" w:sz="0" w:space="0" w:color="auto"/>
        <w:right w:val="none" w:sz="0" w:space="0" w:color="auto"/>
      </w:divBdr>
    </w:div>
    <w:div w:id="1161966601">
      <w:marLeft w:val="0"/>
      <w:marRight w:val="0"/>
      <w:marTop w:val="0"/>
      <w:marBottom w:val="0"/>
      <w:divBdr>
        <w:top w:val="none" w:sz="0" w:space="0" w:color="auto"/>
        <w:left w:val="none" w:sz="0" w:space="0" w:color="auto"/>
        <w:bottom w:val="none" w:sz="0" w:space="0" w:color="auto"/>
        <w:right w:val="none" w:sz="0" w:space="0" w:color="auto"/>
      </w:divBdr>
    </w:div>
    <w:div w:id="1262374400">
      <w:bodyDiv w:val="1"/>
      <w:marLeft w:val="0"/>
      <w:marRight w:val="0"/>
      <w:marTop w:val="0"/>
      <w:marBottom w:val="0"/>
      <w:divBdr>
        <w:top w:val="none" w:sz="0" w:space="0" w:color="auto"/>
        <w:left w:val="none" w:sz="0" w:space="0" w:color="auto"/>
        <w:bottom w:val="none" w:sz="0" w:space="0" w:color="auto"/>
        <w:right w:val="none" w:sz="0" w:space="0" w:color="auto"/>
      </w:divBdr>
    </w:div>
    <w:div w:id="1279987259">
      <w:bodyDiv w:val="1"/>
      <w:marLeft w:val="0"/>
      <w:marRight w:val="0"/>
      <w:marTop w:val="0"/>
      <w:marBottom w:val="0"/>
      <w:divBdr>
        <w:top w:val="none" w:sz="0" w:space="0" w:color="auto"/>
        <w:left w:val="none" w:sz="0" w:space="0" w:color="auto"/>
        <w:bottom w:val="none" w:sz="0" w:space="0" w:color="auto"/>
        <w:right w:val="none" w:sz="0" w:space="0" w:color="auto"/>
      </w:divBdr>
    </w:div>
    <w:div w:id="1285692383">
      <w:bodyDiv w:val="1"/>
      <w:marLeft w:val="0"/>
      <w:marRight w:val="0"/>
      <w:marTop w:val="0"/>
      <w:marBottom w:val="0"/>
      <w:divBdr>
        <w:top w:val="none" w:sz="0" w:space="0" w:color="auto"/>
        <w:left w:val="none" w:sz="0" w:space="0" w:color="auto"/>
        <w:bottom w:val="none" w:sz="0" w:space="0" w:color="auto"/>
        <w:right w:val="none" w:sz="0" w:space="0" w:color="auto"/>
      </w:divBdr>
      <w:divsChild>
        <w:div w:id="858390847">
          <w:marLeft w:val="446"/>
          <w:marRight w:val="0"/>
          <w:marTop w:val="0"/>
          <w:marBottom w:val="0"/>
          <w:divBdr>
            <w:top w:val="none" w:sz="0" w:space="0" w:color="auto"/>
            <w:left w:val="none" w:sz="0" w:space="0" w:color="auto"/>
            <w:bottom w:val="none" w:sz="0" w:space="0" w:color="auto"/>
            <w:right w:val="none" w:sz="0" w:space="0" w:color="auto"/>
          </w:divBdr>
        </w:div>
      </w:divsChild>
    </w:div>
    <w:div w:id="1307786243">
      <w:bodyDiv w:val="1"/>
      <w:marLeft w:val="0"/>
      <w:marRight w:val="0"/>
      <w:marTop w:val="0"/>
      <w:marBottom w:val="0"/>
      <w:divBdr>
        <w:top w:val="none" w:sz="0" w:space="0" w:color="auto"/>
        <w:left w:val="none" w:sz="0" w:space="0" w:color="auto"/>
        <w:bottom w:val="none" w:sz="0" w:space="0" w:color="auto"/>
        <w:right w:val="none" w:sz="0" w:space="0" w:color="auto"/>
      </w:divBdr>
    </w:div>
    <w:div w:id="1309214506">
      <w:bodyDiv w:val="1"/>
      <w:marLeft w:val="0"/>
      <w:marRight w:val="0"/>
      <w:marTop w:val="0"/>
      <w:marBottom w:val="0"/>
      <w:divBdr>
        <w:top w:val="none" w:sz="0" w:space="0" w:color="auto"/>
        <w:left w:val="none" w:sz="0" w:space="0" w:color="auto"/>
        <w:bottom w:val="none" w:sz="0" w:space="0" w:color="auto"/>
        <w:right w:val="none" w:sz="0" w:space="0" w:color="auto"/>
      </w:divBdr>
    </w:div>
    <w:div w:id="1348408634">
      <w:bodyDiv w:val="1"/>
      <w:marLeft w:val="0"/>
      <w:marRight w:val="0"/>
      <w:marTop w:val="0"/>
      <w:marBottom w:val="0"/>
      <w:divBdr>
        <w:top w:val="none" w:sz="0" w:space="0" w:color="auto"/>
        <w:left w:val="none" w:sz="0" w:space="0" w:color="auto"/>
        <w:bottom w:val="none" w:sz="0" w:space="0" w:color="auto"/>
        <w:right w:val="none" w:sz="0" w:space="0" w:color="auto"/>
      </w:divBdr>
    </w:div>
    <w:div w:id="1351638856">
      <w:bodyDiv w:val="1"/>
      <w:marLeft w:val="0"/>
      <w:marRight w:val="0"/>
      <w:marTop w:val="0"/>
      <w:marBottom w:val="0"/>
      <w:divBdr>
        <w:top w:val="none" w:sz="0" w:space="0" w:color="auto"/>
        <w:left w:val="none" w:sz="0" w:space="0" w:color="auto"/>
        <w:bottom w:val="none" w:sz="0" w:space="0" w:color="auto"/>
        <w:right w:val="none" w:sz="0" w:space="0" w:color="auto"/>
      </w:divBdr>
      <w:divsChild>
        <w:div w:id="812871031">
          <w:marLeft w:val="1123"/>
          <w:marRight w:val="0"/>
          <w:marTop w:val="140"/>
          <w:marBottom w:val="0"/>
          <w:divBdr>
            <w:top w:val="none" w:sz="0" w:space="0" w:color="auto"/>
            <w:left w:val="none" w:sz="0" w:space="0" w:color="auto"/>
            <w:bottom w:val="none" w:sz="0" w:space="0" w:color="auto"/>
            <w:right w:val="none" w:sz="0" w:space="0" w:color="auto"/>
          </w:divBdr>
        </w:div>
        <w:div w:id="1344746785">
          <w:marLeft w:val="1123"/>
          <w:marRight w:val="0"/>
          <w:marTop w:val="140"/>
          <w:marBottom w:val="0"/>
          <w:divBdr>
            <w:top w:val="none" w:sz="0" w:space="0" w:color="auto"/>
            <w:left w:val="none" w:sz="0" w:space="0" w:color="auto"/>
            <w:bottom w:val="none" w:sz="0" w:space="0" w:color="auto"/>
            <w:right w:val="none" w:sz="0" w:space="0" w:color="auto"/>
          </w:divBdr>
        </w:div>
        <w:div w:id="1817651004">
          <w:marLeft w:val="1123"/>
          <w:marRight w:val="0"/>
          <w:marTop w:val="140"/>
          <w:marBottom w:val="0"/>
          <w:divBdr>
            <w:top w:val="none" w:sz="0" w:space="0" w:color="auto"/>
            <w:left w:val="none" w:sz="0" w:space="0" w:color="auto"/>
            <w:bottom w:val="none" w:sz="0" w:space="0" w:color="auto"/>
            <w:right w:val="none" w:sz="0" w:space="0" w:color="auto"/>
          </w:divBdr>
        </w:div>
      </w:divsChild>
    </w:div>
    <w:div w:id="1383365074">
      <w:bodyDiv w:val="1"/>
      <w:marLeft w:val="0"/>
      <w:marRight w:val="0"/>
      <w:marTop w:val="0"/>
      <w:marBottom w:val="0"/>
      <w:divBdr>
        <w:top w:val="none" w:sz="0" w:space="0" w:color="auto"/>
        <w:left w:val="none" w:sz="0" w:space="0" w:color="auto"/>
        <w:bottom w:val="none" w:sz="0" w:space="0" w:color="auto"/>
        <w:right w:val="none" w:sz="0" w:space="0" w:color="auto"/>
      </w:divBdr>
    </w:div>
    <w:div w:id="1431467344">
      <w:bodyDiv w:val="1"/>
      <w:marLeft w:val="0"/>
      <w:marRight w:val="0"/>
      <w:marTop w:val="0"/>
      <w:marBottom w:val="0"/>
      <w:divBdr>
        <w:top w:val="none" w:sz="0" w:space="0" w:color="auto"/>
        <w:left w:val="none" w:sz="0" w:space="0" w:color="auto"/>
        <w:bottom w:val="none" w:sz="0" w:space="0" w:color="auto"/>
        <w:right w:val="none" w:sz="0" w:space="0" w:color="auto"/>
      </w:divBdr>
    </w:div>
    <w:div w:id="1493643472">
      <w:bodyDiv w:val="1"/>
      <w:marLeft w:val="0"/>
      <w:marRight w:val="0"/>
      <w:marTop w:val="0"/>
      <w:marBottom w:val="0"/>
      <w:divBdr>
        <w:top w:val="none" w:sz="0" w:space="0" w:color="auto"/>
        <w:left w:val="none" w:sz="0" w:space="0" w:color="auto"/>
        <w:bottom w:val="none" w:sz="0" w:space="0" w:color="auto"/>
        <w:right w:val="none" w:sz="0" w:space="0" w:color="auto"/>
      </w:divBdr>
    </w:div>
    <w:div w:id="1524781888">
      <w:bodyDiv w:val="1"/>
      <w:marLeft w:val="0"/>
      <w:marRight w:val="0"/>
      <w:marTop w:val="0"/>
      <w:marBottom w:val="0"/>
      <w:divBdr>
        <w:top w:val="none" w:sz="0" w:space="0" w:color="auto"/>
        <w:left w:val="none" w:sz="0" w:space="0" w:color="auto"/>
        <w:bottom w:val="none" w:sz="0" w:space="0" w:color="auto"/>
        <w:right w:val="none" w:sz="0" w:space="0" w:color="auto"/>
      </w:divBdr>
    </w:div>
    <w:div w:id="1548906217">
      <w:bodyDiv w:val="1"/>
      <w:marLeft w:val="0"/>
      <w:marRight w:val="0"/>
      <w:marTop w:val="0"/>
      <w:marBottom w:val="0"/>
      <w:divBdr>
        <w:top w:val="none" w:sz="0" w:space="0" w:color="auto"/>
        <w:left w:val="none" w:sz="0" w:space="0" w:color="auto"/>
        <w:bottom w:val="none" w:sz="0" w:space="0" w:color="auto"/>
        <w:right w:val="none" w:sz="0" w:space="0" w:color="auto"/>
      </w:divBdr>
    </w:div>
    <w:div w:id="1671561868">
      <w:bodyDiv w:val="1"/>
      <w:marLeft w:val="0"/>
      <w:marRight w:val="0"/>
      <w:marTop w:val="0"/>
      <w:marBottom w:val="0"/>
      <w:divBdr>
        <w:top w:val="none" w:sz="0" w:space="0" w:color="auto"/>
        <w:left w:val="none" w:sz="0" w:space="0" w:color="auto"/>
        <w:bottom w:val="none" w:sz="0" w:space="0" w:color="auto"/>
        <w:right w:val="none" w:sz="0" w:space="0" w:color="auto"/>
      </w:divBdr>
    </w:div>
    <w:div w:id="1676880009">
      <w:bodyDiv w:val="1"/>
      <w:marLeft w:val="0"/>
      <w:marRight w:val="0"/>
      <w:marTop w:val="0"/>
      <w:marBottom w:val="0"/>
      <w:divBdr>
        <w:top w:val="none" w:sz="0" w:space="0" w:color="auto"/>
        <w:left w:val="none" w:sz="0" w:space="0" w:color="auto"/>
        <w:bottom w:val="none" w:sz="0" w:space="0" w:color="auto"/>
        <w:right w:val="none" w:sz="0" w:space="0" w:color="auto"/>
      </w:divBdr>
    </w:div>
    <w:div w:id="1691225563">
      <w:bodyDiv w:val="1"/>
      <w:marLeft w:val="0"/>
      <w:marRight w:val="0"/>
      <w:marTop w:val="0"/>
      <w:marBottom w:val="0"/>
      <w:divBdr>
        <w:top w:val="none" w:sz="0" w:space="0" w:color="auto"/>
        <w:left w:val="none" w:sz="0" w:space="0" w:color="auto"/>
        <w:bottom w:val="none" w:sz="0" w:space="0" w:color="auto"/>
        <w:right w:val="none" w:sz="0" w:space="0" w:color="auto"/>
      </w:divBdr>
    </w:div>
    <w:div w:id="1748306643">
      <w:bodyDiv w:val="1"/>
      <w:marLeft w:val="0"/>
      <w:marRight w:val="0"/>
      <w:marTop w:val="0"/>
      <w:marBottom w:val="0"/>
      <w:divBdr>
        <w:top w:val="none" w:sz="0" w:space="0" w:color="auto"/>
        <w:left w:val="none" w:sz="0" w:space="0" w:color="auto"/>
        <w:bottom w:val="none" w:sz="0" w:space="0" w:color="auto"/>
        <w:right w:val="none" w:sz="0" w:space="0" w:color="auto"/>
      </w:divBdr>
    </w:div>
    <w:div w:id="1765571284">
      <w:bodyDiv w:val="1"/>
      <w:marLeft w:val="0"/>
      <w:marRight w:val="0"/>
      <w:marTop w:val="0"/>
      <w:marBottom w:val="0"/>
      <w:divBdr>
        <w:top w:val="none" w:sz="0" w:space="0" w:color="auto"/>
        <w:left w:val="none" w:sz="0" w:space="0" w:color="auto"/>
        <w:bottom w:val="none" w:sz="0" w:space="0" w:color="auto"/>
        <w:right w:val="none" w:sz="0" w:space="0" w:color="auto"/>
      </w:divBdr>
    </w:div>
    <w:div w:id="1770393484">
      <w:bodyDiv w:val="1"/>
      <w:marLeft w:val="0"/>
      <w:marRight w:val="0"/>
      <w:marTop w:val="0"/>
      <w:marBottom w:val="0"/>
      <w:divBdr>
        <w:top w:val="none" w:sz="0" w:space="0" w:color="auto"/>
        <w:left w:val="none" w:sz="0" w:space="0" w:color="auto"/>
        <w:bottom w:val="none" w:sz="0" w:space="0" w:color="auto"/>
        <w:right w:val="none" w:sz="0" w:space="0" w:color="auto"/>
      </w:divBdr>
    </w:div>
    <w:div w:id="1777017989">
      <w:bodyDiv w:val="1"/>
      <w:marLeft w:val="0"/>
      <w:marRight w:val="0"/>
      <w:marTop w:val="0"/>
      <w:marBottom w:val="0"/>
      <w:divBdr>
        <w:top w:val="none" w:sz="0" w:space="0" w:color="auto"/>
        <w:left w:val="none" w:sz="0" w:space="0" w:color="auto"/>
        <w:bottom w:val="none" w:sz="0" w:space="0" w:color="auto"/>
        <w:right w:val="none" w:sz="0" w:space="0" w:color="auto"/>
      </w:divBdr>
    </w:div>
    <w:div w:id="1821144558">
      <w:bodyDiv w:val="1"/>
      <w:marLeft w:val="0"/>
      <w:marRight w:val="0"/>
      <w:marTop w:val="0"/>
      <w:marBottom w:val="0"/>
      <w:divBdr>
        <w:top w:val="none" w:sz="0" w:space="0" w:color="auto"/>
        <w:left w:val="none" w:sz="0" w:space="0" w:color="auto"/>
        <w:bottom w:val="none" w:sz="0" w:space="0" w:color="auto"/>
        <w:right w:val="none" w:sz="0" w:space="0" w:color="auto"/>
      </w:divBdr>
    </w:div>
    <w:div w:id="1849515479">
      <w:bodyDiv w:val="1"/>
      <w:marLeft w:val="0"/>
      <w:marRight w:val="0"/>
      <w:marTop w:val="0"/>
      <w:marBottom w:val="0"/>
      <w:divBdr>
        <w:top w:val="none" w:sz="0" w:space="0" w:color="auto"/>
        <w:left w:val="none" w:sz="0" w:space="0" w:color="auto"/>
        <w:bottom w:val="none" w:sz="0" w:space="0" w:color="auto"/>
        <w:right w:val="none" w:sz="0" w:space="0" w:color="auto"/>
      </w:divBdr>
    </w:div>
    <w:div w:id="1912884024">
      <w:bodyDiv w:val="1"/>
      <w:marLeft w:val="0"/>
      <w:marRight w:val="0"/>
      <w:marTop w:val="0"/>
      <w:marBottom w:val="0"/>
      <w:divBdr>
        <w:top w:val="none" w:sz="0" w:space="0" w:color="auto"/>
        <w:left w:val="none" w:sz="0" w:space="0" w:color="auto"/>
        <w:bottom w:val="none" w:sz="0" w:space="0" w:color="auto"/>
        <w:right w:val="none" w:sz="0" w:space="0" w:color="auto"/>
      </w:divBdr>
    </w:div>
    <w:div w:id="1926961570">
      <w:bodyDiv w:val="1"/>
      <w:marLeft w:val="0"/>
      <w:marRight w:val="0"/>
      <w:marTop w:val="0"/>
      <w:marBottom w:val="0"/>
      <w:divBdr>
        <w:top w:val="none" w:sz="0" w:space="0" w:color="auto"/>
        <w:left w:val="none" w:sz="0" w:space="0" w:color="auto"/>
        <w:bottom w:val="none" w:sz="0" w:space="0" w:color="auto"/>
        <w:right w:val="none" w:sz="0" w:space="0" w:color="auto"/>
      </w:divBdr>
      <w:divsChild>
        <w:div w:id="329329886">
          <w:marLeft w:val="360"/>
          <w:marRight w:val="0"/>
          <w:marTop w:val="200"/>
          <w:marBottom w:val="0"/>
          <w:divBdr>
            <w:top w:val="none" w:sz="0" w:space="0" w:color="auto"/>
            <w:left w:val="none" w:sz="0" w:space="0" w:color="auto"/>
            <w:bottom w:val="none" w:sz="0" w:space="0" w:color="auto"/>
            <w:right w:val="none" w:sz="0" w:space="0" w:color="auto"/>
          </w:divBdr>
        </w:div>
        <w:div w:id="797577147">
          <w:marLeft w:val="1080"/>
          <w:marRight w:val="0"/>
          <w:marTop w:val="100"/>
          <w:marBottom w:val="0"/>
          <w:divBdr>
            <w:top w:val="none" w:sz="0" w:space="0" w:color="auto"/>
            <w:left w:val="none" w:sz="0" w:space="0" w:color="auto"/>
            <w:bottom w:val="none" w:sz="0" w:space="0" w:color="auto"/>
            <w:right w:val="none" w:sz="0" w:space="0" w:color="auto"/>
          </w:divBdr>
        </w:div>
        <w:div w:id="1658613780">
          <w:marLeft w:val="1080"/>
          <w:marRight w:val="0"/>
          <w:marTop w:val="100"/>
          <w:marBottom w:val="0"/>
          <w:divBdr>
            <w:top w:val="none" w:sz="0" w:space="0" w:color="auto"/>
            <w:left w:val="none" w:sz="0" w:space="0" w:color="auto"/>
            <w:bottom w:val="none" w:sz="0" w:space="0" w:color="auto"/>
            <w:right w:val="none" w:sz="0" w:space="0" w:color="auto"/>
          </w:divBdr>
        </w:div>
        <w:div w:id="1991787865">
          <w:marLeft w:val="1080"/>
          <w:marRight w:val="0"/>
          <w:marTop w:val="100"/>
          <w:marBottom w:val="0"/>
          <w:divBdr>
            <w:top w:val="none" w:sz="0" w:space="0" w:color="auto"/>
            <w:left w:val="none" w:sz="0" w:space="0" w:color="auto"/>
            <w:bottom w:val="none" w:sz="0" w:space="0" w:color="auto"/>
            <w:right w:val="none" w:sz="0" w:space="0" w:color="auto"/>
          </w:divBdr>
        </w:div>
      </w:divsChild>
    </w:div>
    <w:div w:id="1951624571">
      <w:bodyDiv w:val="1"/>
      <w:marLeft w:val="0"/>
      <w:marRight w:val="0"/>
      <w:marTop w:val="0"/>
      <w:marBottom w:val="0"/>
      <w:divBdr>
        <w:top w:val="none" w:sz="0" w:space="0" w:color="auto"/>
        <w:left w:val="none" w:sz="0" w:space="0" w:color="auto"/>
        <w:bottom w:val="none" w:sz="0" w:space="0" w:color="auto"/>
        <w:right w:val="none" w:sz="0" w:space="0" w:color="auto"/>
      </w:divBdr>
    </w:div>
    <w:div w:id="1979072982">
      <w:bodyDiv w:val="1"/>
      <w:marLeft w:val="0"/>
      <w:marRight w:val="0"/>
      <w:marTop w:val="0"/>
      <w:marBottom w:val="0"/>
      <w:divBdr>
        <w:top w:val="none" w:sz="0" w:space="0" w:color="auto"/>
        <w:left w:val="none" w:sz="0" w:space="0" w:color="auto"/>
        <w:bottom w:val="none" w:sz="0" w:space="0" w:color="auto"/>
        <w:right w:val="none" w:sz="0" w:space="0" w:color="auto"/>
      </w:divBdr>
    </w:div>
    <w:div w:id="1986279519">
      <w:bodyDiv w:val="1"/>
      <w:marLeft w:val="0"/>
      <w:marRight w:val="0"/>
      <w:marTop w:val="0"/>
      <w:marBottom w:val="0"/>
      <w:divBdr>
        <w:top w:val="none" w:sz="0" w:space="0" w:color="auto"/>
        <w:left w:val="none" w:sz="0" w:space="0" w:color="auto"/>
        <w:bottom w:val="none" w:sz="0" w:space="0" w:color="auto"/>
        <w:right w:val="none" w:sz="0" w:space="0" w:color="auto"/>
      </w:divBdr>
    </w:div>
    <w:div w:id="1987663871">
      <w:bodyDiv w:val="1"/>
      <w:marLeft w:val="0"/>
      <w:marRight w:val="0"/>
      <w:marTop w:val="0"/>
      <w:marBottom w:val="0"/>
      <w:divBdr>
        <w:top w:val="none" w:sz="0" w:space="0" w:color="auto"/>
        <w:left w:val="none" w:sz="0" w:space="0" w:color="auto"/>
        <w:bottom w:val="none" w:sz="0" w:space="0" w:color="auto"/>
        <w:right w:val="none" w:sz="0" w:space="0" w:color="auto"/>
      </w:divBdr>
    </w:div>
    <w:div w:id="2012099431">
      <w:bodyDiv w:val="1"/>
      <w:marLeft w:val="0"/>
      <w:marRight w:val="0"/>
      <w:marTop w:val="0"/>
      <w:marBottom w:val="0"/>
      <w:divBdr>
        <w:top w:val="none" w:sz="0" w:space="0" w:color="auto"/>
        <w:left w:val="none" w:sz="0" w:space="0" w:color="auto"/>
        <w:bottom w:val="none" w:sz="0" w:space="0" w:color="auto"/>
        <w:right w:val="none" w:sz="0" w:space="0" w:color="auto"/>
      </w:divBdr>
    </w:div>
    <w:div w:id="2016953465">
      <w:bodyDiv w:val="1"/>
      <w:marLeft w:val="0"/>
      <w:marRight w:val="0"/>
      <w:marTop w:val="0"/>
      <w:marBottom w:val="0"/>
      <w:divBdr>
        <w:top w:val="none" w:sz="0" w:space="0" w:color="auto"/>
        <w:left w:val="none" w:sz="0" w:space="0" w:color="auto"/>
        <w:bottom w:val="none" w:sz="0" w:space="0" w:color="auto"/>
        <w:right w:val="none" w:sz="0" w:space="0" w:color="auto"/>
      </w:divBdr>
    </w:div>
    <w:div w:id="2060081719">
      <w:bodyDiv w:val="1"/>
      <w:marLeft w:val="0"/>
      <w:marRight w:val="0"/>
      <w:marTop w:val="0"/>
      <w:marBottom w:val="0"/>
      <w:divBdr>
        <w:top w:val="none" w:sz="0" w:space="0" w:color="auto"/>
        <w:left w:val="none" w:sz="0" w:space="0" w:color="auto"/>
        <w:bottom w:val="none" w:sz="0" w:space="0" w:color="auto"/>
        <w:right w:val="none" w:sz="0" w:space="0" w:color="auto"/>
      </w:divBdr>
    </w:div>
    <w:div w:id="20864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fo.undp.org/global/popp/rma/Pages/internal-control-framework.aspx"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dp.org/content/undp/en/home/operations/accountability/programme_and_operationspoliciesandprocedures.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39E7-1055-4A96-B1CA-D7A08471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5774</Words>
  <Characters>35743</Characters>
  <Application>Microsoft Office Word</Application>
  <DocSecurity>0</DocSecurity>
  <Lines>1021</Lines>
  <Paragraphs>411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41106</CharactersWithSpaces>
  <SharedDoc>false</SharedDoc>
  <HLinks>
    <vt:vector size="54" baseType="variant">
      <vt:variant>
        <vt:i4>1769525</vt:i4>
      </vt:variant>
      <vt:variant>
        <vt:i4>50</vt:i4>
      </vt:variant>
      <vt:variant>
        <vt:i4>0</vt:i4>
      </vt:variant>
      <vt:variant>
        <vt:i4>5</vt:i4>
      </vt:variant>
      <vt:variant>
        <vt:lpwstr/>
      </vt:variant>
      <vt:variant>
        <vt:lpwstr>_Toc507603791</vt:lpwstr>
      </vt:variant>
      <vt:variant>
        <vt:i4>1769525</vt:i4>
      </vt:variant>
      <vt:variant>
        <vt:i4>44</vt:i4>
      </vt:variant>
      <vt:variant>
        <vt:i4>0</vt:i4>
      </vt:variant>
      <vt:variant>
        <vt:i4>5</vt:i4>
      </vt:variant>
      <vt:variant>
        <vt:lpwstr/>
      </vt:variant>
      <vt:variant>
        <vt:lpwstr>_Toc507603790</vt:lpwstr>
      </vt:variant>
      <vt:variant>
        <vt:i4>1703989</vt:i4>
      </vt:variant>
      <vt:variant>
        <vt:i4>38</vt:i4>
      </vt:variant>
      <vt:variant>
        <vt:i4>0</vt:i4>
      </vt:variant>
      <vt:variant>
        <vt:i4>5</vt:i4>
      </vt:variant>
      <vt:variant>
        <vt:lpwstr/>
      </vt:variant>
      <vt:variant>
        <vt:lpwstr>_Toc507603789</vt:lpwstr>
      </vt:variant>
      <vt:variant>
        <vt:i4>1703989</vt:i4>
      </vt:variant>
      <vt:variant>
        <vt:i4>32</vt:i4>
      </vt:variant>
      <vt:variant>
        <vt:i4>0</vt:i4>
      </vt:variant>
      <vt:variant>
        <vt:i4>5</vt:i4>
      </vt:variant>
      <vt:variant>
        <vt:lpwstr/>
      </vt:variant>
      <vt:variant>
        <vt:lpwstr>_Toc507603788</vt:lpwstr>
      </vt:variant>
      <vt:variant>
        <vt:i4>1703989</vt:i4>
      </vt:variant>
      <vt:variant>
        <vt:i4>26</vt:i4>
      </vt:variant>
      <vt:variant>
        <vt:i4>0</vt:i4>
      </vt:variant>
      <vt:variant>
        <vt:i4>5</vt:i4>
      </vt:variant>
      <vt:variant>
        <vt:lpwstr/>
      </vt:variant>
      <vt:variant>
        <vt:lpwstr>_Toc507603787</vt:lpwstr>
      </vt:variant>
      <vt:variant>
        <vt:i4>1703989</vt:i4>
      </vt:variant>
      <vt:variant>
        <vt:i4>20</vt:i4>
      </vt:variant>
      <vt:variant>
        <vt:i4>0</vt:i4>
      </vt:variant>
      <vt:variant>
        <vt:i4>5</vt:i4>
      </vt:variant>
      <vt:variant>
        <vt:lpwstr/>
      </vt:variant>
      <vt:variant>
        <vt:lpwstr>_Toc507603786</vt:lpwstr>
      </vt:variant>
      <vt:variant>
        <vt:i4>1703989</vt:i4>
      </vt:variant>
      <vt:variant>
        <vt:i4>14</vt:i4>
      </vt:variant>
      <vt:variant>
        <vt:i4>0</vt:i4>
      </vt:variant>
      <vt:variant>
        <vt:i4>5</vt:i4>
      </vt:variant>
      <vt:variant>
        <vt:lpwstr/>
      </vt:variant>
      <vt:variant>
        <vt:lpwstr>_Toc507603785</vt:lpwstr>
      </vt:variant>
      <vt:variant>
        <vt:i4>1703989</vt:i4>
      </vt:variant>
      <vt:variant>
        <vt:i4>8</vt:i4>
      </vt:variant>
      <vt:variant>
        <vt:i4>0</vt:i4>
      </vt:variant>
      <vt:variant>
        <vt:i4>5</vt:i4>
      </vt:variant>
      <vt:variant>
        <vt:lpwstr/>
      </vt:variant>
      <vt:variant>
        <vt:lpwstr>_Toc507603784</vt:lpwstr>
      </vt:variant>
      <vt:variant>
        <vt:i4>1703989</vt:i4>
      </vt:variant>
      <vt:variant>
        <vt:i4>2</vt:i4>
      </vt:variant>
      <vt:variant>
        <vt:i4>0</vt:i4>
      </vt:variant>
      <vt:variant>
        <vt:i4>5</vt:i4>
      </vt:variant>
      <vt:variant>
        <vt:lpwstr/>
      </vt:variant>
      <vt:variant>
        <vt:lpwstr>_Toc507603783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Yankpe</dc:creator>
  <cp:keywords/>
  <dc:description/>
  <cp:lastModifiedBy>Svetlana Iazykova</cp:lastModifiedBy>
  <cp:revision>6</cp:revision>
  <cp:lastPrinted>2018-05-04T12:40:00Z</cp:lastPrinted>
  <dcterms:created xsi:type="dcterms:W3CDTF">2018-10-22T16:08:00Z</dcterms:created>
  <dcterms:modified xsi:type="dcterms:W3CDTF">2018-10-22T16:14:00Z</dcterms:modified>
</cp:coreProperties>
</file>