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4329" w14:textId="77777777" w:rsidR="00B938CA" w:rsidRPr="006E0C93" w:rsidRDefault="00B938CA" w:rsidP="00BA3ADF">
      <w:pPr>
        <w:spacing w:after="200" w:line="240" w:lineRule="auto"/>
        <w:jc w:val="center"/>
        <w:rPr>
          <w:rFonts w:ascii="Calibri" w:eastAsia="Calibri" w:hAnsi="Calibri" w:cs="Times New Roman"/>
          <w:b/>
          <w:sz w:val="24"/>
          <w:szCs w:val="24"/>
          <w:lang w:val="en-AU"/>
        </w:rPr>
      </w:pPr>
      <w:bookmarkStart w:id="0" w:name="_Hlk28333968"/>
      <w:r w:rsidRPr="006E0C93">
        <w:rPr>
          <w:rFonts w:ascii="Calibri" w:eastAsia="Calibri" w:hAnsi="Calibri" w:cs="Times New Roman"/>
          <w:b/>
          <w:sz w:val="24"/>
          <w:szCs w:val="24"/>
          <w:lang w:val="en-AU"/>
        </w:rPr>
        <w:t xml:space="preserve">COMMENTS ON THE UNDP DRAFT COUNTRY PROGRAMME DOCUMENT FOR </w:t>
      </w:r>
      <w:r>
        <w:rPr>
          <w:rFonts w:ascii="Calibri" w:eastAsia="Calibri" w:hAnsi="Calibri" w:cs="Times New Roman"/>
          <w:b/>
          <w:sz w:val="24"/>
          <w:szCs w:val="24"/>
          <w:lang w:val="en-AU"/>
        </w:rPr>
        <w:t>MALI (2020-2024)</w:t>
      </w:r>
    </w:p>
    <w:p w14:paraId="6B65670A" w14:textId="77777777" w:rsidR="00B938CA" w:rsidRPr="006E0C93" w:rsidRDefault="00B938CA" w:rsidP="00B938CA">
      <w:pPr>
        <w:spacing w:after="200" w:line="240" w:lineRule="auto"/>
        <w:jc w:val="center"/>
        <w:rPr>
          <w:rFonts w:ascii="Calibri" w:eastAsia="Calibri" w:hAnsi="Calibri" w:cs="Times New Roman"/>
          <w:i/>
          <w:sz w:val="24"/>
          <w:szCs w:val="24"/>
          <w:lang w:val="en-AU"/>
        </w:rPr>
      </w:pPr>
      <w:r w:rsidRPr="006E0C93">
        <w:rPr>
          <w:rFonts w:ascii="Calibri" w:eastAsia="Calibri" w:hAnsi="Calibri" w:cs="Times New Roman"/>
          <w:i/>
          <w:sz w:val="24"/>
          <w:szCs w:val="24"/>
          <w:lang w:val="en-AU"/>
        </w:rPr>
        <w:t>First regular session 2020</w:t>
      </w:r>
    </w:p>
    <w:tbl>
      <w:tblPr>
        <w:tblStyle w:val="TableGrid"/>
        <w:tblW w:w="0" w:type="auto"/>
        <w:tblLook w:val="04A0" w:firstRow="1" w:lastRow="0" w:firstColumn="1" w:lastColumn="0" w:noHBand="0" w:noVBand="1"/>
      </w:tblPr>
      <w:tblGrid>
        <w:gridCol w:w="3681"/>
        <w:gridCol w:w="2551"/>
        <w:gridCol w:w="6521"/>
      </w:tblGrid>
      <w:tr w:rsidR="001302BF" w:rsidRPr="0042468A" w14:paraId="3F42A46A" w14:textId="77777777" w:rsidTr="001302BF">
        <w:trPr>
          <w:trHeight w:val="620"/>
        </w:trPr>
        <w:tc>
          <w:tcPr>
            <w:tcW w:w="3681" w:type="dxa"/>
            <w:shd w:val="clear" w:color="auto" w:fill="BFBFBF" w:themeFill="background1" w:themeFillShade="BF"/>
            <w:vAlign w:val="center"/>
          </w:tcPr>
          <w:p w14:paraId="238E7E16" w14:textId="77777777" w:rsidR="001302BF" w:rsidRPr="00DD27A3" w:rsidRDefault="001302BF" w:rsidP="00BA3ADF">
            <w:pPr>
              <w:autoSpaceDE w:val="0"/>
              <w:autoSpaceDN w:val="0"/>
              <w:jc w:val="center"/>
              <w:rPr>
                <w:rFonts w:cstheme="minorHAnsi"/>
                <w:b/>
                <w:sz w:val="24"/>
                <w:szCs w:val="24"/>
              </w:rPr>
            </w:pPr>
            <w:r>
              <w:rPr>
                <w:rFonts w:cstheme="minorHAnsi"/>
                <w:b/>
                <w:sz w:val="24"/>
                <w:szCs w:val="24"/>
              </w:rPr>
              <w:t>Comments by Finland</w:t>
            </w:r>
          </w:p>
        </w:tc>
        <w:tc>
          <w:tcPr>
            <w:tcW w:w="2551" w:type="dxa"/>
            <w:shd w:val="clear" w:color="auto" w:fill="BFBFBF" w:themeFill="background1" w:themeFillShade="BF"/>
            <w:vAlign w:val="center"/>
          </w:tcPr>
          <w:p w14:paraId="2C87D2F5" w14:textId="77777777" w:rsidR="001302BF" w:rsidRPr="00DD27A3" w:rsidRDefault="001302BF" w:rsidP="00BA3ADF">
            <w:pPr>
              <w:autoSpaceDE w:val="0"/>
              <w:autoSpaceDN w:val="0"/>
              <w:jc w:val="center"/>
              <w:rPr>
                <w:rFonts w:cstheme="minorHAnsi"/>
                <w:b/>
                <w:sz w:val="24"/>
                <w:szCs w:val="24"/>
              </w:rPr>
            </w:pPr>
            <w:r>
              <w:rPr>
                <w:rFonts w:cstheme="minorHAnsi"/>
                <w:b/>
                <w:sz w:val="24"/>
                <w:szCs w:val="24"/>
              </w:rPr>
              <w:t>Changes to the CPD</w:t>
            </w:r>
          </w:p>
        </w:tc>
        <w:tc>
          <w:tcPr>
            <w:tcW w:w="6521" w:type="dxa"/>
            <w:shd w:val="clear" w:color="auto" w:fill="BFBFBF" w:themeFill="background1" w:themeFillShade="BF"/>
            <w:vAlign w:val="center"/>
          </w:tcPr>
          <w:p w14:paraId="71B4C6FC" w14:textId="77777777" w:rsidR="001302BF" w:rsidRPr="00DD27A3" w:rsidRDefault="001302BF" w:rsidP="00BA3ADF">
            <w:pPr>
              <w:autoSpaceDE w:val="0"/>
              <w:autoSpaceDN w:val="0"/>
              <w:jc w:val="center"/>
              <w:rPr>
                <w:rFonts w:cstheme="minorHAnsi"/>
                <w:b/>
                <w:sz w:val="24"/>
                <w:szCs w:val="24"/>
              </w:rPr>
            </w:pPr>
            <w:r>
              <w:rPr>
                <w:rFonts w:cstheme="minorHAnsi"/>
                <w:b/>
                <w:sz w:val="24"/>
                <w:szCs w:val="24"/>
              </w:rPr>
              <w:t>Country Office response</w:t>
            </w:r>
          </w:p>
        </w:tc>
      </w:tr>
      <w:tr w:rsidR="00412F61" w:rsidRPr="0042468A" w14:paraId="09C622BC" w14:textId="77777777" w:rsidTr="0098044A">
        <w:tc>
          <w:tcPr>
            <w:tcW w:w="3681" w:type="dxa"/>
          </w:tcPr>
          <w:p w14:paraId="4B66963C" w14:textId="77777777" w:rsidR="00215851" w:rsidRPr="008E6C21" w:rsidRDefault="00215851" w:rsidP="00215851">
            <w:pPr>
              <w:pStyle w:val="ListParagraph"/>
              <w:numPr>
                <w:ilvl w:val="0"/>
                <w:numId w:val="13"/>
              </w:numPr>
              <w:contextualSpacing/>
              <w:rPr>
                <w:rFonts w:asciiTheme="minorHAnsi" w:hAnsiTheme="minorHAnsi" w:cstheme="minorHAnsi"/>
                <w:sz w:val="24"/>
                <w:szCs w:val="24"/>
              </w:rPr>
            </w:pPr>
            <w:r w:rsidRPr="008E6C21">
              <w:rPr>
                <w:rFonts w:asciiTheme="minorHAnsi" w:hAnsiTheme="minorHAnsi" w:cstheme="minorHAnsi"/>
                <w:sz w:val="24"/>
                <w:szCs w:val="24"/>
              </w:rPr>
              <w:t xml:space="preserve">CPD Section IV: Monitoring and Evaluation, based on the costed evaluation plan, consider elaborating on: </w:t>
            </w:r>
          </w:p>
          <w:p w14:paraId="399E5C3B" w14:textId="77777777" w:rsidR="00215851" w:rsidRPr="008E6C21" w:rsidRDefault="00215851" w:rsidP="00215851">
            <w:pPr>
              <w:pStyle w:val="ListParagraph"/>
              <w:numPr>
                <w:ilvl w:val="1"/>
                <w:numId w:val="13"/>
              </w:numPr>
              <w:contextualSpacing/>
              <w:rPr>
                <w:rFonts w:asciiTheme="minorHAnsi" w:hAnsiTheme="minorHAnsi" w:cstheme="minorHAnsi"/>
                <w:sz w:val="24"/>
                <w:szCs w:val="24"/>
              </w:rPr>
            </w:pPr>
            <w:r w:rsidRPr="008E6C21">
              <w:rPr>
                <w:rFonts w:asciiTheme="minorHAnsi" w:hAnsiTheme="minorHAnsi" w:cstheme="minorHAnsi"/>
                <w:sz w:val="24"/>
                <w:szCs w:val="24"/>
              </w:rPr>
              <w:t xml:space="preserve">The overall variety of different types of evaluations planned. </w:t>
            </w:r>
          </w:p>
          <w:p w14:paraId="0B451482" w14:textId="77777777" w:rsidR="00215851" w:rsidRPr="008E6C21" w:rsidRDefault="00215851" w:rsidP="00215851">
            <w:pPr>
              <w:pStyle w:val="ListParagraph"/>
              <w:numPr>
                <w:ilvl w:val="1"/>
                <w:numId w:val="13"/>
              </w:numPr>
              <w:contextualSpacing/>
              <w:rPr>
                <w:rFonts w:asciiTheme="minorHAnsi" w:hAnsiTheme="minorHAnsi" w:cstheme="minorHAnsi"/>
                <w:sz w:val="24"/>
                <w:szCs w:val="24"/>
              </w:rPr>
            </w:pPr>
            <w:r w:rsidRPr="008E6C21">
              <w:rPr>
                <w:rFonts w:asciiTheme="minorHAnsi" w:hAnsiTheme="minorHAnsi" w:cstheme="minorHAnsi"/>
                <w:sz w:val="24"/>
                <w:szCs w:val="24"/>
              </w:rPr>
              <w:t xml:space="preserve">How will they serve accountability and learning? What will they be used for? </w:t>
            </w:r>
          </w:p>
          <w:p w14:paraId="7430873B" w14:textId="77777777" w:rsidR="00215851" w:rsidRPr="008E6C21" w:rsidRDefault="00215851" w:rsidP="00215851">
            <w:pPr>
              <w:pStyle w:val="ListParagraph"/>
              <w:numPr>
                <w:ilvl w:val="1"/>
                <w:numId w:val="13"/>
              </w:numPr>
              <w:contextualSpacing/>
              <w:rPr>
                <w:rFonts w:asciiTheme="minorHAnsi" w:hAnsiTheme="minorHAnsi" w:cstheme="minorHAnsi"/>
                <w:sz w:val="24"/>
                <w:szCs w:val="24"/>
              </w:rPr>
            </w:pPr>
            <w:r w:rsidRPr="008E6C21">
              <w:rPr>
                <w:rFonts w:asciiTheme="minorHAnsi" w:hAnsiTheme="minorHAnsi" w:cstheme="minorHAnsi"/>
                <w:sz w:val="24"/>
                <w:szCs w:val="24"/>
              </w:rPr>
              <w:t>What will be produced from the generated evaluation knowledge?</w:t>
            </w:r>
          </w:p>
          <w:p w14:paraId="04C0D1A2" w14:textId="77777777" w:rsidR="00412F61" w:rsidRPr="00DD27A3" w:rsidRDefault="00215851" w:rsidP="003273BD">
            <w:pPr>
              <w:pStyle w:val="ListParagraph"/>
              <w:numPr>
                <w:ilvl w:val="1"/>
                <w:numId w:val="13"/>
              </w:numPr>
              <w:contextualSpacing/>
              <w:rPr>
                <w:rFonts w:asciiTheme="minorHAnsi" w:hAnsiTheme="minorHAnsi" w:cstheme="minorHAnsi"/>
                <w:sz w:val="24"/>
                <w:szCs w:val="24"/>
              </w:rPr>
            </w:pPr>
            <w:r w:rsidRPr="008E6C21">
              <w:rPr>
                <w:rFonts w:asciiTheme="minorHAnsi" w:hAnsiTheme="minorHAnsi" w:cstheme="minorHAnsi"/>
                <w:sz w:val="24"/>
                <w:szCs w:val="24"/>
              </w:rPr>
              <w:t>How will the national capacities be strengthened?</w:t>
            </w:r>
          </w:p>
        </w:tc>
        <w:tc>
          <w:tcPr>
            <w:tcW w:w="2551" w:type="dxa"/>
          </w:tcPr>
          <w:p w14:paraId="7436D63E" w14:textId="77777777" w:rsidR="00412F61" w:rsidRPr="00DD27A3" w:rsidRDefault="00515A70" w:rsidP="001E528A">
            <w:pPr>
              <w:rPr>
                <w:rFonts w:cstheme="minorHAnsi"/>
                <w:sz w:val="24"/>
                <w:szCs w:val="24"/>
              </w:rPr>
            </w:pPr>
            <w:r w:rsidRPr="00DD27A3">
              <w:rPr>
                <w:rFonts w:cstheme="minorHAnsi"/>
                <w:sz w:val="24"/>
                <w:szCs w:val="24"/>
              </w:rPr>
              <w:t xml:space="preserve">Section IV has been revised to provide more coherence in the presentation of the M&amp;E framework. </w:t>
            </w:r>
            <w:r w:rsidR="002459F2">
              <w:rPr>
                <w:rFonts w:cstheme="minorHAnsi"/>
                <w:sz w:val="24"/>
                <w:szCs w:val="24"/>
              </w:rPr>
              <w:t>Paragraphs</w:t>
            </w:r>
            <w:r w:rsidRPr="00DD27A3">
              <w:rPr>
                <w:rFonts w:cstheme="minorHAnsi"/>
                <w:sz w:val="24"/>
                <w:szCs w:val="24"/>
              </w:rPr>
              <w:t xml:space="preserve"> 34 &amp; 37 are merged, and the other sections adjusted in consequence to capture M&amp;E actions </w:t>
            </w:r>
            <w:r w:rsidR="00046726">
              <w:rPr>
                <w:rFonts w:cstheme="minorHAnsi"/>
                <w:sz w:val="24"/>
                <w:szCs w:val="24"/>
              </w:rPr>
              <w:t>at</w:t>
            </w:r>
            <w:r w:rsidRPr="00DD27A3">
              <w:rPr>
                <w:rFonts w:cstheme="minorHAnsi"/>
                <w:sz w:val="24"/>
                <w:szCs w:val="24"/>
              </w:rPr>
              <w:t xml:space="preserve"> 3 levels</w:t>
            </w:r>
            <w:r w:rsidR="00046726">
              <w:rPr>
                <w:rFonts w:cstheme="minorHAnsi"/>
                <w:sz w:val="24"/>
                <w:szCs w:val="24"/>
              </w:rPr>
              <w:t>.</w:t>
            </w:r>
          </w:p>
          <w:p w14:paraId="76C5F0AC" w14:textId="77777777" w:rsidR="00515A70" w:rsidRPr="00DD27A3" w:rsidRDefault="00515A70" w:rsidP="001E528A">
            <w:pPr>
              <w:rPr>
                <w:rFonts w:cstheme="minorHAnsi"/>
                <w:sz w:val="24"/>
                <w:szCs w:val="24"/>
              </w:rPr>
            </w:pPr>
          </w:p>
          <w:p w14:paraId="22AEE2E8" w14:textId="77777777" w:rsidR="00515A70" w:rsidRPr="00DD27A3" w:rsidRDefault="00515A70" w:rsidP="001E528A">
            <w:pPr>
              <w:rPr>
                <w:rFonts w:cstheme="minorHAnsi"/>
                <w:sz w:val="24"/>
                <w:szCs w:val="24"/>
              </w:rPr>
            </w:pPr>
            <w:r w:rsidRPr="00DD27A3">
              <w:rPr>
                <w:rFonts w:cstheme="minorHAnsi"/>
                <w:sz w:val="24"/>
                <w:szCs w:val="24"/>
              </w:rPr>
              <w:t xml:space="preserve">Learning and </w:t>
            </w:r>
            <w:r w:rsidR="00CC3823" w:rsidRPr="00DD27A3">
              <w:rPr>
                <w:rFonts w:cstheme="minorHAnsi"/>
                <w:sz w:val="24"/>
                <w:szCs w:val="24"/>
              </w:rPr>
              <w:t xml:space="preserve">national </w:t>
            </w:r>
            <w:r w:rsidRPr="00DD27A3">
              <w:rPr>
                <w:rFonts w:cstheme="minorHAnsi"/>
                <w:sz w:val="24"/>
                <w:szCs w:val="24"/>
              </w:rPr>
              <w:t>capacity building</w:t>
            </w:r>
            <w:r w:rsidR="00CC3823" w:rsidRPr="00DD27A3">
              <w:rPr>
                <w:rFonts w:cstheme="minorHAnsi"/>
                <w:sz w:val="24"/>
                <w:szCs w:val="24"/>
              </w:rPr>
              <w:t xml:space="preserve"> are presented in </w:t>
            </w:r>
            <w:r w:rsidR="002459F2">
              <w:rPr>
                <w:rFonts w:cstheme="minorHAnsi"/>
                <w:sz w:val="24"/>
                <w:szCs w:val="24"/>
              </w:rPr>
              <w:t>Paragraphs</w:t>
            </w:r>
            <w:r w:rsidR="00CC3823" w:rsidRPr="00DD27A3">
              <w:rPr>
                <w:rFonts w:cstheme="minorHAnsi"/>
                <w:sz w:val="24"/>
                <w:szCs w:val="24"/>
              </w:rPr>
              <w:t xml:space="preserve"> 35 &amp; 36.</w:t>
            </w:r>
          </w:p>
        </w:tc>
        <w:tc>
          <w:tcPr>
            <w:tcW w:w="6521" w:type="dxa"/>
          </w:tcPr>
          <w:p w14:paraId="3DAFFB11" w14:textId="0D977620" w:rsidR="00381670" w:rsidRDefault="008E6C21" w:rsidP="002D38D9">
            <w:pPr>
              <w:jc w:val="both"/>
              <w:rPr>
                <w:rFonts w:cstheme="minorHAnsi"/>
                <w:sz w:val="24"/>
                <w:szCs w:val="24"/>
              </w:rPr>
            </w:pPr>
            <w:r>
              <w:rPr>
                <w:rFonts w:cstheme="minorHAnsi"/>
                <w:sz w:val="24"/>
                <w:szCs w:val="24"/>
              </w:rPr>
              <w:t>While the</w:t>
            </w:r>
            <w:r w:rsidR="00515A70" w:rsidRPr="00DD27A3">
              <w:rPr>
                <w:rFonts w:cstheme="minorHAnsi"/>
                <w:sz w:val="24"/>
                <w:szCs w:val="24"/>
              </w:rPr>
              <w:t xml:space="preserve"> presentation of M&amp;E actions </w:t>
            </w:r>
            <w:r>
              <w:rPr>
                <w:rFonts w:cstheme="minorHAnsi"/>
                <w:sz w:val="24"/>
                <w:szCs w:val="24"/>
              </w:rPr>
              <w:t xml:space="preserve">appears </w:t>
            </w:r>
            <w:r w:rsidR="00515A70" w:rsidRPr="00DD27A3">
              <w:rPr>
                <w:rFonts w:cstheme="minorHAnsi"/>
                <w:sz w:val="24"/>
                <w:szCs w:val="24"/>
              </w:rPr>
              <w:t xml:space="preserve">fragmented through </w:t>
            </w:r>
            <w:r w:rsidR="00B25CB3">
              <w:rPr>
                <w:rFonts w:cstheme="minorHAnsi"/>
                <w:sz w:val="24"/>
                <w:szCs w:val="24"/>
              </w:rPr>
              <w:t>paragraphs</w:t>
            </w:r>
            <w:r w:rsidR="00515A70" w:rsidRPr="00DD27A3">
              <w:rPr>
                <w:rFonts w:cstheme="minorHAnsi"/>
                <w:sz w:val="24"/>
                <w:szCs w:val="24"/>
              </w:rPr>
              <w:t xml:space="preserve"> 34 to 37</w:t>
            </w:r>
            <w:r>
              <w:rPr>
                <w:rFonts w:cstheme="minorHAnsi"/>
                <w:sz w:val="24"/>
                <w:szCs w:val="24"/>
              </w:rPr>
              <w:t>, the CPD includes as an annex an explicit evaluation plan linked to the 3 main outcomes as well as annual</w:t>
            </w:r>
            <w:r w:rsidR="006F7091">
              <w:rPr>
                <w:rFonts w:cstheme="minorHAnsi"/>
                <w:sz w:val="24"/>
                <w:szCs w:val="24"/>
              </w:rPr>
              <w:t xml:space="preserve">, mid-term and final country programme evaluation.  These evaluations </w:t>
            </w:r>
            <w:r w:rsidR="0084148F">
              <w:rPr>
                <w:rFonts w:cstheme="minorHAnsi"/>
                <w:sz w:val="24"/>
                <w:szCs w:val="24"/>
              </w:rPr>
              <w:t>feed into the annual programme reflection to enable</w:t>
            </w:r>
            <w:r w:rsidR="006F7091">
              <w:rPr>
                <w:rFonts w:cstheme="minorHAnsi"/>
                <w:sz w:val="24"/>
                <w:szCs w:val="24"/>
              </w:rPr>
              <w:t xml:space="preserve"> readjusting and reinforcing programme </w:t>
            </w:r>
            <w:r w:rsidR="0098044A">
              <w:rPr>
                <w:rFonts w:cstheme="minorHAnsi"/>
                <w:sz w:val="24"/>
                <w:szCs w:val="24"/>
              </w:rPr>
              <w:t>implementation,</w:t>
            </w:r>
            <w:r w:rsidR="0084148F">
              <w:rPr>
                <w:rFonts w:cstheme="minorHAnsi"/>
                <w:sz w:val="24"/>
                <w:szCs w:val="24"/>
              </w:rPr>
              <w:t xml:space="preserve"> reinforce implementation risk management measures and </w:t>
            </w:r>
            <w:r w:rsidR="006F7091">
              <w:rPr>
                <w:rFonts w:cstheme="minorHAnsi"/>
                <w:sz w:val="24"/>
                <w:szCs w:val="24"/>
              </w:rPr>
              <w:t>serves as lessons learned to feed into new pipelines</w:t>
            </w:r>
            <w:r w:rsidR="0084148F">
              <w:rPr>
                <w:rFonts w:cstheme="minorHAnsi"/>
                <w:sz w:val="24"/>
                <w:szCs w:val="24"/>
              </w:rPr>
              <w:t xml:space="preserve"> which are of higher quality in terms of synergy, focus, partnership and results</w:t>
            </w:r>
            <w:r w:rsidR="006F7091">
              <w:rPr>
                <w:rFonts w:cstheme="minorHAnsi"/>
                <w:sz w:val="24"/>
                <w:szCs w:val="24"/>
              </w:rPr>
              <w:t xml:space="preserve">.  </w:t>
            </w:r>
          </w:p>
          <w:p w14:paraId="0209D9CD" w14:textId="7C004BBD" w:rsidR="0003203F" w:rsidRDefault="0003203F" w:rsidP="002D38D9">
            <w:pPr>
              <w:jc w:val="both"/>
              <w:rPr>
                <w:rFonts w:cstheme="minorHAnsi"/>
                <w:sz w:val="24"/>
                <w:szCs w:val="24"/>
              </w:rPr>
            </w:pPr>
          </w:p>
          <w:p w14:paraId="7F3AB1DB" w14:textId="02CABEF7" w:rsidR="0003203F" w:rsidRPr="00DD27A3" w:rsidRDefault="0003203F" w:rsidP="002D38D9">
            <w:pPr>
              <w:jc w:val="both"/>
              <w:rPr>
                <w:rFonts w:cstheme="minorHAnsi"/>
                <w:sz w:val="24"/>
                <w:szCs w:val="24"/>
              </w:rPr>
            </w:pPr>
            <w:r>
              <w:rPr>
                <w:rFonts w:cstheme="minorHAnsi"/>
                <w:sz w:val="24"/>
                <w:szCs w:val="24"/>
              </w:rPr>
              <w:t>Capacity as a crosscutting element across all the outcome and output areas</w:t>
            </w:r>
            <w:r w:rsidR="0084148F">
              <w:rPr>
                <w:rFonts w:cstheme="minorHAnsi"/>
                <w:sz w:val="24"/>
                <w:szCs w:val="24"/>
              </w:rPr>
              <w:t>.  Each outcome and output area envisage investments in capacity building, training and institutional strengthening a</w:t>
            </w:r>
            <w:r w:rsidR="0098044A">
              <w:rPr>
                <w:rFonts w:cstheme="minorHAnsi"/>
                <w:sz w:val="24"/>
                <w:szCs w:val="24"/>
              </w:rPr>
              <w:t>t Bamako level targeting key ministries and national structures but also at local levels working with communes and cercle</w:t>
            </w:r>
            <w:r>
              <w:rPr>
                <w:rFonts w:cstheme="minorHAnsi"/>
                <w:sz w:val="24"/>
                <w:szCs w:val="24"/>
              </w:rPr>
              <w:t>.</w:t>
            </w:r>
          </w:p>
        </w:tc>
      </w:tr>
      <w:tr w:rsidR="00165A92" w:rsidRPr="0042468A" w14:paraId="4E232A86" w14:textId="77777777" w:rsidTr="00165A92">
        <w:trPr>
          <w:trHeight w:val="710"/>
        </w:trPr>
        <w:tc>
          <w:tcPr>
            <w:tcW w:w="3681" w:type="dxa"/>
            <w:shd w:val="clear" w:color="auto" w:fill="BFBFBF" w:themeFill="background1" w:themeFillShade="BF"/>
            <w:vAlign w:val="center"/>
          </w:tcPr>
          <w:p w14:paraId="651D9AD7" w14:textId="77777777" w:rsidR="00165A92" w:rsidRPr="00DD27A3" w:rsidRDefault="00165A92" w:rsidP="00BA3ADF">
            <w:pPr>
              <w:autoSpaceDE w:val="0"/>
              <w:autoSpaceDN w:val="0"/>
              <w:jc w:val="center"/>
              <w:rPr>
                <w:rFonts w:cstheme="minorHAnsi"/>
                <w:b/>
                <w:sz w:val="24"/>
                <w:szCs w:val="24"/>
                <w:lang w:val="en-ZW"/>
              </w:rPr>
            </w:pPr>
            <w:r>
              <w:rPr>
                <w:rFonts w:cstheme="minorHAnsi"/>
                <w:b/>
                <w:sz w:val="24"/>
                <w:szCs w:val="24"/>
              </w:rPr>
              <w:t>Comments by Belgium</w:t>
            </w:r>
          </w:p>
        </w:tc>
        <w:tc>
          <w:tcPr>
            <w:tcW w:w="2551" w:type="dxa"/>
            <w:shd w:val="clear" w:color="auto" w:fill="BFBFBF" w:themeFill="background1" w:themeFillShade="BF"/>
            <w:vAlign w:val="center"/>
          </w:tcPr>
          <w:p w14:paraId="3BCA2883" w14:textId="77777777" w:rsidR="00165A92" w:rsidRPr="00DD27A3" w:rsidRDefault="00165A92" w:rsidP="00BA3ADF">
            <w:pPr>
              <w:jc w:val="center"/>
              <w:rPr>
                <w:rFonts w:cstheme="minorHAnsi"/>
                <w:b/>
                <w:sz w:val="24"/>
                <w:szCs w:val="24"/>
              </w:rPr>
            </w:pPr>
            <w:r w:rsidRPr="008A005B">
              <w:rPr>
                <w:rFonts w:cstheme="minorHAnsi"/>
                <w:b/>
                <w:sz w:val="24"/>
                <w:szCs w:val="24"/>
              </w:rPr>
              <w:t>Changes to the CPD</w:t>
            </w:r>
          </w:p>
        </w:tc>
        <w:tc>
          <w:tcPr>
            <w:tcW w:w="6521" w:type="dxa"/>
            <w:shd w:val="clear" w:color="auto" w:fill="BFBFBF" w:themeFill="background1" w:themeFillShade="BF"/>
            <w:vAlign w:val="center"/>
          </w:tcPr>
          <w:p w14:paraId="5580ED79" w14:textId="77777777" w:rsidR="00165A92" w:rsidRPr="00DD27A3" w:rsidRDefault="00165A92" w:rsidP="00BA3ADF">
            <w:pPr>
              <w:jc w:val="center"/>
              <w:rPr>
                <w:rFonts w:cstheme="minorHAnsi"/>
                <w:b/>
                <w:sz w:val="24"/>
                <w:szCs w:val="24"/>
              </w:rPr>
            </w:pPr>
            <w:r w:rsidRPr="008A005B">
              <w:rPr>
                <w:rFonts w:cstheme="minorHAnsi"/>
                <w:b/>
                <w:sz w:val="24"/>
                <w:szCs w:val="24"/>
              </w:rPr>
              <w:t>Country Office re</w:t>
            </w:r>
            <w:r>
              <w:rPr>
                <w:rFonts w:cstheme="minorHAnsi"/>
                <w:b/>
                <w:sz w:val="24"/>
                <w:szCs w:val="24"/>
              </w:rPr>
              <w:t>sponse</w:t>
            </w:r>
          </w:p>
        </w:tc>
      </w:tr>
      <w:tr w:rsidR="003273BD" w:rsidRPr="0042468A" w14:paraId="265C81E0" w14:textId="77777777" w:rsidTr="00AC78C5">
        <w:tc>
          <w:tcPr>
            <w:tcW w:w="3681" w:type="dxa"/>
          </w:tcPr>
          <w:p w14:paraId="73C54179" w14:textId="77777777" w:rsidR="003273BD" w:rsidRPr="00DD27A3" w:rsidRDefault="003273BD" w:rsidP="003273BD">
            <w:pPr>
              <w:pStyle w:val="ListParagraph"/>
              <w:numPr>
                <w:ilvl w:val="0"/>
                <w:numId w:val="14"/>
              </w:numPr>
              <w:autoSpaceDE w:val="0"/>
              <w:autoSpaceDN w:val="0"/>
              <w:rPr>
                <w:rFonts w:asciiTheme="minorHAnsi" w:hAnsiTheme="minorHAnsi" w:cstheme="minorHAnsi"/>
                <w:sz w:val="24"/>
                <w:szCs w:val="24"/>
              </w:rPr>
            </w:pPr>
            <w:r w:rsidRPr="00DD27A3">
              <w:rPr>
                <w:rFonts w:asciiTheme="minorHAnsi" w:hAnsiTheme="minorHAnsi" w:cstheme="minorHAnsi"/>
                <w:sz w:val="24"/>
                <w:szCs w:val="24"/>
              </w:rPr>
              <w:t xml:space="preserve">Belgium strongly supports the UNDS reform currently being implemented, of which the new UN </w:t>
            </w:r>
            <w:r w:rsidRPr="00DD27A3">
              <w:rPr>
                <w:rFonts w:asciiTheme="minorHAnsi" w:hAnsiTheme="minorHAnsi" w:cstheme="minorHAnsi"/>
                <w:sz w:val="24"/>
                <w:szCs w:val="24"/>
              </w:rPr>
              <w:lastRenderedPageBreak/>
              <w:t>sustainable development cooperation frameworks (CF) must be the baseline for a more coordinated and efficient UN action on the ground. The alignment of country programs of all United Nations entities on the CF is essential. The Resident Coordinator has a key role to play in this regard. Cooperation and articulation with the RC and its office would deserve to be further explored and detailed in the CPD.</w:t>
            </w:r>
          </w:p>
        </w:tc>
        <w:tc>
          <w:tcPr>
            <w:tcW w:w="2551" w:type="dxa"/>
          </w:tcPr>
          <w:p w14:paraId="716DAD53" w14:textId="77777777" w:rsidR="003273BD" w:rsidRPr="00DD27A3" w:rsidRDefault="003273BD" w:rsidP="003273BD">
            <w:pPr>
              <w:rPr>
                <w:rFonts w:cstheme="minorHAnsi"/>
                <w:sz w:val="24"/>
                <w:szCs w:val="24"/>
              </w:rPr>
            </w:pPr>
            <w:r w:rsidRPr="00DD27A3">
              <w:rPr>
                <w:rFonts w:cstheme="minorHAnsi"/>
                <w:sz w:val="24"/>
                <w:szCs w:val="24"/>
              </w:rPr>
              <w:lastRenderedPageBreak/>
              <w:t>None</w:t>
            </w:r>
          </w:p>
        </w:tc>
        <w:tc>
          <w:tcPr>
            <w:tcW w:w="6521" w:type="dxa"/>
          </w:tcPr>
          <w:p w14:paraId="179F386C" w14:textId="733A0A58" w:rsidR="003273BD" w:rsidRPr="00DD27A3" w:rsidRDefault="0098044A" w:rsidP="002D38D9">
            <w:pPr>
              <w:jc w:val="both"/>
              <w:rPr>
                <w:rFonts w:cstheme="minorHAnsi"/>
                <w:sz w:val="24"/>
                <w:szCs w:val="24"/>
              </w:rPr>
            </w:pPr>
            <w:r>
              <w:rPr>
                <w:rFonts w:cstheme="minorHAnsi"/>
                <w:sz w:val="24"/>
                <w:szCs w:val="24"/>
              </w:rPr>
              <w:t>The</w:t>
            </w:r>
            <w:r w:rsidR="00BF6D02" w:rsidRPr="00DD27A3">
              <w:rPr>
                <w:rFonts w:cstheme="minorHAnsi"/>
                <w:sz w:val="24"/>
                <w:szCs w:val="24"/>
              </w:rPr>
              <w:t xml:space="preserve"> CPD is </w:t>
            </w:r>
            <w:r>
              <w:rPr>
                <w:rFonts w:cstheme="minorHAnsi"/>
                <w:sz w:val="24"/>
                <w:szCs w:val="24"/>
              </w:rPr>
              <w:t>fully</w:t>
            </w:r>
            <w:r w:rsidRPr="00DD27A3">
              <w:rPr>
                <w:rFonts w:cstheme="minorHAnsi"/>
                <w:sz w:val="24"/>
                <w:szCs w:val="24"/>
              </w:rPr>
              <w:t xml:space="preserve"> </w:t>
            </w:r>
            <w:r w:rsidR="00BF6D02" w:rsidRPr="00DD27A3">
              <w:rPr>
                <w:rFonts w:cstheme="minorHAnsi"/>
                <w:sz w:val="24"/>
                <w:szCs w:val="24"/>
              </w:rPr>
              <w:t xml:space="preserve">aligned </w:t>
            </w:r>
            <w:r w:rsidR="00845C6F">
              <w:rPr>
                <w:rFonts w:cstheme="minorHAnsi"/>
                <w:sz w:val="24"/>
                <w:szCs w:val="24"/>
              </w:rPr>
              <w:t>with</w:t>
            </w:r>
            <w:r w:rsidR="00845C6F" w:rsidRPr="00DD27A3">
              <w:rPr>
                <w:rFonts w:cstheme="minorHAnsi"/>
                <w:sz w:val="24"/>
                <w:szCs w:val="24"/>
              </w:rPr>
              <w:t xml:space="preserve"> </w:t>
            </w:r>
            <w:r w:rsidR="00BF6D02" w:rsidRPr="00DD27A3">
              <w:rPr>
                <w:rFonts w:cstheme="minorHAnsi"/>
                <w:sz w:val="24"/>
                <w:szCs w:val="24"/>
              </w:rPr>
              <w:t xml:space="preserve">UNSDCF pillars </w:t>
            </w:r>
            <w:r w:rsidR="00CE1187">
              <w:rPr>
                <w:rFonts w:cstheme="minorHAnsi"/>
                <w:sz w:val="24"/>
                <w:szCs w:val="24"/>
              </w:rPr>
              <w:t>as</w:t>
            </w:r>
            <w:r>
              <w:rPr>
                <w:rFonts w:cstheme="minorHAnsi"/>
                <w:sz w:val="24"/>
                <w:szCs w:val="24"/>
              </w:rPr>
              <w:t xml:space="preserve"> UNDP </w:t>
            </w:r>
            <w:r w:rsidR="00CE1187">
              <w:rPr>
                <w:rFonts w:cstheme="minorHAnsi"/>
                <w:sz w:val="24"/>
                <w:szCs w:val="24"/>
              </w:rPr>
              <w:t>has strongly contributed to the formulation of the UNSCDF itself (paragraph 13</w:t>
            </w:r>
            <w:r w:rsidR="00867BC2">
              <w:rPr>
                <w:rFonts w:cstheme="minorHAnsi"/>
                <w:sz w:val="24"/>
                <w:szCs w:val="24"/>
              </w:rPr>
              <w:t>)</w:t>
            </w:r>
            <w:r>
              <w:rPr>
                <w:rFonts w:cstheme="minorHAnsi"/>
                <w:sz w:val="24"/>
                <w:szCs w:val="24"/>
              </w:rPr>
              <w:t xml:space="preserve">  </w:t>
            </w:r>
            <w:r w:rsidR="00BF6D02" w:rsidRPr="00DD27A3">
              <w:rPr>
                <w:rFonts w:cstheme="minorHAnsi"/>
                <w:sz w:val="24"/>
                <w:szCs w:val="24"/>
              </w:rPr>
              <w:t>which will be implemented under the leadership of the RC</w:t>
            </w:r>
            <w:r w:rsidR="003273BD" w:rsidRPr="00DD27A3">
              <w:rPr>
                <w:rFonts w:cstheme="minorHAnsi"/>
                <w:sz w:val="24"/>
                <w:szCs w:val="24"/>
              </w:rPr>
              <w:t>.</w:t>
            </w:r>
            <w:r w:rsidR="00CE1187">
              <w:rPr>
                <w:rFonts w:cstheme="minorHAnsi"/>
                <w:sz w:val="24"/>
                <w:szCs w:val="24"/>
              </w:rPr>
              <w:t xml:space="preserve"> In terms of UNSDCF implementation, there is a joint UN </w:t>
            </w:r>
            <w:r w:rsidR="00CE1187">
              <w:rPr>
                <w:rFonts w:cstheme="minorHAnsi"/>
                <w:sz w:val="24"/>
                <w:szCs w:val="24"/>
              </w:rPr>
              <w:lastRenderedPageBreak/>
              <w:t>programme group that is regular to review joint progress, joint results and joint monitoring under RCO office.  These include increasing focus on joint programming especially with regard to ISF and nexus.</w:t>
            </w:r>
            <w:r w:rsidR="00A0678B">
              <w:rPr>
                <w:rFonts w:cstheme="minorHAnsi"/>
                <w:sz w:val="24"/>
                <w:szCs w:val="24"/>
              </w:rPr>
              <w:t xml:space="preserve">  </w:t>
            </w:r>
            <w:r w:rsidR="00FD2FA2">
              <w:rPr>
                <w:rFonts w:cstheme="minorHAnsi"/>
                <w:sz w:val="24"/>
                <w:szCs w:val="24"/>
              </w:rPr>
              <w:t xml:space="preserve">The alignment between the CPD and UNSDCF is one of the </w:t>
            </w:r>
            <w:r w:rsidR="007E62B9">
              <w:rPr>
                <w:rFonts w:cstheme="minorHAnsi"/>
                <w:sz w:val="24"/>
                <w:szCs w:val="24"/>
              </w:rPr>
              <w:t>criteria</w:t>
            </w:r>
            <w:r w:rsidR="00FD2FA2">
              <w:rPr>
                <w:rFonts w:cstheme="minorHAnsi"/>
                <w:sz w:val="24"/>
                <w:szCs w:val="24"/>
              </w:rPr>
              <w:t xml:space="preserve"> towards securing the RC official approval of the CPD.</w:t>
            </w:r>
          </w:p>
          <w:p w14:paraId="52445708" w14:textId="77777777" w:rsidR="00BF6D02" w:rsidRPr="00DD27A3" w:rsidRDefault="00BF6D02" w:rsidP="002D38D9">
            <w:pPr>
              <w:jc w:val="both"/>
              <w:rPr>
                <w:rFonts w:cstheme="minorHAnsi"/>
                <w:sz w:val="24"/>
                <w:szCs w:val="24"/>
              </w:rPr>
            </w:pPr>
          </w:p>
          <w:p w14:paraId="48E578EA" w14:textId="31D2E7A1" w:rsidR="00BF6D02" w:rsidRPr="00DD27A3" w:rsidRDefault="00BF6D02" w:rsidP="002D38D9">
            <w:pPr>
              <w:jc w:val="both"/>
              <w:rPr>
                <w:rFonts w:cstheme="minorHAnsi"/>
                <w:sz w:val="24"/>
                <w:szCs w:val="24"/>
              </w:rPr>
            </w:pPr>
            <w:r w:rsidRPr="00DD27A3">
              <w:rPr>
                <w:rFonts w:cstheme="minorHAnsi"/>
                <w:sz w:val="24"/>
                <w:szCs w:val="24"/>
              </w:rPr>
              <w:t xml:space="preserve">In addition, </w:t>
            </w:r>
            <w:r w:rsidR="00CE1187">
              <w:rPr>
                <w:rFonts w:cstheme="minorHAnsi"/>
                <w:sz w:val="24"/>
                <w:szCs w:val="24"/>
              </w:rPr>
              <w:t>the CPD includes in its introduction section, the joint</w:t>
            </w:r>
            <w:r w:rsidRPr="00DD27A3">
              <w:rPr>
                <w:rFonts w:cstheme="minorHAnsi"/>
                <w:sz w:val="24"/>
                <w:szCs w:val="24"/>
              </w:rPr>
              <w:t xml:space="preserve"> Common Chapter</w:t>
            </w:r>
            <w:r w:rsidR="004642F7">
              <w:rPr>
                <w:rFonts w:cstheme="minorHAnsi"/>
                <w:sz w:val="24"/>
                <w:szCs w:val="24"/>
              </w:rPr>
              <w:t xml:space="preserve"> (</w:t>
            </w:r>
            <w:r w:rsidRPr="00DD27A3">
              <w:rPr>
                <w:rFonts w:cstheme="minorHAnsi"/>
                <w:sz w:val="24"/>
                <w:szCs w:val="24"/>
              </w:rPr>
              <w:t xml:space="preserve">jointly elaborated with the </w:t>
            </w:r>
            <w:r w:rsidR="008C69D7">
              <w:rPr>
                <w:rFonts w:cstheme="minorHAnsi"/>
                <w:sz w:val="24"/>
                <w:szCs w:val="24"/>
              </w:rPr>
              <w:t>Executive Committee</w:t>
            </w:r>
            <w:r w:rsidRPr="00DD27A3">
              <w:rPr>
                <w:rFonts w:cstheme="minorHAnsi"/>
                <w:sz w:val="24"/>
                <w:szCs w:val="24"/>
              </w:rPr>
              <w:t xml:space="preserve"> agencies</w:t>
            </w:r>
            <w:r w:rsidR="00CE1187">
              <w:rPr>
                <w:rFonts w:cstheme="minorHAnsi"/>
                <w:sz w:val="24"/>
                <w:szCs w:val="24"/>
              </w:rPr>
              <w:t xml:space="preserve">) to </w:t>
            </w:r>
            <w:r w:rsidR="00867BC2">
              <w:rPr>
                <w:rFonts w:cstheme="minorHAnsi"/>
                <w:sz w:val="24"/>
                <w:szCs w:val="24"/>
              </w:rPr>
              <w:t>emphasize</w:t>
            </w:r>
            <w:r w:rsidR="00CE1187">
              <w:rPr>
                <w:rFonts w:cstheme="minorHAnsi"/>
                <w:sz w:val="24"/>
                <w:szCs w:val="24"/>
              </w:rPr>
              <w:t xml:space="preserve"> </w:t>
            </w:r>
            <w:r w:rsidR="00A0678B">
              <w:rPr>
                <w:rFonts w:cstheme="minorHAnsi"/>
                <w:sz w:val="24"/>
                <w:szCs w:val="24"/>
              </w:rPr>
              <w:t>our common</w:t>
            </w:r>
            <w:r w:rsidR="00CE1187">
              <w:rPr>
                <w:rFonts w:cstheme="minorHAnsi"/>
                <w:sz w:val="24"/>
                <w:szCs w:val="24"/>
              </w:rPr>
              <w:t xml:space="preserve"> commitment of co-alignment, efficiency, coherence and joint results.</w:t>
            </w:r>
          </w:p>
        </w:tc>
      </w:tr>
      <w:tr w:rsidR="003273BD" w:rsidRPr="0042468A" w14:paraId="699EF813" w14:textId="77777777" w:rsidTr="00AC78C5">
        <w:tc>
          <w:tcPr>
            <w:tcW w:w="3681" w:type="dxa"/>
          </w:tcPr>
          <w:p w14:paraId="45EF322F" w14:textId="77777777" w:rsidR="003273BD" w:rsidRPr="00DD27A3" w:rsidRDefault="003273BD" w:rsidP="00B17FBF">
            <w:pPr>
              <w:numPr>
                <w:ilvl w:val="0"/>
                <w:numId w:val="15"/>
              </w:numPr>
              <w:contextualSpacing/>
              <w:rPr>
                <w:rFonts w:eastAsia="Calibri" w:cstheme="minorHAnsi"/>
                <w:sz w:val="24"/>
                <w:szCs w:val="24"/>
              </w:rPr>
            </w:pPr>
            <w:r w:rsidRPr="00DD27A3">
              <w:rPr>
                <w:rFonts w:eastAsia="Calibri" w:cstheme="minorHAnsi"/>
                <w:sz w:val="24"/>
                <w:szCs w:val="24"/>
                <w:lang w:val="en" w:eastAsia="fr-FR"/>
              </w:rPr>
              <w:lastRenderedPageBreak/>
              <w:t xml:space="preserve">Belgium supports the UNDP objective, under the leadership of the Resident Coordinator, to mobilize and harness partnerships to play an integrator role across the policy programme front, the Sustainable Development Goals and the nationally determined contribution with improved coherence between the United Nations Sustainable </w:t>
            </w:r>
            <w:r w:rsidRPr="00DD27A3">
              <w:rPr>
                <w:rFonts w:eastAsia="Calibri" w:cstheme="minorHAnsi"/>
                <w:sz w:val="24"/>
                <w:szCs w:val="24"/>
                <w:lang w:val="en" w:eastAsia="fr-FR"/>
              </w:rPr>
              <w:lastRenderedPageBreak/>
              <w:t>Development Cooperation Framework (CF), the United Nations Integrated Strategic Framework and the country programme. In the same vein, Belgium supports the UNDP objective to expand and strengthen its collaboration with MINUSMA, United Nations entities, donors, the private sector and other development stakeholders.</w:t>
            </w:r>
            <w:r w:rsidRPr="00DD27A3">
              <w:rPr>
                <w:rFonts w:eastAsia="Calibri" w:cstheme="minorHAnsi"/>
                <w:sz w:val="24"/>
                <w:szCs w:val="24"/>
              </w:rPr>
              <w:t xml:space="preserve"> The nexus "humanitarian / development / peace and security" is essential in a country such as Mali. Therefore, it would be useful that UNDP further elaborate on this by specifying </w:t>
            </w:r>
            <w:r w:rsidRPr="00DD27A3">
              <w:rPr>
                <w:rFonts w:eastAsia="Calibri" w:cstheme="minorHAnsi"/>
                <w:sz w:val="24"/>
                <w:szCs w:val="24"/>
                <w:u w:val="single"/>
              </w:rPr>
              <w:t>concrete</w:t>
            </w:r>
            <w:r w:rsidRPr="00DD27A3">
              <w:rPr>
                <w:rFonts w:eastAsia="Calibri" w:cstheme="minorHAnsi"/>
                <w:sz w:val="24"/>
                <w:szCs w:val="24"/>
              </w:rPr>
              <w:t xml:space="preserve"> actions it intends to put in place, how and with whom.</w:t>
            </w:r>
          </w:p>
          <w:p w14:paraId="04651DAE" w14:textId="77777777" w:rsidR="003273BD" w:rsidRPr="00DD27A3" w:rsidRDefault="003273BD" w:rsidP="00B17FBF">
            <w:pPr>
              <w:autoSpaceDE w:val="0"/>
              <w:autoSpaceDN w:val="0"/>
              <w:rPr>
                <w:rFonts w:cstheme="minorHAnsi"/>
                <w:sz w:val="24"/>
                <w:szCs w:val="24"/>
              </w:rPr>
            </w:pPr>
          </w:p>
        </w:tc>
        <w:tc>
          <w:tcPr>
            <w:tcW w:w="2551" w:type="dxa"/>
          </w:tcPr>
          <w:p w14:paraId="36303F34" w14:textId="77777777" w:rsidR="003273BD" w:rsidRPr="00DD27A3" w:rsidRDefault="003273BD" w:rsidP="003273BD">
            <w:pPr>
              <w:rPr>
                <w:rFonts w:cstheme="minorHAnsi"/>
                <w:sz w:val="24"/>
                <w:szCs w:val="24"/>
              </w:rPr>
            </w:pPr>
            <w:r w:rsidRPr="00DD27A3">
              <w:rPr>
                <w:rFonts w:cstheme="minorHAnsi"/>
                <w:sz w:val="24"/>
                <w:szCs w:val="24"/>
              </w:rPr>
              <w:lastRenderedPageBreak/>
              <w:t>None</w:t>
            </w:r>
          </w:p>
        </w:tc>
        <w:tc>
          <w:tcPr>
            <w:tcW w:w="6521" w:type="dxa"/>
          </w:tcPr>
          <w:p w14:paraId="73F5810F" w14:textId="77777777" w:rsidR="00076E57" w:rsidRPr="00DD27A3" w:rsidRDefault="00076E57" w:rsidP="002D38D9">
            <w:pPr>
              <w:jc w:val="both"/>
              <w:rPr>
                <w:rFonts w:cstheme="minorHAnsi"/>
                <w:sz w:val="24"/>
                <w:szCs w:val="24"/>
              </w:rPr>
            </w:pPr>
            <w:r w:rsidRPr="00DD27A3">
              <w:rPr>
                <w:rFonts w:cstheme="minorHAnsi"/>
                <w:sz w:val="24"/>
                <w:szCs w:val="24"/>
              </w:rPr>
              <w:t xml:space="preserve">It is mentioned in </w:t>
            </w:r>
            <w:r w:rsidR="006F3C4A">
              <w:rPr>
                <w:rFonts w:cstheme="minorHAnsi"/>
                <w:sz w:val="24"/>
                <w:szCs w:val="24"/>
              </w:rPr>
              <w:t>paragraph</w:t>
            </w:r>
            <w:r w:rsidRPr="00DD27A3">
              <w:rPr>
                <w:rFonts w:cstheme="minorHAnsi"/>
                <w:sz w:val="24"/>
                <w:szCs w:val="24"/>
              </w:rPr>
              <w:t xml:space="preserve"> 11, that </w:t>
            </w:r>
            <w:r w:rsidRPr="00DD27A3">
              <w:rPr>
                <w:rFonts w:cstheme="minorHAnsi"/>
                <w:i/>
                <w:sz w:val="24"/>
                <w:szCs w:val="24"/>
              </w:rPr>
              <w:t>given</w:t>
            </w:r>
            <w:r w:rsidR="00287A8C">
              <w:rPr>
                <w:rFonts w:cstheme="minorHAnsi"/>
                <w:i/>
                <w:sz w:val="24"/>
                <w:szCs w:val="24"/>
              </w:rPr>
              <w:t xml:space="preserve"> the</w:t>
            </w:r>
            <w:r w:rsidRPr="00DD27A3">
              <w:rPr>
                <w:rFonts w:cstheme="minorHAnsi"/>
                <w:i/>
                <w:sz w:val="24"/>
                <w:szCs w:val="24"/>
              </w:rPr>
              <w:t xml:space="preserve"> new security situation and the multifaceted challenges in governance, UNDP will mobilize and harness </w:t>
            </w:r>
            <w:r w:rsidRPr="00DD27A3">
              <w:rPr>
                <w:rFonts w:cstheme="minorHAnsi"/>
                <w:sz w:val="24"/>
                <w:szCs w:val="24"/>
              </w:rPr>
              <w:t xml:space="preserve">partnerships to play an SDG integrator role with improved coherence between the UNSDCF, the United Nations Integrated Strategic Framework (ISF) and the UNDP country programme. </w:t>
            </w:r>
          </w:p>
          <w:p w14:paraId="2C650E1E" w14:textId="77777777" w:rsidR="00076E57" w:rsidRPr="00DD27A3" w:rsidRDefault="00076E57" w:rsidP="002D38D9">
            <w:pPr>
              <w:jc w:val="both"/>
              <w:rPr>
                <w:rFonts w:cstheme="minorHAnsi"/>
                <w:sz w:val="24"/>
                <w:szCs w:val="24"/>
              </w:rPr>
            </w:pPr>
          </w:p>
          <w:p w14:paraId="3BDB5D81" w14:textId="45AF8B2B" w:rsidR="003273BD" w:rsidRPr="00DD27A3" w:rsidRDefault="00076E57" w:rsidP="002D38D9">
            <w:pPr>
              <w:jc w:val="both"/>
              <w:rPr>
                <w:rFonts w:cstheme="minorHAnsi"/>
                <w:sz w:val="24"/>
                <w:szCs w:val="24"/>
              </w:rPr>
            </w:pPr>
            <w:r w:rsidRPr="00DD27A3">
              <w:rPr>
                <w:rFonts w:cstheme="minorHAnsi"/>
                <w:sz w:val="24"/>
                <w:szCs w:val="24"/>
              </w:rPr>
              <w:t xml:space="preserve">The collaboration with </w:t>
            </w:r>
            <w:r w:rsidR="00A85587" w:rsidRPr="00DD27A3">
              <w:rPr>
                <w:rFonts w:cstheme="minorHAnsi"/>
                <w:sz w:val="24"/>
                <w:szCs w:val="24"/>
              </w:rPr>
              <w:t>MINUSMA</w:t>
            </w:r>
            <w:r w:rsidR="00FD2FA2">
              <w:rPr>
                <w:rFonts w:cstheme="minorHAnsi"/>
                <w:sz w:val="24"/>
                <w:szCs w:val="24"/>
              </w:rPr>
              <w:t xml:space="preserve"> and with the UN </w:t>
            </w:r>
            <w:r w:rsidR="00867BC2">
              <w:rPr>
                <w:rFonts w:cstheme="minorHAnsi"/>
                <w:sz w:val="24"/>
                <w:szCs w:val="24"/>
              </w:rPr>
              <w:t xml:space="preserve">agencies </w:t>
            </w:r>
            <w:r w:rsidR="00867BC2" w:rsidRPr="00DD27A3">
              <w:rPr>
                <w:rFonts w:cstheme="minorHAnsi"/>
                <w:sz w:val="24"/>
                <w:szCs w:val="24"/>
              </w:rPr>
              <w:t>will</w:t>
            </w:r>
            <w:r w:rsidRPr="00DD27A3">
              <w:rPr>
                <w:rFonts w:cstheme="minorHAnsi"/>
                <w:sz w:val="24"/>
                <w:szCs w:val="24"/>
              </w:rPr>
              <w:t xml:space="preserve"> also target stabilization in the north and the </w:t>
            </w:r>
            <w:r w:rsidR="00FD2FA2">
              <w:rPr>
                <w:rFonts w:cstheme="minorHAnsi"/>
                <w:sz w:val="24"/>
                <w:szCs w:val="24"/>
              </w:rPr>
              <w:t xml:space="preserve">rollout of the </w:t>
            </w:r>
            <w:r w:rsidRPr="00DD27A3">
              <w:rPr>
                <w:rFonts w:cstheme="minorHAnsi"/>
                <w:sz w:val="24"/>
                <w:szCs w:val="24"/>
              </w:rPr>
              <w:t>humanitarian-development nexus in the central regions</w:t>
            </w:r>
            <w:r w:rsidR="00FD2FA2">
              <w:rPr>
                <w:rFonts w:cstheme="minorHAnsi"/>
                <w:sz w:val="24"/>
                <w:szCs w:val="24"/>
              </w:rPr>
              <w:t xml:space="preserve"> (Mopti and Segou)</w:t>
            </w:r>
            <w:r w:rsidRPr="00DD27A3">
              <w:rPr>
                <w:rFonts w:cstheme="minorHAnsi"/>
                <w:sz w:val="24"/>
                <w:szCs w:val="24"/>
              </w:rPr>
              <w:t>.</w:t>
            </w:r>
            <w:r w:rsidR="00FD2FA2">
              <w:rPr>
                <w:rFonts w:cstheme="minorHAnsi"/>
                <w:sz w:val="24"/>
                <w:szCs w:val="24"/>
              </w:rPr>
              <w:t xml:space="preserve">  The nexus approach has already been launched since December 2019 with a first joint UN brainstorming in Mopti.  UNDP also intends to work closely with regional and local authorities and other key development partners.  A key focus of UNDP is on investing and empowering communities themselves </w:t>
            </w:r>
            <w:r w:rsidR="00FD2FA2">
              <w:rPr>
                <w:rFonts w:cstheme="minorHAnsi"/>
                <w:sz w:val="24"/>
                <w:szCs w:val="24"/>
              </w:rPr>
              <w:lastRenderedPageBreak/>
              <w:t xml:space="preserve">on being strong economic and social actors in local solutions to consolidate social cohesion, peace and build resilience. </w:t>
            </w:r>
          </w:p>
        </w:tc>
      </w:tr>
      <w:tr w:rsidR="0084581D" w:rsidRPr="008E6C21" w14:paraId="32625974" w14:textId="77777777" w:rsidTr="00AC78C5">
        <w:tc>
          <w:tcPr>
            <w:tcW w:w="3681" w:type="dxa"/>
          </w:tcPr>
          <w:p w14:paraId="129FE56B" w14:textId="77777777" w:rsidR="003273BD" w:rsidRPr="00DD27A3" w:rsidRDefault="003273BD" w:rsidP="00E01427">
            <w:pPr>
              <w:numPr>
                <w:ilvl w:val="0"/>
                <w:numId w:val="15"/>
              </w:numPr>
              <w:spacing w:line="276" w:lineRule="auto"/>
              <w:contextualSpacing/>
              <w:rPr>
                <w:rFonts w:eastAsia="Calibri" w:cstheme="minorHAnsi"/>
                <w:sz w:val="24"/>
                <w:szCs w:val="24"/>
                <w:lang w:val="en-AU"/>
              </w:rPr>
            </w:pPr>
            <w:r w:rsidRPr="00DD27A3">
              <w:rPr>
                <w:rFonts w:eastAsia="Calibri" w:cstheme="minorHAnsi"/>
                <w:sz w:val="24"/>
                <w:szCs w:val="24"/>
                <w:lang w:val="en-AU"/>
              </w:rPr>
              <w:lastRenderedPageBreak/>
              <w:t xml:space="preserve">Belgium shares the evaluation and recommendations from the various evaluations of the </w:t>
            </w:r>
            <w:r w:rsidRPr="00DD27A3">
              <w:rPr>
                <w:rFonts w:eastAsia="Calibri" w:cstheme="minorHAnsi"/>
                <w:sz w:val="24"/>
                <w:szCs w:val="24"/>
                <w:lang w:val="en-AU"/>
              </w:rPr>
              <w:lastRenderedPageBreak/>
              <w:t xml:space="preserve">ongoing programme pointing out challenges facing UNDP and the whole United Nations system in Mali. We would like to highlight some of them which are of paramount importance for us and need improvement in the future:  1) Need for better synergies and complementarities between United Nations entities by reducing inefficiencies, lack of coordination and inter-agency competition in seeking funding. </w:t>
            </w:r>
            <w:r w:rsidRPr="00DD27A3">
              <w:rPr>
                <w:rFonts w:eastAsia="Calibri" w:cstheme="minorHAnsi"/>
                <w:sz w:val="24"/>
                <w:szCs w:val="24"/>
              </w:rPr>
              <w:t xml:space="preserve">2) Need for </w:t>
            </w:r>
            <w:r w:rsidRPr="00DD27A3">
              <w:rPr>
                <w:rFonts w:eastAsia="Calibri" w:cstheme="minorHAnsi"/>
                <w:sz w:val="24"/>
                <w:szCs w:val="24"/>
                <w:lang w:val="en-AU"/>
              </w:rPr>
              <w:t>better inclusion in the UN strategy of the underlying causes of conflicts 3) Need for a sustainability-based approach avoiding (too) high level of ambition vis-à-vis limited means 4)</w:t>
            </w:r>
            <w:r w:rsidRPr="00DD27A3">
              <w:rPr>
                <w:rFonts w:eastAsia="Calibri" w:cstheme="minorHAnsi"/>
                <w:sz w:val="24"/>
                <w:szCs w:val="24"/>
              </w:rPr>
              <w:t xml:space="preserve"> </w:t>
            </w:r>
            <w:r w:rsidRPr="00DD27A3">
              <w:rPr>
                <w:rFonts w:eastAsia="Calibri" w:cstheme="minorHAnsi"/>
                <w:sz w:val="24"/>
                <w:szCs w:val="24"/>
                <w:lang w:val="en-AU"/>
              </w:rPr>
              <w:t xml:space="preserve">Better information-sharing / analysis with MINUSMA in order to improve the </w:t>
            </w:r>
            <w:r w:rsidRPr="00DD27A3">
              <w:rPr>
                <w:rFonts w:eastAsia="Calibri" w:cstheme="minorHAnsi"/>
                <w:sz w:val="24"/>
                <w:szCs w:val="24"/>
                <w:lang w:val="en-AU"/>
              </w:rPr>
              <w:lastRenderedPageBreak/>
              <w:t>capacity for joint analysis and collective results.</w:t>
            </w:r>
            <w:r w:rsidRPr="00DD27A3">
              <w:rPr>
                <w:rFonts w:eastAsia="Calibri" w:cstheme="minorHAnsi"/>
                <w:sz w:val="24"/>
                <w:szCs w:val="24"/>
              </w:rPr>
              <w:t xml:space="preserve"> Furthermore, </w:t>
            </w:r>
            <w:r w:rsidRPr="00DD27A3">
              <w:rPr>
                <w:rFonts w:eastAsia="Calibri" w:cstheme="minorHAnsi"/>
                <w:sz w:val="24"/>
                <w:szCs w:val="24"/>
                <w:lang w:val="en-AU"/>
              </w:rPr>
              <w:t xml:space="preserve">in order to avoid past shortcomings and improve the efficiency based on lessons learned, Belgium would like to know the execution rate of projects and programs under the previous country program. </w:t>
            </w:r>
          </w:p>
          <w:p w14:paraId="1B30FEA8" w14:textId="77777777" w:rsidR="003273BD" w:rsidRPr="00DD27A3" w:rsidRDefault="003273BD" w:rsidP="00E01427">
            <w:pPr>
              <w:spacing w:line="276" w:lineRule="auto"/>
              <w:rPr>
                <w:rFonts w:eastAsia="Calibri" w:cstheme="minorHAnsi"/>
                <w:sz w:val="24"/>
                <w:szCs w:val="24"/>
              </w:rPr>
            </w:pPr>
          </w:p>
          <w:p w14:paraId="41A64321" w14:textId="77777777" w:rsidR="003273BD" w:rsidRPr="00DD27A3" w:rsidRDefault="003273BD" w:rsidP="003273BD">
            <w:pPr>
              <w:numPr>
                <w:ilvl w:val="0"/>
                <w:numId w:val="15"/>
              </w:numPr>
              <w:spacing w:after="200" w:line="276" w:lineRule="auto"/>
              <w:contextualSpacing/>
              <w:rPr>
                <w:rFonts w:eastAsia="Calibri" w:cstheme="minorHAnsi"/>
                <w:sz w:val="24"/>
                <w:szCs w:val="24"/>
                <w:lang w:val="en-AU"/>
              </w:rPr>
            </w:pPr>
            <w:r w:rsidRPr="00DD27A3">
              <w:rPr>
                <w:rFonts w:eastAsia="Calibri" w:cstheme="minorHAnsi"/>
                <w:sz w:val="24"/>
                <w:szCs w:val="24"/>
              </w:rPr>
              <w:t xml:space="preserve">Belgium considers </w:t>
            </w:r>
            <w:r w:rsidRPr="00DD27A3">
              <w:rPr>
                <w:rFonts w:eastAsia="Calibri" w:cstheme="minorHAnsi"/>
                <w:sz w:val="24"/>
                <w:szCs w:val="24"/>
                <w:lang w:val="en-AU"/>
              </w:rPr>
              <w:t>that the current UNDP CPD remains too ambitious and too vague in its concrete objectives.</w:t>
            </w:r>
            <w:r w:rsidRPr="00DD27A3">
              <w:rPr>
                <w:rFonts w:eastAsia="Calibri" w:cstheme="minorHAnsi"/>
                <w:sz w:val="24"/>
                <w:szCs w:val="24"/>
              </w:rPr>
              <w:t xml:space="preserve"> Therefore, we would like to encourage UNDP to better streamline its CPD taking into account the framework of its mandate and the realities of the country with fewer, clearer and more concrete/realistic objectives.</w:t>
            </w:r>
            <w:r w:rsidRPr="00DD27A3">
              <w:rPr>
                <w:rFonts w:eastAsia="Calibri" w:cstheme="minorHAnsi"/>
                <w:sz w:val="24"/>
                <w:szCs w:val="24"/>
                <w:lang w:val="en-AU"/>
              </w:rPr>
              <w:t xml:space="preserve"> </w:t>
            </w:r>
          </w:p>
          <w:p w14:paraId="226A2980" w14:textId="77777777" w:rsidR="003273BD" w:rsidRPr="00DD27A3" w:rsidRDefault="003273BD" w:rsidP="003273BD">
            <w:pPr>
              <w:spacing w:after="200" w:line="276" w:lineRule="auto"/>
              <w:ind w:left="720"/>
              <w:contextualSpacing/>
              <w:rPr>
                <w:rFonts w:eastAsia="Calibri" w:cstheme="minorHAnsi"/>
                <w:sz w:val="24"/>
                <w:szCs w:val="24"/>
                <w:lang w:val="en-AU"/>
              </w:rPr>
            </w:pPr>
          </w:p>
          <w:p w14:paraId="2D873999" w14:textId="6F689FA7" w:rsidR="0084581D" w:rsidRPr="00E01427" w:rsidRDefault="003273BD" w:rsidP="00E01427">
            <w:pPr>
              <w:numPr>
                <w:ilvl w:val="0"/>
                <w:numId w:val="15"/>
              </w:numPr>
              <w:spacing w:after="200" w:line="276" w:lineRule="auto"/>
              <w:contextualSpacing/>
              <w:rPr>
                <w:rFonts w:eastAsia="Calibri" w:cstheme="minorHAnsi"/>
                <w:sz w:val="24"/>
                <w:szCs w:val="24"/>
                <w:lang w:val="en-AU"/>
              </w:rPr>
            </w:pPr>
            <w:r w:rsidRPr="00DD27A3">
              <w:rPr>
                <w:rFonts w:eastAsia="Calibri" w:cstheme="minorHAnsi"/>
                <w:sz w:val="24"/>
                <w:szCs w:val="24"/>
                <w:lang w:val="en-AU"/>
              </w:rPr>
              <w:lastRenderedPageBreak/>
              <w:t xml:space="preserve">Even if the responsibility of the government of Mali in the current situation is underlined in the CPD, Belgium would like to see more emphasis put on how to better address this issue, mainly the lack of leadership, vision and action of the government. The international community is increasingly questioning the (un) will of the Malian government to take responsibility and implement the necessary reforms in terms of security, justice, corruption, economy, health, education. </w:t>
            </w:r>
          </w:p>
        </w:tc>
        <w:tc>
          <w:tcPr>
            <w:tcW w:w="2551" w:type="dxa"/>
          </w:tcPr>
          <w:p w14:paraId="37B96BCA" w14:textId="77777777" w:rsidR="0084581D" w:rsidRPr="00DD27A3" w:rsidRDefault="00F86F88" w:rsidP="0084581D">
            <w:pPr>
              <w:rPr>
                <w:rFonts w:cstheme="minorHAnsi"/>
                <w:sz w:val="24"/>
                <w:szCs w:val="24"/>
              </w:rPr>
            </w:pPr>
            <w:r w:rsidRPr="00DD27A3">
              <w:rPr>
                <w:rFonts w:cstheme="minorHAnsi"/>
                <w:sz w:val="24"/>
                <w:szCs w:val="24"/>
              </w:rPr>
              <w:lastRenderedPageBreak/>
              <w:t>None</w:t>
            </w:r>
          </w:p>
        </w:tc>
        <w:tc>
          <w:tcPr>
            <w:tcW w:w="6521" w:type="dxa"/>
          </w:tcPr>
          <w:p w14:paraId="5F68E99D" w14:textId="77777777" w:rsidR="00AD0F89" w:rsidRPr="00DD27A3" w:rsidRDefault="00BD643D" w:rsidP="002D38D9">
            <w:pPr>
              <w:jc w:val="both"/>
              <w:rPr>
                <w:rFonts w:cstheme="minorHAnsi"/>
                <w:sz w:val="24"/>
                <w:szCs w:val="24"/>
              </w:rPr>
            </w:pPr>
            <w:r>
              <w:rPr>
                <w:rFonts w:cstheme="minorHAnsi"/>
                <w:sz w:val="24"/>
                <w:szCs w:val="24"/>
              </w:rPr>
              <w:t>Paragraph</w:t>
            </w:r>
            <w:r w:rsidR="004145B2" w:rsidRPr="00DD27A3">
              <w:rPr>
                <w:rFonts w:cstheme="minorHAnsi"/>
                <w:sz w:val="24"/>
                <w:szCs w:val="24"/>
              </w:rPr>
              <w:t xml:space="preserve"> 10 recalls that the new programme builds on lessons learned and recommendations from the various evaluations: (a) dispersal and fragmentation of the programme; (b) weak synergies in the implementation; (c) lack of control of the </w:t>
            </w:r>
            <w:r w:rsidR="004145B2" w:rsidRPr="00DD27A3">
              <w:rPr>
                <w:rFonts w:cstheme="minorHAnsi"/>
                <w:sz w:val="24"/>
                <w:szCs w:val="24"/>
              </w:rPr>
              <w:lastRenderedPageBreak/>
              <w:t>underlying causes of conflicts, (d) lack of a sustainability-based approach; (e) etc.</w:t>
            </w:r>
          </w:p>
          <w:p w14:paraId="56D725F1" w14:textId="77777777" w:rsidR="00AD0F89" w:rsidRPr="00DD27A3" w:rsidRDefault="00AD0F89" w:rsidP="002D38D9">
            <w:pPr>
              <w:jc w:val="both"/>
              <w:rPr>
                <w:rFonts w:cstheme="minorHAnsi"/>
                <w:sz w:val="24"/>
                <w:szCs w:val="24"/>
              </w:rPr>
            </w:pPr>
          </w:p>
          <w:p w14:paraId="16D77CB3" w14:textId="5291A71F" w:rsidR="0084581D" w:rsidRPr="00DD27A3" w:rsidRDefault="00AD0F89" w:rsidP="002D38D9">
            <w:pPr>
              <w:jc w:val="both"/>
              <w:rPr>
                <w:rFonts w:cstheme="minorHAnsi"/>
                <w:sz w:val="24"/>
                <w:szCs w:val="24"/>
              </w:rPr>
            </w:pPr>
            <w:r w:rsidRPr="00DD27A3">
              <w:rPr>
                <w:rFonts w:cstheme="minorHAnsi"/>
                <w:sz w:val="24"/>
                <w:szCs w:val="24"/>
              </w:rPr>
              <w:t>In the implementation phase, we will pay more attention to address the lack efficiency and relevance.</w:t>
            </w:r>
            <w:r w:rsidR="004145B2" w:rsidRPr="00DD27A3">
              <w:rPr>
                <w:rFonts w:cstheme="minorHAnsi"/>
                <w:sz w:val="24"/>
                <w:szCs w:val="24"/>
              </w:rPr>
              <w:t xml:space="preserve"> </w:t>
            </w:r>
            <w:r w:rsidR="00FD2FA2">
              <w:rPr>
                <w:rFonts w:cstheme="minorHAnsi"/>
                <w:sz w:val="24"/>
                <w:szCs w:val="24"/>
              </w:rPr>
              <w:t xml:space="preserve"> (see points above)</w:t>
            </w:r>
          </w:p>
          <w:p w14:paraId="63D792F3" w14:textId="77777777" w:rsidR="004145B2" w:rsidRPr="00DD27A3" w:rsidRDefault="004145B2" w:rsidP="002D38D9">
            <w:pPr>
              <w:jc w:val="both"/>
              <w:rPr>
                <w:rFonts w:cstheme="minorHAnsi"/>
                <w:sz w:val="24"/>
                <w:szCs w:val="24"/>
              </w:rPr>
            </w:pPr>
          </w:p>
          <w:p w14:paraId="602D6FC2" w14:textId="77777777" w:rsidR="004145B2" w:rsidRPr="00DD27A3" w:rsidRDefault="004145B2" w:rsidP="002D38D9">
            <w:pPr>
              <w:jc w:val="both"/>
              <w:rPr>
                <w:rFonts w:cstheme="minorHAnsi"/>
                <w:sz w:val="24"/>
                <w:szCs w:val="24"/>
              </w:rPr>
            </w:pPr>
          </w:p>
          <w:p w14:paraId="4A254C81" w14:textId="77777777" w:rsidR="004145B2" w:rsidRPr="00DD27A3" w:rsidRDefault="004145B2" w:rsidP="002D38D9">
            <w:pPr>
              <w:jc w:val="both"/>
              <w:rPr>
                <w:rFonts w:cstheme="minorHAnsi"/>
                <w:sz w:val="24"/>
                <w:szCs w:val="24"/>
              </w:rPr>
            </w:pPr>
          </w:p>
          <w:p w14:paraId="13F4C157" w14:textId="77777777" w:rsidR="004145B2" w:rsidRPr="00DD27A3" w:rsidRDefault="004145B2" w:rsidP="002D38D9">
            <w:pPr>
              <w:jc w:val="both"/>
              <w:rPr>
                <w:rFonts w:cstheme="minorHAnsi"/>
                <w:sz w:val="24"/>
                <w:szCs w:val="24"/>
              </w:rPr>
            </w:pPr>
          </w:p>
          <w:p w14:paraId="2FA9DD3B" w14:textId="77777777" w:rsidR="004145B2" w:rsidRPr="00DD27A3" w:rsidRDefault="004145B2" w:rsidP="002D38D9">
            <w:pPr>
              <w:jc w:val="both"/>
              <w:rPr>
                <w:rFonts w:cstheme="minorHAnsi"/>
                <w:sz w:val="24"/>
                <w:szCs w:val="24"/>
              </w:rPr>
            </w:pPr>
          </w:p>
          <w:p w14:paraId="2298E3DF" w14:textId="77777777" w:rsidR="004145B2" w:rsidRPr="00DD27A3" w:rsidRDefault="004145B2" w:rsidP="002D38D9">
            <w:pPr>
              <w:jc w:val="both"/>
              <w:rPr>
                <w:rFonts w:cstheme="minorHAnsi"/>
                <w:sz w:val="24"/>
                <w:szCs w:val="24"/>
              </w:rPr>
            </w:pPr>
          </w:p>
          <w:p w14:paraId="5E6AA7C5" w14:textId="77777777" w:rsidR="004145B2" w:rsidRPr="00DD27A3" w:rsidRDefault="004145B2" w:rsidP="002D38D9">
            <w:pPr>
              <w:jc w:val="both"/>
              <w:rPr>
                <w:rFonts w:cstheme="minorHAnsi"/>
                <w:sz w:val="24"/>
                <w:szCs w:val="24"/>
              </w:rPr>
            </w:pPr>
          </w:p>
          <w:p w14:paraId="3CB30E87" w14:textId="77777777" w:rsidR="004145B2" w:rsidRPr="00DD27A3" w:rsidRDefault="004145B2" w:rsidP="002D38D9">
            <w:pPr>
              <w:jc w:val="both"/>
              <w:rPr>
                <w:rFonts w:cstheme="minorHAnsi"/>
                <w:sz w:val="24"/>
                <w:szCs w:val="24"/>
              </w:rPr>
            </w:pPr>
          </w:p>
          <w:p w14:paraId="3C412257" w14:textId="77777777" w:rsidR="004145B2" w:rsidRPr="00DD27A3" w:rsidRDefault="004145B2" w:rsidP="002D38D9">
            <w:pPr>
              <w:jc w:val="both"/>
              <w:rPr>
                <w:rFonts w:cstheme="minorHAnsi"/>
                <w:sz w:val="24"/>
                <w:szCs w:val="24"/>
              </w:rPr>
            </w:pPr>
          </w:p>
          <w:p w14:paraId="29CF4085" w14:textId="77777777" w:rsidR="004145B2" w:rsidRPr="00DD27A3" w:rsidRDefault="004145B2" w:rsidP="002D38D9">
            <w:pPr>
              <w:jc w:val="both"/>
              <w:rPr>
                <w:rFonts w:cstheme="minorHAnsi"/>
                <w:sz w:val="24"/>
                <w:szCs w:val="24"/>
              </w:rPr>
            </w:pPr>
          </w:p>
          <w:p w14:paraId="0EEAEAC9" w14:textId="77777777" w:rsidR="004145B2" w:rsidRPr="00DD27A3" w:rsidRDefault="004145B2" w:rsidP="002D38D9">
            <w:pPr>
              <w:jc w:val="both"/>
              <w:rPr>
                <w:rFonts w:cstheme="minorHAnsi"/>
                <w:sz w:val="24"/>
                <w:szCs w:val="24"/>
              </w:rPr>
            </w:pPr>
          </w:p>
          <w:p w14:paraId="653DEAE6" w14:textId="77777777" w:rsidR="004145B2" w:rsidRPr="00DD27A3" w:rsidRDefault="004145B2" w:rsidP="002D38D9">
            <w:pPr>
              <w:jc w:val="both"/>
              <w:rPr>
                <w:rFonts w:cstheme="minorHAnsi"/>
                <w:sz w:val="24"/>
                <w:szCs w:val="24"/>
              </w:rPr>
            </w:pPr>
          </w:p>
          <w:p w14:paraId="13695725" w14:textId="77777777" w:rsidR="004145B2" w:rsidRPr="00DD27A3" w:rsidRDefault="004145B2" w:rsidP="002D38D9">
            <w:pPr>
              <w:jc w:val="both"/>
              <w:rPr>
                <w:rFonts w:cstheme="minorHAnsi"/>
                <w:sz w:val="24"/>
                <w:szCs w:val="24"/>
              </w:rPr>
            </w:pPr>
          </w:p>
          <w:p w14:paraId="4B40D4E6" w14:textId="77777777" w:rsidR="004145B2" w:rsidRPr="00DD27A3" w:rsidRDefault="004145B2" w:rsidP="002D38D9">
            <w:pPr>
              <w:jc w:val="both"/>
              <w:rPr>
                <w:rFonts w:cstheme="minorHAnsi"/>
                <w:sz w:val="24"/>
                <w:szCs w:val="24"/>
              </w:rPr>
            </w:pPr>
          </w:p>
          <w:p w14:paraId="113446B6" w14:textId="77777777" w:rsidR="004145B2" w:rsidRPr="00DD27A3" w:rsidRDefault="004145B2" w:rsidP="002D38D9">
            <w:pPr>
              <w:jc w:val="both"/>
              <w:rPr>
                <w:rFonts w:cstheme="minorHAnsi"/>
                <w:sz w:val="24"/>
                <w:szCs w:val="24"/>
              </w:rPr>
            </w:pPr>
          </w:p>
          <w:p w14:paraId="1D896EB7" w14:textId="77777777" w:rsidR="004145B2" w:rsidRPr="00DD27A3" w:rsidRDefault="004145B2" w:rsidP="002D38D9">
            <w:pPr>
              <w:jc w:val="both"/>
              <w:rPr>
                <w:rFonts w:cstheme="minorHAnsi"/>
                <w:sz w:val="24"/>
                <w:szCs w:val="24"/>
              </w:rPr>
            </w:pPr>
          </w:p>
          <w:p w14:paraId="3C69179B" w14:textId="77777777" w:rsidR="004145B2" w:rsidRPr="00DD27A3" w:rsidRDefault="004145B2" w:rsidP="002D38D9">
            <w:pPr>
              <w:jc w:val="both"/>
              <w:rPr>
                <w:rFonts w:cstheme="minorHAnsi"/>
                <w:sz w:val="24"/>
                <w:szCs w:val="24"/>
              </w:rPr>
            </w:pPr>
          </w:p>
          <w:p w14:paraId="26BB66D5" w14:textId="77777777" w:rsidR="004145B2" w:rsidRPr="00DD27A3" w:rsidRDefault="004145B2" w:rsidP="002D38D9">
            <w:pPr>
              <w:jc w:val="both"/>
              <w:rPr>
                <w:rFonts w:cstheme="minorHAnsi"/>
                <w:sz w:val="24"/>
                <w:szCs w:val="24"/>
              </w:rPr>
            </w:pPr>
          </w:p>
          <w:p w14:paraId="7E64C4D4" w14:textId="77777777" w:rsidR="004145B2" w:rsidRPr="00DD27A3" w:rsidRDefault="004145B2" w:rsidP="002D38D9">
            <w:pPr>
              <w:jc w:val="both"/>
              <w:rPr>
                <w:rFonts w:cstheme="minorHAnsi"/>
                <w:sz w:val="24"/>
                <w:szCs w:val="24"/>
              </w:rPr>
            </w:pPr>
          </w:p>
          <w:p w14:paraId="7ADFF5D8" w14:textId="77777777" w:rsidR="004145B2" w:rsidRPr="00DD27A3" w:rsidRDefault="004145B2" w:rsidP="002D38D9">
            <w:pPr>
              <w:jc w:val="both"/>
              <w:rPr>
                <w:rFonts w:cstheme="minorHAnsi"/>
                <w:sz w:val="24"/>
                <w:szCs w:val="24"/>
              </w:rPr>
            </w:pPr>
          </w:p>
          <w:p w14:paraId="2B023E5A" w14:textId="5F53FCB9" w:rsidR="009C0DC3" w:rsidRDefault="004145B2" w:rsidP="002D38D9">
            <w:pPr>
              <w:jc w:val="both"/>
              <w:rPr>
                <w:rFonts w:cstheme="minorHAnsi"/>
                <w:sz w:val="24"/>
                <w:szCs w:val="24"/>
              </w:rPr>
            </w:pPr>
            <w:r w:rsidRPr="00DD27A3">
              <w:rPr>
                <w:rFonts w:cstheme="minorHAnsi"/>
                <w:sz w:val="24"/>
                <w:szCs w:val="24"/>
              </w:rPr>
              <w:t>The Theory of change (</w:t>
            </w:r>
            <w:r w:rsidR="00BD643D">
              <w:rPr>
                <w:rFonts w:cstheme="minorHAnsi"/>
                <w:sz w:val="24"/>
                <w:szCs w:val="24"/>
              </w:rPr>
              <w:t>paragraph</w:t>
            </w:r>
            <w:r w:rsidRPr="00DD27A3">
              <w:rPr>
                <w:rFonts w:cstheme="minorHAnsi"/>
                <w:sz w:val="24"/>
                <w:szCs w:val="24"/>
              </w:rPr>
              <w:t xml:space="preserve"> 15) presents the rationale underlying the selection of the key actions</w:t>
            </w:r>
            <w:r w:rsidR="00C85A5E" w:rsidRPr="00DD27A3">
              <w:rPr>
                <w:rFonts w:cstheme="minorHAnsi"/>
                <w:sz w:val="24"/>
                <w:szCs w:val="24"/>
              </w:rPr>
              <w:t xml:space="preserve"> to be implemented in order to attain the goals</w:t>
            </w:r>
            <w:r w:rsidR="009C0DC3">
              <w:rPr>
                <w:rFonts w:cstheme="minorHAnsi"/>
                <w:sz w:val="24"/>
                <w:szCs w:val="24"/>
              </w:rPr>
              <w:t xml:space="preserve">. </w:t>
            </w:r>
            <w:r w:rsidR="009C0DC3" w:rsidRPr="009C0DC3">
              <w:rPr>
                <w:rFonts w:cstheme="minorHAnsi"/>
                <w:sz w:val="24"/>
                <w:szCs w:val="24"/>
              </w:rPr>
              <w:t>Particular fo</w:t>
            </w:r>
            <w:r w:rsidR="009C0DC3" w:rsidRPr="00AC78C5">
              <w:rPr>
                <w:rFonts w:cstheme="minorHAnsi"/>
                <w:sz w:val="24"/>
                <w:szCs w:val="24"/>
              </w:rPr>
              <w:t>cus has been given to scanning the external pa</w:t>
            </w:r>
            <w:r w:rsidR="009C0DC3">
              <w:rPr>
                <w:rFonts w:cstheme="minorHAnsi"/>
                <w:sz w:val="24"/>
                <w:szCs w:val="24"/>
              </w:rPr>
              <w:t xml:space="preserve">rtnership </w:t>
            </w:r>
            <w:r w:rsidR="005A6071">
              <w:rPr>
                <w:rFonts w:cstheme="minorHAnsi"/>
                <w:sz w:val="24"/>
                <w:szCs w:val="24"/>
              </w:rPr>
              <w:t>landscape to prioritise and ensure UNDP value addition but also build on our past work, consolidat</w:t>
            </w:r>
            <w:r w:rsidR="00867BC2">
              <w:rPr>
                <w:rFonts w:cstheme="minorHAnsi"/>
                <w:sz w:val="24"/>
                <w:szCs w:val="24"/>
              </w:rPr>
              <w:t>e</w:t>
            </w:r>
            <w:r w:rsidR="005A6071">
              <w:rPr>
                <w:rFonts w:cstheme="minorHAnsi"/>
                <w:sz w:val="24"/>
                <w:szCs w:val="24"/>
              </w:rPr>
              <w:t xml:space="preserve"> results and mov</w:t>
            </w:r>
            <w:r w:rsidR="00867BC2">
              <w:rPr>
                <w:rFonts w:cstheme="minorHAnsi"/>
                <w:sz w:val="24"/>
                <w:szCs w:val="24"/>
              </w:rPr>
              <w:t>e</w:t>
            </w:r>
            <w:r w:rsidR="005A6071">
              <w:rPr>
                <w:rFonts w:cstheme="minorHAnsi"/>
                <w:sz w:val="24"/>
                <w:szCs w:val="24"/>
              </w:rPr>
              <w:t xml:space="preserve"> towards a programme approach</w:t>
            </w:r>
            <w:r w:rsidR="00EE264B">
              <w:rPr>
                <w:rFonts w:cstheme="minorHAnsi"/>
                <w:sz w:val="24"/>
                <w:szCs w:val="24"/>
              </w:rPr>
              <w:t xml:space="preserve"> that is concrete and realisable</w:t>
            </w:r>
            <w:r w:rsidR="005A6071">
              <w:rPr>
                <w:rFonts w:cstheme="minorHAnsi"/>
                <w:sz w:val="24"/>
                <w:szCs w:val="24"/>
              </w:rPr>
              <w:t xml:space="preserve">.  </w:t>
            </w:r>
          </w:p>
          <w:p w14:paraId="4D51D00D" w14:textId="56A76447" w:rsidR="005A6071" w:rsidRDefault="005A6071" w:rsidP="002D38D9">
            <w:pPr>
              <w:jc w:val="both"/>
              <w:rPr>
                <w:rFonts w:cstheme="minorHAnsi"/>
                <w:sz w:val="24"/>
                <w:szCs w:val="24"/>
              </w:rPr>
            </w:pPr>
          </w:p>
          <w:p w14:paraId="6916A4CE" w14:textId="51F7849F" w:rsidR="005A6071" w:rsidRDefault="005A6071" w:rsidP="002D38D9">
            <w:pPr>
              <w:jc w:val="both"/>
              <w:rPr>
                <w:rFonts w:cstheme="minorHAnsi"/>
                <w:sz w:val="24"/>
                <w:szCs w:val="24"/>
              </w:rPr>
            </w:pPr>
            <w:r>
              <w:rPr>
                <w:rFonts w:cstheme="minorHAnsi"/>
                <w:sz w:val="24"/>
                <w:szCs w:val="24"/>
              </w:rPr>
              <w:t xml:space="preserve">The current CPD is therefore </w:t>
            </w:r>
            <w:r w:rsidR="00867BC2">
              <w:rPr>
                <w:rFonts w:cstheme="minorHAnsi"/>
                <w:sz w:val="24"/>
                <w:szCs w:val="24"/>
              </w:rPr>
              <w:t>more focused and sharper</w:t>
            </w:r>
            <w:r>
              <w:rPr>
                <w:rFonts w:cstheme="minorHAnsi"/>
                <w:sz w:val="24"/>
                <w:szCs w:val="24"/>
              </w:rPr>
              <w:t xml:space="preserve"> in its intervention area. To this end, it has taken particular note of past independent programme evaluation and integrated lessons learned.  </w:t>
            </w:r>
          </w:p>
          <w:p w14:paraId="1FA7B097" w14:textId="77777777" w:rsidR="00867BC2" w:rsidRDefault="00867BC2" w:rsidP="002D38D9">
            <w:pPr>
              <w:jc w:val="both"/>
              <w:rPr>
                <w:rFonts w:cstheme="minorHAnsi"/>
                <w:sz w:val="24"/>
                <w:szCs w:val="24"/>
              </w:rPr>
            </w:pPr>
          </w:p>
          <w:p w14:paraId="68405C3C" w14:textId="77777777" w:rsidR="00867BC2" w:rsidRDefault="005A6071" w:rsidP="002D38D9">
            <w:pPr>
              <w:jc w:val="both"/>
              <w:rPr>
                <w:rFonts w:cstheme="minorHAnsi"/>
                <w:sz w:val="24"/>
                <w:szCs w:val="24"/>
              </w:rPr>
            </w:pPr>
            <w:r>
              <w:rPr>
                <w:rFonts w:cstheme="minorHAnsi"/>
                <w:sz w:val="24"/>
                <w:szCs w:val="24"/>
              </w:rPr>
              <w:t>In terms of programme execution rate of the past cycle (2016-2019), the rates are</w:t>
            </w:r>
            <w:r w:rsidR="00867BC2">
              <w:rPr>
                <w:rFonts w:cstheme="minorHAnsi"/>
                <w:sz w:val="24"/>
                <w:szCs w:val="24"/>
              </w:rPr>
              <w:t>:</w:t>
            </w:r>
          </w:p>
          <w:p w14:paraId="046576AC" w14:textId="77777777" w:rsidR="00867BC2" w:rsidRDefault="005A6071" w:rsidP="002D38D9">
            <w:pPr>
              <w:pStyle w:val="ListParagraph"/>
              <w:numPr>
                <w:ilvl w:val="0"/>
                <w:numId w:val="18"/>
              </w:numPr>
              <w:jc w:val="both"/>
              <w:rPr>
                <w:rFonts w:cstheme="minorHAnsi"/>
                <w:sz w:val="24"/>
                <w:szCs w:val="24"/>
              </w:rPr>
            </w:pPr>
            <w:r w:rsidRPr="00867BC2">
              <w:rPr>
                <w:rFonts w:cstheme="minorHAnsi"/>
                <w:sz w:val="24"/>
                <w:szCs w:val="24"/>
              </w:rPr>
              <w:t xml:space="preserve"> 100% (((2016) </w:t>
            </w:r>
          </w:p>
          <w:p w14:paraId="0FDB669B" w14:textId="77777777" w:rsidR="00867BC2" w:rsidRDefault="005A6071" w:rsidP="002D38D9">
            <w:pPr>
              <w:pStyle w:val="ListParagraph"/>
              <w:numPr>
                <w:ilvl w:val="0"/>
                <w:numId w:val="18"/>
              </w:numPr>
              <w:jc w:val="both"/>
              <w:rPr>
                <w:rFonts w:cstheme="minorHAnsi"/>
                <w:sz w:val="24"/>
                <w:szCs w:val="24"/>
              </w:rPr>
            </w:pPr>
            <w:r w:rsidRPr="00867BC2">
              <w:rPr>
                <w:rFonts w:cstheme="minorHAnsi"/>
                <w:sz w:val="24"/>
                <w:szCs w:val="24"/>
              </w:rPr>
              <w:t>101% (2017)</w:t>
            </w:r>
          </w:p>
          <w:p w14:paraId="56A900A7" w14:textId="77777777" w:rsidR="00867BC2" w:rsidRDefault="005A6071" w:rsidP="002D38D9">
            <w:pPr>
              <w:pStyle w:val="ListParagraph"/>
              <w:numPr>
                <w:ilvl w:val="0"/>
                <w:numId w:val="18"/>
              </w:numPr>
              <w:jc w:val="both"/>
              <w:rPr>
                <w:rFonts w:cstheme="minorHAnsi"/>
                <w:sz w:val="24"/>
                <w:szCs w:val="24"/>
              </w:rPr>
            </w:pPr>
            <w:r w:rsidRPr="00867BC2">
              <w:rPr>
                <w:rFonts w:cstheme="minorHAnsi"/>
                <w:sz w:val="24"/>
                <w:szCs w:val="24"/>
              </w:rPr>
              <w:t>93.7</w:t>
            </w:r>
            <w:r w:rsidR="00EE264B" w:rsidRPr="00867BC2">
              <w:rPr>
                <w:rFonts w:cstheme="minorHAnsi"/>
                <w:sz w:val="24"/>
                <w:szCs w:val="24"/>
              </w:rPr>
              <w:t xml:space="preserve">% 2018.   </w:t>
            </w:r>
          </w:p>
          <w:p w14:paraId="0417A5A0" w14:textId="77777777" w:rsidR="00867BC2" w:rsidRDefault="00867BC2" w:rsidP="002D38D9">
            <w:pPr>
              <w:jc w:val="both"/>
              <w:rPr>
                <w:rFonts w:cstheme="minorHAnsi"/>
                <w:sz w:val="24"/>
                <w:szCs w:val="24"/>
              </w:rPr>
            </w:pPr>
          </w:p>
          <w:p w14:paraId="0F2A63E4" w14:textId="3C4D7F41" w:rsidR="005A6071" w:rsidRPr="00867BC2" w:rsidRDefault="00EE264B" w:rsidP="002D38D9">
            <w:pPr>
              <w:jc w:val="both"/>
              <w:rPr>
                <w:rFonts w:cstheme="minorHAnsi"/>
                <w:sz w:val="24"/>
                <w:szCs w:val="24"/>
              </w:rPr>
            </w:pPr>
            <w:r w:rsidRPr="00867BC2">
              <w:rPr>
                <w:rFonts w:cstheme="minorHAnsi"/>
                <w:sz w:val="24"/>
                <w:szCs w:val="24"/>
              </w:rPr>
              <w:t>2019 rates are still not official.</w:t>
            </w:r>
          </w:p>
          <w:p w14:paraId="246E3134" w14:textId="030CCCE8" w:rsidR="00AD0F89" w:rsidRPr="00867BC2" w:rsidRDefault="00150A9B" w:rsidP="002D38D9">
            <w:pPr>
              <w:jc w:val="both"/>
              <w:rPr>
                <w:rFonts w:cstheme="minorHAnsi"/>
                <w:sz w:val="24"/>
                <w:szCs w:val="24"/>
              </w:rPr>
            </w:pPr>
            <w:r w:rsidRPr="00867BC2">
              <w:rPr>
                <w:rFonts w:cstheme="minorHAnsi"/>
                <w:sz w:val="24"/>
                <w:szCs w:val="24"/>
              </w:rPr>
              <w:t xml:space="preserve"> </w:t>
            </w:r>
          </w:p>
        </w:tc>
      </w:tr>
      <w:tr w:rsidR="003273BD" w:rsidRPr="00EE264B" w14:paraId="2751612C" w14:textId="77777777" w:rsidTr="00AC78C5">
        <w:tc>
          <w:tcPr>
            <w:tcW w:w="3681" w:type="dxa"/>
          </w:tcPr>
          <w:p w14:paraId="020E8E83" w14:textId="77777777" w:rsidR="003273BD" w:rsidRPr="00AC78C5" w:rsidRDefault="003273BD" w:rsidP="00CA582E">
            <w:pPr>
              <w:pStyle w:val="ListParagraph"/>
              <w:numPr>
                <w:ilvl w:val="0"/>
                <w:numId w:val="15"/>
              </w:numPr>
              <w:suppressAutoHyphens/>
              <w:autoSpaceDN w:val="0"/>
              <w:ind w:right="720"/>
              <w:textAlignment w:val="baseline"/>
              <w:rPr>
                <w:lang w:eastAsia="en-US"/>
              </w:rPr>
            </w:pPr>
            <w:r w:rsidRPr="00AC78C5">
              <w:rPr>
                <w:lang w:eastAsia="en-US"/>
              </w:rPr>
              <w:lastRenderedPageBreak/>
              <w:t>Belgium pays great attention to cooperation,</w:t>
            </w:r>
            <w:r w:rsidRPr="00AC78C5">
              <w:rPr>
                <w:rFonts w:asciiTheme="minorHAnsi" w:hAnsiTheme="minorHAnsi" w:cstheme="minorHAnsi"/>
                <w:sz w:val="24"/>
                <w:szCs w:val="24"/>
                <w:lang w:eastAsia="en-US"/>
              </w:rPr>
              <w:t xml:space="preserve"> dissemination of knowledge, accountability and transparency</w:t>
            </w:r>
            <w:r w:rsidRPr="00AC78C5">
              <w:rPr>
                <w:lang w:eastAsia="en-US"/>
              </w:rPr>
              <w:t xml:space="preserve"> between UN entities and bilateral donors </w:t>
            </w:r>
            <w:r w:rsidRPr="00AC78C5">
              <w:rPr>
                <w:lang w:eastAsia="en-US"/>
              </w:rPr>
              <w:lastRenderedPageBreak/>
              <w:t>throughout the negotiation, implementation and assessment of the country program and the Cooperation framework. It would be useful that the CPD elaborate further on this.</w:t>
            </w:r>
          </w:p>
          <w:p w14:paraId="037DE321" w14:textId="77777777" w:rsidR="003273BD" w:rsidRPr="00AC78C5" w:rsidRDefault="003273BD" w:rsidP="003273BD">
            <w:pPr>
              <w:pStyle w:val="ListParagraph"/>
              <w:rPr>
                <w:rFonts w:asciiTheme="minorHAnsi" w:hAnsiTheme="minorHAnsi" w:cstheme="minorHAnsi"/>
                <w:sz w:val="24"/>
                <w:szCs w:val="24"/>
                <w:lang w:eastAsia="en-US"/>
              </w:rPr>
            </w:pPr>
          </w:p>
          <w:p w14:paraId="17C4E8CF" w14:textId="1E830CA5" w:rsidR="003273BD" w:rsidRPr="003A67D5" w:rsidRDefault="003273BD" w:rsidP="003A67D5">
            <w:pPr>
              <w:numPr>
                <w:ilvl w:val="0"/>
                <w:numId w:val="15"/>
              </w:numPr>
              <w:spacing w:after="200" w:line="276" w:lineRule="auto"/>
              <w:contextualSpacing/>
              <w:rPr>
                <w:rFonts w:cstheme="minorHAnsi"/>
                <w:sz w:val="24"/>
                <w:szCs w:val="24"/>
              </w:rPr>
            </w:pPr>
            <w:r w:rsidRPr="009C294C">
              <w:rPr>
                <w:rFonts w:cstheme="minorHAnsi"/>
                <w:sz w:val="24"/>
                <w:szCs w:val="24"/>
              </w:rPr>
              <w:t xml:space="preserve">Belgium would like to receive further information with regard to the CPD level </w:t>
            </w:r>
            <w:r w:rsidRPr="00EA2DA6">
              <w:rPr>
                <w:rFonts w:cstheme="minorHAnsi"/>
                <w:sz w:val="24"/>
                <w:szCs w:val="24"/>
              </w:rPr>
              <w:t xml:space="preserve">of ambition and available </w:t>
            </w:r>
            <w:r w:rsidRPr="00EE264B">
              <w:rPr>
                <w:rFonts w:cstheme="minorHAnsi"/>
                <w:sz w:val="24"/>
                <w:szCs w:val="24"/>
              </w:rPr>
              <w:t xml:space="preserve">financial means (CPD budget of nearly 225 million USD, of which only 50 million USD on the regular budget and 174 million USD still to be found) as well as further information describing more concretely how UNDP intends to align its CPD with the CF (how, with whom, for what results) </w:t>
            </w:r>
          </w:p>
        </w:tc>
        <w:tc>
          <w:tcPr>
            <w:tcW w:w="2551" w:type="dxa"/>
          </w:tcPr>
          <w:p w14:paraId="782401C2" w14:textId="77777777" w:rsidR="003273BD" w:rsidRPr="00DD27A3" w:rsidRDefault="002459F2" w:rsidP="0084581D">
            <w:pPr>
              <w:rPr>
                <w:rFonts w:cstheme="minorHAnsi"/>
                <w:sz w:val="24"/>
                <w:szCs w:val="24"/>
              </w:rPr>
            </w:pPr>
            <w:r>
              <w:rPr>
                <w:rFonts w:cstheme="minorHAnsi"/>
                <w:sz w:val="24"/>
                <w:szCs w:val="24"/>
              </w:rPr>
              <w:lastRenderedPageBreak/>
              <w:t>Paragraph</w:t>
            </w:r>
            <w:r w:rsidR="0000084F" w:rsidRPr="00DD27A3">
              <w:rPr>
                <w:rFonts w:cstheme="minorHAnsi"/>
                <w:sz w:val="24"/>
                <w:szCs w:val="24"/>
              </w:rPr>
              <w:t xml:space="preserve"> 35 is reformulated</w:t>
            </w:r>
            <w:r w:rsidR="001524B2" w:rsidRPr="00DD27A3">
              <w:rPr>
                <w:rFonts w:cstheme="minorHAnsi"/>
                <w:sz w:val="24"/>
                <w:szCs w:val="24"/>
              </w:rPr>
              <w:t xml:space="preserve"> to highlight how the CO will leverage on lessons learnt from the implementation and findings provided by field missions to improve the </w:t>
            </w:r>
            <w:r w:rsidR="001524B2" w:rsidRPr="00DD27A3">
              <w:rPr>
                <w:rFonts w:cstheme="minorHAnsi"/>
                <w:sz w:val="24"/>
                <w:szCs w:val="24"/>
              </w:rPr>
              <w:lastRenderedPageBreak/>
              <w:t>implementation of the new programme.</w:t>
            </w:r>
          </w:p>
        </w:tc>
        <w:tc>
          <w:tcPr>
            <w:tcW w:w="6521" w:type="dxa"/>
          </w:tcPr>
          <w:p w14:paraId="18646CA6" w14:textId="76C2D38C" w:rsidR="003273BD" w:rsidRDefault="0065591B" w:rsidP="002D38D9">
            <w:pPr>
              <w:jc w:val="both"/>
              <w:rPr>
                <w:rFonts w:cstheme="minorHAnsi"/>
                <w:sz w:val="24"/>
                <w:szCs w:val="24"/>
              </w:rPr>
            </w:pPr>
            <w:r>
              <w:rPr>
                <w:rFonts w:cstheme="minorHAnsi"/>
                <w:sz w:val="24"/>
                <w:szCs w:val="24"/>
              </w:rPr>
              <w:lastRenderedPageBreak/>
              <w:t xml:space="preserve">UNDP globally ranks #1 on the transparency index and UNDP Mali is no different as our online </w:t>
            </w:r>
            <w:r w:rsidR="00867BC2">
              <w:rPr>
                <w:rFonts w:cstheme="minorHAnsi"/>
                <w:sz w:val="24"/>
                <w:szCs w:val="24"/>
              </w:rPr>
              <w:t>platform</w:t>
            </w:r>
            <w:r>
              <w:rPr>
                <w:rFonts w:cstheme="minorHAnsi"/>
                <w:sz w:val="24"/>
                <w:szCs w:val="24"/>
              </w:rPr>
              <w:t xml:space="preserve"> </w:t>
            </w:r>
            <w:r w:rsidR="00867BC2">
              <w:rPr>
                <w:rFonts w:cstheme="minorHAnsi"/>
                <w:sz w:val="24"/>
                <w:szCs w:val="24"/>
              </w:rPr>
              <w:t>shares comprehensive information about</w:t>
            </w:r>
            <w:r>
              <w:rPr>
                <w:rFonts w:cstheme="minorHAnsi"/>
                <w:sz w:val="24"/>
                <w:szCs w:val="24"/>
              </w:rPr>
              <w:t xml:space="preserve"> our interventions including by geographic area.  Regular annual planning and Steering committee meetings allow for joint planning, assessment results assessment.  The regular UNSDCF programme meetings as </w:t>
            </w:r>
            <w:r w:rsidR="00867BC2">
              <w:rPr>
                <w:rFonts w:cstheme="minorHAnsi"/>
                <w:sz w:val="24"/>
                <w:szCs w:val="24"/>
              </w:rPr>
              <w:t>mentioned</w:t>
            </w:r>
            <w:r>
              <w:rPr>
                <w:rFonts w:cstheme="minorHAnsi"/>
                <w:sz w:val="24"/>
                <w:szCs w:val="24"/>
              </w:rPr>
              <w:t xml:space="preserve"> above also stimulate joint UN collaboration including via many direct joint UN projects </w:t>
            </w:r>
          </w:p>
          <w:p w14:paraId="5FA8CD3B" w14:textId="77777777" w:rsidR="00EA2DA6" w:rsidRDefault="00EA2DA6" w:rsidP="002D38D9">
            <w:pPr>
              <w:jc w:val="both"/>
              <w:rPr>
                <w:rFonts w:cstheme="minorHAnsi"/>
                <w:sz w:val="24"/>
                <w:szCs w:val="24"/>
              </w:rPr>
            </w:pPr>
          </w:p>
          <w:p w14:paraId="69D641B9" w14:textId="77777777" w:rsidR="00EA2DA6" w:rsidRDefault="00EA2DA6" w:rsidP="002D38D9">
            <w:pPr>
              <w:jc w:val="both"/>
              <w:rPr>
                <w:rFonts w:cstheme="minorHAnsi"/>
                <w:sz w:val="24"/>
                <w:szCs w:val="24"/>
              </w:rPr>
            </w:pPr>
          </w:p>
          <w:p w14:paraId="5BA4489F" w14:textId="763B2FA2" w:rsidR="00EA2DA6" w:rsidRDefault="00205A03" w:rsidP="002D38D9">
            <w:pPr>
              <w:jc w:val="both"/>
              <w:rPr>
                <w:rFonts w:cstheme="minorHAnsi"/>
                <w:sz w:val="24"/>
                <w:szCs w:val="24"/>
              </w:rPr>
            </w:pPr>
            <w:r>
              <w:rPr>
                <w:rFonts w:cstheme="minorHAnsi"/>
                <w:sz w:val="24"/>
                <w:szCs w:val="24"/>
              </w:rPr>
              <w:t xml:space="preserve">In terms of information regarding ambition and financial resources, </w:t>
            </w:r>
            <w:r w:rsidR="00EE264B">
              <w:rPr>
                <w:rFonts w:cstheme="minorHAnsi"/>
                <w:sz w:val="24"/>
                <w:szCs w:val="24"/>
              </w:rPr>
              <w:t xml:space="preserve">as per the CPD 2015-2019 </w:t>
            </w:r>
          </w:p>
          <w:p w14:paraId="220BF3C8" w14:textId="2D4847C8" w:rsidR="00EE264B" w:rsidRPr="002D38D9" w:rsidRDefault="00EE264B" w:rsidP="002D38D9">
            <w:pPr>
              <w:jc w:val="both"/>
              <w:rPr>
                <w:rFonts w:cstheme="minorHAnsi"/>
                <w:sz w:val="24"/>
                <w:szCs w:val="24"/>
                <w:u w:val="single"/>
              </w:rPr>
            </w:pPr>
            <w:r w:rsidRPr="002D38D9">
              <w:rPr>
                <w:rFonts w:cstheme="minorHAnsi"/>
                <w:sz w:val="24"/>
                <w:szCs w:val="24"/>
                <w:u w:val="single"/>
              </w:rPr>
              <w:t xml:space="preserve">Mobilisation </w:t>
            </w:r>
            <w:r w:rsidR="00867BC2" w:rsidRPr="002D38D9">
              <w:rPr>
                <w:rFonts w:cstheme="minorHAnsi"/>
                <w:sz w:val="24"/>
                <w:szCs w:val="24"/>
                <w:u w:val="single"/>
              </w:rPr>
              <w:t>Target</w:t>
            </w:r>
            <w:r w:rsidRPr="002D38D9">
              <w:rPr>
                <w:rFonts w:cstheme="minorHAnsi"/>
                <w:sz w:val="24"/>
                <w:szCs w:val="24"/>
                <w:u w:val="single"/>
              </w:rPr>
              <w:t>:</w:t>
            </w:r>
          </w:p>
          <w:p w14:paraId="0326C67F" w14:textId="355E2CED" w:rsidR="00390F03" w:rsidRPr="007A2CB9" w:rsidRDefault="00EE264B" w:rsidP="002D38D9">
            <w:pPr>
              <w:jc w:val="both"/>
              <w:rPr>
                <w:rFonts w:cstheme="minorHAnsi"/>
                <w:sz w:val="24"/>
                <w:szCs w:val="24"/>
              </w:rPr>
            </w:pPr>
            <w:r>
              <w:rPr>
                <w:rFonts w:cstheme="minorHAnsi"/>
                <w:sz w:val="24"/>
                <w:szCs w:val="24"/>
              </w:rPr>
              <w:t xml:space="preserve">Regular </w:t>
            </w:r>
            <w:r w:rsidR="00390F03" w:rsidRPr="007A2CB9">
              <w:rPr>
                <w:rFonts w:cstheme="minorHAnsi"/>
                <w:sz w:val="24"/>
                <w:szCs w:val="24"/>
              </w:rPr>
              <w:t>resources : $29 176 000</w:t>
            </w:r>
          </w:p>
          <w:p w14:paraId="0199AA84" w14:textId="22FA3C6D" w:rsidR="00390F03" w:rsidRPr="00867BC2" w:rsidRDefault="00390F03" w:rsidP="002D38D9">
            <w:pPr>
              <w:jc w:val="both"/>
              <w:rPr>
                <w:rFonts w:cstheme="minorHAnsi"/>
                <w:sz w:val="24"/>
                <w:szCs w:val="24"/>
              </w:rPr>
            </w:pPr>
            <w:r w:rsidRPr="00867BC2">
              <w:rPr>
                <w:rFonts w:cstheme="minorHAnsi"/>
                <w:sz w:val="24"/>
                <w:szCs w:val="24"/>
              </w:rPr>
              <w:t>Other resources</w:t>
            </w:r>
            <w:r w:rsidR="00EE264B" w:rsidRPr="00867BC2">
              <w:rPr>
                <w:rFonts w:cstheme="minorHAnsi"/>
                <w:sz w:val="24"/>
                <w:szCs w:val="24"/>
              </w:rPr>
              <w:t xml:space="preserve"> (to </w:t>
            </w:r>
            <w:r w:rsidR="00867BC2">
              <w:rPr>
                <w:rFonts w:cstheme="minorHAnsi"/>
                <w:sz w:val="24"/>
                <w:szCs w:val="24"/>
              </w:rPr>
              <w:t xml:space="preserve">be </w:t>
            </w:r>
            <w:r w:rsidR="00EE264B" w:rsidRPr="00867BC2">
              <w:rPr>
                <w:rFonts w:cstheme="minorHAnsi"/>
                <w:sz w:val="24"/>
                <w:szCs w:val="24"/>
              </w:rPr>
              <w:t>mobilise</w:t>
            </w:r>
            <w:r w:rsidR="00867BC2">
              <w:rPr>
                <w:rFonts w:cstheme="minorHAnsi"/>
                <w:sz w:val="24"/>
                <w:szCs w:val="24"/>
              </w:rPr>
              <w:t>d</w:t>
            </w:r>
            <w:r w:rsidR="00EE264B" w:rsidRPr="00867BC2">
              <w:rPr>
                <w:rFonts w:cstheme="minorHAnsi"/>
                <w:sz w:val="24"/>
                <w:szCs w:val="24"/>
              </w:rPr>
              <w:t>)</w:t>
            </w:r>
            <w:r w:rsidRPr="00867BC2">
              <w:rPr>
                <w:rFonts w:cstheme="minorHAnsi"/>
                <w:sz w:val="24"/>
                <w:szCs w:val="24"/>
              </w:rPr>
              <w:t> : $152 000</w:t>
            </w:r>
            <w:r w:rsidR="00867BC2" w:rsidRPr="00867BC2">
              <w:rPr>
                <w:rFonts w:cstheme="minorHAnsi"/>
                <w:sz w:val="24"/>
                <w:szCs w:val="24"/>
              </w:rPr>
              <w:t> </w:t>
            </w:r>
            <w:r w:rsidRPr="00867BC2">
              <w:rPr>
                <w:rFonts w:cstheme="minorHAnsi"/>
                <w:sz w:val="24"/>
                <w:szCs w:val="24"/>
              </w:rPr>
              <w:t>000</w:t>
            </w:r>
          </w:p>
          <w:p w14:paraId="28EA3327" w14:textId="77777777" w:rsidR="00867BC2" w:rsidRPr="00867BC2" w:rsidRDefault="00867BC2" w:rsidP="002D38D9">
            <w:pPr>
              <w:jc w:val="both"/>
              <w:rPr>
                <w:rFonts w:cstheme="minorHAnsi"/>
                <w:sz w:val="24"/>
                <w:szCs w:val="24"/>
              </w:rPr>
            </w:pPr>
          </w:p>
          <w:p w14:paraId="7F2F3C27" w14:textId="22CFD736" w:rsidR="00390F03" w:rsidRPr="002D38D9" w:rsidRDefault="00EE264B" w:rsidP="002D38D9">
            <w:pPr>
              <w:jc w:val="both"/>
              <w:rPr>
                <w:rFonts w:cstheme="minorHAnsi"/>
                <w:sz w:val="24"/>
                <w:szCs w:val="24"/>
                <w:u w:val="single"/>
              </w:rPr>
            </w:pPr>
            <w:r w:rsidRPr="002D38D9">
              <w:rPr>
                <w:rFonts w:cstheme="minorHAnsi"/>
                <w:sz w:val="24"/>
                <w:szCs w:val="24"/>
                <w:u w:val="single"/>
              </w:rPr>
              <w:t>Actual</w:t>
            </w:r>
            <w:r w:rsidR="00390F03" w:rsidRPr="002D38D9">
              <w:rPr>
                <w:rFonts w:cstheme="minorHAnsi"/>
                <w:sz w:val="24"/>
                <w:szCs w:val="24"/>
                <w:u w:val="single"/>
              </w:rPr>
              <w:t xml:space="preserve"> cumulative </w:t>
            </w:r>
            <w:r w:rsidR="00867BC2" w:rsidRPr="002D38D9">
              <w:rPr>
                <w:rFonts w:cstheme="minorHAnsi"/>
                <w:sz w:val="24"/>
                <w:szCs w:val="24"/>
                <w:u w:val="single"/>
              </w:rPr>
              <w:t xml:space="preserve">funds mobilized </w:t>
            </w:r>
            <w:r w:rsidR="00390F03" w:rsidRPr="002D38D9">
              <w:rPr>
                <w:rFonts w:cstheme="minorHAnsi"/>
                <w:sz w:val="24"/>
                <w:szCs w:val="24"/>
                <w:u w:val="single"/>
              </w:rPr>
              <w:t>2015-2019</w:t>
            </w:r>
            <w:r w:rsidRPr="002D38D9">
              <w:rPr>
                <w:rFonts w:cstheme="minorHAnsi"/>
                <w:sz w:val="24"/>
                <w:szCs w:val="24"/>
                <w:u w:val="single"/>
              </w:rPr>
              <w:t xml:space="preserve">: </w:t>
            </w:r>
          </w:p>
          <w:p w14:paraId="5223AFD4" w14:textId="3AD2D8F0" w:rsidR="00390F03" w:rsidRPr="00AC78C5" w:rsidRDefault="00390F03" w:rsidP="002D38D9">
            <w:pPr>
              <w:jc w:val="both"/>
              <w:rPr>
                <w:rFonts w:cstheme="minorHAnsi"/>
                <w:sz w:val="24"/>
                <w:szCs w:val="24"/>
              </w:rPr>
            </w:pPr>
            <w:r w:rsidRPr="00AC78C5">
              <w:rPr>
                <w:rFonts w:cstheme="minorHAnsi"/>
                <w:sz w:val="24"/>
                <w:szCs w:val="24"/>
              </w:rPr>
              <w:t>Regular resources</w:t>
            </w:r>
            <w:r w:rsidR="00867BC2">
              <w:rPr>
                <w:rFonts w:cstheme="minorHAnsi"/>
                <w:sz w:val="24"/>
                <w:szCs w:val="24"/>
              </w:rPr>
              <w:t xml:space="preserve"> received</w:t>
            </w:r>
            <w:r w:rsidRPr="00AC78C5">
              <w:rPr>
                <w:rFonts w:cstheme="minorHAnsi"/>
                <w:sz w:val="24"/>
                <w:szCs w:val="24"/>
              </w:rPr>
              <w:t> : $27 779 0000</w:t>
            </w:r>
          </w:p>
          <w:p w14:paraId="3880897F" w14:textId="726E2C19" w:rsidR="00EA2DA6" w:rsidRDefault="00390F03" w:rsidP="002D38D9">
            <w:pPr>
              <w:jc w:val="both"/>
              <w:rPr>
                <w:rFonts w:cstheme="minorHAnsi"/>
                <w:sz w:val="24"/>
                <w:szCs w:val="24"/>
              </w:rPr>
            </w:pPr>
            <w:r w:rsidRPr="00AC78C5">
              <w:rPr>
                <w:rFonts w:cstheme="minorHAnsi"/>
                <w:sz w:val="24"/>
                <w:szCs w:val="24"/>
              </w:rPr>
              <w:t>Other resources </w:t>
            </w:r>
            <w:r w:rsidR="00867BC2">
              <w:rPr>
                <w:rFonts w:cstheme="minorHAnsi"/>
                <w:sz w:val="24"/>
                <w:szCs w:val="24"/>
              </w:rPr>
              <w:t>mob</w:t>
            </w:r>
            <w:r w:rsidR="00570413">
              <w:rPr>
                <w:rFonts w:cstheme="minorHAnsi"/>
                <w:sz w:val="24"/>
                <w:szCs w:val="24"/>
              </w:rPr>
              <w:t>i</w:t>
            </w:r>
            <w:r w:rsidR="00867BC2">
              <w:rPr>
                <w:rFonts w:cstheme="minorHAnsi"/>
                <w:sz w:val="24"/>
                <w:szCs w:val="24"/>
              </w:rPr>
              <w:t>lised</w:t>
            </w:r>
            <w:r w:rsidRPr="00AC78C5">
              <w:rPr>
                <w:rFonts w:cstheme="minorHAnsi"/>
                <w:sz w:val="24"/>
                <w:szCs w:val="24"/>
              </w:rPr>
              <w:t>: $156 758</w:t>
            </w:r>
            <w:r w:rsidR="00867BC2">
              <w:rPr>
                <w:rFonts w:cstheme="minorHAnsi"/>
                <w:sz w:val="24"/>
                <w:szCs w:val="24"/>
              </w:rPr>
              <w:t> </w:t>
            </w:r>
            <w:r w:rsidRPr="00AC78C5">
              <w:rPr>
                <w:rFonts w:cstheme="minorHAnsi"/>
                <w:sz w:val="24"/>
                <w:szCs w:val="24"/>
              </w:rPr>
              <w:t>000</w:t>
            </w:r>
          </w:p>
          <w:p w14:paraId="7AAC62BD" w14:textId="77777777" w:rsidR="00867BC2" w:rsidRDefault="00867BC2" w:rsidP="002D38D9">
            <w:pPr>
              <w:jc w:val="both"/>
              <w:rPr>
                <w:rFonts w:cstheme="minorHAnsi"/>
                <w:sz w:val="24"/>
                <w:szCs w:val="24"/>
              </w:rPr>
            </w:pPr>
          </w:p>
          <w:p w14:paraId="3EB7AC14" w14:textId="0AEF312A" w:rsidR="00867BC2" w:rsidRPr="00EE264B" w:rsidRDefault="00570413" w:rsidP="002D38D9">
            <w:pPr>
              <w:jc w:val="both"/>
              <w:rPr>
                <w:rFonts w:cstheme="minorHAnsi"/>
                <w:sz w:val="24"/>
                <w:szCs w:val="24"/>
              </w:rPr>
            </w:pPr>
            <w:r>
              <w:rPr>
                <w:rFonts w:cstheme="minorHAnsi"/>
                <w:sz w:val="24"/>
                <w:szCs w:val="24"/>
              </w:rPr>
              <w:t>Therefore,</w:t>
            </w:r>
            <w:r w:rsidR="00867BC2">
              <w:rPr>
                <w:rFonts w:cstheme="minorHAnsi"/>
                <w:sz w:val="24"/>
                <w:szCs w:val="24"/>
              </w:rPr>
              <w:t xml:space="preserve"> we mobilized 3.361 m</w:t>
            </w:r>
            <w:r w:rsidR="002D38D9">
              <w:rPr>
                <w:rFonts w:cstheme="minorHAnsi"/>
                <w:sz w:val="24"/>
                <w:szCs w:val="24"/>
              </w:rPr>
              <w:t xml:space="preserve"> over the target.</w:t>
            </w:r>
          </w:p>
        </w:tc>
      </w:tr>
    </w:tbl>
    <w:p w14:paraId="59AC39D8" w14:textId="77777777" w:rsidR="00B17FBF" w:rsidRDefault="00B17FBF">
      <w:r>
        <w:lastRenderedPageBreak/>
        <w:br w:type="page"/>
      </w:r>
    </w:p>
    <w:tbl>
      <w:tblPr>
        <w:tblStyle w:val="TableGrid"/>
        <w:tblW w:w="0" w:type="auto"/>
        <w:tblLook w:val="04A0" w:firstRow="1" w:lastRow="0" w:firstColumn="1" w:lastColumn="0" w:noHBand="0" w:noVBand="1"/>
      </w:tblPr>
      <w:tblGrid>
        <w:gridCol w:w="3681"/>
        <w:gridCol w:w="2551"/>
        <w:gridCol w:w="6521"/>
      </w:tblGrid>
      <w:tr w:rsidR="003A67D5" w:rsidRPr="0042468A" w14:paraId="399D8517" w14:textId="77777777" w:rsidTr="002D40F4">
        <w:trPr>
          <w:trHeight w:val="683"/>
        </w:trPr>
        <w:tc>
          <w:tcPr>
            <w:tcW w:w="3681" w:type="dxa"/>
            <w:shd w:val="clear" w:color="auto" w:fill="BFBFBF" w:themeFill="background1" w:themeFillShade="BF"/>
            <w:vAlign w:val="center"/>
          </w:tcPr>
          <w:p w14:paraId="50734BB9" w14:textId="1679CCA3" w:rsidR="003A67D5" w:rsidRPr="00DD27A3" w:rsidRDefault="003A67D5" w:rsidP="00BA3ADF">
            <w:pPr>
              <w:jc w:val="center"/>
              <w:rPr>
                <w:rFonts w:cstheme="minorHAnsi"/>
                <w:b/>
                <w:sz w:val="24"/>
                <w:szCs w:val="24"/>
              </w:rPr>
            </w:pPr>
            <w:r>
              <w:rPr>
                <w:rFonts w:cstheme="minorHAnsi"/>
                <w:b/>
                <w:sz w:val="24"/>
                <w:szCs w:val="24"/>
              </w:rPr>
              <w:t xml:space="preserve">Comments by </w:t>
            </w:r>
            <w:r w:rsidRPr="00DD27A3">
              <w:rPr>
                <w:rFonts w:cstheme="minorHAnsi"/>
                <w:b/>
                <w:sz w:val="24"/>
                <w:szCs w:val="24"/>
              </w:rPr>
              <w:t>G</w:t>
            </w:r>
            <w:r>
              <w:rPr>
                <w:rFonts w:cstheme="minorHAnsi"/>
                <w:b/>
                <w:sz w:val="24"/>
                <w:szCs w:val="24"/>
              </w:rPr>
              <w:t>ermany</w:t>
            </w:r>
          </w:p>
        </w:tc>
        <w:tc>
          <w:tcPr>
            <w:tcW w:w="2551" w:type="dxa"/>
            <w:shd w:val="clear" w:color="auto" w:fill="BFBFBF" w:themeFill="background1" w:themeFillShade="BF"/>
            <w:vAlign w:val="center"/>
          </w:tcPr>
          <w:p w14:paraId="722CEA2C" w14:textId="77777777" w:rsidR="003A67D5" w:rsidRPr="00DD27A3" w:rsidRDefault="003A67D5" w:rsidP="00BA3ADF">
            <w:pPr>
              <w:jc w:val="center"/>
              <w:rPr>
                <w:rFonts w:cstheme="minorHAnsi"/>
                <w:b/>
                <w:sz w:val="24"/>
                <w:szCs w:val="24"/>
              </w:rPr>
            </w:pPr>
            <w:r>
              <w:rPr>
                <w:rFonts w:cstheme="minorHAnsi"/>
                <w:b/>
                <w:sz w:val="24"/>
                <w:szCs w:val="24"/>
              </w:rPr>
              <w:t>Changes to the CPD</w:t>
            </w:r>
          </w:p>
        </w:tc>
        <w:tc>
          <w:tcPr>
            <w:tcW w:w="6521" w:type="dxa"/>
            <w:shd w:val="clear" w:color="auto" w:fill="BFBFBF" w:themeFill="background1" w:themeFillShade="BF"/>
            <w:vAlign w:val="center"/>
          </w:tcPr>
          <w:p w14:paraId="40207E63" w14:textId="77777777" w:rsidR="003A67D5" w:rsidRPr="00DD27A3" w:rsidRDefault="003A67D5" w:rsidP="00BA3ADF">
            <w:pPr>
              <w:jc w:val="center"/>
              <w:rPr>
                <w:rFonts w:cstheme="minorHAnsi"/>
                <w:b/>
                <w:sz w:val="24"/>
                <w:szCs w:val="24"/>
              </w:rPr>
            </w:pPr>
            <w:r>
              <w:rPr>
                <w:rFonts w:cstheme="minorHAnsi"/>
                <w:b/>
                <w:sz w:val="24"/>
                <w:szCs w:val="24"/>
              </w:rPr>
              <w:t>Country Office response</w:t>
            </w:r>
          </w:p>
        </w:tc>
      </w:tr>
      <w:tr w:rsidR="008C5FA1" w:rsidRPr="00EE264B" w14:paraId="069C1DAC" w14:textId="77777777" w:rsidTr="00AC78C5">
        <w:tc>
          <w:tcPr>
            <w:tcW w:w="3681" w:type="dxa"/>
            <w:vAlign w:val="center"/>
          </w:tcPr>
          <w:p w14:paraId="21806DED" w14:textId="77777777" w:rsidR="008C5FA1" w:rsidRPr="0065400D" w:rsidRDefault="008C5FA1" w:rsidP="008C5FA1">
            <w:pPr>
              <w:tabs>
                <w:tab w:val="left" w:pos="142"/>
              </w:tabs>
              <w:jc w:val="both"/>
              <w:rPr>
                <w:rFonts w:cstheme="minorHAnsi"/>
                <w:sz w:val="24"/>
                <w:szCs w:val="24"/>
              </w:rPr>
            </w:pPr>
            <w:r w:rsidRPr="0065400D">
              <w:rPr>
                <w:rFonts w:cstheme="minorHAnsi"/>
                <w:sz w:val="24"/>
                <w:szCs w:val="24"/>
              </w:rPr>
              <w:lastRenderedPageBreak/>
              <w:t xml:space="preserve">Regarding output 1.1, indicator 1.1.1 and indicator 1.1.2, close coordination with the </w:t>
            </w:r>
            <w:r w:rsidRPr="00CA773A">
              <w:rPr>
                <w:rFonts w:cstheme="minorHAnsi"/>
                <w:sz w:val="24"/>
                <w:szCs w:val="24"/>
              </w:rPr>
              <w:t xml:space="preserve">other actors active in the field in MLI is necessary. </w:t>
            </w:r>
            <w:r w:rsidR="001524B2" w:rsidRPr="0065400D">
              <w:rPr>
                <w:rFonts w:cstheme="minorHAnsi"/>
                <w:sz w:val="24"/>
                <w:szCs w:val="24"/>
              </w:rPr>
              <w:t>Decentralization</w:t>
            </w:r>
            <w:r w:rsidRPr="0065400D">
              <w:rPr>
                <w:rFonts w:cstheme="minorHAnsi"/>
                <w:sz w:val="24"/>
                <w:szCs w:val="24"/>
              </w:rPr>
              <w:t xml:space="preserve"> measures (1.1.1), for example, should be designed as building blocks contributing to the broader joint donor Programme of the World Bank on </w:t>
            </w:r>
            <w:r w:rsidR="00595863" w:rsidRPr="0065400D">
              <w:rPr>
                <w:rFonts w:cstheme="minorHAnsi"/>
                <w:sz w:val="24"/>
                <w:szCs w:val="24"/>
              </w:rPr>
              <w:t>decentralization</w:t>
            </w:r>
            <w:r w:rsidRPr="0065400D">
              <w:rPr>
                <w:rFonts w:cstheme="minorHAnsi"/>
                <w:sz w:val="24"/>
                <w:szCs w:val="24"/>
              </w:rPr>
              <w:t xml:space="preserve">. </w:t>
            </w:r>
          </w:p>
        </w:tc>
        <w:tc>
          <w:tcPr>
            <w:tcW w:w="2551" w:type="dxa"/>
          </w:tcPr>
          <w:p w14:paraId="5705D8E4" w14:textId="77777777" w:rsidR="008C5FA1" w:rsidRPr="0065400D" w:rsidRDefault="001524B2" w:rsidP="008C5FA1">
            <w:pPr>
              <w:rPr>
                <w:rFonts w:cstheme="minorHAnsi"/>
                <w:sz w:val="24"/>
                <w:szCs w:val="24"/>
              </w:rPr>
            </w:pPr>
            <w:r w:rsidRPr="0065400D">
              <w:rPr>
                <w:rFonts w:cstheme="minorHAnsi"/>
                <w:sz w:val="24"/>
                <w:szCs w:val="24"/>
              </w:rPr>
              <w:t xml:space="preserve">None </w:t>
            </w:r>
          </w:p>
        </w:tc>
        <w:tc>
          <w:tcPr>
            <w:tcW w:w="6521" w:type="dxa"/>
          </w:tcPr>
          <w:p w14:paraId="165E7AB9" w14:textId="77777777" w:rsidR="001524B2" w:rsidRPr="0065400D" w:rsidRDefault="001524B2" w:rsidP="002D38D9">
            <w:pPr>
              <w:jc w:val="both"/>
              <w:rPr>
                <w:rFonts w:eastAsia="Times New Roman" w:cstheme="minorHAnsi"/>
                <w:sz w:val="24"/>
                <w:szCs w:val="24"/>
              </w:rPr>
            </w:pPr>
            <w:r w:rsidRPr="0065400D">
              <w:rPr>
                <w:rFonts w:cstheme="minorHAnsi"/>
                <w:sz w:val="24"/>
                <w:szCs w:val="24"/>
              </w:rPr>
              <w:t>Implementing partners mentioned in the document:</w:t>
            </w:r>
            <w:r w:rsidRPr="0065400D">
              <w:rPr>
                <w:rFonts w:eastAsia="Times New Roman" w:cstheme="minorHAnsi"/>
                <w:sz w:val="24"/>
                <w:szCs w:val="24"/>
              </w:rPr>
              <w:t xml:space="preserve"> Governments of Canada, Germany, Luxembourg, </w:t>
            </w:r>
          </w:p>
          <w:p w14:paraId="4196C128" w14:textId="77777777" w:rsidR="008C5FA1" w:rsidRPr="00AC78C5" w:rsidRDefault="001524B2" w:rsidP="002D38D9">
            <w:pPr>
              <w:jc w:val="both"/>
              <w:rPr>
                <w:rFonts w:eastAsia="Times New Roman" w:cstheme="minorHAnsi"/>
                <w:sz w:val="24"/>
                <w:szCs w:val="24"/>
              </w:rPr>
            </w:pPr>
            <w:r w:rsidRPr="00AC78C5">
              <w:rPr>
                <w:rFonts w:eastAsia="Times New Roman" w:cstheme="minorHAnsi"/>
                <w:sz w:val="24"/>
                <w:szCs w:val="24"/>
              </w:rPr>
              <w:t>World Bank</w:t>
            </w:r>
          </w:p>
          <w:p w14:paraId="6B999FAB" w14:textId="77777777" w:rsidR="00EE264B" w:rsidRPr="00AC78C5" w:rsidRDefault="00EE264B" w:rsidP="002D38D9">
            <w:pPr>
              <w:jc w:val="both"/>
              <w:rPr>
                <w:rFonts w:eastAsia="Times New Roman" w:cstheme="minorHAnsi"/>
                <w:color w:val="FF0000"/>
                <w:sz w:val="24"/>
                <w:szCs w:val="24"/>
              </w:rPr>
            </w:pPr>
          </w:p>
          <w:p w14:paraId="4F7CECFA" w14:textId="66862852" w:rsidR="00EE264B" w:rsidRPr="00AC78C5" w:rsidRDefault="00EE264B" w:rsidP="002D38D9">
            <w:pPr>
              <w:jc w:val="both"/>
              <w:rPr>
                <w:rFonts w:cstheme="minorHAnsi"/>
                <w:color w:val="FF0000"/>
                <w:sz w:val="24"/>
                <w:szCs w:val="24"/>
              </w:rPr>
            </w:pPr>
            <w:r w:rsidRPr="00223DC5">
              <w:rPr>
                <w:rFonts w:cstheme="minorHAnsi"/>
                <w:sz w:val="24"/>
                <w:szCs w:val="24"/>
              </w:rPr>
              <w:t>A partnership strategy is being developed to also develop explicit coordination and collaboration.</w:t>
            </w:r>
            <w:r>
              <w:rPr>
                <w:rFonts w:cstheme="minorHAnsi"/>
                <w:color w:val="FF0000"/>
                <w:sz w:val="24"/>
                <w:szCs w:val="24"/>
              </w:rPr>
              <w:t xml:space="preserve">  </w:t>
            </w:r>
          </w:p>
        </w:tc>
      </w:tr>
      <w:tr w:rsidR="008C5FA1" w:rsidRPr="0042468A" w14:paraId="71119C6E" w14:textId="77777777" w:rsidTr="00AC78C5">
        <w:tc>
          <w:tcPr>
            <w:tcW w:w="3681" w:type="dxa"/>
            <w:vAlign w:val="center"/>
          </w:tcPr>
          <w:p w14:paraId="2E2B03B6" w14:textId="77777777" w:rsidR="008C5FA1" w:rsidRPr="00DD27A3" w:rsidRDefault="008C5FA1" w:rsidP="008C5FA1">
            <w:pPr>
              <w:jc w:val="both"/>
              <w:rPr>
                <w:rFonts w:cstheme="minorHAnsi"/>
                <w:sz w:val="24"/>
                <w:szCs w:val="24"/>
              </w:rPr>
            </w:pPr>
            <w:r w:rsidRPr="009C294C">
              <w:rPr>
                <w:rFonts w:cstheme="minorHAnsi"/>
                <w:sz w:val="24"/>
                <w:szCs w:val="24"/>
              </w:rPr>
              <w:t>For Output 2.1 and Output 2.2 references to the UNFPA project “</w:t>
            </w:r>
            <w:r w:rsidRPr="00DD27A3">
              <w:rPr>
                <w:rFonts w:cstheme="minorHAnsi"/>
                <w:sz w:val="24"/>
                <w:szCs w:val="24"/>
              </w:rPr>
              <w:t>Support for the implementation of the census" (see UNFPA strategy) should be included.</w:t>
            </w:r>
          </w:p>
        </w:tc>
        <w:tc>
          <w:tcPr>
            <w:tcW w:w="2551" w:type="dxa"/>
          </w:tcPr>
          <w:p w14:paraId="433A27BF" w14:textId="77777777" w:rsidR="008C5FA1" w:rsidRPr="00DD27A3" w:rsidRDefault="00595863" w:rsidP="008C5FA1">
            <w:pPr>
              <w:rPr>
                <w:rFonts w:cstheme="minorHAnsi"/>
                <w:sz w:val="24"/>
                <w:szCs w:val="24"/>
              </w:rPr>
            </w:pPr>
            <w:r w:rsidRPr="00DD27A3">
              <w:rPr>
                <w:rFonts w:cstheme="minorHAnsi"/>
                <w:sz w:val="24"/>
                <w:szCs w:val="24"/>
              </w:rPr>
              <w:t>UNFPA is added to the list of partners</w:t>
            </w:r>
          </w:p>
        </w:tc>
        <w:tc>
          <w:tcPr>
            <w:tcW w:w="6521" w:type="dxa"/>
          </w:tcPr>
          <w:p w14:paraId="2913A0EE" w14:textId="4F1BA84E" w:rsidR="008C5FA1" w:rsidRPr="00DD27A3" w:rsidRDefault="00595863" w:rsidP="002D38D9">
            <w:pPr>
              <w:jc w:val="both"/>
              <w:rPr>
                <w:rFonts w:cstheme="minorHAnsi"/>
                <w:sz w:val="24"/>
                <w:szCs w:val="24"/>
              </w:rPr>
            </w:pPr>
            <w:r w:rsidRPr="00DD27A3">
              <w:rPr>
                <w:rFonts w:cstheme="minorHAnsi"/>
                <w:sz w:val="24"/>
                <w:szCs w:val="24"/>
              </w:rPr>
              <w:t>This is reflected in the Common Chapter shared with UNFPA, UNICEF, ONUFEMMES and WFP</w:t>
            </w:r>
            <w:r w:rsidR="00EE264B">
              <w:rPr>
                <w:rFonts w:cstheme="minorHAnsi"/>
                <w:sz w:val="24"/>
                <w:szCs w:val="24"/>
              </w:rPr>
              <w:t xml:space="preserve"> and falls within</w:t>
            </w:r>
            <w:r w:rsidR="00E05196">
              <w:rPr>
                <w:rFonts w:cstheme="minorHAnsi"/>
                <w:sz w:val="24"/>
                <w:szCs w:val="24"/>
              </w:rPr>
              <w:t xml:space="preserve"> the specific mandate of UNFPA.  </w:t>
            </w:r>
            <w:r w:rsidR="00EE264B">
              <w:rPr>
                <w:rFonts w:cstheme="minorHAnsi"/>
                <w:sz w:val="24"/>
                <w:szCs w:val="24"/>
              </w:rPr>
              <w:t xml:space="preserve"> </w:t>
            </w:r>
          </w:p>
        </w:tc>
      </w:tr>
      <w:tr w:rsidR="008C5FA1" w:rsidRPr="00E05196" w14:paraId="0A0A7B52" w14:textId="77777777" w:rsidTr="00AC78C5">
        <w:trPr>
          <w:trHeight w:val="1242"/>
        </w:trPr>
        <w:tc>
          <w:tcPr>
            <w:tcW w:w="3681" w:type="dxa"/>
            <w:vAlign w:val="center"/>
          </w:tcPr>
          <w:p w14:paraId="4BAB1D39" w14:textId="77777777" w:rsidR="008C5FA1" w:rsidRPr="00DD27A3" w:rsidRDefault="008C5FA1" w:rsidP="008C5FA1">
            <w:pPr>
              <w:jc w:val="both"/>
              <w:rPr>
                <w:rFonts w:cstheme="minorHAnsi"/>
                <w:sz w:val="24"/>
                <w:szCs w:val="24"/>
              </w:rPr>
            </w:pPr>
            <w:r w:rsidRPr="00F2672C">
              <w:rPr>
                <w:rFonts w:cstheme="minorHAnsi"/>
                <w:sz w:val="24"/>
                <w:szCs w:val="24"/>
              </w:rPr>
              <w:t xml:space="preserve">With regard to indicator 2.2.2, support for UNDP should be </w:t>
            </w:r>
            <w:r w:rsidRPr="00CA773A">
              <w:rPr>
                <w:rFonts w:cstheme="minorHAnsi"/>
                <w:sz w:val="24"/>
                <w:szCs w:val="24"/>
              </w:rPr>
              <w:t xml:space="preserve">more strategic. This involves </w:t>
            </w:r>
            <w:r w:rsidR="00595863" w:rsidRPr="00F2672C">
              <w:rPr>
                <w:rFonts w:cstheme="minorHAnsi"/>
                <w:sz w:val="24"/>
                <w:szCs w:val="24"/>
              </w:rPr>
              <w:t>rationalizing</w:t>
            </w:r>
            <w:r w:rsidRPr="00F2672C">
              <w:rPr>
                <w:rFonts w:cstheme="minorHAnsi"/>
                <w:sz w:val="24"/>
                <w:szCs w:val="24"/>
              </w:rPr>
              <w:t xml:space="preserve"> existing reviews and making their results more </w:t>
            </w:r>
            <w:r w:rsidR="00595863" w:rsidRPr="00F2672C">
              <w:rPr>
                <w:rFonts w:cstheme="minorHAnsi"/>
                <w:sz w:val="24"/>
                <w:szCs w:val="24"/>
              </w:rPr>
              <w:t>utilizable</w:t>
            </w:r>
            <w:r w:rsidRPr="00F2672C">
              <w:rPr>
                <w:rFonts w:cstheme="minorHAnsi"/>
                <w:sz w:val="24"/>
                <w:szCs w:val="24"/>
              </w:rPr>
              <w:t>. Otherwise UNDP would be financing some of the “ateliers” and the</w:t>
            </w:r>
            <w:r w:rsidRPr="00DD27A3">
              <w:rPr>
                <w:rFonts w:cstheme="minorHAnsi"/>
                <w:sz w:val="24"/>
                <w:szCs w:val="24"/>
              </w:rPr>
              <w:t xml:space="preserve"> respective </w:t>
            </w:r>
            <w:r w:rsidRPr="00DD27A3">
              <w:rPr>
                <w:rFonts w:cstheme="minorHAnsi"/>
                <w:i/>
                <w:sz w:val="24"/>
                <w:szCs w:val="24"/>
              </w:rPr>
              <w:t>per diems</w:t>
            </w:r>
            <w:r w:rsidRPr="00DD27A3">
              <w:rPr>
                <w:rFonts w:cstheme="minorHAnsi"/>
                <w:sz w:val="24"/>
                <w:szCs w:val="24"/>
              </w:rPr>
              <w:t>, without supporting “usable output” of these “ateliers” for improving government planning / implementation.</w:t>
            </w:r>
          </w:p>
        </w:tc>
        <w:tc>
          <w:tcPr>
            <w:tcW w:w="2551" w:type="dxa"/>
          </w:tcPr>
          <w:p w14:paraId="7E8CF7E2" w14:textId="77777777" w:rsidR="008C5FA1" w:rsidRPr="00DD27A3" w:rsidRDefault="00595863" w:rsidP="008C5FA1">
            <w:pPr>
              <w:rPr>
                <w:rFonts w:cstheme="minorHAnsi"/>
                <w:sz w:val="24"/>
                <w:szCs w:val="24"/>
              </w:rPr>
            </w:pPr>
            <w:r w:rsidRPr="00DD27A3">
              <w:rPr>
                <w:rFonts w:cstheme="minorHAnsi"/>
                <w:sz w:val="24"/>
                <w:szCs w:val="24"/>
              </w:rPr>
              <w:t>None</w:t>
            </w:r>
          </w:p>
        </w:tc>
        <w:tc>
          <w:tcPr>
            <w:tcW w:w="6521" w:type="dxa"/>
          </w:tcPr>
          <w:p w14:paraId="274480B6" w14:textId="75DAA3C0" w:rsidR="0017193B" w:rsidRPr="00E05196" w:rsidRDefault="00595863" w:rsidP="002D38D9">
            <w:pPr>
              <w:jc w:val="both"/>
              <w:rPr>
                <w:rFonts w:cstheme="minorHAnsi"/>
                <w:sz w:val="24"/>
                <w:szCs w:val="24"/>
              </w:rPr>
            </w:pPr>
            <w:r w:rsidRPr="00DD27A3">
              <w:rPr>
                <w:rFonts w:cstheme="minorHAnsi"/>
                <w:sz w:val="24"/>
                <w:szCs w:val="24"/>
              </w:rPr>
              <w:t>This refers to addressing the big challenge of liking the national planning frameworks to the execution of the Budget, by improving the Channel Planning, Programming, Budgeting, Monitoring and Evaluation (PPBME)</w:t>
            </w:r>
            <w:r w:rsidR="00E05196">
              <w:rPr>
                <w:rFonts w:cstheme="minorHAnsi"/>
                <w:sz w:val="24"/>
                <w:szCs w:val="24"/>
              </w:rPr>
              <w:t xml:space="preserve">.  Explicitly </w:t>
            </w:r>
            <w:r w:rsidR="00247B53">
              <w:rPr>
                <w:rFonts w:cstheme="minorHAnsi"/>
                <w:sz w:val="24"/>
                <w:szCs w:val="24"/>
              </w:rPr>
              <w:t xml:space="preserve">some existing work that is expected to build on is the national poverty profile done with INSTAT and ODHAD in 2019, along with commune needs assessment conducted in over </w:t>
            </w:r>
            <w:r w:rsidR="002D38D9">
              <w:rPr>
                <w:rFonts w:cstheme="minorHAnsi"/>
                <w:sz w:val="24"/>
                <w:szCs w:val="24"/>
              </w:rPr>
              <w:t>4</w:t>
            </w:r>
            <w:r w:rsidR="00247B53">
              <w:rPr>
                <w:rFonts w:cstheme="minorHAnsi"/>
                <w:sz w:val="24"/>
                <w:szCs w:val="24"/>
              </w:rPr>
              <w:t>00 communes to improve investments not only by UNDP but more strategically by government, ministries and partners and also as a strategic orientation in establishing SDG integration platform and the localization of the SDG.</w:t>
            </w:r>
            <w:r w:rsidR="00E05196">
              <w:rPr>
                <w:rFonts w:cstheme="minorHAnsi"/>
                <w:sz w:val="24"/>
                <w:szCs w:val="24"/>
              </w:rPr>
              <w:t>.</w:t>
            </w:r>
            <w:r w:rsidR="00CA773A" w:rsidRPr="00E05196">
              <w:rPr>
                <w:rFonts w:cstheme="minorHAnsi"/>
                <w:sz w:val="24"/>
                <w:szCs w:val="24"/>
              </w:rPr>
              <w:t xml:space="preserve"> </w:t>
            </w:r>
          </w:p>
        </w:tc>
      </w:tr>
      <w:tr w:rsidR="008C5FA1" w:rsidRPr="0042468A" w14:paraId="1B81BC78" w14:textId="77777777" w:rsidTr="00AC78C5">
        <w:tc>
          <w:tcPr>
            <w:tcW w:w="3681" w:type="dxa"/>
            <w:vAlign w:val="center"/>
          </w:tcPr>
          <w:p w14:paraId="4F29B66B" w14:textId="77777777" w:rsidR="008C5FA1" w:rsidRPr="00DD27A3" w:rsidRDefault="008C5FA1" w:rsidP="008C5FA1">
            <w:pPr>
              <w:jc w:val="both"/>
              <w:rPr>
                <w:rFonts w:cstheme="minorHAnsi"/>
                <w:sz w:val="24"/>
                <w:szCs w:val="24"/>
              </w:rPr>
            </w:pPr>
            <w:r w:rsidRPr="009C294C">
              <w:rPr>
                <w:rFonts w:cstheme="minorHAnsi"/>
                <w:sz w:val="24"/>
                <w:szCs w:val="24"/>
              </w:rPr>
              <w:t xml:space="preserve">For outputs 2.3. and 2.4. Partners such as </w:t>
            </w:r>
            <w:r w:rsidRPr="00DD27A3">
              <w:rPr>
                <w:rFonts w:cstheme="minorHAnsi"/>
                <w:sz w:val="24"/>
                <w:szCs w:val="24"/>
              </w:rPr>
              <w:t xml:space="preserve">the World Bank and Denmark should be mentioned. They are part of the large EPEC Programme in this field. In addition, we would recommend a clearer </w:t>
            </w:r>
            <w:r w:rsidRPr="00DD27A3">
              <w:rPr>
                <w:rFonts w:cstheme="minorHAnsi"/>
                <w:sz w:val="24"/>
                <w:szCs w:val="24"/>
              </w:rPr>
              <w:lastRenderedPageBreak/>
              <w:t>focus for this output: either focusing on the overall framework, or on financial inclusion, rather than both.</w:t>
            </w:r>
          </w:p>
        </w:tc>
        <w:tc>
          <w:tcPr>
            <w:tcW w:w="2551" w:type="dxa"/>
          </w:tcPr>
          <w:p w14:paraId="0E47FCDB" w14:textId="77777777" w:rsidR="008C5FA1" w:rsidRPr="00DD27A3" w:rsidRDefault="00363680" w:rsidP="008C5FA1">
            <w:pPr>
              <w:rPr>
                <w:rFonts w:cstheme="minorHAnsi"/>
                <w:sz w:val="24"/>
                <w:szCs w:val="24"/>
              </w:rPr>
            </w:pPr>
            <w:r w:rsidRPr="00DD27A3">
              <w:rPr>
                <w:rFonts w:cstheme="minorHAnsi"/>
                <w:sz w:val="24"/>
                <w:szCs w:val="24"/>
              </w:rPr>
              <w:lastRenderedPageBreak/>
              <w:t xml:space="preserve">Output 2.3 is adjusted to the International INFF Mechanisms (Addis </w:t>
            </w:r>
            <w:r w:rsidR="00536DFB" w:rsidRPr="00DD27A3">
              <w:rPr>
                <w:rFonts w:cstheme="minorHAnsi"/>
                <w:sz w:val="24"/>
                <w:szCs w:val="24"/>
              </w:rPr>
              <w:t>Ababa</w:t>
            </w:r>
            <w:r w:rsidRPr="00DD27A3">
              <w:rPr>
                <w:rFonts w:cstheme="minorHAnsi"/>
                <w:sz w:val="24"/>
                <w:szCs w:val="24"/>
              </w:rPr>
              <w:t xml:space="preserve"> 2015). World bank and </w:t>
            </w:r>
            <w:r w:rsidRPr="00DD27A3">
              <w:rPr>
                <w:rFonts w:cstheme="minorHAnsi"/>
                <w:sz w:val="24"/>
                <w:szCs w:val="24"/>
              </w:rPr>
              <w:lastRenderedPageBreak/>
              <w:t>Denmark are added to the list of partners</w:t>
            </w:r>
          </w:p>
        </w:tc>
        <w:tc>
          <w:tcPr>
            <w:tcW w:w="6521" w:type="dxa"/>
          </w:tcPr>
          <w:p w14:paraId="7ABC0E69" w14:textId="77777777" w:rsidR="008C5FA1" w:rsidRPr="00DD27A3" w:rsidRDefault="00363680" w:rsidP="002D38D9">
            <w:pPr>
              <w:jc w:val="both"/>
              <w:rPr>
                <w:rFonts w:cstheme="minorHAnsi"/>
                <w:sz w:val="24"/>
                <w:szCs w:val="24"/>
              </w:rPr>
            </w:pPr>
            <w:r w:rsidRPr="00DD27A3">
              <w:rPr>
                <w:rFonts w:cstheme="minorHAnsi"/>
                <w:sz w:val="24"/>
                <w:szCs w:val="24"/>
              </w:rPr>
              <w:lastRenderedPageBreak/>
              <w:t>Very relevant comment; integrated</w:t>
            </w:r>
          </w:p>
        </w:tc>
      </w:tr>
      <w:tr w:rsidR="008C5FA1" w:rsidRPr="0042468A" w14:paraId="146980D1" w14:textId="77777777" w:rsidTr="00AC78C5">
        <w:tc>
          <w:tcPr>
            <w:tcW w:w="3681" w:type="dxa"/>
            <w:vAlign w:val="center"/>
          </w:tcPr>
          <w:p w14:paraId="5B2817D7" w14:textId="77777777" w:rsidR="008C5FA1" w:rsidRPr="00DD27A3" w:rsidRDefault="008C5FA1" w:rsidP="008C5FA1">
            <w:pPr>
              <w:jc w:val="both"/>
              <w:rPr>
                <w:rFonts w:cstheme="minorHAnsi"/>
                <w:sz w:val="24"/>
                <w:szCs w:val="24"/>
              </w:rPr>
            </w:pPr>
            <w:r w:rsidRPr="009C294C">
              <w:rPr>
                <w:rFonts w:cstheme="minorHAnsi"/>
                <w:sz w:val="24"/>
                <w:szCs w:val="24"/>
              </w:rPr>
              <w:t>We would also recommend a clearer focus regarding “Environment and resilience/climate ch</w:t>
            </w:r>
            <w:r w:rsidRPr="00DD27A3">
              <w:rPr>
                <w:rFonts w:cstheme="minorHAnsi"/>
                <w:sz w:val="24"/>
                <w:szCs w:val="24"/>
              </w:rPr>
              <w:t>ange". This also applies to establishing clearer links to programmes of other donors (e. g. the energy programs of the World Bank, France etc.).</w:t>
            </w:r>
          </w:p>
        </w:tc>
        <w:tc>
          <w:tcPr>
            <w:tcW w:w="2551" w:type="dxa"/>
          </w:tcPr>
          <w:p w14:paraId="2C27818D" w14:textId="77777777" w:rsidR="008C5FA1" w:rsidRPr="00DD27A3" w:rsidRDefault="00363680" w:rsidP="008C5FA1">
            <w:pPr>
              <w:rPr>
                <w:rFonts w:cstheme="minorHAnsi"/>
                <w:sz w:val="24"/>
                <w:szCs w:val="24"/>
              </w:rPr>
            </w:pPr>
            <w:r w:rsidRPr="00DD27A3">
              <w:rPr>
                <w:rFonts w:cstheme="minorHAnsi"/>
                <w:sz w:val="24"/>
                <w:szCs w:val="24"/>
              </w:rPr>
              <w:t>Donors are added to the list of partners</w:t>
            </w:r>
          </w:p>
        </w:tc>
        <w:tc>
          <w:tcPr>
            <w:tcW w:w="6521" w:type="dxa"/>
          </w:tcPr>
          <w:p w14:paraId="02A1CE06" w14:textId="77777777" w:rsidR="008C5FA1" w:rsidRPr="00DD27A3" w:rsidRDefault="00363680" w:rsidP="002D38D9">
            <w:pPr>
              <w:jc w:val="both"/>
              <w:rPr>
                <w:rFonts w:cstheme="minorHAnsi"/>
                <w:sz w:val="24"/>
                <w:szCs w:val="24"/>
              </w:rPr>
            </w:pPr>
            <w:r w:rsidRPr="00DD27A3">
              <w:rPr>
                <w:rFonts w:cstheme="minorHAnsi"/>
                <w:sz w:val="24"/>
                <w:szCs w:val="24"/>
              </w:rPr>
              <w:t>Relevant</w:t>
            </w:r>
          </w:p>
        </w:tc>
      </w:tr>
      <w:tr w:rsidR="002D40F4" w:rsidRPr="0042468A" w14:paraId="3AF43626" w14:textId="77777777" w:rsidTr="002D40F4">
        <w:trPr>
          <w:trHeight w:val="620"/>
        </w:trPr>
        <w:tc>
          <w:tcPr>
            <w:tcW w:w="3681" w:type="dxa"/>
            <w:shd w:val="clear" w:color="auto" w:fill="BFBFBF" w:themeFill="background1" w:themeFillShade="BF"/>
            <w:vAlign w:val="center"/>
          </w:tcPr>
          <w:p w14:paraId="5C9C37B0" w14:textId="77777777" w:rsidR="002D40F4" w:rsidRPr="00DD27A3" w:rsidRDefault="002D40F4" w:rsidP="00BA3ADF">
            <w:pPr>
              <w:jc w:val="center"/>
              <w:rPr>
                <w:rFonts w:cstheme="minorHAnsi"/>
                <w:b/>
                <w:sz w:val="24"/>
                <w:szCs w:val="24"/>
              </w:rPr>
            </w:pPr>
            <w:r>
              <w:rPr>
                <w:rFonts w:cstheme="minorHAnsi"/>
                <w:b/>
                <w:sz w:val="24"/>
                <w:szCs w:val="24"/>
              </w:rPr>
              <w:t xml:space="preserve">Comments by </w:t>
            </w:r>
            <w:r w:rsidRPr="00DD27A3">
              <w:rPr>
                <w:rFonts w:cstheme="minorHAnsi"/>
                <w:b/>
                <w:sz w:val="24"/>
                <w:szCs w:val="24"/>
              </w:rPr>
              <w:t>S</w:t>
            </w:r>
            <w:r>
              <w:rPr>
                <w:rFonts w:cstheme="minorHAnsi"/>
                <w:b/>
                <w:sz w:val="24"/>
                <w:szCs w:val="24"/>
              </w:rPr>
              <w:t>weden</w:t>
            </w:r>
          </w:p>
        </w:tc>
        <w:tc>
          <w:tcPr>
            <w:tcW w:w="2551" w:type="dxa"/>
            <w:shd w:val="clear" w:color="auto" w:fill="BFBFBF" w:themeFill="background1" w:themeFillShade="BF"/>
            <w:vAlign w:val="center"/>
          </w:tcPr>
          <w:p w14:paraId="7011378C" w14:textId="77777777" w:rsidR="002D40F4" w:rsidRPr="00DD27A3" w:rsidRDefault="002D40F4" w:rsidP="00BA3ADF">
            <w:pPr>
              <w:jc w:val="center"/>
              <w:rPr>
                <w:rFonts w:cstheme="minorHAnsi"/>
                <w:b/>
                <w:sz w:val="24"/>
                <w:szCs w:val="24"/>
              </w:rPr>
            </w:pPr>
            <w:r>
              <w:rPr>
                <w:rFonts w:cstheme="minorHAnsi"/>
                <w:b/>
                <w:sz w:val="24"/>
                <w:szCs w:val="24"/>
              </w:rPr>
              <w:t>Changes to the CPD</w:t>
            </w:r>
          </w:p>
        </w:tc>
        <w:tc>
          <w:tcPr>
            <w:tcW w:w="6521" w:type="dxa"/>
            <w:shd w:val="clear" w:color="auto" w:fill="BFBFBF" w:themeFill="background1" w:themeFillShade="BF"/>
            <w:vAlign w:val="center"/>
          </w:tcPr>
          <w:p w14:paraId="5F8CE32E" w14:textId="77777777" w:rsidR="002D40F4" w:rsidRPr="00DD27A3" w:rsidRDefault="002D40F4" w:rsidP="00BA3ADF">
            <w:pPr>
              <w:jc w:val="center"/>
              <w:rPr>
                <w:rFonts w:cstheme="minorHAnsi"/>
                <w:b/>
                <w:sz w:val="24"/>
                <w:szCs w:val="24"/>
              </w:rPr>
            </w:pPr>
            <w:r>
              <w:rPr>
                <w:rFonts w:cstheme="minorHAnsi"/>
                <w:b/>
                <w:sz w:val="24"/>
                <w:szCs w:val="24"/>
              </w:rPr>
              <w:t>Country Office response</w:t>
            </w:r>
          </w:p>
        </w:tc>
      </w:tr>
      <w:tr w:rsidR="008C5FA1" w:rsidRPr="0042468A" w14:paraId="43947940" w14:textId="77777777" w:rsidTr="00AC78C5">
        <w:tc>
          <w:tcPr>
            <w:tcW w:w="3681" w:type="dxa"/>
            <w:vAlign w:val="center"/>
          </w:tcPr>
          <w:p w14:paraId="79A5E09C" w14:textId="77777777" w:rsidR="008C5FA1" w:rsidRPr="00DD27A3" w:rsidRDefault="008C5FA1" w:rsidP="008C5FA1">
            <w:pPr>
              <w:jc w:val="both"/>
              <w:rPr>
                <w:rFonts w:cstheme="minorHAnsi"/>
                <w:sz w:val="24"/>
                <w:szCs w:val="24"/>
              </w:rPr>
            </w:pPr>
            <w:r w:rsidRPr="009C294C">
              <w:rPr>
                <w:rFonts w:cstheme="minorHAnsi"/>
                <w:sz w:val="24"/>
                <w:szCs w:val="24"/>
              </w:rPr>
              <w:t>Sweden welcomes UNDP’s intention to work more strategically with SDGs, policy dialogue and different types of partnerships. In Mali UNDP has managed a diverse project portfolio which should be consolidated to underpin a more transformative strategy for support to the implementation of Agenda 2030 in Mali.</w:t>
            </w:r>
          </w:p>
        </w:tc>
        <w:tc>
          <w:tcPr>
            <w:tcW w:w="2551" w:type="dxa"/>
          </w:tcPr>
          <w:p w14:paraId="6BA6B2C9" w14:textId="77777777" w:rsidR="008C5FA1" w:rsidRPr="00DD27A3" w:rsidRDefault="008C5FA1" w:rsidP="008C5FA1">
            <w:pPr>
              <w:rPr>
                <w:rFonts w:cstheme="minorHAnsi"/>
                <w:sz w:val="24"/>
                <w:szCs w:val="24"/>
              </w:rPr>
            </w:pPr>
            <w:r w:rsidRPr="00DD27A3">
              <w:rPr>
                <w:rFonts w:cstheme="minorHAnsi"/>
                <w:sz w:val="24"/>
                <w:szCs w:val="24"/>
              </w:rPr>
              <w:t>None</w:t>
            </w:r>
          </w:p>
        </w:tc>
        <w:tc>
          <w:tcPr>
            <w:tcW w:w="6521" w:type="dxa"/>
          </w:tcPr>
          <w:p w14:paraId="7525BB6F" w14:textId="77777777" w:rsidR="008C5FA1" w:rsidRPr="00DD27A3" w:rsidRDefault="006F0F39" w:rsidP="002D38D9">
            <w:pPr>
              <w:jc w:val="both"/>
              <w:rPr>
                <w:rFonts w:cstheme="minorHAnsi"/>
                <w:sz w:val="24"/>
                <w:szCs w:val="24"/>
              </w:rPr>
            </w:pPr>
            <w:r>
              <w:rPr>
                <w:rFonts w:cstheme="minorHAnsi"/>
                <w:sz w:val="24"/>
                <w:szCs w:val="24"/>
              </w:rPr>
              <w:t>Paragraph</w:t>
            </w:r>
            <w:r w:rsidR="00363680" w:rsidRPr="00DD27A3">
              <w:rPr>
                <w:rFonts w:cstheme="minorHAnsi"/>
                <w:sz w:val="24"/>
                <w:szCs w:val="24"/>
              </w:rPr>
              <w:t xml:space="preserve"> 10 recalls that the new programme builds on lessons learned and recommendations from the various evaluations: (a) dispersal and fragmentation of the programme; (b) weak synergies in the implementation; (c) lack of control of the underlying causes of conflicts, (d) lack of a sustainability-based approach; (e) etc</w:t>
            </w:r>
            <w:r w:rsidR="00FA12AD" w:rsidRPr="00DD27A3">
              <w:rPr>
                <w:rFonts w:cstheme="minorHAnsi"/>
                <w:sz w:val="24"/>
                <w:szCs w:val="24"/>
              </w:rPr>
              <w:t>.</w:t>
            </w:r>
          </w:p>
        </w:tc>
      </w:tr>
      <w:tr w:rsidR="008C5FA1" w:rsidRPr="0042468A" w14:paraId="4F482B8F" w14:textId="77777777" w:rsidTr="00AC78C5">
        <w:tc>
          <w:tcPr>
            <w:tcW w:w="3681" w:type="dxa"/>
            <w:vAlign w:val="center"/>
          </w:tcPr>
          <w:p w14:paraId="31FC63B1" w14:textId="77777777" w:rsidR="008C5FA1" w:rsidRPr="00DD27A3" w:rsidRDefault="008C5FA1" w:rsidP="008C5FA1">
            <w:pPr>
              <w:jc w:val="both"/>
              <w:rPr>
                <w:rFonts w:cstheme="minorHAnsi"/>
                <w:sz w:val="24"/>
                <w:szCs w:val="24"/>
              </w:rPr>
            </w:pPr>
            <w:r w:rsidRPr="009C294C">
              <w:rPr>
                <w:rFonts w:cstheme="minorHAnsi"/>
                <w:sz w:val="24"/>
                <w:szCs w:val="24"/>
              </w:rPr>
              <w:t xml:space="preserve">The CPD could be strengthened in relation to implementation strategies incl. on how UNDP is planning to work with a diverse set of platforms and stimulate collaboration. </w:t>
            </w:r>
            <w:r w:rsidRPr="00DD27A3">
              <w:rPr>
                <w:rFonts w:cstheme="minorHAnsi"/>
                <w:sz w:val="24"/>
                <w:szCs w:val="24"/>
              </w:rPr>
              <w:t xml:space="preserve">The document could also be more explicit on how UNDP intends to develop its coordinating </w:t>
            </w:r>
            <w:r w:rsidRPr="00DD27A3">
              <w:rPr>
                <w:rFonts w:cstheme="minorHAnsi"/>
                <w:sz w:val="24"/>
                <w:szCs w:val="24"/>
              </w:rPr>
              <w:lastRenderedPageBreak/>
              <w:t xml:space="preserve">role incl. for thematic donor groups and what resources incl. human resources that will be allocated for this important work. </w:t>
            </w:r>
          </w:p>
        </w:tc>
        <w:tc>
          <w:tcPr>
            <w:tcW w:w="2551" w:type="dxa"/>
          </w:tcPr>
          <w:p w14:paraId="3A89562B" w14:textId="77777777" w:rsidR="008C5FA1" w:rsidRPr="00DD27A3" w:rsidRDefault="008C5FA1" w:rsidP="008C5FA1">
            <w:pPr>
              <w:rPr>
                <w:rFonts w:cstheme="minorHAnsi"/>
                <w:sz w:val="24"/>
                <w:szCs w:val="24"/>
              </w:rPr>
            </w:pPr>
            <w:r w:rsidRPr="00DD27A3">
              <w:rPr>
                <w:rFonts w:cstheme="minorHAnsi"/>
                <w:sz w:val="24"/>
                <w:szCs w:val="24"/>
              </w:rPr>
              <w:lastRenderedPageBreak/>
              <w:t>None</w:t>
            </w:r>
          </w:p>
        </w:tc>
        <w:tc>
          <w:tcPr>
            <w:tcW w:w="6521" w:type="dxa"/>
          </w:tcPr>
          <w:p w14:paraId="41BB736E" w14:textId="77777777" w:rsidR="008C5FA1" w:rsidRPr="00DD27A3" w:rsidRDefault="001038CF" w:rsidP="002D38D9">
            <w:pPr>
              <w:jc w:val="both"/>
              <w:rPr>
                <w:rFonts w:cstheme="minorHAnsi"/>
                <w:sz w:val="24"/>
                <w:szCs w:val="24"/>
              </w:rPr>
            </w:pPr>
            <w:r w:rsidRPr="00DD27A3">
              <w:rPr>
                <w:rFonts w:cstheme="minorHAnsi"/>
                <w:sz w:val="24"/>
                <w:szCs w:val="24"/>
              </w:rPr>
              <w:t>With the new UN Reforms, UNDP has no more coordinating role but, rather an Integrator Role played by settling Country Platforms to deliver integrated solutions and address multifaced development challenges</w:t>
            </w:r>
          </w:p>
        </w:tc>
      </w:tr>
      <w:tr w:rsidR="008C5FA1" w:rsidRPr="0042468A" w14:paraId="2FB008C1" w14:textId="77777777" w:rsidTr="00AC78C5">
        <w:tc>
          <w:tcPr>
            <w:tcW w:w="3681" w:type="dxa"/>
            <w:vAlign w:val="center"/>
          </w:tcPr>
          <w:p w14:paraId="1EBBFCAB" w14:textId="77777777" w:rsidR="008C5FA1" w:rsidRPr="00DD27A3" w:rsidRDefault="008C5FA1" w:rsidP="008C5FA1">
            <w:pPr>
              <w:tabs>
                <w:tab w:val="left" w:pos="142"/>
              </w:tabs>
              <w:jc w:val="both"/>
              <w:rPr>
                <w:rFonts w:cstheme="minorHAnsi"/>
                <w:sz w:val="24"/>
                <w:szCs w:val="24"/>
              </w:rPr>
            </w:pPr>
            <w:r w:rsidRPr="009C294C">
              <w:rPr>
                <w:rFonts w:cstheme="minorHAnsi"/>
                <w:sz w:val="24"/>
                <w:szCs w:val="24"/>
              </w:rPr>
              <w:t>On page 5 of the CPD, UNDP refers to “siloed projects in different regions”. In this context it would also be relevant to raise the need to increase the coordination and collaboration within the UN-family in Mali, as well as coordinatio</w:t>
            </w:r>
            <w:r w:rsidRPr="00DD27A3">
              <w:rPr>
                <w:rFonts w:cstheme="minorHAnsi"/>
                <w:sz w:val="24"/>
                <w:szCs w:val="24"/>
              </w:rPr>
              <w:t>n within thematic areas of programming and geographical division of labour.</w:t>
            </w:r>
          </w:p>
        </w:tc>
        <w:tc>
          <w:tcPr>
            <w:tcW w:w="2551" w:type="dxa"/>
          </w:tcPr>
          <w:p w14:paraId="2CD8FF4B" w14:textId="77777777" w:rsidR="008C5FA1" w:rsidRPr="00DD27A3" w:rsidRDefault="001038CF" w:rsidP="008C5FA1">
            <w:pPr>
              <w:rPr>
                <w:rFonts w:cstheme="minorHAnsi"/>
                <w:sz w:val="24"/>
                <w:szCs w:val="24"/>
              </w:rPr>
            </w:pPr>
            <w:r w:rsidRPr="00DD27A3">
              <w:rPr>
                <w:rFonts w:cstheme="minorHAnsi"/>
                <w:sz w:val="24"/>
                <w:szCs w:val="24"/>
              </w:rPr>
              <w:t>None</w:t>
            </w:r>
          </w:p>
        </w:tc>
        <w:tc>
          <w:tcPr>
            <w:tcW w:w="6521" w:type="dxa"/>
          </w:tcPr>
          <w:p w14:paraId="1BC6AB8D" w14:textId="77777777" w:rsidR="008C5FA1" w:rsidRPr="00DD27A3" w:rsidRDefault="001038CF" w:rsidP="002D38D9">
            <w:pPr>
              <w:jc w:val="both"/>
              <w:rPr>
                <w:rFonts w:cstheme="minorHAnsi"/>
                <w:sz w:val="24"/>
                <w:szCs w:val="24"/>
              </w:rPr>
            </w:pPr>
            <w:r w:rsidRPr="00DD27A3">
              <w:rPr>
                <w:rFonts w:cstheme="minorHAnsi"/>
                <w:sz w:val="24"/>
                <w:szCs w:val="24"/>
              </w:rPr>
              <w:t>Noted</w:t>
            </w:r>
          </w:p>
        </w:tc>
      </w:tr>
      <w:tr w:rsidR="008C5FA1" w:rsidRPr="0042468A" w14:paraId="3873AF86" w14:textId="77777777" w:rsidTr="00AC78C5">
        <w:tc>
          <w:tcPr>
            <w:tcW w:w="3681" w:type="dxa"/>
            <w:vAlign w:val="center"/>
          </w:tcPr>
          <w:p w14:paraId="0F4CA75D" w14:textId="77777777" w:rsidR="008C5FA1" w:rsidRPr="00DD27A3" w:rsidRDefault="008C5FA1" w:rsidP="008C5FA1">
            <w:pPr>
              <w:tabs>
                <w:tab w:val="left" w:pos="6521"/>
              </w:tabs>
              <w:jc w:val="both"/>
              <w:rPr>
                <w:rFonts w:cstheme="minorHAnsi"/>
                <w:sz w:val="24"/>
                <w:szCs w:val="24"/>
              </w:rPr>
            </w:pPr>
            <w:r w:rsidRPr="009C294C">
              <w:rPr>
                <w:rFonts w:cstheme="minorHAnsi"/>
                <w:sz w:val="24"/>
                <w:szCs w:val="24"/>
              </w:rPr>
              <w:t xml:space="preserve">Sweden welcomes that UNDP plans to cooperate with the </w:t>
            </w:r>
            <w:r w:rsidRPr="009C294C">
              <w:rPr>
                <w:rStyle w:val="CommentReference"/>
                <w:rFonts w:cstheme="minorHAnsi"/>
                <w:sz w:val="24"/>
                <w:szCs w:val="24"/>
                <w:lang w:val="en" w:eastAsia="fr-FR"/>
              </w:rPr>
              <w:t>National Statistics Institute (</w:t>
            </w:r>
            <w:r w:rsidRPr="00DD27A3">
              <w:rPr>
                <w:rFonts w:cstheme="minorHAnsi"/>
                <w:sz w:val="24"/>
                <w:szCs w:val="24"/>
              </w:rPr>
              <w:t>INSTAT) as Sweden is one of its largest donors. UNDP’s participation in the donor coordination mechanism is also welcomed as coordinated support to the implementation of the INSTAT Statistics Roadmap (Schéma directeur de la statistique) is crucial.</w:t>
            </w:r>
          </w:p>
        </w:tc>
        <w:tc>
          <w:tcPr>
            <w:tcW w:w="2551" w:type="dxa"/>
          </w:tcPr>
          <w:p w14:paraId="0ABD46B2" w14:textId="77777777" w:rsidR="008C5FA1" w:rsidRPr="00DD27A3" w:rsidRDefault="008C5FA1" w:rsidP="008C5FA1">
            <w:pPr>
              <w:rPr>
                <w:rFonts w:cstheme="minorHAnsi"/>
                <w:sz w:val="24"/>
                <w:szCs w:val="24"/>
              </w:rPr>
            </w:pPr>
            <w:r w:rsidRPr="00DD27A3">
              <w:rPr>
                <w:rFonts w:cstheme="minorHAnsi"/>
                <w:sz w:val="24"/>
                <w:szCs w:val="24"/>
              </w:rPr>
              <w:t>None</w:t>
            </w:r>
          </w:p>
        </w:tc>
        <w:tc>
          <w:tcPr>
            <w:tcW w:w="6521" w:type="dxa"/>
          </w:tcPr>
          <w:p w14:paraId="1A4DDF14" w14:textId="77777777" w:rsidR="008C5FA1" w:rsidRPr="00DD27A3" w:rsidRDefault="008C5FA1" w:rsidP="002D38D9">
            <w:pPr>
              <w:jc w:val="both"/>
              <w:rPr>
                <w:rFonts w:cstheme="minorHAnsi"/>
                <w:sz w:val="24"/>
                <w:szCs w:val="24"/>
              </w:rPr>
            </w:pPr>
            <w:r w:rsidRPr="00DD27A3">
              <w:rPr>
                <w:rFonts w:cstheme="minorHAnsi"/>
                <w:sz w:val="24"/>
                <w:szCs w:val="24"/>
              </w:rPr>
              <w:t>Noted</w:t>
            </w:r>
          </w:p>
        </w:tc>
      </w:tr>
      <w:tr w:rsidR="002D40F4" w:rsidRPr="0042468A" w14:paraId="496C0EAA" w14:textId="77777777" w:rsidTr="00CC021C">
        <w:trPr>
          <w:trHeight w:val="593"/>
        </w:trPr>
        <w:tc>
          <w:tcPr>
            <w:tcW w:w="3681" w:type="dxa"/>
            <w:shd w:val="clear" w:color="auto" w:fill="BFBFBF" w:themeFill="background1" w:themeFillShade="BF"/>
            <w:vAlign w:val="center"/>
          </w:tcPr>
          <w:p w14:paraId="799E9E39" w14:textId="77777777" w:rsidR="002D40F4" w:rsidRPr="001F2623" w:rsidRDefault="002D40F4" w:rsidP="00BA3ADF">
            <w:pPr>
              <w:jc w:val="center"/>
              <w:rPr>
                <w:rFonts w:cstheme="minorHAnsi"/>
                <w:b/>
                <w:sz w:val="24"/>
                <w:szCs w:val="24"/>
              </w:rPr>
            </w:pPr>
            <w:r>
              <w:rPr>
                <w:rFonts w:cstheme="minorHAnsi"/>
                <w:b/>
                <w:sz w:val="24"/>
                <w:szCs w:val="24"/>
              </w:rPr>
              <w:t xml:space="preserve">Comments by </w:t>
            </w:r>
            <w:r w:rsidRPr="001F2623">
              <w:rPr>
                <w:rFonts w:cstheme="minorHAnsi"/>
                <w:b/>
                <w:sz w:val="24"/>
                <w:szCs w:val="24"/>
              </w:rPr>
              <w:t>F</w:t>
            </w:r>
            <w:r>
              <w:rPr>
                <w:rFonts w:cstheme="minorHAnsi"/>
                <w:b/>
                <w:sz w:val="24"/>
                <w:szCs w:val="24"/>
              </w:rPr>
              <w:t>rance</w:t>
            </w:r>
          </w:p>
        </w:tc>
        <w:tc>
          <w:tcPr>
            <w:tcW w:w="2551" w:type="dxa"/>
            <w:shd w:val="clear" w:color="auto" w:fill="BFBFBF" w:themeFill="background1" w:themeFillShade="BF"/>
            <w:vAlign w:val="center"/>
          </w:tcPr>
          <w:p w14:paraId="5528F0D5" w14:textId="77777777" w:rsidR="002D40F4" w:rsidRPr="001F2623" w:rsidRDefault="002D40F4" w:rsidP="00BA3ADF">
            <w:pPr>
              <w:jc w:val="center"/>
              <w:rPr>
                <w:rFonts w:cstheme="minorHAnsi"/>
                <w:b/>
                <w:sz w:val="24"/>
                <w:szCs w:val="24"/>
              </w:rPr>
            </w:pPr>
            <w:r>
              <w:rPr>
                <w:rFonts w:cstheme="minorHAnsi"/>
                <w:b/>
                <w:sz w:val="24"/>
                <w:szCs w:val="24"/>
              </w:rPr>
              <w:t>Changes to the CPD</w:t>
            </w:r>
          </w:p>
        </w:tc>
        <w:tc>
          <w:tcPr>
            <w:tcW w:w="6521" w:type="dxa"/>
            <w:shd w:val="clear" w:color="auto" w:fill="BFBFBF" w:themeFill="background1" w:themeFillShade="BF"/>
            <w:vAlign w:val="center"/>
          </w:tcPr>
          <w:p w14:paraId="1EAC0C99" w14:textId="77777777" w:rsidR="002D40F4" w:rsidRPr="001F2623" w:rsidRDefault="002D40F4" w:rsidP="00BA3ADF">
            <w:pPr>
              <w:jc w:val="center"/>
              <w:rPr>
                <w:rFonts w:cstheme="minorHAnsi"/>
                <w:b/>
                <w:sz w:val="24"/>
                <w:szCs w:val="24"/>
              </w:rPr>
            </w:pPr>
            <w:r>
              <w:rPr>
                <w:rFonts w:cstheme="minorHAnsi"/>
                <w:b/>
                <w:sz w:val="24"/>
                <w:szCs w:val="24"/>
              </w:rPr>
              <w:t>Country Office response</w:t>
            </w:r>
          </w:p>
        </w:tc>
      </w:tr>
      <w:tr w:rsidR="001F2623" w:rsidRPr="0042468A" w14:paraId="1EC5DAFC" w14:textId="77777777" w:rsidTr="00AC78C5">
        <w:tc>
          <w:tcPr>
            <w:tcW w:w="3681" w:type="dxa"/>
            <w:vAlign w:val="center"/>
          </w:tcPr>
          <w:p w14:paraId="7848377A" w14:textId="77777777" w:rsidR="001F2623" w:rsidRPr="009C294C" w:rsidRDefault="001F2623" w:rsidP="001F2623">
            <w:pPr>
              <w:tabs>
                <w:tab w:val="left" w:pos="6521"/>
              </w:tabs>
              <w:jc w:val="both"/>
              <w:rPr>
                <w:rFonts w:cstheme="minorHAnsi"/>
                <w:sz w:val="24"/>
                <w:szCs w:val="24"/>
              </w:rPr>
            </w:pPr>
            <w:r w:rsidRPr="00081E74">
              <w:rPr>
                <w:rFonts w:cs="Times New Roman"/>
                <w:sz w:val="24"/>
                <w:szCs w:val="24"/>
              </w:rPr>
              <w:t>The draft CPD identifies three priorities:</w:t>
            </w:r>
            <w:r w:rsidRPr="00081E74">
              <w:t xml:space="preserve"> 1. </w:t>
            </w:r>
            <w:r w:rsidRPr="00081E74">
              <w:rPr>
                <w:rFonts w:cs="Times New Roman"/>
                <w:sz w:val="24"/>
                <w:szCs w:val="24"/>
              </w:rPr>
              <w:t xml:space="preserve">effective and accountable governance for a peaceful, fair and inclusive society; 2. inclusive growth, resilience and environmental sustainability; and 3. </w:t>
            </w:r>
            <w:r w:rsidRPr="00081E74">
              <w:rPr>
                <w:rFonts w:cs="Times New Roman"/>
                <w:sz w:val="24"/>
                <w:szCs w:val="24"/>
              </w:rPr>
              <w:lastRenderedPageBreak/>
              <w:t>basic social services and social protection. Each of these priorities is relevant to the Malian context</w:t>
            </w:r>
            <w:r>
              <w:rPr>
                <w:rFonts w:cs="Times New Roman"/>
                <w:sz w:val="24"/>
                <w:szCs w:val="24"/>
              </w:rPr>
              <w:t>. Regarding the 1</w:t>
            </w:r>
            <w:r w:rsidRPr="00B148EA">
              <w:rPr>
                <w:rFonts w:cs="Times New Roman"/>
                <w:sz w:val="24"/>
                <w:szCs w:val="24"/>
                <w:vertAlign w:val="superscript"/>
              </w:rPr>
              <w:t>st</w:t>
            </w:r>
            <w:r>
              <w:rPr>
                <w:rFonts w:cs="Times New Roman"/>
                <w:sz w:val="24"/>
                <w:szCs w:val="24"/>
              </w:rPr>
              <w:t xml:space="preserve"> priority, the UNDP has indeed a key role to play given its expertise, and as the leader of governance division of the Sahel Alliance.</w:t>
            </w:r>
          </w:p>
        </w:tc>
        <w:tc>
          <w:tcPr>
            <w:tcW w:w="2551" w:type="dxa"/>
          </w:tcPr>
          <w:p w14:paraId="05854D31" w14:textId="77777777" w:rsidR="001F2623" w:rsidRPr="00DD27A3" w:rsidRDefault="009B4C99" w:rsidP="001F2623">
            <w:pPr>
              <w:rPr>
                <w:rFonts w:cstheme="minorHAnsi"/>
                <w:sz w:val="24"/>
                <w:szCs w:val="24"/>
              </w:rPr>
            </w:pPr>
            <w:r>
              <w:rPr>
                <w:rFonts w:cstheme="minorHAnsi"/>
                <w:sz w:val="24"/>
                <w:szCs w:val="24"/>
              </w:rPr>
              <w:lastRenderedPageBreak/>
              <w:t xml:space="preserve">None </w:t>
            </w:r>
          </w:p>
        </w:tc>
        <w:tc>
          <w:tcPr>
            <w:tcW w:w="6521" w:type="dxa"/>
          </w:tcPr>
          <w:p w14:paraId="65EF0CAB" w14:textId="77777777" w:rsidR="001F2623" w:rsidRPr="00DD27A3" w:rsidRDefault="009B4C99" w:rsidP="002D38D9">
            <w:pPr>
              <w:jc w:val="both"/>
              <w:rPr>
                <w:rFonts w:cstheme="minorHAnsi"/>
                <w:sz w:val="24"/>
                <w:szCs w:val="24"/>
              </w:rPr>
            </w:pPr>
            <w:r>
              <w:rPr>
                <w:rFonts w:cstheme="minorHAnsi"/>
                <w:sz w:val="24"/>
                <w:szCs w:val="24"/>
              </w:rPr>
              <w:t>Noted</w:t>
            </w:r>
          </w:p>
        </w:tc>
      </w:tr>
      <w:tr w:rsidR="001F2623" w:rsidRPr="0042468A" w14:paraId="799B347A" w14:textId="77777777" w:rsidTr="00AC78C5">
        <w:tc>
          <w:tcPr>
            <w:tcW w:w="3681" w:type="dxa"/>
            <w:vAlign w:val="center"/>
          </w:tcPr>
          <w:p w14:paraId="276EA760" w14:textId="77777777" w:rsidR="001F2623" w:rsidRPr="009C294C" w:rsidRDefault="001F2623" w:rsidP="001F2623">
            <w:pPr>
              <w:tabs>
                <w:tab w:val="left" w:pos="6521"/>
              </w:tabs>
              <w:jc w:val="both"/>
              <w:rPr>
                <w:rFonts w:cstheme="minorHAnsi"/>
                <w:sz w:val="24"/>
                <w:szCs w:val="24"/>
              </w:rPr>
            </w:pPr>
            <w:r>
              <w:rPr>
                <w:rFonts w:cs="Times New Roman"/>
                <w:sz w:val="24"/>
                <w:szCs w:val="24"/>
              </w:rPr>
              <w:t xml:space="preserve">(item 11) We welcome the fact that the different UN frameworks of action in Mali are taken into account, as well as the willingness to increase the coherence of the country program with the UNSDCF. We also welcome the reference to the 2030 Agenda and the Paris Agreement, and the importance given to strengthening </w:t>
            </w:r>
            <w:r w:rsidR="009B4C99">
              <w:rPr>
                <w:rFonts w:cs="Times New Roman"/>
                <w:sz w:val="24"/>
                <w:szCs w:val="24"/>
              </w:rPr>
              <w:t>stabilization</w:t>
            </w:r>
            <w:r>
              <w:rPr>
                <w:rFonts w:cs="Times New Roman"/>
                <w:sz w:val="24"/>
                <w:szCs w:val="24"/>
              </w:rPr>
              <w:t xml:space="preserve"> and the humanitarian-development nexus. </w:t>
            </w:r>
          </w:p>
        </w:tc>
        <w:tc>
          <w:tcPr>
            <w:tcW w:w="2551" w:type="dxa"/>
          </w:tcPr>
          <w:p w14:paraId="5B17DFB2" w14:textId="77777777" w:rsidR="009B4C99" w:rsidRDefault="009B4C99" w:rsidP="001F2623">
            <w:pPr>
              <w:rPr>
                <w:rFonts w:cstheme="minorHAnsi"/>
                <w:sz w:val="24"/>
                <w:szCs w:val="24"/>
              </w:rPr>
            </w:pPr>
            <w:r>
              <w:rPr>
                <w:rFonts w:cstheme="minorHAnsi"/>
                <w:sz w:val="24"/>
                <w:szCs w:val="24"/>
              </w:rPr>
              <w:t xml:space="preserve">None </w:t>
            </w:r>
          </w:p>
          <w:p w14:paraId="3DED96FE" w14:textId="77777777" w:rsidR="009B4C99" w:rsidRPr="00DD27A3" w:rsidRDefault="009B4C99" w:rsidP="001F2623">
            <w:pPr>
              <w:rPr>
                <w:rFonts w:cstheme="minorHAnsi"/>
                <w:sz w:val="24"/>
                <w:szCs w:val="24"/>
              </w:rPr>
            </w:pPr>
          </w:p>
        </w:tc>
        <w:tc>
          <w:tcPr>
            <w:tcW w:w="6521" w:type="dxa"/>
          </w:tcPr>
          <w:p w14:paraId="5EC65441" w14:textId="77777777" w:rsidR="001F2623" w:rsidRPr="00DD27A3" w:rsidRDefault="009B4C99" w:rsidP="002D38D9">
            <w:pPr>
              <w:jc w:val="both"/>
              <w:rPr>
                <w:rFonts w:cstheme="minorHAnsi"/>
                <w:sz w:val="24"/>
                <w:szCs w:val="24"/>
              </w:rPr>
            </w:pPr>
            <w:r>
              <w:rPr>
                <w:rFonts w:cstheme="minorHAnsi"/>
                <w:sz w:val="24"/>
                <w:szCs w:val="24"/>
              </w:rPr>
              <w:t xml:space="preserve">Noted </w:t>
            </w:r>
          </w:p>
        </w:tc>
      </w:tr>
      <w:tr w:rsidR="001F2623" w:rsidRPr="0042468A" w14:paraId="26D8A46B" w14:textId="77777777" w:rsidTr="00AC78C5">
        <w:tc>
          <w:tcPr>
            <w:tcW w:w="3681" w:type="dxa"/>
          </w:tcPr>
          <w:p w14:paraId="5239179E" w14:textId="77777777" w:rsidR="001F2623" w:rsidRPr="009C294C" w:rsidRDefault="001F2623" w:rsidP="008A001E">
            <w:pPr>
              <w:tabs>
                <w:tab w:val="left" w:pos="6521"/>
              </w:tabs>
              <w:rPr>
                <w:rFonts w:cstheme="minorHAnsi"/>
                <w:sz w:val="24"/>
                <w:szCs w:val="24"/>
              </w:rPr>
            </w:pPr>
            <w:r w:rsidRPr="00081E74">
              <w:rPr>
                <w:rFonts w:cs="Times New Roman"/>
                <w:sz w:val="24"/>
                <w:szCs w:val="24"/>
              </w:rPr>
              <w:t>The ambition is as high as it was under the current country program; howeve</w:t>
            </w:r>
            <w:r>
              <w:rPr>
                <w:rFonts w:cs="Times New Roman"/>
                <w:sz w:val="24"/>
                <w:szCs w:val="24"/>
              </w:rPr>
              <w:t xml:space="preserve">r, the means of action to reach the numerous objectives are not clearly described. </w:t>
            </w:r>
          </w:p>
        </w:tc>
        <w:tc>
          <w:tcPr>
            <w:tcW w:w="2551" w:type="dxa"/>
          </w:tcPr>
          <w:p w14:paraId="734BE66E" w14:textId="77777777" w:rsidR="001F2623" w:rsidRPr="00DD27A3" w:rsidRDefault="009B4C99" w:rsidP="008A001E">
            <w:pPr>
              <w:rPr>
                <w:rFonts w:cstheme="minorHAnsi"/>
                <w:sz w:val="24"/>
                <w:szCs w:val="24"/>
              </w:rPr>
            </w:pPr>
            <w:r>
              <w:rPr>
                <w:rFonts w:cstheme="minorHAnsi"/>
                <w:sz w:val="24"/>
                <w:szCs w:val="24"/>
              </w:rPr>
              <w:t xml:space="preserve">None </w:t>
            </w:r>
          </w:p>
        </w:tc>
        <w:tc>
          <w:tcPr>
            <w:tcW w:w="6521" w:type="dxa"/>
          </w:tcPr>
          <w:p w14:paraId="41D40897" w14:textId="77777777" w:rsidR="00095D02" w:rsidRDefault="00095D02" w:rsidP="002D38D9">
            <w:pPr>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 xml:space="preserve">The new Programme emphasis how UNDP will broaden its partnership network within each pillar: </w:t>
            </w:r>
          </w:p>
          <w:p w14:paraId="7E5A61CB" w14:textId="77777777" w:rsidR="00095D02" w:rsidRDefault="00095D02" w:rsidP="002D38D9">
            <w:pPr>
              <w:jc w:val="both"/>
              <w:rPr>
                <w:rFonts w:ascii="Times New Roman" w:eastAsia="Times New Roman" w:hAnsi="Times New Roman" w:cs="Times New Roman"/>
                <w:sz w:val="24"/>
                <w:szCs w:val="24"/>
                <w:lang w:val="en" w:eastAsia="fr-FR"/>
              </w:rPr>
            </w:pPr>
          </w:p>
          <w:p w14:paraId="6C6699E3" w14:textId="77777777" w:rsidR="009B4C99" w:rsidRDefault="00095D02" w:rsidP="002D38D9">
            <w:pPr>
              <w:jc w:val="both"/>
              <w:rPr>
                <w:rFonts w:ascii="Times New Roman" w:eastAsia="Times New Roman" w:hAnsi="Times New Roman" w:cs="Times New Roman"/>
                <w:sz w:val="24"/>
                <w:szCs w:val="24"/>
                <w:lang w:val="en" w:eastAsia="fr-FR"/>
              </w:rPr>
            </w:pPr>
            <w:r w:rsidRPr="00095D02">
              <w:rPr>
                <w:rFonts w:ascii="Times New Roman" w:eastAsia="Times New Roman" w:hAnsi="Times New Roman" w:cs="Times New Roman"/>
                <w:i/>
                <w:sz w:val="24"/>
                <w:szCs w:val="24"/>
                <w:lang w:val="en" w:eastAsia="fr-FR"/>
              </w:rPr>
              <w:t>Pillar 1:</w:t>
            </w:r>
            <w:r>
              <w:rPr>
                <w:rFonts w:ascii="Times New Roman" w:eastAsia="Times New Roman" w:hAnsi="Times New Roman" w:cs="Times New Roman"/>
                <w:sz w:val="24"/>
                <w:szCs w:val="24"/>
                <w:lang w:val="en" w:eastAsia="fr-FR"/>
              </w:rPr>
              <w:t xml:space="preserve"> P</w:t>
            </w:r>
            <w:r w:rsidR="009B4C99" w:rsidRPr="009B4C99">
              <w:rPr>
                <w:rFonts w:ascii="Times New Roman" w:eastAsia="Times New Roman" w:hAnsi="Times New Roman" w:cs="Times New Roman"/>
                <w:sz w:val="24"/>
                <w:szCs w:val="24"/>
                <w:lang w:val="en" w:eastAsia="fr-FR"/>
              </w:rPr>
              <w:t>artnership with key national institutions and international partners such as the Governments of Germany, Japan, Luxembourg, the Netherlands, Norway and Sweden</w:t>
            </w:r>
            <w:r>
              <w:rPr>
                <w:rFonts w:ascii="Times New Roman" w:eastAsia="Times New Roman" w:hAnsi="Times New Roman" w:cs="Times New Roman"/>
                <w:sz w:val="24"/>
                <w:szCs w:val="24"/>
                <w:lang w:val="en" w:eastAsia="fr-FR"/>
              </w:rPr>
              <w:t xml:space="preserve">, as well as </w:t>
            </w:r>
            <w:r w:rsidR="009B4C99" w:rsidRPr="009B4C99">
              <w:rPr>
                <w:rFonts w:ascii="Times New Roman" w:eastAsia="Times New Roman" w:hAnsi="Times New Roman" w:cs="Times New Roman"/>
                <w:sz w:val="24"/>
                <w:szCs w:val="24"/>
                <w:lang w:val="en" w:eastAsia="fr-FR"/>
              </w:rPr>
              <w:t>the Global Focal Point for the Rule of Law</w:t>
            </w:r>
            <w:r>
              <w:rPr>
                <w:rFonts w:ascii="Times New Roman" w:eastAsia="Times New Roman" w:hAnsi="Times New Roman" w:cs="Times New Roman"/>
                <w:sz w:val="24"/>
                <w:szCs w:val="24"/>
                <w:lang w:val="en" w:eastAsia="fr-FR"/>
              </w:rPr>
              <w:t>.</w:t>
            </w:r>
          </w:p>
          <w:p w14:paraId="372A7E18" w14:textId="77777777" w:rsidR="008A001E" w:rsidRDefault="008A001E" w:rsidP="002D38D9">
            <w:pPr>
              <w:jc w:val="both"/>
              <w:rPr>
                <w:rFonts w:ascii="Times New Roman" w:eastAsia="Times New Roman" w:hAnsi="Times New Roman" w:cs="Times New Roman"/>
                <w:sz w:val="24"/>
                <w:szCs w:val="24"/>
                <w:lang w:val="en" w:eastAsia="fr-FR"/>
              </w:rPr>
            </w:pPr>
          </w:p>
          <w:p w14:paraId="74343675" w14:textId="77777777" w:rsidR="008A001E" w:rsidRDefault="00095D02" w:rsidP="002D38D9">
            <w:pPr>
              <w:jc w:val="both"/>
              <w:rPr>
                <w:rFonts w:ascii="Times New Roman" w:eastAsia="Times New Roman" w:hAnsi="Times New Roman" w:cs="Times New Roman"/>
                <w:sz w:val="24"/>
                <w:szCs w:val="24"/>
                <w:lang w:val="en" w:eastAsia="fr-FR"/>
              </w:rPr>
            </w:pPr>
            <w:r w:rsidRPr="00095D02">
              <w:rPr>
                <w:rFonts w:ascii="Times New Roman" w:eastAsia="Times New Roman" w:hAnsi="Times New Roman" w:cs="Times New Roman"/>
                <w:i/>
                <w:sz w:val="24"/>
                <w:szCs w:val="24"/>
                <w:lang w:val="en" w:eastAsia="fr-FR"/>
              </w:rPr>
              <w:t>Pillar 2:</w:t>
            </w:r>
            <w:r>
              <w:rPr>
                <w:rFonts w:ascii="Times New Roman" w:eastAsia="Times New Roman" w:hAnsi="Times New Roman" w:cs="Times New Roman"/>
                <w:sz w:val="24"/>
                <w:szCs w:val="24"/>
                <w:lang w:val="en" w:eastAsia="fr-FR"/>
              </w:rPr>
              <w:t xml:space="preserve"> </w:t>
            </w:r>
            <w:r w:rsidR="008A001E" w:rsidRPr="008A001E">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S</w:t>
            </w:r>
            <w:r w:rsidR="008A001E" w:rsidRPr="008A001E">
              <w:rPr>
                <w:rFonts w:ascii="Times New Roman" w:eastAsia="Times New Roman" w:hAnsi="Times New Roman" w:cs="Times New Roman"/>
                <w:sz w:val="24"/>
                <w:szCs w:val="24"/>
                <w:lang w:val="en" w:eastAsia="fr-FR"/>
              </w:rPr>
              <w:t xml:space="preserve">trengthen incentives for mobilizing and redirecting private sector investment in the renewable energy and climate-smart agriculture sectors, de-risking investment and financing the </w:t>
            </w:r>
            <w:r>
              <w:rPr>
                <w:rFonts w:ascii="Times New Roman" w:eastAsia="Times New Roman" w:hAnsi="Times New Roman" w:cs="Times New Roman"/>
                <w:sz w:val="24"/>
                <w:szCs w:val="24"/>
                <w:lang w:val="en" w:eastAsia="fr-FR"/>
              </w:rPr>
              <w:t xml:space="preserve">SDGs </w:t>
            </w:r>
            <w:r w:rsidR="008A001E" w:rsidRPr="008A001E">
              <w:rPr>
                <w:rFonts w:ascii="Times New Roman" w:eastAsia="Times New Roman" w:hAnsi="Times New Roman" w:cs="Times New Roman"/>
                <w:sz w:val="24"/>
                <w:szCs w:val="24"/>
                <w:lang w:val="en" w:eastAsia="fr-FR"/>
              </w:rPr>
              <w:t>in general.</w:t>
            </w:r>
          </w:p>
          <w:p w14:paraId="121A1B3F" w14:textId="77777777" w:rsidR="00095D02" w:rsidRDefault="00095D02" w:rsidP="002D38D9">
            <w:pPr>
              <w:jc w:val="both"/>
              <w:rPr>
                <w:rFonts w:ascii="Times New Roman" w:eastAsia="Times New Roman" w:hAnsi="Times New Roman" w:cs="Times New Roman"/>
                <w:sz w:val="24"/>
                <w:szCs w:val="24"/>
                <w:lang w:val="en" w:eastAsia="fr-FR"/>
              </w:rPr>
            </w:pPr>
          </w:p>
          <w:p w14:paraId="0E93F35E" w14:textId="77777777" w:rsidR="008A001E" w:rsidRDefault="00095D02" w:rsidP="002D38D9">
            <w:pPr>
              <w:jc w:val="both"/>
              <w:rPr>
                <w:rFonts w:ascii="Times New Roman" w:eastAsia="Times New Roman" w:hAnsi="Times New Roman" w:cs="Times New Roman"/>
                <w:sz w:val="24"/>
                <w:szCs w:val="24"/>
                <w:lang w:val="en" w:eastAsia="fr-FR"/>
              </w:rPr>
            </w:pPr>
            <w:r w:rsidRPr="00095D02">
              <w:rPr>
                <w:rFonts w:ascii="Times New Roman" w:eastAsia="Times New Roman" w:hAnsi="Times New Roman" w:cs="Times New Roman"/>
                <w:i/>
                <w:sz w:val="24"/>
                <w:szCs w:val="24"/>
                <w:lang w:val="en" w:eastAsia="fr-FR"/>
              </w:rPr>
              <w:lastRenderedPageBreak/>
              <w:t>Pillar 3:</w:t>
            </w:r>
            <w:r>
              <w:rPr>
                <w:rFonts w:ascii="Times New Roman" w:eastAsia="Times New Roman" w:hAnsi="Times New Roman" w:cs="Times New Roman"/>
                <w:sz w:val="24"/>
                <w:szCs w:val="24"/>
                <w:lang w:val="en" w:eastAsia="fr-FR"/>
              </w:rPr>
              <w:t xml:space="preserve"> </w:t>
            </w:r>
            <w:r w:rsidR="008A001E" w:rsidRPr="008A001E">
              <w:rPr>
                <w:rFonts w:ascii="Times New Roman" w:eastAsia="Times New Roman" w:hAnsi="Times New Roman" w:cs="Times New Roman"/>
                <w:sz w:val="24"/>
                <w:szCs w:val="24"/>
                <w:lang w:val="en" w:eastAsia="fr-FR"/>
              </w:rPr>
              <w:t>Collaboration with technical and financial partners and with bilateral partners on sustainable development will be continued</w:t>
            </w:r>
            <w:r>
              <w:rPr>
                <w:rFonts w:ascii="Times New Roman" w:eastAsia="Times New Roman" w:hAnsi="Times New Roman" w:cs="Times New Roman"/>
                <w:sz w:val="24"/>
                <w:szCs w:val="24"/>
                <w:lang w:val="en" w:eastAsia="fr-FR"/>
              </w:rPr>
              <w:t>.</w:t>
            </w:r>
          </w:p>
          <w:p w14:paraId="5CEC0875" w14:textId="77777777" w:rsidR="00095D02" w:rsidRDefault="00095D02" w:rsidP="002D38D9">
            <w:pPr>
              <w:jc w:val="both"/>
              <w:rPr>
                <w:rFonts w:cstheme="minorHAnsi"/>
                <w:sz w:val="24"/>
                <w:szCs w:val="24"/>
              </w:rPr>
            </w:pPr>
          </w:p>
          <w:p w14:paraId="660D49E4" w14:textId="77777777" w:rsidR="00095D02" w:rsidRPr="008A001E" w:rsidRDefault="00095D02" w:rsidP="002D38D9">
            <w:pPr>
              <w:jc w:val="both"/>
              <w:rPr>
                <w:rFonts w:cstheme="minorHAnsi"/>
                <w:sz w:val="24"/>
                <w:szCs w:val="24"/>
              </w:rPr>
            </w:pPr>
            <w:r>
              <w:rPr>
                <w:rFonts w:cstheme="minorHAnsi"/>
                <w:sz w:val="24"/>
                <w:szCs w:val="24"/>
              </w:rPr>
              <w:t>This approach will boost the resource mobilization capacity and require new competences in the CO.</w:t>
            </w:r>
          </w:p>
        </w:tc>
      </w:tr>
      <w:tr w:rsidR="001F2623" w:rsidRPr="0042468A" w14:paraId="47ACD709" w14:textId="77777777" w:rsidTr="00AC78C5">
        <w:tc>
          <w:tcPr>
            <w:tcW w:w="3681" w:type="dxa"/>
            <w:vAlign w:val="center"/>
          </w:tcPr>
          <w:p w14:paraId="6028689F" w14:textId="77777777" w:rsidR="001F2623" w:rsidRPr="009C294C" w:rsidRDefault="001F2623" w:rsidP="001F2623">
            <w:pPr>
              <w:tabs>
                <w:tab w:val="left" w:pos="6521"/>
              </w:tabs>
              <w:jc w:val="both"/>
              <w:rPr>
                <w:rFonts w:cstheme="minorHAnsi"/>
                <w:sz w:val="24"/>
                <w:szCs w:val="24"/>
              </w:rPr>
            </w:pPr>
            <w:r>
              <w:rPr>
                <w:rFonts w:cs="Times New Roman"/>
                <w:sz w:val="24"/>
                <w:szCs w:val="24"/>
              </w:rPr>
              <w:lastRenderedPageBreak/>
              <w:t xml:space="preserve">(item 21) The reinforcement of the </w:t>
            </w:r>
            <w:r w:rsidRPr="00A1126A">
              <w:rPr>
                <w:rFonts w:cs="Times New Roman"/>
                <w:sz w:val="24"/>
                <w:szCs w:val="24"/>
              </w:rPr>
              <w:t>National Statistics Institute</w:t>
            </w:r>
            <w:r>
              <w:rPr>
                <w:rFonts w:cs="Times New Roman"/>
                <w:sz w:val="24"/>
                <w:szCs w:val="24"/>
              </w:rPr>
              <w:t xml:space="preserve"> (INSTAT) capacities, which we deem important, shall be carried out in coordination with AFRISTAT, the international organization that coordinates the actions of the national statistic institutes in the region whose </w:t>
            </w:r>
            <w:r w:rsidRPr="00A1126A">
              <w:rPr>
                <w:rFonts w:cs="Times New Roman"/>
                <w:sz w:val="24"/>
                <w:szCs w:val="24"/>
              </w:rPr>
              <w:t xml:space="preserve">headquarters </w:t>
            </w:r>
            <w:r>
              <w:rPr>
                <w:rFonts w:cs="Times New Roman"/>
                <w:sz w:val="24"/>
                <w:szCs w:val="24"/>
              </w:rPr>
              <w:t>is in Bamako.</w:t>
            </w:r>
          </w:p>
        </w:tc>
        <w:tc>
          <w:tcPr>
            <w:tcW w:w="2551" w:type="dxa"/>
          </w:tcPr>
          <w:p w14:paraId="09428E1B" w14:textId="77777777" w:rsidR="001F2623" w:rsidRPr="00DD27A3" w:rsidRDefault="00095D02" w:rsidP="001F2623">
            <w:pPr>
              <w:rPr>
                <w:rFonts w:cstheme="minorHAnsi"/>
                <w:sz w:val="24"/>
                <w:szCs w:val="24"/>
              </w:rPr>
            </w:pPr>
            <w:r>
              <w:rPr>
                <w:rFonts w:cstheme="minorHAnsi"/>
                <w:sz w:val="24"/>
                <w:szCs w:val="24"/>
              </w:rPr>
              <w:t xml:space="preserve">None </w:t>
            </w:r>
          </w:p>
        </w:tc>
        <w:tc>
          <w:tcPr>
            <w:tcW w:w="6521" w:type="dxa"/>
          </w:tcPr>
          <w:p w14:paraId="59525C54" w14:textId="77777777" w:rsidR="001F2623" w:rsidRPr="00DD27A3" w:rsidRDefault="00095D02" w:rsidP="002D38D9">
            <w:pPr>
              <w:jc w:val="both"/>
              <w:rPr>
                <w:rFonts w:cstheme="minorHAnsi"/>
                <w:sz w:val="24"/>
                <w:szCs w:val="24"/>
              </w:rPr>
            </w:pPr>
            <w:r>
              <w:rPr>
                <w:rFonts w:cstheme="minorHAnsi"/>
                <w:sz w:val="24"/>
                <w:szCs w:val="24"/>
              </w:rPr>
              <w:t xml:space="preserve">Noted </w:t>
            </w:r>
          </w:p>
        </w:tc>
      </w:tr>
      <w:tr w:rsidR="001F2623" w:rsidRPr="0042468A" w14:paraId="1B6116CB" w14:textId="77777777" w:rsidTr="00AC78C5">
        <w:tc>
          <w:tcPr>
            <w:tcW w:w="3681" w:type="dxa"/>
            <w:vAlign w:val="center"/>
          </w:tcPr>
          <w:p w14:paraId="4CC249EA" w14:textId="77777777" w:rsidR="001F2623" w:rsidRPr="009C294C" w:rsidRDefault="001F2623" w:rsidP="001F2623">
            <w:pPr>
              <w:tabs>
                <w:tab w:val="left" w:pos="6521"/>
              </w:tabs>
              <w:jc w:val="both"/>
              <w:rPr>
                <w:rFonts w:cstheme="minorHAnsi"/>
                <w:sz w:val="24"/>
                <w:szCs w:val="24"/>
              </w:rPr>
            </w:pPr>
            <w:r w:rsidRPr="002D555E">
              <w:rPr>
                <w:rFonts w:cs="Times New Roman"/>
                <w:sz w:val="24"/>
                <w:szCs w:val="24"/>
              </w:rPr>
              <w:t xml:space="preserve">(item 34) With regard to the </w:t>
            </w:r>
            <w:r>
              <w:rPr>
                <w:rFonts w:cs="Times New Roman"/>
                <w:sz w:val="24"/>
                <w:szCs w:val="24"/>
              </w:rPr>
              <w:t>m</w:t>
            </w:r>
            <w:r w:rsidRPr="002D555E">
              <w:rPr>
                <w:rFonts w:cs="Times New Roman"/>
                <w:sz w:val="24"/>
                <w:szCs w:val="24"/>
              </w:rPr>
              <w:t>onitoring and evaluation</w:t>
            </w:r>
            <w:r>
              <w:rPr>
                <w:rFonts w:cs="Times New Roman"/>
                <w:sz w:val="24"/>
                <w:szCs w:val="24"/>
              </w:rPr>
              <w:t xml:space="preserve"> section, it is important to align the result indicators with the</w:t>
            </w:r>
            <w:r w:rsidR="00095D02">
              <w:rPr>
                <w:rFonts w:cs="Times New Roman"/>
                <w:sz w:val="24"/>
                <w:szCs w:val="24"/>
              </w:rPr>
              <w:t xml:space="preserve"> </w:t>
            </w:r>
            <w:r>
              <w:rPr>
                <w:rFonts w:cs="Times New Roman"/>
                <w:sz w:val="24"/>
                <w:szCs w:val="24"/>
              </w:rPr>
              <w:t>accountability template of the Sahel Alliance</w:t>
            </w:r>
          </w:p>
        </w:tc>
        <w:tc>
          <w:tcPr>
            <w:tcW w:w="2551" w:type="dxa"/>
          </w:tcPr>
          <w:p w14:paraId="549A6116" w14:textId="77777777" w:rsidR="001F2623" w:rsidRPr="00DD27A3" w:rsidRDefault="00662B6F" w:rsidP="001F2623">
            <w:pPr>
              <w:rPr>
                <w:rFonts w:cstheme="minorHAnsi"/>
                <w:sz w:val="24"/>
                <w:szCs w:val="24"/>
              </w:rPr>
            </w:pPr>
            <w:r>
              <w:rPr>
                <w:rFonts w:cstheme="minorHAnsi"/>
                <w:sz w:val="24"/>
                <w:szCs w:val="24"/>
              </w:rPr>
              <w:t>Sahel Alliance action plan is added to data sources (Data source column; output 1 &amp; 3)</w:t>
            </w:r>
          </w:p>
        </w:tc>
        <w:tc>
          <w:tcPr>
            <w:tcW w:w="6521" w:type="dxa"/>
          </w:tcPr>
          <w:p w14:paraId="418B62FB" w14:textId="77777777" w:rsidR="001F2623" w:rsidRPr="00DD27A3" w:rsidRDefault="00662B6F" w:rsidP="002D38D9">
            <w:pPr>
              <w:jc w:val="both"/>
              <w:rPr>
                <w:rFonts w:cstheme="minorHAnsi"/>
                <w:sz w:val="24"/>
                <w:szCs w:val="24"/>
              </w:rPr>
            </w:pPr>
            <w:r>
              <w:rPr>
                <w:rFonts w:cstheme="minorHAnsi"/>
                <w:sz w:val="24"/>
                <w:szCs w:val="24"/>
              </w:rPr>
              <w:t xml:space="preserve">Relevant </w:t>
            </w:r>
          </w:p>
        </w:tc>
      </w:tr>
      <w:tr w:rsidR="001F2623" w:rsidRPr="0042468A" w14:paraId="3A9325D3" w14:textId="77777777" w:rsidTr="00AC78C5">
        <w:tc>
          <w:tcPr>
            <w:tcW w:w="3681" w:type="dxa"/>
          </w:tcPr>
          <w:p w14:paraId="76B43AE4" w14:textId="77777777" w:rsidR="001F2623" w:rsidRPr="009C294C" w:rsidRDefault="001F2623" w:rsidP="001F2623">
            <w:pPr>
              <w:tabs>
                <w:tab w:val="left" w:pos="6521"/>
              </w:tabs>
              <w:jc w:val="both"/>
              <w:rPr>
                <w:rFonts w:cstheme="minorHAnsi"/>
                <w:sz w:val="24"/>
                <w:szCs w:val="24"/>
              </w:rPr>
            </w:pPr>
            <w:r>
              <w:rPr>
                <w:rFonts w:cs="Times New Roman"/>
                <w:sz w:val="24"/>
                <w:szCs w:val="24"/>
              </w:rPr>
              <w:t xml:space="preserve">(item 35) We welcome the support given to </w:t>
            </w:r>
            <w:r w:rsidRPr="007911B0">
              <w:rPr>
                <w:rFonts w:cs="Times New Roman"/>
                <w:sz w:val="24"/>
                <w:szCs w:val="24"/>
              </w:rPr>
              <w:t>disaggregated data</w:t>
            </w:r>
            <w:r>
              <w:rPr>
                <w:rFonts w:cs="Times New Roman"/>
                <w:sz w:val="24"/>
                <w:szCs w:val="24"/>
              </w:rPr>
              <w:t>, although this should be prioritized and extended to the SDG and result indicators besides the companies’ data.</w:t>
            </w:r>
          </w:p>
        </w:tc>
        <w:tc>
          <w:tcPr>
            <w:tcW w:w="2551" w:type="dxa"/>
          </w:tcPr>
          <w:p w14:paraId="7B44322A" w14:textId="77777777" w:rsidR="001F2623" w:rsidRPr="00DD27A3" w:rsidRDefault="00662B6F" w:rsidP="001F2623">
            <w:pPr>
              <w:rPr>
                <w:rFonts w:cstheme="minorHAnsi"/>
                <w:sz w:val="24"/>
                <w:szCs w:val="24"/>
              </w:rPr>
            </w:pPr>
            <w:r>
              <w:rPr>
                <w:rFonts w:cstheme="minorHAnsi"/>
                <w:sz w:val="24"/>
                <w:szCs w:val="24"/>
              </w:rPr>
              <w:t xml:space="preserve">Data </w:t>
            </w:r>
          </w:p>
        </w:tc>
        <w:tc>
          <w:tcPr>
            <w:tcW w:w="6521" w:type="dxa"/>
          </w:tcPr>
          <w:p w14:paraId="0245607C" w14:textId="77777777" w:rsidR="001F2623" w:rsidRPr="00DD27A3" w:rsidRDefault="00662B6F" w:rsidP="002D38D9">
            <w:pPr>
              <w:jc w:val="both"/>
              <w:rPr>
                <w:rFonts w:cstheme="minorHAnsi"/>
                <w:sz w:val="24"/>
                <w:szCs w:val="24"/>
              </w:rPr>
            </w:pPr>
            <w:r>
              <w:rPr>
                <w:rFonts w:cstheme="minorHAnsi"/>
                <w:sz w:val="24"/>
                <w:szCs w:val="24"/>
              </w:rPr>
              <w:t>All indicators are formulated in the spirit of the SDGs’ indicators</w:t>
            </w:r>
          </w:p>
        </w:tc>
      </w:tr>
      <w:tr w:rsidR="001F2623" w:rsidRPr="0042468A" w14:paraId="0EF1C573" w14:textId="77777777" w:rsidTr="00AC78C5">
        <w:tc>
          <w:tcPr>
            <w:tcW w:w="3681" w:type="dxa"/>
          </w:tcPr>
          <w:p w14:paraId="5B59013F" w14:textId="6F616EDB" w:rsidR="00C80EFE" w:rsidRPr="002F7452" w:rsidRDefault="001F2623" w:rsidP="001F2623">
            <w:pPr>
              <w:tabs>
                <w:tab w:val="left" w:pos="6521"/>
              </w:tabs>
              <w:jc w:val="both"/>
              <w:rPr>
                <w:rFonts w:cs="Times New Roman"/>
                <w:sz w:val="24"/>
                <w:szCs w:val="24"/>
              </w:rPr>
            </w:pPr>
            <w:r>
              <w:rPr>
                <w:rFonts w:cs="Times New Roman"/>
                <w:sz w:val="24"/>
                <w:szCs w:val="24"/>
              </w:rPr>
              <w:t xml:space="preserve">(item 30) In accordance with the </w:t>
            </w:r>
            <w:r w:rsidRPr="00C715B3">
              <w:rPr>
                <w:rFonts w:cs="Times New Roman"/>
                <w:sz w:val="24"/>
                <w:szCs w:val="24"/>
              </w:rPr>
              <w:t>BAPA+40</w:t>
            </w:r>
            <w:r>
              <w:rPr>
                <w:rFonts w:cs="Times New Roman"/>
                <w:sz w:val="24"/>
                <w:szCs w:val="24"/>
              </w:rPr>
              <w:t xml:space="preserve"> conference, accountability and transparency requirements for the </w:t>
            </w:r>
            <w:r w:rsidR="00973271">
              <w:rPr>
                <w:rFonts w:cs="Times New Roman"/>
                <w:sz w:val="24"/>
                <w:szCs w:val="24"/>
              </w:rPr>
              <w:t>S</w:t>
            </w:r>
            <w:r>
              <w:rPr>
                <w:rFonts w:cs="Times New Roman"/>
                <w:sz w:val="24"/>
                <w:szCs w:val="24"/>
              </w:rPr>
              <w:t>outh-</w:t>
            </w:r>
            <w:r w:rsidR="00973271">
              <w:rPr>
                <w:rFonts w:cs="Times New Roman"/>
                <w:sz w:val="24"/>
                <w:szCs w:val="24"/>
              </w:rPr>
              <w:t>S</w:t>
            </w:r>
            <w:r>
              <w:rPr>
                <w:rFonts w:cs="Times New Roman"/>
                <w:sz w:val="24"/>
                <w:szCs w:val="24"/>
              </w:rPr>
              <w:t xml:space="preserve">outh and triangular cooperations is being </w:t>
            </w:r>
            <w:r>
              <w:rPr>
                <w:rFonts w:cs="Times New Roman"/>
                <w:sz w:val="24"/>
                <w:szCs w:val="24"/>
              </w:rPr>
              <w:lastRenderedPageBreak/>
              <w:t xml:space="preserve">established, as well as the necessity to collect quality data on the financings provided, including via the official development assistance  declarations to the OECD, and within the context of the new instrument for development finance TOSSD. We therefore would like to ask the UNDP how it plans to declare its data on the </w:t>
            </w:r>
            <w:r w:rsidR="00973271">
              <w:rPr>
                <w:rFonts w:cs="Times New Roman"/>
                <w:sz w:val="24"/>
                <w:szCs w:val="24"/>
              </w:rPr>
              <w:t>S</w:t>
            </w:r>
            <w:r>
              <w:rPr>
                <w:rFonts w:cs="Times New Roman"/>
                <w:sz w:val="24"/>
                <w:szCs w:val="24"/>
              </w:rPr>
              <w:t>outh-</w:t>
            </w:r>
            <w:r w:rsidR="00973271">
              <w:rPr>
                <w:rFonts w:cs="Times New Roman"/>
                <w:sz w:val="24"/>
                <w:szCs w:val="24"/>
              </w:rPr>
              <w:t>S</w:t>
            </w:r>
            <w:r>
              <w:rPr>
                <w:rFonts w:cs="Times New Roman"/>
                <w:sz w:val="24"/>
                <w:szCs w:val="24"/>
              </w:rPr>
              <w:t>outh and triangular cooperations in Mali.</w:t>
            </w:r>
          </w:p>
        </w:tc>
        <w:tc>
          <w:tcPr>
            <w:tcW w:w="2551" w:type="dxa"/>
          </w:tcPr>
          <w:p w14:paraId="0091A6AE" w14:textId="77777777" w:rsidR="001F2623" w:rsidRPr="00DD27A3" w:rsidRDefault="00662B6F" w:rsidP="001F2623">
            <w:pPr>
              <w:rPr>
                <w:rFonts w:cstheme="minorHAnsi"/>
                <w:sz w:val="24"/>
                <w:szCs w:val="24"/>
              </w:rPr>
            </w:pPr>
            <w:r>
              <w:rPr>
                <w:rFonts w:cstheme="minorHAnsi"/>
                <w:sz w:val="24"/>
                <w:szCs w:val="24"/>
              </w:rPr>
              <w:lastRenderedPageBreak/>
              <w:t xml:space="preserve">None </w:t>
            </w:r>
          </w:p>
        </w:tc>
        <w:tc>
          <w:tcPr>
            <w:tcW w:w="6521" w:type="dxa"/>
          </w:tcPr>
          <w:p w14:paraId="6EB41E0D" w14:textId="2A408014" w:rsidR="001F2623" w:rsidRPr="00DD27A3" w:rsidRDefault="00662B6F" w:rsidP="002D38D9">
            <w:pPr>
              <w:jc w:val="both"/>
              <w:rPr>
                <w:rFonts w:cstheme="minorHAnsi"/>
                <w:sz w:val="24"/>
                <w:szCs w:val="24"/>
              </w:rPr>
            </w:pPr>
            <w:r>
              <w:rPr>
                <w:rFonts w:cstheme="minorHAnsi"/>
                <w:sz w:val="24"/>
                <w:szCs w:val="24"/>
              </w:rPr>
              <w:t>UNDP reports cooperation data through the Mid</w:t>
            </w:r>
            <w:r w:rsidR="002D38D9">
              <w:rPr>
                <w:rFonts w:cstheme="minorHAnsi"/>
                <w:sz w:val="24"/>
                <w:szCs w:val="24"/>
              </w:rPr>
              <w:t>-t</w:t>
            </w:r>
            <w:r>
              <w:rPr>
                <w:rFonts w:cstheme="minorHAnsi"/>
                <w:sz w:val="24"/>
                <w:szCs w:val="24"/>
              </w:rPr>
              <w:t>erm Resources Framework and Mali</w:t>
            </w:r>
            <w:r w:rsidR="007E62B9">
              <w:rPr>
                <w:rFonts w:cstheme="minorHAnsi"/>
                <w:sz w:val="24"/>
                <w:szCs w:val="24"/>
              </w:rPr>
              <w:t>-</w:t>
            </w:r>
            <w:r>
              <w:rPr>
                <w:rFonts w:cstheme="minorHAnsi"/>
                <w:sz w:val="24"/>
                <w:szCs w:val="24"/>
              </w:rPr>
              <w:t>Aid website. However, it takes note of this relevant remark and will initiate collaboration with OECD</w:t>
            </w:r>
            <w:r>
              <w:rPr>
                <w:rFonts w:cs="Times New Roman"/>
                <w:sz w:val="24"/>
                <w:szCs w:val="24"/>
              </w:rPr>
              <w:t xml:space="preserve"> for reporting specifically on the south-south and triangular cooperation in Mali</w:t>
            </w:r>
          </w:p>
        </w:tc>
      </w:tr>
      <w:tr w:rsidR="00CC021C" w:rsidRPr="0042468A" w14:paraId="12481C21" w14:textId="77777777" w:rsidTr="00CC021C">
        <w:trPr>
          <w:trHeight w:val="620"/>
        </w:trPr>
        <w:tc>
          <w:tcPr>
            <w:tcW w:w="3681" w:type="dxa"/>
            <w:shd w:val="clear" w:color="auto" w:fill="BFBFBF" w:themeFill="background1" w:themeFillShade="BF"/>
            <w:vAlign w:val="center"/>
          </w:tcPr>
          <w:p w14:paraId="2C456019" w14:textId="77777777" w:rsidR="00CC021C" w:rsidRPr="001F2623" w:rsidRDefault="00CC021C" w:rsidP="00BA3ADF">
            <w:pPr>
              <w:jc w:val="center"/>
              <w:rPr>
                <w:rFonts w:cstheme="minorHAnsi"/>
                <w:b/>
                <w:sz w:val="24"/>
                <w:szCs w:val="24"/>
              </w:rPr>
            </w:pPr>
            <w:r>
              <w:rPr>
                <w:rFonts w:cstheme="minorHAnsi"/>
                <w:b/>
                <w:sz w:val="24"/>
                <w:szCs w:val="24"/>
              </w:rPr>
              <w:t xml:space="preserve">Comments by the </w:t>
            </w:r>
            <w:r w:rsidRPr="001F2623">
              <w:rPr>
                <w:rFonts w:cstheme="minorHAnsi"/>
                <w:b/>
                <w:sz w:val="24"/>
                <w:szCs w:val="24"/>
              </w:rPr>
              <w:t>UK</w:t>
            </w:r>
          </w:p>
        </w:tc>
        <w:tc>
          <w:tcPr>
            <w:tcW w:w="2551" w:type="dxa"/>
            <w:shd w:val="clear" w:color="auto" w:fill="BFBFBF" w:themeFill="background1" w:themeFillShade="BF"/>
            <w:vAlign w:val="center"/>
          </w:tcPr>
          <w:p w14:paraId="7C84673C" w14:textId="77777777" w:rsidR="00CC021C" w:rsidRPr="001F2623" w:rsidRDefault="00CC021C" w:rsidP="00BA3ADF">
            <w:pPr>
              <w:jc w:val="center"/>
              <w:rPr>
                <w:rFonts w:cstheme="minorHAnsi"/>
                <w:b/>
                <w:sz w:val="24"/>
                <w:szCs w:val="24"/>
              </w:rPr>
            </w:pPr>
            <w:r>
              <w:rPr>
                <w:rFonts w:cstheme="minorHAnsi"/>
                <w:b/>
                <w:sz w:val="24"/>
                <w:szCs w:val="24"/>
              </w:rPr>
              <w:t>Changes to the CPD</w:t>
            </w:r>
          </w:p>
        </w:tc>
        <w:tc>
          <w:tcPr>
            <w:tcW w:w="6521" w:type="dxa"/>
            <w:shd w:val="clear" w:color="auto" w:fill="BFBFBF" w:themeFill="background1" w:themeFillShade="BF"/>
            <w:vAlign w:val="center"/>
          </w:tcPr>
          <w:p w14:paraId="7E7965EC" w14:textId="77777777" w:rsidR="00CC021C" w:rsidRPr="001F2623" w:rsidRDefault="00CC021C" w:rsidP="00BA3ADF">
            <w:pPr>
              <w:jc w:val="center"/>
              <w:rPr>
                <w:rFonts w:cstheme="minorHAnsi"/>
                <w:b/>
                <w:sz w:val="24"/>
                <w:szCs w:val="24"/>
              </w:rPr>
            </w:pPr>
            <w:r>
              <w:rPr>
                <w:rFonts w:cstheme="minorHAnsi"/>
                <w:b/>
                <w:sz w:val="24"/>
                <w:szCs w:val="24"/>
              </w:rPr>
              <w:t>Country Office response</w:t>
            </w:r>
          </w:p>
        </w:tc>
      </w:tr>
      <w:tr w:rsidR="001F2623" w:rsidRPr="0042468A" w14:paraId="05AA21BC" w14:textId="77777777" w:rsidTr="00AC78C5">
        <w:tc>
          <w:tcPr>
            <w:tcW w:w="3681" w:type="dxa"/>
            <w:vAlign w:val="center"/>
          </w:tcPr>
          <w:p w14:paraId="64D74890" w14:textId="77777777" w:rsidR="001F2623" w:rsidRPr="00D11A30" w:rsidRDefault="001F2623" w:rsidP="001F2623">
            <w:pPr>
              <w:tabs>
                <w:tab w:val="left" w:pos="6521"/>
              </w:tabs>
              <w:jc w:val="both"/>
              <w:rPr>
                <w:rFonts w:ascii="Times New Roman" w:hAnsi="Times New Roman" w:cs="Times New Roman"/>
                <w:sz w:val="24"/>
                <w:szCs w:val="24"/>
              </w:rPr>
            </w:pPr>
            <w:r w:rsidRPr="00D11A30">
              <w:rPr>
                <w:rFonts w:ascii="Times New Roman" w:hAnsi="Times New Roman" w:cs="Times New Roman"/>
                <w:color w:val="000000" w:themeColor="text1"/>
                <w:sz w:val="24"/>
                <w:szCs w:val="24"/>
              </w:rPr>
              <w:t>Whilst UK colleagues have had discussions on priorities with the new UNDP Country Director and with the Deputy Resident Representative, they were not aware of a formal process of consultation on the CPD itself.</w:t>
            </w:r>
          </w:p>
        </w:tc>
        <w:tc>
          <w:tcPr>
            <w:tcW w:w="2551" w:type="dxa"/>
          </w:tcPr>
          <w:p w14:paraId="320796AD" w14:textId="77777777" w:rsidR="001F2623" w:rsidRPr="00DD27A3" w:rsidRDefault="00D11A30" w:rsidP="001F2623">
            <w:pPr>
              <w:rPr>
                <w:rFonts w:cstheme="minorHAnsi"/>
                <w:sz w:val="24"/>
                <w:szCs w:val="24"/>
              </w:rPr>
            </w:pPr>
            <w:r>
              <w:rPr>
                <w:rFonts w:cstheme="minorHAnsi"/>
                <w:sz w:val="24"/>
                <w:szCs w:val="24"/>
              </w:rPr>
              <w:t xml:space="preserve">None </w:t>
            </w:r>
          </w:p>
        </w:tc>
        <w:tc>
          <w:tcPr>
            <w:tcW w:w="6521" w:type="dxa"/>
          </w:tcPr>
          <w:p w14:paraId="682C46EF" w14:textId="07E6BA94" w:rsidR="001F2623" w:rsidRPr="00DD27A3" w:rsidRDefault="00D11A30" w:rsidP="002D38D9">
            <w:pPr>
              <w:jc w:val="both"/>
              <w:rPr>
                <w:rFonts w:cstheme="minorHAnsi"/>
                <w:sz w:val="24"/>
                <w:szCs w:val="24"/>
              </w:rPr>
            </w:pPr>
            <w:r>
              <w:rPr>
                <w:rFonts w:cstheme="minorHAnsi"/>
                <w:sz w:val="24"/>
                <w:szCs w:val="24"/>
              </w:rPr>
              <w:t>Indeed, many rounds of bilateral consultations were undertaken between UNDP and donors, including UK. But the global consultation was jointly organized with ExCom UN Agencies (UNDP, UNICEF, WFP, UNFPA, UN</w:t>
            </w:r>
            <w:r w:rsidR="00973271">
              <w:rPr>
                <w:rFonts w:cstheme="minorHAnsi"/>
                <w:sz w:val="24"/>
                <w:szCs w:val="24"/>
              </w:rPr>
              <w:t>-</w:t>
            </w:r>
            <w:r>
              <w:rPr>
                <w:rFonts w:cstheme="minorHAnsi"/>
                <w:sz w:val="24"/>
                <w:szCs w:val="24"/>
              </w:rPr>
              <w:t>Women) under the leadership of the Ministry of Foreign Affairs</w:t>
            </w:r>
          </w:p>
        </w:tc>
      </w:tr>
      <w:tr w:rsidR="001F2623" w:rsidRPr="0042468A" w14:paraId="2C6A62E1" w14:textId="77777777" w:rsidTr="00AC78C5">
        <w:tc>
          <w:tcPr>
            <w:tcW w:w="3681" w:type="dxa"/>
            <w:vAlign w:val="center"/>
          </w:tcPr>
          <w:p w14:paraId="6ADCD3C7" w14:textId="77777777" w:rsidR="001F2623" w:rsidRPr="00D11A30" w:rsidRDefault="001F2623" w:rsidP="001F2623">
            <w:pPr>
              <w:tabs>
                <w:tab w:val="left" w:pos="6521"/>
              </w:tabs>
              <w:jc w:val="both"/>
              <w:rPr>
                <w:rFonts w:ascii="Times New Roman" w:hAnsi="Times New Roman" w:cs="Times New Roman"/>
                <w:sz w:val="24"/>
                <w:szCs w:val="24"/>
              </w:rPr>
            </w:pPr>
            <w:r w:rsidRPr="00D11A30">
              <w:rPr>
                <w:rFonts w:ascii="Times New Roman" w:hAnsi="Times New Roman" w:cs="Times New Roman"/>
                <w:color w:val="000000" w:themeColor="text1"/>
                <w:sz w:val="24"/>
                <w:szCs w:val="24"/>
              </w:rPr>
              <w:t xml:space="preserve">We welcome the three main areas of priority identified in the document – governance, inclusive growth and climate resilience/sustainability – and a focus on a discrete number of activities.   We particularly welcome the focus on justice – a real gap and urgent need in Mali, and where UNDP are well-placed to work. </w:t>
            </w:r>
          </w:p>
        </w:tc>
        <w:tc>
          <w:tcPr>
            <w:tcW w:w="2551" w:type="dxa"/>
          </w:tcPr>
          <w:p w14:paraId="34B5791F" w14:textId="77777777" w:rsidR="001F2623" w:rsidRPr="00DD27A3" w:rsidRDefault="00D11A30" w:rsidP="001F2623">
            <w:pPr>
              <w:rPr>
                <w:rFonts w:cstheme="minorHAnsi"/>
                <w:sz w:val="24"/>
                <w:szCs w:val="24"/>
              </w:rPr>
            </w:pPr>
            <w:r>
              <w:rPr>
                <w:rFonts w:cstheme="minorHAnsi"/>
                <w:sz w:val="24"/>
                <w:szCs w:val="24"/>
              </w:rPr>
              <w:t xml:space="preserve">None </w:t>
            </w:r>
          </w:p>
        </w:tc>
        <w:tc>
          <w:tcPr>
            <w:tcW w:w="6521" w:type="dxa"/>
          </w:tcPr>
          <w:p w14:paraId="30F46F9B" w14:textId="77777777" w:rsidR="001F2623" w:rsidRPr="00DD27A3" w:rsidRDefault="00D11A30" w:rsidP="002D38D9">
            <w:pPr>
              <w:jc w:val="both"/>
              <w:rPr>
                <w:rFonts w:cstheme="minorHAnsi"/>
                <w:sz w:val="24"/>
                <w:szCs w:val="24"/>
              </w:rPr>
            </w:pPr>
            <w:r>
              <w:rPr>
                <w:rFonts w:cstheme="minorHAnsi"/>
                <w:sz w:val="24"/>
                <w:szCs w:val="24"/>
              </w:rPr>
              <w:t xml:space="preserve">Noted </w:t>
            </w:r>
          </w:p>
        </w:tc>
      </w:tr>
      <w:tr w:rsidR="001F2623" w:rsidRPr="0042468A" w14:paraId="40A2DAB0" w14:textId="77777777" w:rsidTr="00AC78C5">
        <w:tc>
          <w:tcPr>
            <w:tcW w:w="3681" w:type="dxa"/>
            <w:vAlign w:val="center"/>
          </w:tcPr>
          <w:p w14:paraId="086015DA" w14:textId="77777777" w:rsidR="001F2623" w:rsidRPr="00D11A30" w:rsidRDefault="001F2623" w:rsidP="001F2623">
            <w:pPr>
              <w:tabs>
                <w:tab w:val="left" w:pos="6521"/>
              </w:tabs>
              <w:jc w:val="both"/>
              <w:rPr>
                <w:rFonts w:ascii="Times New Roman" w:hAnsi="Times New Roman" w:cs="Times New Roman"/>
                <w:sz w:val="24"/>
                <w:szCs w:val="24"/>
              </w:rPr>
            </w:pPr>
            <w:r w:rsidRPr="00D11A30">
              <w:rPr>
                <w:rFonts w:ascii="Times New Roman" w:hAnsi="Times New Roman" w:cs="Times New Roman"/>
                <w:color w:val="000000" w:themeColor="text1"/>
                <w:sz w:val="24"/>
                <w:szCs w:val="24"/>
              </w:rPr>
              <w:t xml:space="preserve">On risk management, we are </w:t>
            </w:r>
            <w:r w:rsidRPr="00D11A30">
              <w:rPr>
                <w:rFonts w:ascii="Times New Roman" w:hAnsi="Times New Roman" w:cs="Times New Roman"/>
                <w:color w:val="000000" w:themeColor="text1"/>
                <w:sz w:val="24"/>
                <w:szCs w:val="24"/>
                <w:lang w:val="en"/>
              </w:rPr>
              <w:t>interested to see more detail where UNDP will be able to implement and monitor activities.</w:t>
            </w:r>
          </w:p>
        </w:tc>
        <w:tc>
          <w:tcPr>
            <w:tcW w:w="2551" w:type="dxa"/>
          </w:tcPr>
          <w:p w14:paraId="693303F1" w14:textId="77777777" w:rsidR="001F2623" w:rsidRPr="00DD27A3" w:rsidRDefault="00D11A30" w:rsidP="001F2623">
            <w:pPr>
              <w:rPr>
                <w:rFonts w:cstheme="minorHAnsi"/>
                <w:sz w:val="24"/>
                <w:szCs w:val="24"/>
              </w:rPr>
            </w:pPr>
            <w:r>
              <w:rPr>
                <w:rFonts w:cstheme="minorHAnsi"/>
                <w:sz w:val="24"/>
                <w:szCs w:val="24"/>
              </w:rPr>
              <w:t xml:space="preserve">Note </w:t>
            </w:r>
          </w:p>
        </w:tc>
        <w:tc>
          <w:tcPr>
            <w:tcW w:w="6521" w:type="dxa"/>
          </w:tcPr>
          <w:p w14:paraId="652B13C8" w14:textId="77777777" w:rsidR="001F2623" w:rsidRPr="00DD27A3" w:rsidRDefault="00D11A30" w:rsidP="002D38D9">
            <w:pPr>
              <w:jc w:val="both"/>
              <w:rPr>
                <w:rFonts w:cstheme="minorHAnsi"/>
                <w:sz w:val="24"/>
                <w:szCs w:val="24"/>
              </w:rPr>
            </w:pPr>
            <w:r>
              <w:rPr>
                <w:rFonts w:cstheme="minorHAnsi"/>
                <w:sz w:val="24"/>
                <w:szCs w:val="24"/>
              </w:rPr>
              <w:t>Sub-sections 32 &amp; 33 highlight details on risks and mitigation</w:t>
            </w:r>
          </w:p>
        </w:tc>
      </w:tr>
      <w:tr w:rsidR="001F2623" w:rsidRPr="0042468A" w14:paraId="47C29791" w14:textId="77777777" w:rsidTr="00AC78C5">
        <w:tc>
          <w:tcPr>
            <w:tcW w:w="3681" w:type="dxa"/>
            <w:vAlign w:val="center"/>
          </w:tcPr>
          <w:p w14:paraId="42AC7584" w14:textId="77777777" w:rsidR="001F2623" w:rsidRPr="00D11A30" w:rsidRDefault="001F2623" w:rsidP="001F2623">
            <w:pPr>
              <w:contextualSpacing/>
              <w:rPr>
                <w:rFonts w:ascii="Times New Roman" w:hAnsi="Times New Roman" w:cs="Times New Roman"/>
                <w:color w:val="000000" w:themeColor="text1"/>
                <w:sz w:val="24"/>
                <w:szCs w:val="24"/>
                <w:lang w:val="en-GB"/>
              </w:rPr>
            </w:pPr>
            <w:r w:rsidRPr="00D11A30">
              <w:rPr>
                <w:rFonts w:ascii="Times New Roman" w:hAnsi="Times New Roman" w:cs="Times New Roman"/>
                <w:color w:val="000000" w:themeColor="text1"/>
                <w:sz w:val="24"/>
                <w:szCs w:val="24"/>
              </w:rPr>
              <w:lastRenderedPageBreak/>
              <w:t xml:space="preserve">In many areas of this work, our key ask would be that UNDP coordinate and encourage all actors to take sector-wide approaches. There are too many different approaches/agendas in Mali which risks diluting government capacity. </w:t>
            </w:r>
          </w:p>
          <w:p w14:paraId="6D253226" w14:textId="77777777" w:rsidR="001F2623" w:rsidRPr="00D11A30" w:rsidRDefault="001F2623" w:rsidP="001F2623">
            <w:pPr>
              <w:pStyle w:val="ListParagraph"/>
              <w:numPr>
                <w:ilvl w:val="1"/>
                <w:numId w:val="17"/>
              </w:numPr>
              <w:contextualSpacing/>
              <w:rPr>
                <w:rFonts w:ascii="Times New Roman" w:hAnsi="Times New Roman"/>
                <w:color w:val="000000" w:themeColor="text1"/>
                <w:sz w:val="24"/>
                <w:szCs w:val="24"/>
                <w:lang w:val="en-GB"/>
              </w:rPr>
            </w:pPr>
            <w:r w:rsidRPr="00D11A30">
              <w:rPr>
                <w:rFonts w:ascii="Times New Roman" w:hAnsi="Times New Roman"/>
                <w:color w:val="000000" w:themeColor="text1"/>
                <w:sz w:val="24"/>
                <w:szCs w:val="24"/>
              </w:rPr>
              <w:t>For example, the UNDP team working on ‘area-based’ planning/approaches should liaise with the World Bank who take a similar approach in order to avoid duplication, create synergies and capture learning/evidence.</w:t>
            </w:r>
          </w:p>
          <w:p w14:paraId="4701DCE8" w14:textId="77777777" w:rsidR="001F2623" w:rsidRPr="00D11A30" w:rsidRDefault="001F2623" w:rsidP="001F2623">
            <w:pPr>
              <w:tabs>
                <w:tab w:val="left" w:pos="6521"/>
              </w:tabs>
              <w:jc w:val="both"/>
              <w:rPr>
                <w:rFonts w:ascii="Times New Roman" w:hAnsi="Times New Roman" w:cs="Times New Roman"/>
                <w:sz w:val="24"/>
                <w:szCs w:val="24"/>
              </w:rPr>
            </w:pPr>
            <w:r w:rsidRPr="00D11A30">
              <w:rPr>
                <w:rFonts w:ascii="Times New Roman" w:hAnsi="Times New Roman" w:cs="Times New Roman"/>
                <w:color w:val="000000" w:themeColor="text1"/>
                <w:sz w:val="24"/>
                <w:szCs w:val="24"/>
              </w:rPr>
              <w:t>UNDP can play a lead role on Nexus thinking but should focus on operationalising this – in coordination with other agencies already doing this (e.g. UNICEF on health), rather than more theoretical strategies.</w:t>
            </w:r>
          </w:p>
        </w:tc>
        <w:tc>
          <w:tcPr>
            <w:tcW w:w="2551" w:type="dxa"/>
          </w:tcPr>
          <w:p w14:paraId="2D8488EC" w14:textId="77777777" w:rsidR="001F2623" w:rsidRDefault="001F2623" w:rsidP="001F2623">
            <w:pPr>
              <w:rPr>
                <w:rFonts w:cstheme="minorHAnsi"/>
                <w:sz w:val="24"/>
                <w:szCs w:val="24"/>
              </w:rPr>
            </w:pPr>
          </w:p>
          <w:p w14:paraId="50859B01" w14:textId="77777777" w:rsidR="00D11A30" w:rsidRDefault="00D11A30" w:rsidP="001F2623">
            <w:pPr>
              <w:rPr>
                <w:rFonts w:cstheme="minorHAnsi"/>
                <w:sz w:val="24"/>
                <w:szCs w:val="24"/>
              </w:rPr>
            </w:pPr>
          </w:p>
          <w:p w14:paraId="309843F7" w14:textId="77777777" w:rsidR="00D11A30" w:rsidRDefault="00D11A30" w:rsidP="001F2623">
            <w:pPr>
              <w:rPr>
                <w:rFonts w:cstheme="minorHAnsi"/>
                <w:sz w:val="24"/>
                <w:szCs w:val="24"/>
              </w:rPr>
            </w:pPr>
          </w:p>
          <w:p w14:paraId="5C7422F6" w14:textId="77777777" w:rsidR="00D11A30" w:rsidRDefault="00D11A30" w:rsidP="001F2623">
            <w:pPr>
              <w:rPr>
                <w:rFonts w:cstheme="minorHAnsi"/>
                <w:sz w:val="24"/>
                <w:szCs w:val="24"/>
              </w:rPr>
            </w:pPr>
          </w:p>
          <w:p w14:paraId="6E6E151A" w14:textId="77777777" w:rsidR="00D11A30" w:rsidRDefault="00D11A30" w:rsidP="001F2623">
            <w:pPr>
              <w:rPr>
                <w:rFonts w:cstheme="minorHAnsi"/>
                <w:sz w:val="24"/>
                <w:szCs w:val="24"/>
              </w:rPr>
            </w:pPr>
          </w:p>
          <w:p w14:paraId="102C6934" w14:textId="77777777" w:rsidR="00D11A30" w:rsidRDefault="00D11A30" w:rsidP="001F2623">
            <w:pPr>
              <w:rPr>
                <w:rFonts w:cstheme="minorHAnsi"/>
                <w:sz w:val="24"/>
                <w:szCs w:val="24"/>
              </w:rPr>
            </w:pPr>
          </w:p>
          <w:p w14:paraId="12CCB2F4" w14:textId="77777777" w:rsidR="00D11A30" w:rsidRDefault="00D11A30" w:rsidP="001F2623">
            <w:pPr>
              <w:rPr>
                <w:rFonts w:cstheme="minorHAnsi"/>
                <w:sz w:val="24"/>
                <w:szCs w:val="24"/>
              </w:rPr>
            </w:pPr>
          </w:p>
          <w:p w14:paraId="51FA03EB" w14:textId="77777777" w:rsidR="00D11A30" w:rsidRDefault="00D11A30" w:rsidP="001F2623">
            <w:pPr>
              <w:rPr>
                <w:rFonts w:cstheme="minorHAnsi"/>
                <w:sz w:val="24"/>
                <w:szCs w:val="24"/>
              </w:rPr>
            </w:pPr>
          </w:p>
          <w:p w14:paraId="7F7540EF" w14:textId="77777777" w:rsidR="00D11A30" w:rsidRDefault="00D11A30" w:rsidP="001F2623">
            <w:pPr>
              <w:rPr>
                <w:rFonts w:cstheme="minorHAnsi"/>
                <w:sz w:val="24"/>
                <w:szCs w:val="24"/>
              </w:rPr>
            </w:pPr>
          </w:p>
          <w:p w14:paraId="5049069C" w14:textId="77777777" w:rsidR="00D11A30" w:rsidRPr="00DD27A3" w:rsidRDefault="00D11A30" w:rsidP="001F2623">
            <w:pPr>
              <w:rPr>
                <w:rFonts w:cstheme="minorHAnsi"/>
                <w:sz w:val="24"/>
                <w:szCs w:val="24"/>
              </w:rPr>
            </w:pPr>
            <w:r>
              <w:rPr>
                <w:rFonts w:cstheme="minorHAnsi"/>
                <w:sz w:val="24"/>
                <w:szCs w:val="24"/>
              </w:rPr>
              <w:t xml:space="preserve">None </w:t>
            </w:r>
          </w:p>
        </w:tc>
        <w:tc>
          <w:tcPr>
            <w:tcW w:w="6521" w:type="dxa"/>
          </w:tcPr>
          <w:p w14:paraId="7F64C80A" w14:textId="77777777" w:rsidR="001F2623" w:rsidRDefault="00BC3C49" w:rsidP="002D38D9">
            <w:pPr>
              <w:jc w:val="both"/>
              <w:rPr>
                <w:rFonts w:cstheme="minorHAnsi"/>
                <w:sz w:val="24"/>
                <w:szCs w:val="24"/>
              </w:rPr>
            </w:pPr>
            <w:r w:rsidRPr="00DD27A3">
              <w:rPr>
                <w:rFonts w:cstheme="minorHAnsi"/>
                <w:sz w:val="24"/>
                <w:szCs w:val="24"/>
              </w:rPr>
              <w:t xml:space="preserve">With the new UN Reforms, UNDP has </w:t>
            </w:r>
            <w:r w:rsidR="002D79BD">
              <w:rPr>
                <w:rFonts w:cstheme="minorHAnsi"/>
                <w:sz w:val="24"/>
                <w:szCs w:val="24"/>
              </w:rPr>
              <w:t xml:space="preserve">been assigned </w:t>
            </w:r>
            <w:r w:rsidRPr="00DD27A3">
              <w:rPr>
                <w:rFonts w:cstheme="minorHAnsi"/>
                <w:sz w:val="24"/>
                <w:szCs w:val="24"/>
              </w:rPr>
              <w:t xml:space="preserve">an Integrator Role </w:t>
            </w:r>
            <w:r w:rsidR="002D79BD">
              <w:rPr>
                <w:rFonts w:cstheme="minorHAnsi"/>
                <w:sz w:val="24"/>
                <w:szCs w:val="24"/>
              </w:rPr>
              <w:t>which will consist in</w:t>
            </w:r>
            <w:r w:rsidRPr="00DD27A3">
              <w:rPr>
                <w:rFonts w:cstheme="minorHAnsi"/>
                <w:sz w:val="24"/>
                <w:szCs w:val="24"/>
              </w:rPr>
              <w:t xml:space="preserve"> settling Country Platforms to</w:t>
            </w:r>
            <w:r w:rsidR="002D79BD">
              <w:rPr>
                <w:rFonts w:cstheme="minorHAnsi"/>
                <w:sz w:val="24"/>
                <w:szCs w:val="24"/>
              </w:rPr>
              <w:t xml:space="preserve"> </w:t>
            </w:r>
            <w:r w:rsidRPr="00DD27A3">
              <w:rPr>
                <w:rFonts w:cstheme="minorHAnsi"/>
                <w:sz w:val="24"/>
                <w:szCs w:val="24"/>
              </w:rPr>
              <w:t>deliver integrated solutions and address multifaced development challenges</w:t>
            </w:r>
            <w:r w:rsidR="000B6688">
              <w:rPr>
                <w:rFonts w:cstheme="minorHAnsi"/>
                <w:sz w:val="24"/>
                <w:szCs w:val="24"/>
              </w:rPr>
              <w:t>.</w:t>
            </w:r>
          </w:p>
          <w:p w14:paraId="7A6D35D8" w14:textId="77777777" w:rsidR="000B6688" w:rsidRDefault="000B6688" w:rsidP="002D38D9">
            <w:pPr>
              <w:jc w:val="both"/>
              <w:rPr>
                <w:rFonts w:cstheme="minorHAnsi"/>
                <w:sz w:val="24"/>
                <w:szCs w:val="24"/>
              </w:rPr>
            </w:pPr>
          </w:p>
          <w:p w14:paraId="3C3D5D34" w14:textId="39676FC9" w:rsidR="000B6688" w:rsidRDefault="000B6688" w:rsidP="002D38D9">
            <w:pPr>
              <w:jc w:val="both"/>
              <w:rPr>
                <w:rFonts w:cstheme="minorHAnsi"/>
                <w:sz w:val="24"/>
                <w:szCs w:val="24"/>
              </w:rPr>
            </w:pPr>
            <w:r>
              <w:rPr>
                <w:rFonts w:cstheme="minorHAnsi"/>
                <w:sz w:val="24"/>
                <w:szCs w:val="24"/>
              </w:rPr>
              <w:t xml:space="preserve">To reduce government transaction cost, the EXCOM agencies undertook a joint planning process with the government via a joint approval process.  Equally UNDP has already had ongoing </w:t>
            </w:r>
            <w:r w:rsidR="002D38D9">
              <w:rPr>
                <w:rFonts w:cstheme="minorHAnsi"/>
                <w:sz w:val="24"/>
                <w:szCs w:val="24"/>
              </w:rPr>
              <w:t>consultations</w:t>
            </w:r>
            <w:r>
              <w:rPr>
                <w:rFonts w:cstheme="minorHAnsi"/>
                <w:sz w:val="24"/>
                <w:szCs w:val="24"/>
              </w:rPr>
              <w:t xml:space="preserve"> with WB and other partners on creating synergy including providing inputs and sharing UNDP CPD with donors who are in process of their own new programme cycle.</w:t>
            </w:r>
          </w:p>
          <w:p w14:paraId="7F5E8A86" w14:textId="77777777" w:rsidR="000B6688" w:rsidRDefault="000B6688" w:rsidP="002D38D9">
            <w:pPr>
              <w:jc w:val="both"/>
              <w:rPr>
                <w:rFonts w:cstheme="minorHAnsi"/>
                <w:sz w:val="24"/>
                <w:szCs w:val="24"/>
              </w:rPr>
            </w:pPr>
          </w:p>
          <w:p w14:paraId="1C8F7D32" w14:textId="61277477" w:rsidR="000B6688" w:rsidRPr="00DD27A3" w:rsidRDefault="000B6688" w:rsidP="002D38D9">
            <w:pPr>
              <w:jc w:val="both"/>
              <w:rPr>
                <w:rFonts w:cstheme="minorHAnsi"/>
                <w:sz w:val="24"/>
                <w:szCs w:val="24"/>
              </w:rPr>
            </w:pPr>
            <w:r>
              <w:rPr>
                <w:rFonts w:cstheme="minorHAnsi"/>
                <w:sz w:val="24"/>
                <w:szCs w:val="24"/>
              </w:rPr>
              <w:t xml:space="preserve">UNDP has been </w:t>
            </w:r>
            <w:r w:rsidR="000910E6">
              <w:rPr>
                <w:rFonts w:cstheme="minorHAnsi"/>
                <w:sz w:val="24"/>
                <w:szCs w:val="24"/>
              </w:rPr>
              <w:t>nominated</w:t>
            </w:r>
            <w:r>
              <w:rPr>
                <w:rFonts w:cstheme="minorHAnsi"/>
                <w:sz w:val="24"/>
                <w:szCs w:val="24"/>
              </w:rPr>
              <w:t xml:space="preserve"> by </w:t>
            </w:r>
            <w:r w:rsidR="002D38D9">
              <w:rPr>
                <w:rFonts w:cstheme="minorHAnsi"/>
                <w:sz w:val="24"/>
                <w:szCs w:val="24"/>
              </w:rPr>
              <w:t xml:space="preserve">the </w:t>
            </w:r>
            <w:r>
              <w:rPr>
                <w:rFonts w:cstheme="minorHAnsi"/>
                <w:sz w:val="24"/>
                <w:szCs w:val="24"/>
              </w:rPr>
              <w:t>RC as coordinator to lead the stabilization effort in Mali. Equally towards operationalizing the Nexus approach and with a view to piloting a geo</w:t>
            </w:r>
            <w:r w:rsidR="002D38D9">
              <w:rPr>
                <w:rFonts w:cstheme="minorHAnsi"/>
                <w:sz w:val="24"/>
                <w:szCs w:val="24"/>
              </w:rPr>
              <w:t>-</w:t>
            </w:r>
            <w:r>
              <w:rPr>
                <w:rFonts w:cstheme="minorHAnsi"/>
                <w:sz w:val="24"/>
                <w:szCs w:val="24"/>
              </w:rPr>
              <w:t>focused approach in centre</w:t>
            </w:r>
            <w:bookmarkStart w:id="1" w:name="_GoBack"/>
            <w:bookmarkEnd w:id="1"/>
            <w:r>
              <w:rPr>
                <w:rFonts w:cstheme="minorHAnsi"/>
                <w:sz w:val="24"/>
                <w:szCs w:val="24"/>
              </w:rPr>
              <w:t xml:space="preserve"> regions, </w:t>
            </w:r>
            <w:r w:rsidR="00AC6882">
              <w:rPr>
                <w:rFonts w:cstheme="minorHAnsi"/>
                <w:sz w:val="24"/>
                <w:szCs w:val="24"/>
              </w:rPr>
              <w:t>a</w:t>
            </w:r>
            <w:r>
              <w:rPr>
                <w:rFonts w:cstheme="minorHAnsi"/>
                <w:sz w:val="24"/>
                <w:szCs w:val="24"/>
              </w:rPr>
              <w:t xml:space="preserve"> workshop including UN agencies and NGO partners was organized and financed by UNDP in December 2019 in Mopti.  </w:t>
            </w:r>
          </w:p>
        </w:tc>
      </w:tr>
      <w:tr w:rsidR="001F2623" w:rsidRPr="008E6C21" w14:paraId="5D2CD7AB" w14:textId="77777777" w:rsidTr="00AC78C5">
        <w:tc>
          <w:tcPr>
            <w:tcW w:w="3681" w:type="dxa"/>
            <w:vAlign w:val="center"/>
          </w:tcPr>
          <w:p w14:paraId="0F3D7C8E" w14:textId="089D4EC6" w:rsidR="001F2623" w:rsidRPr="009C294C" w:rsidRDefault="001F2623" w:rsidP="001F2623">
            <w:pPr>
              <w:tabs>
                <w:tab w:val="left" w:pos="6521"/>
              </w:tabs>
              <w:jc w:val="both"/>
              <w:rPr>
                <w:rFonts w:cstheme="minorHAnsi"/>
                <w:sz w:val="24"/>
                <w:szCs w:val="24"/>
              </w:rPr>
            </w:pPr>
            <w:r w:rsidRPr="00D11A30">
              <w:rPr>
                <w:rFonts w:ascii="Times New Roman" w:hAnsi="Times New Roman" w:cs="Times New Roman"/>
                <w:color w:val="000000" w:themeColor="text1"/>
                <w:sz w:val="24"/>
                <w:szCs w:val="24"/>
              </w:rPr>
              <w:t xml:space="preserve">On adaptation work (including early warning systems, risk financing </w:t>
            </w:r>
            <w:r w:rsidR="00AC6882" w:rsidRPr="00D11A30">
              <w:rPr>
                <w:rFonts w:ascii="Times New Roman" w:hAnsi="Times New Roman" w:cs="Times New Roman"/>
                <w:color w:val="000000" w:themeColor="text1"/>
                <w:sz w:val="24"/>
                <w:szCs w:val="24"/>
              </w:rPr>
              <w:t>etc.</w:t>
            </w:r>
            <w:r w:rsidRPr="00D11A30">
              <w:rPr>
                <w:rFonts w:ascii="Times New Roman" w:hAnsi="Times New Roman" w:cs="Times New Roman"/>
                <w:color w:val="000000" w:themeColor="text1"/>
                <w:sz w:val="24"/>
                <w:szCs w:val="24"/>
              </w:rPr>
              <w:t>) it would be great if UNDP can ensure close alignment with Social Protection agenda/activities</w:t>
            </w:r>
            <w:r w:rsidRPr="009B38BC">
              <w:rPr>
                <w:rFonts w:ascii="Arial" w:hAnsi="Arial" w:cs="Arial"/>
                <w:color w:val="000000" w:themeColor="text1"/>
                <w:sz w:val="24"/>
                <w:szCs w:val="24"/>
              </w:rPr>
              <w:t>.</w:t>
            </w:r>
          </w:p>
        </w:tc>
        <w:tc>
          <w:tcPr>
            <w:tcW w:w="2551" w:type="dxa"/>
          </w:tcPr>
          <w:p w14:paraId="44E0161F" w14:textId="77777777" w:rsidR="001F2623" w:rsidRPr="00DD27A3" w:rsidRDefault="002D79BD" w:rsidP="001F2623">
            <w:pPr>
              <w:rPr>
                <w:rFonts w:cstheme="minorHAnsi"/>
                <w:sz w:val="24"/>
                <w:szCs w:val="24"/>
              </w:rPr>
            </w:pPr>
            <w:r>
              <w:rPr>
                <w:rFonts w:cstheme="minorHAnsi"/>
                <w:sz w:val="24"/>
                <w:szCs w:val="24"/>
              </w:rPr>
              <w:t xml:space="preserve">None </w:t>
            </w:r>
          </w:p>
        </w:tc>
        <w:tc>
          <w:tcPr>
            <w:tcW w:w="6521" w:type="dxa"/>
          </w:tcPr>
          <w:p w14:paraId="71F73E4C" w14:textId="4B120C78" w:rsidR="007E62B9" w:rsidRDefault="000B6688" w:rsidP="002D38D9">
            <w:pPr>
              <w:jc w:val="both"/>
              <w:rPr>
                <w:rFonts w:cstheme="minorHAnsi"/>
                <w:sz w:val="24"/>
                <w:szCs w:val="24"/>
              </w:rPr>
            </w:pPr>
            <w:r>
              <w:rPr>
                <w:rFonts w:cstheme="minorHAnsi"/>
                <w:sz w:val="24"/>
                <w:szCs w:val="24"/>
              </w:rPr>
              <w:t xml:space="preserve">UNDP Mali aligned with Climate Promise is working with </w:t>
            </w:r>
            <w:r w:rsidR="005D5E8D">
              <w:rPr>
                <w:rFonts w:cstheme="minorHAnsi"/>
                <w:sz w:val="24"/>
                <w:szCs w:val="24"/>
              </w:rPr>
              <w:t xml:space="preserve">government on the </w:t>
            </w:r>
            <w:r>
              <w:rPr>
                <w:rFonts w:cstheme="minorHAnsi"/>
                <w:sz w:val="24"/>
                <w:szCs w:val="24"/>
              </w:rPr>
              <w:t xml:space="preserve">NDC revision and </w:t>
            </w:r>
            <w:r w:rsidR="007E62B9">
              <w:rPr>
                <w:rFonts w:cstheme="minorHAnsi"/>
                <w:sz w:val="24"/>
                <w:szCs w:val="24"/>
              </w:rPr>
              <w:t>the establishment and governance structure of the Mali Climate Fund.  Equally the focus is on integrating climate adaption as well as disaster risk management at local level planning</w:t>
            </w:r>
            <w:r w:rsidR="00BE36BD">
              <w:rPr>
                <w:rFonts w:cstheme="minorHAnsi"/>
                <w:sz w:val="24"/>
                <w:szCs w:val="24"/>
              </w:rPr>
              <w:t xml:space="preserve">. </w:t>
            </w:r>
            <w:r w:rsidR="007E62B9">
              <w:rPr>
                <w:rFonts w:cstheme="minorHAnsi"/>
                <w:sz w:val="24"/>
                <w:szCs w:val="24"/>
              </w:rPr>
              <w:t xml:space="preserve">   </w:t>
            </w:r>
          </w:p>
          <w:p w14:paraId="5707493D" w14:textId="77777777" w:rsidR="007E62B9" w:rsidRDefault="007E62B9" w:rsidP="002D38D9">
            <w:pPr>
              <w:jc w:val="both"/>
              <w:rPr>
                <w:rFonts w:cstheme="minorHAnsi"/>
                <w:sz w:val="24"/>
                <w:szCs w:val="24"/>
              </w:rPr>
            </w:pPr>
          </w:p>
          <w:p w14:paraId="792A0C75" w14:textId="5AE09CF7" w:rsidR="00A040A1" w:rsidRPr="00CC021C" w:rsidRDefault="002D79BD" w:rsidP="002D38D9">
            <w:pPr>
              <w:jc w:val="both"/>
              <w:rPr>
                <w:rFonts w:cstheme="minorHAnsi"/>
                <w:sz w:val="24"/>
                <w:szCs w:val="24"/>
              </w:rPr>
            </w:pPr>
            <w:r>
              <w:rPr>
                <w:rFonts w:cstheme="minorHAnsi"/>
                <w:sz w:val="24"/>
                <w:szCs w:val="24"/>
              </w:rPr>
              <w:lastRenderedPageBreak/>
              <w:t>UNDP is e</w:t>
            </w:r>
            <w:r w:rsidRPr="002D79BD">
              <w:rPr>
                <w:rFonts w:cstheme="minorHAnsi"/>
                <w:sz w:val="24"/>
                <w:szCs w:val="24"/>
              </w:rPr>
              <w:t>xploring</w:t>
            </w:r>
            <w:r>
              <w:rPr>
                <w:rFonts w:cstheme="minorHAnsi"/>
                <w:sz w:val="24"/>
                <w:szCs w:val="24"/>
              </w:rPr>
              <w:t xml:space="preserve">, with the Regional Service Center Addis </w:t>
            </w:r>
            <w:r w:rsidR="002D38D9">
              <w:rPr>
                <w:rFonts w:cstheme="minorHAnsi"/>
                <w:sz w:val="24"/>
                <w:szCs w:val="24"/>
              </w:rPr>
              <w:t>Ababa</w:t>
            </w:r>
            <w:r>
              <w:rPr>
                <w:rFonts w:cstheme="minorHAnsi"/>
                <w:sz w:val="24"/>
                <w:szCs w:val="24"/>
              </w:rPr>
              <w:t>,</w:t>
            </w:r>
            <w:r w:rsidRPr="002D79BD">
              <w:rPr>
                <w:rFonts w:cstheme="minorHAnsi"/>
                <w:sz w:val="24"/>
                <w:szCs w:val="24"/>
              </w:rPr>
              <w:t xml:space="preserve"> </w:t>
            </w:r>
            <w:r>
              <w:rPr>
                <w:rFonts w:cstheme="minorHAnsi"/>
                <w:sz w:val="24"/>
                <w:szCs w:val="24"/>
              </w:rPr>
              <w:t xml:space="preserve">to position </w:t>
            </w:r>
            <w:r w:rsidRPr="002D79BD">
              <w:rPr>
                <w:rFonts w:cstheme="minorHAnsi"/>
                <w:sz w:val="24"/>
                <w:szCs w:val="24"/>
              </w:rPr>
              <w:t>Mali</w:t>
            </w:r>
            <w:r>
              <w:rPr>
                <w:rFonts w:cstheme="minorHAnsi"/>
                <w:sz w:val="24"/>
                <w:szCs w:val="24"/>
              </w:rPr>
              <w:t xml:space="preserve"> </w:t>
            </w:r>
            <w:r w:rsidRPr="002D79BD">
              <w:rPr>
                <w:rFonts w:cstheme="minorHAnsi"/>
                <w:sz w:val="24"/>
                <w:szCs w:val="24"/>
              </w:rPr>
              <w:t xml:space="preserve">to be a pilot for new regional initiative on </w:t>
            </w:r>
            <w:r w:rsidRPr="002D79BD">
              <w:rPr>
                <w:rFonts w:cstheme="minorHAnsi"/>
                <w:b/>
                <w:sz w:val="24"/>
                <w:szCs w:val="24"/>
              </w:rPr>
              <w:t>Informal Social Protection Mechanisms (ISP)</w:t>
            </w:r>
            <w:r w:rsidRPr="002D79BD">
              <w:rPr>
                <w:rFonts w:cstheme="minorHAnsi"/>
                <w:sz w:val="24"/>
                <w:szCs w:val="24"/>
              </w:rPr>
              <w:t xml:space="preserve"> in Africa</w:t>
            </w:r>
            <w:r w:rsidR="000B6688">
              <w:rPr>
                <w:rFonts w:cstheme="minorHAnsi"/>
                <w:sz w:val="24"/>
                <w:szCs w:val="24"/>
              </w:rPr>
              <w:t>.</w:t>
            </w:r>
          </w:p>
        </w:tc>
      </w:tr>
      <w:bookmarkEnd w:id="0"/>
    </w:tbl>
    <w:p w14:paraId="1C5A9C02" w14:textId="77777777" w:rsidR="004A70B6" w:rsidRPr="00AC78C5" w:rsidRDefault="00223B43">
      <w:pPr>
        <w:rPr>
          <w:rFonts w:cstheme="minorHAnsi"/>
          <w:lang w:val="fr-FR"/>
        </w:rPr>
      </w:pPr>
    </w:p>
    <w:sectPr w:rsidR="004A70B6" w:rsidRPr="00AC78C5" w:rsidSect="00862D0A">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581ED" w14:textId="77777777" w:rsidR="00AD329E" w:rsidRDefault="00AD329E" w:rsidP="00C10103">
      <w:pPr>
        <w:spacing w:after="0" w:line="240" w:lineRule="auto"/>
      </w:pPr>
      <w:r>
        <w:separator/>
      </w:r>
    </w:p>
  </w:endnote>
  <w:endnote w:type="continuationSeparator" w:id="0">
    <w:p w14:paraId="1AF20871" w14:textId="77777777" w:rsidR="00AD329E" w:rsidRDefault="00AD329E" w:rsidP="00C1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6B05" w14:textId="77777777" w:rsidR="00AD329E" w:rsidRDefault="00AD329E" w:rsidP="00C10103">
      <w:pPr>
        <w:spacing w:after="0" w:line="240" w:lineRule="auto"/>
      </w:pPr>
      <w:r>
        <w:separator/>
      </w:r>
    </w:p>
  </w:footnote>
  <w:footnote w:type="continuationSeparator" w:id="0">
    <w:p w14:paraId="7D7B8E5E" w14:textId="77777777" w:rsidR="00AD329E" w:rsidRDefault="00AD329E" w:rsidP="00C10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57E"/>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4B11869"/>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BAA3C79"/>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3FE08F3"/>
    <w:multiLevelType w:val="hybridMultilevel"/>
    <w:tmpl w:val="52702A30"/>
    <w:lvl w:ilvl="0" w:tplc="A5121FF4">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9279F1"/>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4F6E6C54"/>
    <w:multiLevelType w:val="hybridMultilevel"/>
    <w:tmpl w:val="92543AB6"/>
    <w:lvl w:ilvl="0" w:tplc="D04C8C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AF49AB"/>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538732B6"/>
    <w:multiLevelType w:val="hybridMultilevel"/>
    <w:tmpl w:val="889C72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80F26"/>
    <w:multiLevelType w:val="hybridMultilevel"/>
    <w:tmpl w:val="0E1CB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B31D8"/>
    <w:multiLevelType w:val="hybridMultilevel"/>
    <w:tmpl w:val="744C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3655B"/>
    <w:multiLevelType w:val="hybridMultilevel"/>
    <w:tmpl w:val="3F6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576C6"/>
    <w:multiLevelType w:val="hybridMultilevel"/>
    <w:tmpl w:val="9CC8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463E1"/>
    <w:multiLevelType w:val="hybridMultilevel"/>
    <w:tmpl w:val="098469AC"/>
    <w:lvl w:ilvl="0" w:tplc="4B9C220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010D06"/>
    <w:multiLevelType w:val="hybridMultilevel"/>
    <w:tmpl w:val="A7CE1A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7D903E1D"/>
    <w:multiLevelType w:val="hybridMultilevel"/>
    <w:tmpl w:val="87F66BE2"/>
    <w:lvl w:ilvl="0" w:tplc="0809000F">
      <w:start w:val="1"/>
      <w:numFmt w:val="decimal"/>
      <w:lvlText w:val="%1."/>
      <w:lvlJc w:val="left"/>
      <w:pPr>
        <w:ind w:left="720" w:hanging="360"/>
      </w:pPr>
    </w:lvl>
    <w:lvl w:ilvl="1" w:tplc="08090019">
      <w:start w:val="1"/>
      <w:numFmt w:val="lowerLetter"/>
      <w:lvlText w:val="%2."/>
      <w:lvlJc w:val="left"/>
      <w:pPr>
        <w:ind w:left="7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4"/>
  </w:num>
  <w:num w:numId="6">
    <w:abstractNumId w:val="2"/>
  </w:num>
  <w:num w:numId="7">
    <w:abstractNumId w:val="1"/>
  </w:num>
  <w:num w:numId="8">
    <w:abstractNumId w:val="0"/>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2"/>
  </w:num>
  <w:num w:numId="15">
    <w:abstractNumId w:val="9"/>
  </w:num>
  <w:num w:numId="16">
    <w:abstractNumId w:val="8"/>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29"/>
    <w:rsid w:val="0000084F"/>
    <w:rsid w:val="0003203F"/>
    <w:rsid w:val="00046726"/>
    <w:rsid w:val="0005650E"/>
    <w:rsid w:val="00076E57"/>
    <w:rsid w:val="00077741"/>
    <w:rsid w:val="000910E6"/>
    <w:rsid w:val="00095D02"/>
    <w:rsid w:val="0009776C"/>
    <w:rsid w:val="00097B14"/>
    <w:rsid w:val="000B6688"/>
    <w:rsid w:val="000D3BAF"/>
    <w:rsid w:val="000D7B24"/>
    <w:rsid w:val="001038CF"/>
    <w:rsid w:val="001302BF"/>
    <w:rsid w:val="00150A9B"/>
    <w:rsid w:val="001524B2"/>
    <w:rsid w:val="00165A92"/>
    <w:rsid w:val="001668BF"/>
    <w:rsid w:val="0017193B"/>
    <w:rsid w:val="001A70C9"/>
    <w:rsid w:val="001B5E11"/>
    <w:rsid w:val="001D7CC0"/>
    <w:rsid w:val="001E528A"/>
    <w:rsid w:val="001F2623"/>
    <w:rsid w:val="00205A03"/>
    <w:rsid w:val="00215851"/>
    <w:rsid w:val="002166C1"/>
    <w:rsid w:val="002177DE"/>
    <w:rsid w:val="00223B43"/>
    <w:rsid w:val="00223DC5"/>
    <w:rsid w:val="002459F2"/>
    <w:rsid w:val="00247B53"/>
    <w:rsid w:val="0027369B"/>
    <w:rsid w:val="002822DA"/>
    <w:rsid w:val="00287A8C"/>
    <w:rsid w:val="002C1D33"/>
    <w:rsid w:val="002D38D9"/>
    <w:rsid w:val="002D40F4"/>
    <w:rsid w:val="002D79BD"/>
    <w:rsid w:val="002E4D22"/>
    <w:rsid w:val="002F5CAC"/>
    <w:rsid w:val="002F7452"/>
    <w:rsid w:val="003273BD"/>
    <w:rsid w:val="00363680"/>
    <w:rsid w:val="003642E4"/>
    <w:rsid w:val="00381670"/>
    <w:rsid w:val="00390F03"/>
    <w:rsid w:val="003A67D5"/>
    <w:rsid w:val="00412F61"/>
    <w:rsid w:val="00413D2E"/>
    <w:rsid w:val="004145B2"/>
    <w:rsid w:val="004209A6"/>
    <w:rsid w:val="0042468A"/>
    <w:rsid w:val="004425A4"/>
    <w:rsid w:val="00444818"/>
    <w:rsid w:val="004461B9"/>
    <w:rsid w:val="004642F7"/>
    <w:rsid w:val="004A5F97"/>
    <w:rsid w:val="00515A70"/>
    <w:rsid w:val="005335E5"/>
    <w:rsid w:val="00536DFB"/>
    <w:rsid w:val="005519C6"/>
    <w:rsid w:val="00570413"/>
    <w:rsid w:val="005826DC"/>
    <w:rsid w:val="00595863"/>
    <w:rsid w:val="005A6071"/>
    <w:rsid w:val="005C1E16"/>
    <w:rsid w:val="005D5E8D"/>
    <w:rsid w:val="0061256D"/>
    <w:rsid w:val="00650203"/>
    <w:rsid w:val="00652DED"/>
    <w:rsid w:val="0065400D"/>
    <w:rsid w:val="0065591B"/>
    <w:rsid w:val="00660F4D"/>
    <w:rsid w:val="00662B6F"/>
    <w:rsid w:val="00684A08"/>
    <w:rsid w:val="006C1497"/>
    <w:rsid w:val="006E6A91"/>
    <w:rsid w:val="006F0F39"/>
    <w:rsid w:val="006F3C4A"/>
    <w:rsid w:val="006F7091"/>
    <w:rsid w:val="00786805"/>
    <w:rsid w:val="007B6ED0"/>
    <w:rsid w:val="007E62B9"/>
    <w:rsid w:val="007F7AEB"/>
    <w:rsid w:val="008275FB"/>
    <w:rsid w:val="00827D68"/>
    <w:rsid w:val="00837B56"/>
    <w:rsid w:val="0084148F"/>
    <w:rsid w:val="0084581D"/>
    <w:rsid w:val="00845C6F"/>
    <w:rsid w:val="00862D0A"/>
    <w:rsid w:val="008647B2"/>
    <w:rsid w:val="00867777"/>
    <w:rsid w:val="00867BC2"/>
    <w:rsid w:val="008A001E"/>
    <w:rsid w:val="008C5FA1"/>
    <w:rsid w:val="008C69D7"/>
    <w:rsid w:val="008E1FF6"/>
    <w:rsid w:val="008E6C21"/>
    <w:rsid w:val="0090089C"/>
    <w:rsid w:val="00907614"/>
    <w:rsid w:val="00932C4C"/>
    <w:rsid w:val="009369E4"/>
    <w:rsid w:val="00956CC7"/>
    <w:rsid w:val="00961E6A"/>
    <w:rsid w:val="00973271"/>
    <w:rsid w:val="00976D28"/>
    <w:rsid w:val="0098044A"/>
    <w:rsid w:val="009953A8"/>
    <w:rsid w:val="009A401D"/>
    <w:rsid w:val="009B4C99"/>
    <w:rsid w:val="009C0B12"/>
    <w:rsid w:val="009C0DC3"/>
    <w:rsid w:val="009C294C"/>
    <w:rsid w:val="009C2FB2"/>
    <w:rsid w:val="00A040A1"/>
    <w:rsid w:val="00A0678B"/>
    <w:rsid w:val="00A23129"/>
    <w:rsid w:val="00A360E9"/>
    <w:rsid w:val="00A43464"/>
    <w:rsid w:val="00A85587"/>
    <w:rsid w:val="00A87A0F"/>
    <w:rsid w:val="00A90506"/>
    <w:rsid w:val="00AB0C03"/>
    <w:rsid w:val="00AC3AEF"/>
    <w:rsid w:val="00AC6882"/>
    <w:rsid w:val="00AC78C5"/>
    <w:rsid w:val="00AD0F89"/>
    <w:rsid w:val="00AD329E"/>
    <w:rsid w:val="00AE54C9"/>
    <w:rsid w:val="00B10A4F"/>
    <w:rsid w:val="00B17FBF"/>
    <w:rsid w:val="00B25CB3"/>
    <w:rsid w:val="00B62A9C"/>
    <w:rsid w:val="00B739D1"/>
    <w:rsid w:val="00B808A5"/>
    <w:rsid w:val="00B938CA"/>
    <w:rsid w:val="00BB4098"/>
    <w:rsid w:val="00BC1304"/>
    <w:rsid w:val="00BC3C49"/>
    <w:rsid w:val="00BD643D"/>
    <w:rsid w:val="00BE36BD"/>
    <w:rsid w:val="00BF6D02"/>
    <w:rsid w:val="00C10103"/>
    <w:rsid w:val="00C201E7"/>
    <w:rsid w:val="00C440E8"/>
    <w:rsid w:val="00C80EFE"/>
    <w:rsid w:val="00C85A5E"/>
    <w:rsid w:val="00CA582E"/>
    <w:rsid w:val="00CA773A"/>
    <w:rsid w:val="00CB1DBF"/>
    <w:rsid w:val="00CB4D0E"/>
    <w:rsid w:val="00CC021C"/>
    <w:rsid w:val="00CC3823"/>
    <w:rsid w:val="00CE1187"/>
    <w:rsid w:val="00CF2B54"/>
    <w:rsid w:val="00D11A30"/>
    <w:rsid w:val="00D24BE9"/>
    <w:rsid w:val="00D35159"/>
    <w:rsid w:val="00D6191F"/>
    <w:rsid w:val="00DC2350"/>
    <w:rsid w:val="00DD27A3"/>
    <w:rsid w:val="00E01427"/>
    <w:rsid w:val="00E05196"/>
    <w:rsid w:val="00E873AD"/>
    <w:rsid w:val="00EA2DA6"/>
    <w:rsid w:val="00ED0B61"/>
    <w:rsid w:val="00ED432C"/>
    <w:rsid w:val="00EE264B"/>
    <w:rsid w:val="00EF2C72"/>
    <w:rsid w:val="00F06DFD"/>
    <w:rsid w:val="00F24F89"/>
    <w:rsid w:val="00F2672C"/>
    <w:rsid w:val="00F32E9E"/>
    <w:rsid w:val="00F4464F"/>
    <w:rsid w:val="00F45665"/>
    <w:rsid w:val="00F516EB"/>
    <w:rsid w:val="00F86F88"/>
    <w:rsid w:val="00FA12AD"/>
    <w:rsid w:val="00FB70D2"/>
    <w:rsid w:val="00FC2A8A"/>
    <w:rsid w:val="00FD2FA2"/>
    <w:rsid w:val="00FD577A"/>
    <w:rsid w:val="00F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2F1B"/>
  <w15:chartTrackingRefBased/>
  <w15:docId w15:val="{C12C550D-4EC8-4411-B7E9-CF01247D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ferences,Paragraphe de liste1,List Paragraph1,Bullets,Table/Figure Heading,Style 3,WB Para,titulo 3,Párrafo de lista1,normal,Normal1,WB List Paragraph,Dot pt,F5 List Paragraph,No Spacing1"/>
    <w:basedOn w:val="Normal"/>
    <w:link w:val="ListParagraphChar"/>
    <w:uiPriority w:val="34"/>
    <w:qFormat/>
    <w:rsid w:val="00FD577A"/>
    <w:pPr>
      <w:spacing w:after="0" w:line="240" w:lineRule="auto"/>
      <w:ind w:left="720"/>
    </w:pPr>
    <w:rPr>
      <w:rFonts w:ascii="Calibri" w:hAnsi="Calibri" w:cs="Times New Roman"/>
      <w:lang w:eastAsia="zh-CN"/>
    </w:rPr>
  </w:style>
  <w:style w:type="paragraph" w:styleId="BalloonText">
    <w:name w:val="Balloon Text"/>
    <w:basedOn w:val="Normal"/>
    <w:link w:val="BalloonTextChar"/>
    <w:uiPriority w:val="99"/>
    <w:semiHidden/>
    <w:unhideWhenUsed/>
    <w:rsid w:val="009008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089C"/>
    <w:rPr>
      <w:rFonts w:ascii="Times New Roman" w:hAnsi="Times New Roman" w:cs="Times New Roman"/>
      <w:sz w:val="18"/>
      <w:szCs w:val="18"/>
    </w:rPr>
  </w:style>
  <w:style w:type="character" w:styleId="CommentReference">
    <w:name w:val="annotation reference"/>
    <w:basedOn w:val="DefaultParagraphFont"/>
    <w:unhideWhenUsed/>
    <w:rsid w:val="003273BD"/>
    <w:rPr>
      <w:sz w:val="16"/>
      <w:szCs w:val="16"/>
    </w:rPr>
  </w:style>
  <w:style w:type="character" w:customStyle="1" w:styleId="ListParagraphChar">
    <w:name w:val="List Paragraph Char"/>
    <w:aliases w:val="List Paragraph (numbered (a)) Char,References Char,Paragraphe de liste1 Char,List Paragraph1 Char,Bullets Char,Table/Figure Heading Char,Style 3 Char,WB Para Char,titulo 3 Char,Párrafo de lista1 Char,normal Char,Normal1 Char"/>
    <w:link w:val="ListParagraph"/>
    <w:uiPriority w:val="34"/>
    <w:locked/>
    <w:rsid w:val="003273BD"/>
    <w:rPr>
      <w:rFonts w:ascii="Calibri" w:hAnsi="Calibri" w:cs="Times New Roman"/>
      <w:lang w:eastAsia="zh-CN"/>
    </w:rPr>
  </w:style>
  <w:style w:type="paragraph" w:styleId="Header">
    <w:name w:val="header"/>
    <w:basedOn w:val="Normal"/>
    <w:link w:val="HeaderChar"/>
    <w:uiPriority w:val="99"/>
    <w:unhideWhenUsed/>
    <w:rsid w:val="00C101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0103"/>
  </w:style>
  <w:style w:type="paragraph" w:styleId="Footer">
    <w:name w:val="footer"/>
    <w:basedOn w:val="Normal"/>
    <w:link w:val="FooterChar"/>
    <w:uiPriority w:val="99"/>
    <w:unhideWhenUsed/>
    <w:rsid w:val="00C101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462">
      <w:bodyDiv w:val="1"/>
      <w:marLeft w:val="0"/>
      <w:marRight w:val="0"/>
      <w:marTop w:val="0"/>
      <w:marBottom w:val="0"/>
      <w:divBdr>
        <w:top w:val="none" w:sz="0" w:space="0" w:color="auto"/>
        <w:left w:val="none" w:sz="0" w:space="0" w:color="auto"/>
        <w:bottom w:val="none" w:sz="0" w:space="0" w:color="auto"/>
        <w:right w:val="none" w:sz="0" w:space="0" w:color="auto"/>
      </w:divBdr>
    </w:div>
    <w:div w:id="424544044">
      <w:bodyDiv w:val="1"/>
      <w:marLeft w:val="0"/>
      <w:marRight w:val="0"/>
      <w:marTop w:val="0"/>
      <w:marBottom w:val="0"/>
      <w:divBdr>
        <w:top w:val="none" w:sz="0" w:space="0" w:color="auto"/>
        <w:left w:val="none" w:sz="0" w:space="0" w:color="auto"/>
        <w:bottom w:val="none" w:sz="0" w:space="0" w:color="auto"/>
        <w:right w:val="none" w:sz="0" w:space="0" w:color="auto"/>
      </w:divBdr>
    </w:div>
    <w:div w:id="877162081">
      <w:bodyDiv w:val="1"/>
      <w:marLeft w:val="0"/>
      <w:marRight w:val="0"/>
      <w:marTop w:val="0"/>
      <w:marBottom w:val="0"/>
      <w:divBdr>
        <w:top w:val="none" w:sz="0" w:space="0" w:color="auto"/>
        <w:left w:val="none" w:sz="0" w:space="0" w:color="auto"/>
        <w:bottom w:val="none" w:sz="0" w:space="0" w:color="auto"/>
        <w:right w:val="none" w:sz="0" w:space="0" w:color="auto"/>
      </w:divBdr>
    </w:div>
    <w:div w:id="1013995791">
      <w:bodyDiv w:val="1"/>
      <w:marLeft w:val="0"/>
      <w:marRight w:val="0"/>
      <w:marTop w:val="0"/>
      <w:marBottom w:val="0"/>
      <w:divBdr>
        <w:top w:val="none" w:sz="0" w:space="0" w:color="auto"/>
        <w:left w:val="none" w:sz="0" w:space="0" w:color="auto"/>
        <w:bottom w:val="none" w:sz="0" w:space="0" w:color="auto"/>
        <w:right w:val="none" w:sz="0" w:space="0" w:color="auto"/>
      </w:divBdr>
    </w:div>
    <w:div w:id="1109857436">
      <w:bodyDiv w:val="1"/>
      <w:marLeft w:val="0"/>
      <w:marRight w:val="0"/>
      <w:marTop w:val="0"/>
      <w:marBottom w:val="0"/>
      <w:divBdr>
        <w:top w:val="none" w:sz="0" w:space="0" w:color="auto"/>
        <w:left w:val="none" w:sz="0" w:space="0" w:color="auto"/>
        <w:bottom w:val="none" w:sz="0" w:space="0" w:color="auto"/>
        <w:right w:val="none" w:sz="0" w:space="0" w:color="auto"/>
      </w:divBdr>
    </w:div>
    <w:div w:id="1120877585">
      <w:bodyDiv w:val="1"/>
      <w:marLeft w:val="0"/>
      <w:marRight w:val="0"/>
      <w:marTop w:val="0"/>
      <w:marBottom w:val="0"/>
      <w:divBdr>
        <w:top w:val="none" w:sz="0" w:space="0" w:color="auto"/>
        <w:left w:val="none" w:sz="0" w:space="0" w:color="auto"/>
        <w:bottom w:val="none" w:sz="0" w:space="0" w:color="auto"/>
        <w:right w:val="none" w:sz="0" w:space="0" w:color="auto"/>
      </w:divBdr>
    </w:div>
    <w:div w:id="1269194592">
      <w:bodyDiv w:val="1"/>
      <w:marLeft w:val="0"/>
      <w:marRight w:val="0"/>
      <w:marTop w:val="0"/>
      <w:marBottom w:val="0"/>
      <w:divBdr>
        <w:top w:val="none" w:sz="0" w:space="0" w:color="auto"/>
        <w:left w:val="none" w:sz="0" w:space="0" w:color="auto"/>
        <w:bottom w:val="none" w:sz="0" w:space="0" w:color="auto"/>
        <w:right w:val="none" w:sz="0" w:space="0" w:color="auto"/>
      </w:divBdr>
    </w:div>
    <w:div w:id="1500540749">
      <w:bodyDiv w:val="1"/>
      <w:marLeft w:val="0"/>
      <w:marRight w:val="0"/>
      <w:marTop w:val="0"/>
      <w:marBottom w:val="0"/>
      <w:divBdr>
        <w:top w:val="none" w:sz="0" w:space="0" w:color="auto"/>
        <w:left w:val="none" w:sz="0" w:space="0" w:color="auto"/>
        <w:bottom w:val="none" w:sz="0" w:space="0" w:color="auto"/>
        <w:right w:val="none" w:sz="0" w:space="0" w:color="auto"/>
      </w:divBdr>
    </w:div>
    <w:div w:id="1759518729">
      <w:bodyDiv w:val="1"/>
      <w:marLeft w:val="0"/>
      <w:marRight w:val="0"/>
      <w:marTop w:val="0"/>
      <w:marBottom w:val="0"/>
      <w:divBdr>
        <w:top w:val="none" w:sz="0" w:space="0" w:color="auto"/>
        <w:left w:val="none" w:sz="0" w:space="0" w:color="auto"/>
        <w:bottom w:val="none" w:sz="0" w:space="0" w:color="auto"/>
        <w:right w:val="none" w:sz="0" w:space="0" w:color="auto"/>
      </w:divBdr>
    </w:div>
    <w:div w:id="1886679421">
      <w:bodyDiv w:val="1"/>
      <w:marLeft w:val="0"/>
      <w:marRight w:val="0"/>
      <w:marTop w:val="0"/>
      <w:marBottom w:val="0"/>
      <w:divBdr>
        <w:top w:val="none" w:sz="0" w:space="0" w:color="auto"/>
        <w:left w:val="none" w:sz="0" w:space="0" w:color="auto"/>
        <w:bottom w:val="none" w:sz="0" w:space="0" w:color="auto"/>
        <w:right w:val="none" w:sz="0" w:space="0" w:color="auto"/>
      </w:divBdr>
    </w:div>
    <w:div w:id="21261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1" ma:contentTypeDescription="Create a new document." ma:contentTypeScope="" ma:versionID="e5d507a38bb99888fcaf6599f428547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151899e7051cba7b01d3d4ccb324b582"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28CC3-F79F-4733-87B0-815B5C57DC81}">
  <ds:schemaRefs>
    <ds:schemaRef ds:uri="http://schemas.microsoft.com/sharepoint/v3/contenttype/forms"/>
  </ds:schemaRefs>
</ds:datastoreItem>
</file>

<file path=customXml/itemProps2.xml><?xml version="1.0" encoding="utf-8"?>
<ds:datastoreItem xmlns:ds="http://schemas.openxmlformats.org/officeDocument/2006/customXml" ds:itemID="{093B4AF7-2188-480C-BED0-CB14B372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CACB2-558E-4860-8410-D07CED736B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3141</Words>
  <Characters>17904</Characters>
  <Application>Microsoft Office Word</Application>
  <DocSecurity>4</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Ishmael Dodoo</dc:creator>
  <cp:keywords/>
  <dc:description/>
  <cp:lastModifiedBy>Svetlana Iazykova</cp:lastModifiedBy>
  <cp:revision>2</cp:revision>
  <dcterms:created xsi:type="dcterms:W3CDTF">2020-01-02T17:24:00Z</dcterms:created>
  <dcterms:modified xsi:type="dcterms:W3CDTF">2020-01-02T17:24:00Z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